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CURRENT REPORT PURSUANT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21, 2021</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CALAVO GROWERS,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Charter)</w:t>
      </w:r>
    </w:p>
    <w:p>
      <w:pPr>
        <w:spacing w:after="0" w:line="205"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3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California</w:t>
            </w:r>
          </w:p>
        </w:tc>
        <w:tc>
          <w:tcPr>
            <w:tcW w:w="2700" w:type="dxa"/>
            <w:vAlign w:val="bottom"/>
          </w:tcPr>
          <w:p>
            <w:pPr>
              <w:jc w:val="right"/>
              <w:ind w:right="870"/>
              <w:spacing w:after="0"/>
              <w:rPr>
                <w:sz w:val="20"/>
                <w:szCs w:val="20"/>
                <w:color w:val="auto"/>
              </w:rPr>
            </w:pPr>
            <w:r>
              <w:rPr>
                <w:rFonts w:ascii="Arial" w:cs="Arial" w:eastAsia="Arial" w:hAnsi="Arial"/>
                <w:sz w:val="18"/>
                <w:szCs w:val="18"/>
                <w:b w:val="1"/>
                <w:bCs w:val="1"/>
                <w:color w:val="auto"/>
              </w:rPr>
              <w:t>000-33385</w:t>
            </w: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9"/>
              </w:rPr>
              <w:t>33-0945304</w:t>
            </w:r>
          </w:p>
        </w:tc>
      </w:tr>
      <w:tr>
        <w:trPr>
          <w:trHeight w:val="195"/>
        </w:trPr>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(State or Other</w:t>
            </w:r>
          </w:p>
        </w:tc>
        <w:tc>
          <w:tcPr>
            <w:tcW w:w="1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1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Jurisdiction of Incorporation)</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85725</wp:posOffset>
            </wp:positionV>
            <wp:extent cx="56578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83185</wp:posOffset>
            </wp:positionV>
            <wp:extent cx="56578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(805) 525-1245</w:t>
      </w:r>
    </w:p>
    <w:p>
      <w:pPr>
        <w:spacing w:after="0" w:line="202" w:lineRule="exact"/>
        <w:rPr>
          <w:sz w:val="24"/>
          <w:szCs w:val="24"/>
          <w:color w:val="auto"/>
        </w:rPr>
      </w:pPr>
    </w:p>
    <w:p>
      <w:pPr>
        <w:ind w:left="60" w:right="3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96" w:lineRule="exact"/>
        <w:rPr>
          <w:rFonts w:ascii="MS PGothic" w:cs="MS PGothic" w:eastAsia="MS PGothic" w:hAnsi="MS PGothic"/>
          <w:sz w:val="17"/>
          <w:szCs w:val="17"/>
          <w:color w:val="auto"/>
        </w:rPr>
      </w:pPr>
    </w:p>
    <w:p>
      <w:pPr>
        <w:ind w:left="520" w:hanging="245"/>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1" w:lineRule="exact"/>
        <w:rPr>
          <w:sz w:val="24"/>
          <w:szCs w:val="24"/>
          <w:color w:val="auto"/>
        </w:rPr>
      </w:pPr>
    </w:p>
    <w:p>
      <w:pPr>
        <w:ind w:left="6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57"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29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Title of each class</w:t>
            </w:r>
          </w:p>
        </w:tc>
        <w:tc>
          <w:tcPr>
            <w:tcW w:w="26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Trading Symbol(s)</w:t>
            </w:r>
          </w:p>
        </w:tc>
        <w:tc>
          <w:tcPr>
            <w:tcW w:w="32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2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40" w:type="dxa"/>
            <w:vAlign w:val="bottom"/>
          </w:tcPr>
          <w:p>
            <w:pPr>
              <w:spacing w:after="0"/>
              <w:rPr>
                <w:sz w:val="19"/>
                <w:szCs w:val="19"/>
                <w:color w:val="auto"/>
              </w:rPr>
            </w:pPr>
          </w:p>
        </w:tc>
        <w:tc>
          <w:tcPr>
            <w:tcW w:w="2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187" w:lineRule="exact"/>
        <w:rPr>
          <w:sz w:val="24"/>
          <w:szCs w:val="24"/>
          <w:color w:val="auto"/>
        </w:rPr>
      </w:pPr>
    </w:p>
    <w:p>
      <w:pPr>
        <w:jc w:val="both"/>
        <w:ind w:left="60" w:right="99" w:firstLine="324"/>
        <w:spacing w:after="0" w:line="3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4" w:lineRule="exact"/>
        <w:rPr>
          <w:sz w:val="24"/>
          <w:szCs w:val="24"/>
          <w:color w:val="auto"/>
        </w:rPr>
      </w:pPr>
    </w:p>
    <w:p>
      <w:pPr>
        <w:ind w:left="3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60" w:right="159" w:firstLine="324"/>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596900</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99695</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142875</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62" w:right="1440" w:bottom="1440" w:gutter="0" w:footer="0" w:header="0"/>
        </w:sectPr>
      </w:pPr>
    </w:p>
    <w:bookmarkStart w:id="1" w:name="page2"/>
    <w:bookmarkEnd w:id="1"/>
    <w:p>
      <w:pPr>
        <w:ind w:left="60"/>
        <w:spacing w:after="0"/>
        <w:tabs>
          <w:tab w:leader="none" w:pos="100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ind w:left="60" w:right="579" w:firstLine="648"/>
        <w:spacing w:after="0" w:line="277" w:lineRule="auto"/>
        <w:rPr>
          <w:sz w:val="20"/>
          <w:szCs w:val="20"/>
          <w:color w:val="auto"/>
        </w:rPr>
      </w:pPr>
      <w:r>
        <w:rPr>
          <w:rFonts w:ascii="Arial" w:cs="Arial" w:eastAsia="Arial" w:hAnsi="Arial"/>
          <w:sz w:val="18"/>
          <w:szCs w:val="18"/>
          <w:color w:val="auto"/>
        </w:rPr>
        <w:t>On April 21, 2021, we held the annual meeting of shareholders of Calavo Growers, Inc. At the meeting, the holders of our outstanding common stock acted on the following matters:</w:t>
      </w:r>
    </w:p>
    <w:p>
      <w:pPr>
        <w:spacing w:after="0" w:line="170" w:lineRule="exact"/>
        <w:rPr>
          <w:sz w:val="20"/>
          <w:szCs w:val="20"/>
          <w:color w:val="auto"/>
        </w:rPr>
      </w:pPr>
    </w:p>
    <w:p>
      <w:pPr>
        <w:ind w:left="60" w:right="179" w:hanging="10"/>
        <w:spacing w:after="0" w:line="277" w:lineRule="auto"/>
        <w:tabs>
          <w:tab w:leader="none" w:pos="38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shareholders voted and elected the following 11 directors, each to serve for a term of one year Shareholders were entitled to cumulate their votes for directors. Each nominee received the following votes:</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Nominee</w:t>
            </w: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Votes</w:t>
            </w: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Votes</w:t>
            </w:r>
          </w:p>
        </w:tc>
        <w:tc>
          <w:tcPr>
            <w:tcW w:w="1080" w:type="dxa"/>
            <w:vAlign w:val="bottom"/>
          </w:tcPr>
          <w:p>
            <w:pPr>
              <w:jc w:val="right"/>
              <w:ind w:right="233"/>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71"/>
        </w:trPr>
        <w:tc>
          <w:tcPr>
            <w:tcW w:w="3640" w:type="dxa"/>
            <w:vAlign w:val="bottom"/>
            <w:gridSpan w:val="3"/>
            <w:vMerge w:val="continue"/>
          </w:tcPr>
          <w:p>
            <w:pPr>
              <w:spacing w:after="0"/>
              <w:rPr>
                <w:sz w:val="14"/>
                <w:szCs w:val="14"/>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For</w:t>
            </w: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Withheld</w:t>
            </w:r>
          </w:p>
        </w:tc>
        <w:tc>
          <w:tcPr>
            <w:tcW w:w="1080" w:type="dxa"/>
            <w:vAlign w:val="bottom"/>
          </w:tcPr>
          <w:p>
            <w:pPr>
              <w:jc w:val="right"/>
              <w:ind w:right="133"/>
              <w:spacing w:after="0"/>
              <w:rPr>
                <w:sz w:val="20"/>
                <w:szCs w:val="20"/>
                <w:color w:val="auto"/>
              </w:rPr>
            </w:pPr>
            <w:r>
              <w:rPr>
                <w:rFonts w:ascii="Arial" w:cs="Arial" w:eastAsia="Arial" w:hAnsi="Arial"/>
                <w:sz w:val="14"/>
                <w:szCs w:val="14"/>
                <w:b w:val="1"/>
                <w:bCs w:val="1"/>
                <w:color w:val="auto"/>
              </w:rPr>
              <w:t>Non-Votes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Farha Aslam</w:t>
            </w:r>
          </w:p>
        </w:tc>
        <w:tc>
          <w:tcPr>
            <w:tcW w:w="1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12,557,086</w:t>
            </w:r>
          </w:p>
        </w:tc>
        <w:tc>
          <w:tcPr>
            <w:tcW w:w="1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106,003</w:t>
            </w: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Marc L.Brown</w:t>
            </w:r>
          </w:p>
        </w:tc>
        <w:tc>
          <w:tcPr>
            <w:tcW w:w="1060" w:type="dxa"/>
            <w:vAlign w:val="bottom"/>
          </w:tcPr>
          <w:p>
            <w:pPr>
              <w:jc w:val="right"/>
              <w:spacing w:after="0"/>
              <w:rPr>
                <w:sz w:val="20"/>
                <w:szCs w:val="20"/>
                <w:color w:val="auto"/>
              </w:rPr>
            </w:pPr>
            <w:r>
              <w:rPr>
                <w:rFonts w:ascii="Arial" w:cs="Arial" w:eastAsia="Arial" w:hAnsi="Arial"/>
                <w:sz w:val="18"/>
                <w:szCs w:val="18"/>
                <w:color w:val="auto"/>
              </w:rPr>
              <w:t>11,504,120</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1,323,969</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1,412,460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A. DiGregorio</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12,099,288</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563,801</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Harold Edwards</w:t>
            </w:r>
          </w:p>
        </w:tc>
        <w:tc>
          <w:tcPr>
            <w:tcW w:w="1060" w:type="dxa"/>
            <w:vAlign w:val="bottom"/>
          </w:tcPr>
          <w:p>
            <w:pPr>
              <w:jc w:val="right"/>
              <w:spacing w:after="0"/>
              <w:rPr>
                <w:sz w:val="20"/>
                <w:szCs w:val="20"/>
                <w:color w:val="auto"/>
              </w:rPr>
            </w:pPr>
            <w:r>
              <w:rPr>
                <w:rFonts w:ascii="Arial" w:cs="Arial" w:eastAsia="Arial" w:hAnsi="Arial"/>
                <w:sz w:val="18"/>
                <w:szCs w:val="18"/>
                <w:color w:val="auto"/>
              </w:rPr>
              <w:t>9,929,317</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5,667,692</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1,412,460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D. Helin</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12,379,605</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563,984</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Steven Hollister</w:t>
            </w:r>
          </w:p>
        </w:tc>
        <w:tc>
          <w:tcPr>
            <w:tcW w:w="1060" w:type="dxa"/>
            <w:vAlign w:val="bottom"/>
          </w:tcPr>
          <w:p>
            <w:pPr>
              <w:jc w:val="right"/>
              <w:spacing w:after="0"/>
              <w:rPr>
                <w:sz w:val="20"/>
                <w:szCs w:val="20"/>
                <w:color w:val="auto"/>
              </w:rPr>
            </w:pPr>
            <w:r>
              <w:rPr>
                <w:rFonts w:ascii="Arial" w:cs="Arial" w:eastAsia="Arial" w:hAnsi="Arial"/>
                <w:sz w:val="18"/>
                <w:szCs w:val="18"/>
                <w:color w:val="auto"/>
              </w:rPr>
              <w:t>12,551,947</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382,842</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1,412,460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Kathleen M. Holmgren</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12,527,988</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135,101</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John M. Hunt</w:t>
            </w:r>
          </w:p>
        </w:tc>
        <w:tc>
          <w:tcPr>
            <w:tcW w:w="1060" w:type="dxa"/>
            <w:vAlign w:val="bottom"/>
          </w:tcPr>
          <w:p>
            <w:pPr>
              <w:jc w:val="right"/>
              <w:spacing w:after="0"/>
              <w:rPr>
                <w:sz w:val="20"/>
                <w:szCs w:val="20"/>
                <w:color w:val="auto"/>
              </w:rPr>
            </w:pPr>
            <w:r>
              <w:rPr>
                <w:rFonts w:ascii="Arial" w:cs="Arial" w:eastAsia="Arial" w:hAnsi="Arial"/>
                <w:sz w:val="18"/>
                <w:szCs w:val="18"/>
                <w:color w:val="auto"/>
              </w:rPr>
              <w:t>7,085,181</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5,594,408</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1,412,460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Link Leavens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14,633,457</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1,209,171</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Donald M. Sanders</w:t>
            </w:r>
          </w:p>
        </w:tc>
        <w:tc>
          <w:tcPr>
            <w:tcW w:w="1060" w:type="dxa"/>
            <w:vAlign w:val="bottom"/>
          </w:tcPr>
          <w:p>
            <w:pPr>
              <w:jc w:val="right"/>
              <w:spacing w:after="0"/>
              <w:rPr>
                <w:sz w:val="20"/>
                <w:szCs w:val="20"/>
                <w:color w:val="auto"/>
              </w:rPr>
            </w:pPr>
            <w:r>
              <w:rPr>
                <w:rFonts w:ascii="Arial" w:cs="Arial" w:eastAsia="Arial" w:hAnsi="Arial"/>
                <w:sz w:val="18"/>
                <w:szCs w:val="18"/>
                <w:color w:val="auto"/>
              </w:rPr>
              <w:t>12,311,113</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570,733</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1,412,460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Van Der Kar</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13,087,239</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1,095,137</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1,412,460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839" w:hanging="10"/>
        <w:spacing w:after="0" w:line="277" w:lineRule="auto"/>
        <w:tabs>
          <w:tab w:leader="none" w:pos="38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shareholders approved the ratification of the appointment of Deloitte &amp; Touche LLP as our independent accountants for fiscal 2021. Votes cast were as follows:</w:t>
      </w:r>
    </w:p>
    <w:p>
      <w:pPr>
        <w:spacing w:after="0" w:line="212"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For</w:t>
            </w:r>
          </w:p>
        </w:tc>
        <w:tc>
          <w:tcPr>
            <w:tcW w:w="3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14,820,312</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Against</w:t>
            </w:r>
          </w:p>
        </w:tc>
        <w:tc>
          <w:tcPr>
            <w:tcW w:w="3680" w:type="dxa"/>
            <w:vAlign w:val="bottom"/>
          </w:tcPr>
          <w:p>
            <w:pPr>
              <w:jc w:val="right"/>
              <w:spacing w:after="0"/>
              <w:rPr>
                <w:sz w:val="20"/>
                <w:szCs w:val="20"/>
                <w:color w:val="auto"/>
              </w:rPr>
            </w:pPr>
            <w:r>
              <w:rPr>
                <w:rFonts w:ascii="Arial" w:cs="Arial" w:eastAsia="Arial" w:hAnsi="Arial"/>
                <w:sz w:val="18"/>
                <w:szCs w:val="18"/>
                <w:color w:val="auto"/>
              </w:rPr>
              <w:t>20,589</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Abstain</w:t>
            </w:r>
          </w:p>
        </w:tc>
        <w:tc>
          <w:tcPr>
            <w:tcW w:w="3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15,121</w:t>
            </w:r>
          </w:p>
        </w:tc>
      </w:tr>
    </w:tbl>
    <w:p>
      <w:pPr>
        <w:spacing w:after="0" w:line="202" w:lineRule="exact"/>
        <w:rPr>
          <w:sz w:val="20"/>
          <w:szCs w:val="20"/>
          <w:color w:val="auto"/>
        </w:rPr>
      </w:pPr>
    </w:p>
    <w:p>
      <w:pPr>
        <w:ind w:left="60" w:right="599" w:hanging="10"/>
        <w:spacing w:after="0" w:line="308" w:lineRule="auto"/>
        <w:tabs>
          <w:tab w:leader="none" w:pos="384"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shareholders voted on an advisory basis and approved the compensation of the executive officers of Calavo Growers, Inc. as disclosed in the company’s 2021 proxy statement. Votes cast were as follows:</w:t>
      </w:r>
    </w:p>
    <w:p>
      <w:pPr>
        <w:spacing w:after="0" w:line="174"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For</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12,585,828</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Against</w:t>
            </w:r>
          </w:p>
        </w:tc>
        <w:tc>
          <w:tcPr>
            <w:tcW w:w="3300" w:type="dxa"/>
            <w:vAlign w:val="bottom"/>
          </w:tcPr>
          <w:p>
            <w:pPr>
              <w:jc w:val="right"/>
              <w:spacing w:after="0"/>
              <w:rPr>
                <w:sz w:val="20"/>
                <w:szCs w:val="20"/>
                <w:color w:val="auto"/>
              </w:rPr>
            </w:pPr>
            <w:r>
              <w:rPr>
                <w:rFonts w:ascii="Arial" w:cs="Arial" w:eastAsia="Arial" w:hAnsi="Arial"/>
                <w:sz w:val="18"/>
                <w:szCs w:val="18"/>
                <w:color w:val="auto"/>
              </w:rPr>
              <w:t>824,855</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Abstain</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32,879</w:t>
            </w: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Broker Non-Votes</w:t>
            </w:r>
          </w:p>
        </w:tc>
        <w:tc>
          <w:tcPr>
            <w:tcW w:w="3300" w:type="dxa"/>
            <w:vAlign w:val="bottom"/>
          </w:tcPr>
          <w:p>
            <w:pPr>
              <w:jc w:val="right"/>
              <w:spacing w:after="0"/>
              <w:rPr>
                <w:sz w:val="20"/>
                <w:szCs w:val="20"/>
                <w:color w:val="auto"/>
              </w:rPr>
            </w:pPr>
            <w:r>
              <w:rPr>
                <w:rFonts w:ascii="Arial" w:cs="Arial" w:eastAsia="Arial" w:hAnsi="Arial"/>
                <w:sz w:val="18"/>
                <w:szCs w:val="18"/>
                <w:color w:val="auto"/>
              </w:rPr>
              <w:t>1,412,460</w:t>
            </w: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6"/>
          <w:szCs w:val="16"/>
          <w:color w:val="auto"/>
        </w:rPr>
        <w:t>(4) The shareholders voted and approved the Calavo Growers, Inc. 2020 equity Incentive Plan. Votes cast were as follows:</w:t>
      </w: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For</w:t>
            </w:r>
          </w:p>
        </w:tc>
        <w:tc>
          <w:tcPr>
            <w:tcW w:w="4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12,678,424</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Against</w:t>
            </w:r>
          </w:p>
        </w:tc>
        <w:tc>
          <w:tcPr>
            <w:tcW w:w="4700" w:type="dxa"/>
            <w:vAlign w:val="bottom"/>
          </w:tcPr>
          <w:p>
            <w:pPr>
              <w:jc w:val="right"/>
              <w:spacing w:after="0"/>
              <w:rPr>
                <w:sz w:val="20"/>
                <w:szCs w:val="20"/>
                <w:color w:val="auto"/>
              </w:rPr>
            </w:pPr>
            <w:r>
              <w:rPr>
                <w:rFonts w:ascii="Arial" w:cs="Arial" w:eastAsia="Arial" w:hAnsi="Arial"/>
                <w:sz w:val="18"/>
                <w:szCs w:val="18"/>
                <w:color w:val="auto"/>
              </w:rPr>
              <w:t>732,505</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Abstain</w:t>
            </w:r>
          </w:p>
        </w:tc>
        <w:tc>
          <w:tcPr>
            <w:tcW w:w="4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32,633</w:t>
            </w:r>
          </w:p>
        </w:tc>
        <w:tc>
          <w:tcPr>
            <w:tcW w:w="90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Broker Non-Votes</w:t>
            </w:r>
          </w:p>
        </w:tc>
        <w:tc>
          <w:tcPr>
            <w:tcW w:w="4700" w:type="dxa"/>
            <w:vAlign w:val="bottom"/>
          </w:tcPr>
          <w:p>
            <w:pPr>
              <w:jc w:val="right"/>
              <w:spacing w:after="0"/>
              <w:rPr>
                <w:sz w:val="20"/>
                <w:szCs w:val="20"/>
                <w:color w:val="auto"/>
              </w:rPr>
            </w:pPr>
            <w:r>
              <w:rPr>
                <w:rFonts w:ascii="Arial" w:cs="Arial" w:eastAsia="Arial" w:hAnsi="Arial"/>
                <w:sz w:val="18"/>
                <w:szCs w:val="18"/>
                <w:color w:val="auto"/>
              </w:rPr>
              <w:t>1,412,460</w:t>
            </w:r>
          </w:p>
        </w:tc>
        <w:tc>
          <w:tcPr>
            <w:tcW w:w="900" w:type="dxa"/>
            <w:vAlign w:val="bottom"/>
          </w:tcPr>
          <w:p>
            <w:pPr>
              <w:spacing w:after="0"/>
              <w:rPr>
                <w:sz w:val="20"/>
                <w:szCs w:val="20"/>
                <w:color w:val="auto"/>
              </w:rPr>
            </w:pPr>
          </w:p>
        </w:tc>
      </w:tr>
      <w:tr>
        <w:trPr>
          <w:trHeight w:val="877"/>
        </w:trPr>
        <w:tc>
          <w:tcPr>
            <w:tcW w:w="9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700" w:type="dxa"/>
            <w:vAlign w:val="bottom"/>
          </w:tcPr>
          <w:p>
            <w:pPr>
              <w:jc w:val="right"/>
              <w:ind w:right="3430"/>
              <w:spacing w:after="0"/>
              <w:rPr>
                <w:sz w:val="20"/>
                <w:szCs w:val="20"/>
                <w:color w:val="auto"/>
              </w:rPr>
            </w:pPr>
            <w:r>
              <w:rPr>
                <w:rFonts w:ascii="Arial" w:cs="Arial" w:eastAsia="Arial" w:hAnsi="Arial"/>
                <w:sz w:val="18"/>
                <w:szCs w:val="18"/>
                <w:color w:val="auto"/>
              </w:rPr>
              <w:t>2</w:t>
            </w:r>
          </w:p>
        </w:tc>
        <w:tc>
          <w:tcPr>
            <w:tcW w:w="900" w:type="dxa"/>
            <w:vAlign w:val="bottom"/>
          </w:tcPr>
          <w:p>
            <w:pPr>
              <w:spacing w:after="0"/>
              <w:rPr>
                <w:sz w:val="24"/>
                <w:szCs w:val="24"/>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April 26, 2021</w:t>
      </w:r>
    </w:p>
    <w:p>
      <w:pPr>
        <w:spacing w:after="0" w:line="21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By: /s/ James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14605</wp:posOffset>
            </wp:positionV>
            <wp:extent cx="24860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James Gibson</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2021-04-26T15:42:34Z</dcterms:created>
  <dcterms:modified xsi:type="dcterms:W3CDTF">2021-04-26T15:42:34Z</dcterms:modified>
</cp:coreProperties>
</file>