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CURRENT REPORT PURSUANT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29, 2021</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CALAVO GROWERS,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Charter)</w:t>
      </w:r>
    </w:p>
    <w:p>
      <w:pPr>
        <w:spacing w:after="0" w:line="192"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3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California</w:t>
            </w:r>
          </w:p>
        </w:tc>
        <w:tc>
          <w:tcPr>
            <w:tcW w:w="2700" w:type="dxa"/>
            <w:vAlign w:val="bottom"/>
          </w:tcPr>
          <w:p>
            <w:pPr>
              <w:jc w:val="right"/>
              <w:ind w:right="870"/>
              <w:spacing w:after="0"/>
              <w:rPr>
                <w:sz w:val="20"/>
                <w:szCs w:val="20"/>
                <w:color w:val="auto"/>
              </w:rPr>
            </w:pPr>
            <w:r>
              <w:rPr>
                <w:rFonts w:ascii="Arial" w:cs="Arial" w:eastAsia="Arial" w:hAnsi="Arial"/>
                <w:sz w:val="18"/>
                <w:szCs w:val="18"/>
                <w:b w:val="1"/>
                <w:bCs w:val="1"/>
                <w:color w:val="auto"/>
              </w:rPr>
              <w:t>000-33385</w:t>
            </w: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9"/>
              </w:rPr>
              <w:t>33-0945304</w:t>
            </w:r>
          </w:p>
        </w:tc>
      </w:tr>
      <w:tr>
        <w:trPr>
          <w:trHeight w:val="195"/>
        </w:trPr>
        <w:tc>
          <w:tcPr>
            <w:tcW w:w="2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(State or Other</w:t>
            </w:r>
          </w:p>
        </w:tc>
        <w:tc>
          <w:tcPr>
            <w:tcW w:w="14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(Commission File Number)</w:t>
            </w:r>
          </w:p>
        </w:tc>
        <w:tc>
          <w:tcPr>
            <w:tcW w:w="140" w:type="dxa"/>
            <w:vAlign w:val="bottom"/>
          </w:tcPr>
          <w:p>
            <w:pPr>
              <w:spacing w:after="0"/>
              <w:rPr>
                <w:sz w:val="16"/>
                <w:szCs w:val="16"/>
                <w:color w:val="auto"/>
              </w:rPr>
            </w:pPr>
          </w:p>
        </w:tc>
        <w:tc>
          <w:tcPr>
            <w:tcW w:w="2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31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Jurisdiction of Incorporation)</w:t>
            </w: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1141-A Cummings Road, Santa Paula, California 93060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85725</wp:posOffset>
            </wp:positionV>
            <wp:extent cx="1405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83185</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(805) 525-1245</w:t>
      </w:r>
    </w:p>
    <w:p>
      <w:pPr>
        <w:spacing w:after="0" w:line="202" w:lineRule="exact"/>
        <w:rPr>
          <w:sz w:val="24"/>
          <w:szCs w:val="24"/>
          <w:color w:val="auto"/>
        </w:rPr>
      </w:pPr>
    </w:p>
    <w:p>
      <w:pPr>
        <w:ind w:left="60" w:right="3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620" w:hanging="246"/>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620" w:hanging="246"/>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620" w:hanging="246"/>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07" w:lineRule="exact"/>
        <w:rPr>
          <w:rFonts w:ascii="MS PGothic" w:cs="MS PGothic" w:eastAsia="MS PGothic" w:hAnsi="MS PGothic"/>
          <w:sz w:val="16"/>
          <w:szCs w:val="16"/>
          <w:color w:val="auto"/>
        </w:rPr>
      </w:pPr>
    </w:p>
    <w:p>
      <w:pPr>
        <w:ind w:left="620" w:hanging="246"/>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12" w:lineRule="exact"/>
        <w:rPr>
          <w:rFonts w:ascii="MS PGothic" w:cs="MS PGothic" w:eastAsia="MS PGothic" w:hAnsi="MS PGothic"/>
          <w:sz w:val="16"/>
          <w:szCs w:val="16"/>
          <w:color w:val="auto"/>
        </w:rPr>
      </w:pPr>
    </w:p>
    <w:p>
      <w:pPr>
        <w:ind w:left="2640"/>
        <w:spacing w:after="0"/>
        <w:rPr>
          <w:rFonts w:ascii="MS PGothic" w:cs="MS PGothic" w:eastAsia="MS PGothic" w:hAnsi="MS PGothic"/>
          <w:sz w:val="16"/>
          <w:szCs w:val="16"/>
          <w:color w:val="auto"/>
        </w:rPr>
      </w:pPr>
      <w:r>
        <w:rPr>
          <w:rFonts w:ascii="Arial" w:cs="Arial" w:eastAsia="Arial" w:hAnsi="Arial"/>
          <w:sz w:val="16"/>
          <w:szCs w:val="16"/>
          <w:color w:val="auto"/>
        </w:rPr>
        <w:t>Securities registered pursuant to Section 12(b) of the Act:</w:t>
      </w:r>
    </w:p>
    <w:p>
      <w:pPr>
        <w:spacing w:after="0" w:line="230"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29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Title of each class</w:t>
            </w:r>
          </w:p>
        </w:tc>
        <w:tc>
          <w:tcPr>
            <w:tcW w:w="26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Trading Symbol(s)</w:t>
            </w:r>
          </w:p>
        </w:tc>
        <w:tc>
          <w:tcPr>
            <w:tcW w:w="32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2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40" w:type="dxa"/>
            <w:vAlign w:val="bottom"/>
          </w:tcPr>
          <w:p>
            <w:pPr>
              <w:spacing w:after="0"/>
              <w:rPr>
                <w:sz w:val="19"/>
                <w:szCs w:val="19"/>
                <w:color w:val="auto"/>
              </w:rPr>
            </w:pPr>
          </w:p>
        </w:tc>
        <w:tc>
          <w:tcPr>
            <w:tcW w:w="2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CVGW</w:t>
            </w:r>
          </w:p>
        </w:tc>
        <w:tc>
          <w:tcPr>
            <w:tcW w:w="140" w:type="dxa"/>
            <w:vAlign w:val="bottom"/>
          </w:tcPr>
          <w:p>
            <w:pPr>
              <w:spacing w:after="0"/>
              <w:rPr>
                <w:sz w:val="19"/>
                <w:szCs w:val="19"/>
                <w:color w:val="auto"/>
              </w:rPr>
            </w:pPr>
          </w:p>
        </w:tc>
        <w:tc>
          <w:tcPr>
            <w:tcW w:w="3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187" w:lineRule="exact"/>
        <w:rPr>
          <w:sz w:val="24"/>
          <w:szCs w:val="24"/>
          <w:color w:val="auto"/>
        </w:rPr>
      </w:pPr>
    </w:p>
    <w:p>
      <w:pPr>
        <w:jc w:val="both"/>
        <w:ind w:left="60" w:right="99" w:firstLine="324"/>
        <w:spacing w:after="0" w:line="330"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3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left="60" w:right="159" w:firstLine="324"/>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545465</wp:posOffset>
            </wp:positionV>
            <wp:extent cx="565785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125730</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168275</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1003" w:right="1440"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On January 29, 2021, Calavo Growers, Inc. (“we” or “the Company”) entered into the Third Amendment to Credit Agreement (the “Third Amendment”) with Farm Credit West, PCA and Bank of America, N.A. relating to our Credit Agreement dated as of June 14, 2016, First Amendment to Credit Agreement dated as of August 29, 2016, and Second Amendment to Credit Agreement dated as of February 28, 2019. This Third Amendment, among other things, provides for a five-year extension of the maturity date to January 29, 2026, a $20 million increase in the revolving commitment to $100 million (from $80 million) (for a total facility size of $150 million if the $50 million accordion is exercised, up from a total size of $130 million), and a 25 basis point increase in the interest rate. The new interest rate schedules are effective mid-June 2021.</w:t>
      </w:r>
    </w:p>
    <w:p>
      <w:pPr>
        <w:spacing w:after="0" w:line="192" w:lineRule="exact"/>
        <w:rPr>
          <w:sz w:val="20"/>
          <w:szCs w:val="20"/>
          <w:color w:val="auto"/>
        </w:rPr>
      </w:pPr>
    </w:p>
    <w:p>
      <w:pPr>
        <w:ind w:left="60" w:right="59"/>
        <w:spacing w:after="0" w:line="257" w:lineRule="auto"/>
        <w:rPr>
          <w:sz w:val="20"/>
          <w:szCs w:val="20"/>
          <w:color w:val="auto"/>
        </w:rPr>
      </w:pPr>
      <w:r>
        <w:rPr>
          <w:rFonts w:ascii="Arial" w:cs="Arial" w:eastAsia="Arial" w:hAnsi="Arial"/>
          <w:sz w:val="18"/>
          <w:szCs w:val="18"/>
          <w:color w:val="auto"/>
        </w:rPr>
        <w:t>The foregoing is a summary of the material terms and conditions of the Credit Agreement and not a complete discussion of the document. Accordingly, the foregoing is qualified in its entirety by reference to the full text of the Third Amendment to Credit Agreement, a copy of which is filed as Exhibit 10.1 to this Form 8-K, and the full text of the Credit Agreement, First Amendment to Credit Agreement, and Second Amendment to Credit Agreement, copies of which are on file with the Securities and Exchange Commission.</w:t>
      </w:r>
    </w:p>
    <w:p>
      <w:pPr>
        <w:spacing w:after="0" w:line="184" w:lineRule="exact"/>
        <w:rPr>
          <w:sz w:val="20"/>
          <w:szCs w:val="20"/>
          <w:color w:val="auto"/>
        </w:rPr>
      </w:pPr>
    </w:p>
    <w:p>
      <w:pPr>
        <w:ind w:left="60" w:right="99"/>
        <w:spacing w:after="0" w:line="282" w:lineRule="auto"/>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information included in Item 1.01 of this Current Report on Form 8-K is incorporated by reference into this Item 2.03.</w:t>
      </w:r>
    </w:p>
    <w:p>
      <w:pPr>
        <w:spacing w:after="0" w:line="2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 xml:space="preserve">10.1 </w:t>
      </w:r>
      <w:hyperlink w:anchor="page4">
        <w:r>
          <w:rPr>
            <w:rFonts w:ascii="Arial" w:cs="Arial" w:eastAsia="Arial" w:hAnsi="Arial"/>
            <w:sz w:val="18"/>
            <w:szCs w:val="18"/>
            <w:u w:val="single" w:color="auto"/>
            <w:color w:val="0000EE"/>
          </w:rPr>
          <w:t>Third Amendment to Credit Agreement dated August 29, 2016</w:t>
        </w:r>
      </w:hyperlink>
    </w:p>
    <w:p>
      <w:pPr>
        <w:spacing w:after="0" w:line="23" w:lineRule="exact"/>
        <w:rPr>
          <w:sz w:val="20"/>
          <w:szCs w:val="20"/>
          <w:color w:val="auto"/>
        </w:rPr>
      </w:pPr>
    </w:p>
    <w:p>
      <w:pPr>
        <w:ind w:left="480" w:hanging="424"/>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5" w:lineRule="exact"/>
        <w:rPr>
          <w:rFonts w:ascii="Arial" w:cs="Arial" w:eastAsia="Arial" w:hAnsi="Arial"/>
          <w:sz w:val="18"/>
          <w:szCs w:val="18"/>
          <w:color w:val="auto"/>
        </w:rPr>
      </w:pPr>
    </w:p>
    <w:p>
      <w:pPr>
        <w:ind w:left="446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0" w:right="25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2, 2021</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/s/ James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5715</wp:posOffset>
            </wp:positionV>
            <wp:extent cx="25888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ind w:left="4560"/>
        <w:spacing w:after="0"/>
        <w:rPr>
          <w:sz w:val="20"/>
          <w:szCs w:val="20"/>
          <w:color w:val="auto"/>
        </w:rPr>
      </w:pPr>
      <w:r>
        <w:rPr>
          <w:rFonts w:ascii="Arial" w:cs="Arial" w:eastAsia="Arial" w:hAnsi="Arial"/>
          <w:sz w:val="18"/>
          <w:szCs w:val="18"/>
          <w:color w:val="auto"/>
        </w:rPr>
        <w:t>James Gibson</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10.1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THIRD AMENDMENT TO CREDIT AGREEMENT</w:t>
      </w:r>
    </w:p>
    <w:p>
      <w:pPr>
        <w:spacing w:after="0" w:line="21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THIS THIRD AMENDMENT TO CREDIT AGREEMENT </w:t>
      </w:r>
      <w:r>
        <w:rPr>
          <w:rFonts w:ascii="Arial" w:cs="Arial" w:eastAsia="Arial" w:hAnsi="Arial"/>
          <w:sz w:val="20"/>
          <w:szCs w:val="20"/>
          <w:color w:val="auto"/>
        </w:rPr>
        <w:t>(this “</w:t>
      </w:r>
      <w:r>
        <w:rPr>
          <w:rFonts w:ascii="Arial" w:cs="Arial" w:eastAsia="Arial" w:hAnsi="Arial"/>
          <w:sz w:val="20"/>
          <w:szCs w:val="20"/>
          <w:u w:val="single" w:color="auto"/>
          <w:color w:val="auto"/>
        </w:rPr>
        <w:t>Amendment</w:t>
      </w:r>
      <w:r>
        <w:rPr>
          <w:rFonts w:ascii="Arial" w:cs="Arial" w:eastAsia="Arial" w:hAnsi="Arial"/>
          <w:sz w:val="20"/>
          <w:szCs w:val="20"/>
          <w:color w:val="auto"/>
        </w:rPr>
        <w:t>”) is dated as of January 29,</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2021, and is entered into by and between </w:t>
      </w:r>
      <w:r>
        <w:rPr>
          <w:rFonts w:ascii="Arial" w:cs="Arial" w:eastAsia="Arial" w:hAnsi="Arial"/>
          <w:sz w:val="20"/>
          <w:szCs w:val="20"/>
          <w:b w:val="1"/>
          <w:bCs w:val="1"/>
          <w:color w:val="auto"/>
        </w:rPr>
        <w:t>CALAVO GROWERS, INC.</w:t>
      </w:r>
      <w:r>
        <w:rPr>
          <w:rFonts w:ascii="Arial" w:cs="Arial" w:eastAsia="Arial" w:hAnsi="Arial"/>
          <w:sz w:val="20"/>
          <w:szCs w:val="20"/>
          <w:color w:val="auto"/>
        </w:rPr>
        <w:t>, a California corporation (the “</w:t>
      </w:r>
      <w:r>
        <w:rPr>
          <w:rFonts w:ascii="Arial" w:cs="Arial" w:eastAsia="Arial" w:hAnsi="Arial"/>
          <w:sz w:val="20"/>
          <w:szCs w:val="20"/>
          <w:u w:val="single" w:color="auto"/>
          <w:color w:val="auto"/>
        </w:rPr>
        <w:t>Borrower</w:t>
      </w:r>
      <w:r>
        <w:rPr>
          <w:rFonts w:ascii="Arial" w:cs="Arial" w:eastAsia="Arial" w:hAnsi="Arial"/>
          <w:sz w:val="20"/>
          <w:szCs w:val="20"/>
          <w:color w:val="auto"/>
        </w:rPr>
        <w:t xml:space="preserve">”), the Lenders identified on the signature pages hereto and </w:t>
      </w:r>
      <w:r>
        <w:rPr>
          <w:rFonts w:ascii="Arial" w:cs="Arial" w:eastAsia="Arial" w:hAnsi="Arial"/>
          <w:sz w:val="20"/>
          <w:szCs w:val="20"/>
          <w:b w:val="1"/>
          <w:bCs w:val="1"/>
          <w:color w:val="auto"/>
        </w:rPr>
        <w:t>BANK OF AMERICA, N.A.</w:t>
      </w:r>
      <w:r>
        <w:rPr>
          <w:rFonts w:ascii="Arial" w:cs="Arial" w:eastAsia="Arial" w:hAnsi="Arial"/>
          <w:sz w:val="20"/>
          <w:szCs w:val="20"/>
          <w:color w:val="auto"/>
        </w:rPr>
        <w:t>, as administrative agent for the Lenders (in such capacity,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WITNESSETH</w:t>
      </w:r>
    </w:p>
    <w:p>
      <w:pPr>
        <w:spacing w:after="0" w:line="21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pursuant to the Credit Agreement (as amended, modified, supplemented, increased and extended from</w:t>
      </w:r>
      <w:r>
        <w:rPr>
          <w:rFonts w:ascii="Arial" w:cs="Arial" w:eastAsia="Arial" w:hAnsi="Arial"/>
          <w:sz w:val="20"/>
          <w:szCs w:val="20"/>
          <w:b w:val="1"/>
          <w:bCs w:val="1"/>
          <w:color w:val="auto"/>
        </w:rPr>
        <w:t xml:space="preserve"> </w:t>
      </w:r>
      <w:r>
        <w:rPr>
          <w:rFonts w:ascii="Arial" w:cs="Arial" w:eastAsia="Arial" w:hAnsi="Arial"/>
          <w:sz w:val="20"/>
          <w:szCs w:val="20"/>
          <w:color w:val="auto"/>
        </w:rPr>
        <w:t>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dated as of June 14, 2016 among the Borrower, the Guarantors identified therein, the Lenders identified therein and the Administrative Agent, the Lenders have agreed to make credit extensions available to the Loan Parties; and</w:t>
      </w:r>
    </w:p>
    <w:p>
      <w:pPr>
        <w:spacing w:after="0" w:line="18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the Borrower and the Lenders have agreed to amend the Credit Agreement subject to the terms and</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stated herein;</w:t>
      </w:r>
    </w:p>
    <w:p>
      <w:pPr>
        <w:spacing w:after="0" w:line="16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NOW, THEREFORE, IN CONSIDERATION </w:t>
      </w:r>
      <w:r>
        <w:rPr>
          <w:rFonts w:ascii="Arial" w:cs="Arial" w:eastAsia="Arial" w:hAnsi="Arial"/>
          <w:sz w:val="20"/>
          <w:szCs w:val="20"/>
          <w:color w:val="auto"/>
        </w:rPr>
        <w:t>of the premises and other good and valuable consideration, the</w:t>
      </w:r>
      <w:r>
        <w:rPr>
          <w:rFonts w:ascii="Arial" w:cs="Arial" w:eastAsia="Arial" w:hAnsi="Arial"/>
          <w:sz w:val="20"/>
          <w:szCs w:val="20"/>
          <w:b w:val="1"/>
          <w:bCs w:val="1"/>
          <w:color w:val="auto"/>
        </w:rPr>
        <w:t xml:space="preserve"> </w:t>
      </w:r>
      <w:r>
        <w:rPr>
          <w:rFonts w:ascii="Arial" w:cs="Arial" w:eastAsia="Arial" w:hAnsi="Arial"/>
          <w:sz w:val="20"/>
          <w:szCs w:val="20"/>
          <w:color w:val="auto"/>
        </w:rPr>
        <w:t>receipt and sufficiency of which are hereby acknowledged, and intending to be legally bound hereby, the parties hereto agree as follows:</w:t>
      </w:r>
    </w:p>
    <w:p>
      <w:pPr>
        <w:spacing w:after="0" w:line="18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 </w:t>
      </w:r>
      <w:r>
        <w:rPr>
          <w:rFonts w:ascii="Arial" w:cs="Arial" w:eastAsia="Arial" w:hAnsi="Arial"/>
          <w:sz w:val="20"/>
          <w:szCs w:val="20"/>
          <w:u w:val="single" w:color="auto"/>
          <w:color w:val="auto"/>
        </w:rPr>
        <w:t>Defined Terms</w:t>
      </w:r>
      <w:r>
        <w:rPr>
          <w:rFonts w:ascii="Arial" w:cs="Arial" w:eastAsia="Arial" w:hAnsi="Arial"/>
          <w:sz w:val="20"/>
          <w:szCs w:val="20"/>
          <w:color w:val="auto"/>
        </w:rPr>
        <w:t>. Capitalized terms used herein but not otherwise defined herein shall have the meanings provided to such terms in the Credit Agreement.</w:t>
      </w:r>
    </w:p>
    <w:p>
      <w:pPr>
        <w:spacing w:after="0" w:line="163" w:lineRule="exact"/>
        <w:rPr>
          <w:sz w:val="20"/>
          <w:szCs w:val="20"/>
          <w:color w:val="auto"/>
        </w:rPr>
      </w:pPr>
    </w:p>
    <w:p>
      <w:pPr>
        <w:ind w:left="2000" w:hanging="1344"/>
        <w:spacing w:after="0"/>
        <w:tabs>
          <w:tab w:leader="none" w:pos="2000" w:val="left"/>
        </w:tabs>
        <w:numPr>
          <w:ilvl w:val="0"/>
          <w:numId w:val="3"/>
        </w:numPr>
        <w:rPr>
          <w:rFonts w:ascii="Arial" w:cs="Arial" w:eastAsia="Arial" w:hAnsi="Arial"/>
          <w:sz w:val="20"/>
          <w:szCs w:val="20"/>
          <w:color w:val="auto"/>
        </w:rPr>
      </w:pPr>
      <w:r>
        <w:rPr>
          <w:rFonts w:ascii="Arial" w:cs="Arial" w:eastAsia="Arial" w:hAnsi="Arial"/>
          <w:sz w:val="20"/>
          <w:szCs w:val="20"/>
          <w:u w:val="single" w:color="auto"/>
          <w:color w:val="auto"/>
        </w:rPr>
        <w:t>Amendments to Credit Agreement</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firstLine="1952"/>
        <w:spacing w:after="0" w:line="260" w:lineRule="auto"/>
        <w:tabs>
          <w:tab w:leader="none" w:pos="2727" w:val="left"/>
        </w:tabs>
        <w:numPr>
          <w:ilvl w:val="1"/>
          <w:numId w:val="3"/>
        </w:numPr>
        <w:rPr>
          <w:rFonts w:ascii="Arial" w:cs="Arial" w:eastAsia="Arial" w:hAnsi="Arial"/>
          <w:sz w:val="20"/>
          <w:szCs w:val="20"/>
          <w:color w:val="auto"/>
        </w:rPr>
      </w:pPr>
      <w:r>
        <w:rPr>
          <w:rFonts w:ascii="Arial" w:cs="Arial" w:eastAsia="Arial" w:hAnsi="Arial"/>
          <w:sz w:val="20"/>
          <w:szCs w:val="20"/>
          <w:u w:val="single" w:color="auto"/>
          <w:color w:val="auto"/>
        </w:rPr>
        <w:t>Amendment to Section 1.01</w:t>
      </w:r>
      <w:r>
        <w:rPr>
          <w:rFonts w:ascii="Arial" w:cs="Arial" w:eastAsia="Arial" w:hAnsi="Arial"/>
          <w:sz w:val="20"/>
          <w:szCs w:val="20"/>
          <w:color w:val="auto"/>
        </w:rPr>
        <w:t xml:space="preserve"> </w:t>
      </w:r>
      <w:r>
        <w:rPr>
          <w:rFonts w:ascii="Arial" w:cs="Arial" w:eastAsia="Arial" w:hAnsi="Arial"/>
          <w:sz w:val="20"/>
          <w:szCs w:val="20"/>
          <w:u w:val="single" w:color="auto"/>
          <w:color w:val="auto"/>
        </w:rPr>
        <w:t>–</w:t>
      </w:r>
      <w:r>
        <w:rPr>
          <w:rFonts w:ascii="Arial" w:cs="Arial" w:eastAsia="Arial" w:hAnsi="Arial"/>
          <w:sz w:val="20"/>
          <w:szCs w:val="20"/>
          <w:color w:val="auto"/>
        </w:rPr>
        <w:t xml:space="preserve"> </w:t>
      </w:r>
      <w:r>
        <w:rPr>
          <w:rFonts w:ascii="Arial" w:cs="Arial" w:eastAsia="Arial" w:hAnsi="Arial"/>
          <w:sz w:val="20"/>
          <w:szCs w:val="20"/>
          <w:u w:val="single" w:color="auto"/>
          <w:color w:val="auto"/>
        </w:rPr>
        <w:t>New Definitions</w:t>
      </w:r>
      <w:r>
        <w:rPr>
          <w:rFonts w:ascii="Arial" w:cs="Arial" w:eastAsia="Arial" w:hAnsi="Arial"/>
          <w:sz w:val="20"/>
          <w:szCs w:val="20"/>
          <w:color w:val="auto"/>
        </w:rPr>
        <w:t>. The following new definitions are hereby added to Section 1.01 of the Credit Agreement in the appropriate alphabetical order:</w:t>
      </w:r>
    </w:p>
    <w:p>
      <w:pPr>
        <w:spacing w:after="0" w:line="163" w:lineRule="exact"/>
        <w:rPr>
          <w:sz w:val="20"/>
          <w:szCs w:val="20"/>
          <w:color w:val="auto"/>
        </w:rPr>
      </w:pPr>
    </w:p>
    <w:p>
      <w:pPr>
        <w:jc w:val="both"/>
        <w:ind w:left="1300" w:firstLine="1296"/>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ISDA Definitions</w:t>
      </w:r>
      <w:r>
        <w:rPr>
          <w:rFonts w:ascii="Arial" w:cs="Arial" w:eastAsia="Arial" w:hAnsi="Arial"/>
          <w:sz w:val="19"/>
          <w:szCs w:val="19"/>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6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 Replacement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3.03(a)</w:t>
      </w:r>
      <w:r>
        <w:rPr>
          <w:rFonts w:ascii="Arial" w:cs="Arial" w:eastAsia="Arial" w:hAnsi="Arial"/>
          <w:sz w:val="20"/>
          <w:szCs w:val="20"/>
          <w:color w:val="auto"/>
        </w:rPr>
        <w:t>.</w:t>
      </w:r>
    </w:p>
    <w:p>
      <w:pPr>
        <w:spacing w:after="0" w:line="189"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 Successor Rate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3.03(a)</w:t>
      </w:r>
      <w:r>
        <w:rPr>
          <w:rFonts w:ascii="Arial" w:cs="Arial" w:eastAsia="Arial" w:hAnsi="Arial"/>
          <w:sz w:val="20"/>
          <w:szCs w:val="20"/>
          <w:color w:val="auto"/>
        </w:rPr>
        <w:t>.</w:t>
      </w:r>
    </w:p>
    <w:p>
      <w:pPr>
        <w:spacing w:after="0" w:line="202" w:lineRule="exact"/>
        <w:rPr>
          <w:sz w:val="20"/>
          <w:szCs w:val="20"/>
          <w:color w:val="auto"/>
        </w:rPr>
      </w:pPr>
    </w:p>
    <w:p>
      <w:pPr>
        <w:jc w:val="both"/>
        <w:ind w:left="1960"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Successor Rate Conforming Changes</w:t>
      </w:r>
      <w:r>
        <w:rPr>
          <w:rFonts w:ascii="Arial" w:cs="Arial" w:eastAsia="Arial" w:hAnsi="Arial"/>
          <w:sz w:val="18"/>
          <w:szCs w:val="18"/>
          <w:color w:val="auto"/>
        </w:rPr>
        <w:t>” means, with respect to any proposed LIBOR Successor Rate, any conforming changes to the definition of Base Rate, Interest Period, timing and frequency of determining rates and making payments of interest and other technical, administrative or operational matters (including, for the avoidance of doubt, the definition of Business Day, timing of borrowing requests or prepayment, conversion or continuation notices and length of lookback periods) as may be appropriate, in the discretion of the Administrative Agent, to reflect the adoption and implementation of such LIBOR Successor Rate and to permit the administration thereof by the Administrative Agent in a manner substantially consistent with market practice (or, if the Administrative Agent determines that adoption of any portion of such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4" w:name="page5"/>
    <w:bookmarkEnd w:id="4"/>
    <w:p>
      <w:pPr>
        <w:jc w:val="both"/>
        <w:ind w:left="1500"/>
        <w:spacing w:after="0" w:line="246" w:lineRule="auto"/>
        <w:rPr>
          <w:sz w:val="20"/>
          <w:szCs w:val="20"/>
          <w:color w:val="auto"/>
        </w:rPr>
      </w:pPr>
      <w:r>
        <w:rPr>
          <w:rFonts w:ascii="Arial" w:cs="Arial" w:eastAsia="Arial" w:hAnsi="Arial"/>
          <w:sz w:val="20"/>
          <w:szCs w:val="20"/>
          <w:color w:val="auto"/>
        </w:rPr>
        <w:t>practice is not administratively feasible or that no market practice for the administration of such LIBOR Successor Rate exists, in such other manner of administration as the Administrative Agent determines is reasonably necessary, in connection with the administration of this Agreement and any other Loan Document).</w:t>
      </w:r>
    </w:p>
    <w:p>
      <w:pPr>
        <w:spacing w:after="0" w:line="179"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Pre-Adjustment Successor Rate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3.03(a)</w:t>
      </w:r>
      <w:r>
        <w:rPr>
          <w:rFonts w:ascii="Arial" w:cs="Arial" w:eastAsia="Arial" w:hAnsi="Arial"/>
          <w:sz w:val="20"/>
          <w:szCs w:val="20"/>
          <w:color w:val="auto"/>
        </w:rPr>
        <w:t>.</w:t>
      </w:r>
    </w:p>
    <w:p>
      <w:pPr>
        <w:spacing w:after="0" w:line="189" w:lineRule="exact"/>
        <w:rPr>
          <w:sz w:val="20"/>
          <w:szCs w:val="20"/>
          <w:color w:val="auto"/>
        </w:rPr>
      </w:pPr>
    </w:p>
    <w:p>
      <w:pPr>
        <w:jc w:val="both"/>
        <w:ind w:left="840" w:right="2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Adjustment</w:t>
      </w:r>
      <w:r>
        <w:rPr>
          <w:rFonts w:ascii="Arial" w:cs="Arial" w:eastAsia="Arial" w:hAnsi="Arial"/>
          <w:sz w:val="20"/>
          <w:szCs w:val="20"/>
          <w:color w:val="auto"/>
        </w:rPr>
        <w:t>” means, in determining any LIBOR Successor Rate, the first relevant available alternative set forth in the order below that can be determined by the Administrative Agent applicable to such LIBOR Successor Rate:</w:t>
      </w:r>
    </w:p>
    <w:p>
      <w:pPr>
        <w:spacing w:after="0" w:line="172" w:lineRule="exact"/>
        <w:rPr>
          <w:sz w:val="20"/>
          <w:szCs w:val="20"/>
          <w:color w:val="auto"/>
        </w:rPr>
      </w:pPr>
    </w:p>
    <w:p>
      <w:pPr>
        <w:jc w:val="both"/>
        <w:ind w:left="1500" w:firstLine="640"/>
        <w:spacing w:after="0" w:line="270" w:lineRule="auto"/>
        <w:tabs>
          <w:tab w:leader="none" w:pos="3093"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spread adjustment, or method for calculating or determining such spread adjustment, that has been selected or recommended by the Relevant Governmental Body for the relevant Pre-Adjustment Successor Rate (taking into account the interest period, interest payment date or payment period for interest calculated and/or tenor thereto) and which adjustment or method</w:t>
      </w:r>
    </w:p>
    <w:p>
      <w:pPr>
        <w:spacing w:after="0" w:line="2" w:lineRule="exact"/>
        <w:rPr>
          <w:rFonts w:ascii="Arial" w:cs="Arial" w:eastAsia="Arial" w:hAnsi="Arial"/>
          <w:sz w:val="18"/>
          <w:szCs w:val="18"/>
          <w:color w:val="auto"/>
        </w:rPr>
      </w:pPr>
    </w:p>
    <w:p>
      <w:pPr>
        <w:jc w:val="both"/>
        <w:ind w:left="1500" w:hanging="8"/>
        <w:spacing w:after="0" w:line="241" w:lineRule="auto"/>
        <w:tabs>
          <w:tab w:leader="none" w:pos="1780" w:val="left"/>
        </w:tabs>
        <w:numPr>
          <w:ilvl w:val="0"/>
          <w:numId w:val="5"/>
        </w:numPr>
        <w:rPr>
          <w:rFonts w:ascii="Arial" w:cs="Arial" w:eastAsia="Arial" w:hAnsi="Arial"/>
          <w:sz w:val="20"/>
          <w:szCs w:val="20"/>
          <w:color w:val="auto"/>
        </w:rPr>
      </w:pPr>
      <w:r>
        <w:rPr>
          <w:rFonts w:ascii="Arial" w:cs="Arial" w:eastAsia="Arial" w:hAnsi="Arial"/>
          <w:sz w:val="20"/>
          <w:szCs w:val="20"/>
          <w:color w:val="auto"/>
        </w:rPr>
        <w:t>is published on an information service as selected by the Administrative Agent from time to time in its reasonable discretion or (y) solely with respect to Term SOFR, if not currently published, which was previously so recommended for Term SOFR and published on an information service acceptable to the Administrative Agent; or</w:t>
      </w:r>
    </w:p>
    <w:p>
      <w:pPr>
        <w:spacing w:after="0" w:line="180" w:lineRule="exact"/>
        <w:rPr>
          <w:rFonts w:ascii="Arial" w:cs="Arial" w:eastAsia="Arial" w:hAnsi="Arial"/>
          <w:sz w:val="20"/>
          <w:szCs w:val="20"/>
          <w:color w:val="auto"/>
        </w:rPr>
      </w:pPr>
    </w:p>
    <w:p>
      <w:pPr>
        <w:jc w:val="both"/>
        <w:ind w:left="1500" w:firstLine="640"/>
        <w:spacing w:after="0" w:line="342" w:lineRule="auto"/>
        <w:tabs>
          <w:tab w:leader="none" w:pos="2983" w:val="left"/>
        </w:tabs>
        <w:numPr>
          <w:ilvl w:val="1"/>
          <w:numId w:val="5"/>
        </w:numPr>
        <w:rPr>
          <w:rFonts w:ascii="Arial" w:cs="Arial" w:eastAsia="Arial" w:hAnsi="Arial"/>
          <w:sz w:val="16"/>
          <w:szCs w:val="16"/>
          <w:color w:val="auto"/>
        </w:rPr>
      </w:pPr>
      <w:r>
        <w:rPr>
          <w:rFonts w:ascii="Arial" w:cs="Arial" w:eastAsia="Arial" w:hAnsi="Arial"/>
          <w:sz w:val="16"/>
          <w:szCs w:val="16"/>
          <w:color w:val="auto"/>
        </w:rPr>
        <w:t>the spread adjustment that would apply (or has previously been applied) to the fallback rate for a derivative transaction referencing the ISDA Definitions (taking into account the interest period, interest payment date or payment period for interest calculated and/or tenor thereto).</w:t>
      </w:r>
    </w:p>
    <w:p>
      <w:pPr>
        <w:spacing w:after="0" w:line="91" w:lineRule="exact"/>
        <w:rPr>
          <w:sz w:val="20"/>
          <w:szCs w:val="20"/>
          <w:color w:val="auto"/>
        </w:rPr>
      </w:pPr>
    </w:p>
    <w:p>
      <w:pPr>
        <w:jc w:val="both"/>
        <w:ind w:left="84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Relevant Governmental Body</w:t>
      </w:r>
      <w:r>
        <w:rPr>
          <w:rFonts w:ascii="Arial" w:cs="Arial" w:eastAsia="Arial" w:hAnsi="Arial"/>
          <w:sz w:val="20"/>
          <w:szCs w:val="20"/>
          <w:color w:val="auto"/>
        </w:rPr>
        <w:t>” means the Board of Governors of the Federal Reserve System and/or the Federal Reserve Bank of New York, or a committee officially endorsed or convened by the Board of Governors of the Federal Reserve System and/or the Federal Reserve Bank of New York, or any successor thereto.</w:t>
      </w:r>
    </w:p>
    <w:p>
      <w:pPr>
        <w:spacing w:after="0" w:line="178"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Scheduled Unavailability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3.03(a)</w:t>
      </w:r>
      <w:r>
        <w:rPr>
          <w:rFonts w:ascii="Arial" w:cs="Arial" w:eastAsia="Arial" w:hAnsi="Arial"/>
          <w:sz w:val="20"/>
          <w:szCs w:val="20"/>
          <w:color w:val="auto"/>
        </w:rPr>
        <w:t>.</w:t>
      </w:r>
    </w:p>
    <w:p>
      <w:pPr>
        <w:spacing w:after="0" w:line="202" w:lineRule="exact"/>
        <w:rPr>
          <w:sz w:val="20"/>
          <w:szCs w:val="20"/>
          <w:color w:val="auto"/>
        </w:rPr>
      </w:pPr>
    </w:p>
    <w:p>
      <w:pPr>
        <w:jc w:val="both"/>
        <w:ind w:left="840"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w:t>
      </w:r>
      <w:r>
        <w:rPr>
          <w:rFonts w:ascii="Arial" w:cs="Arial" w:eastAsia="Arial" w:hAnsi="Arial"/>
          <w:sz w:val="18"/>
          <w:szCs w:val="18"/>
          <w:color w:val="auto"/>
        </w:rPr>
        <w:t>” with respect to any Business Day means the secured overnight financing rate published for such day by the Federal Reserve Bank of New York, as the administrator of the benchmark (or a successor administrator) on the Federal Reserve Bank of New York’s website (or any successor source) at approximately 8:00 a.m. (New York City time) on the immediately succeeding Business Day and, in each case, that has been selected or recommended by the Relevant Governmental Body.</w:t>
      </w:r>
    </w:p>
    <w:p>
      <w:pPr>
        <w:spacing w:after="0" w:line="138" w:lineRule="exact"/>
        <w:rPr>
          <w:sz w:val="20"/>
          <w:szCs w:val="20"/>
          <w:color w:val="auto"/>
        </w:rPr>
      </w:pPr>
    </w:p>
    <w:p>
      <w:pPr>
        <w:jc w:val="both"/>
        <w:ind w:left="84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w:t>
      </w:r>
      <w:r>
        <w:rPr>
          <w:rFonts w:ascii="Arial" w:cs="Arial" w:eastAsia="Arial" w:hAnsi="Arial"/>
          <w:sz w:val="20"/>
          <w:szCs w:val="20"/>
          <w:color w:val="auto"/>
        </w:rPr>
        <w:t>” means the forward-looking term rate for any period that is approximately (as determined by the Administrative Agent) as long as any of the Interest Period options set forth in the definition of “Interest Period” and that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2" w:right="999" w:bottom="1440" w:gutter="0" w:footer="0" w:header="0"/>
        </w:sectPr>
      </w:pPr>
    </w:p>
    <w:bookmarkStart w:id="5" w:name="page6"/>
    <w:bookmarkEnd w:id="5"/>
    <w:p>
      <w:pPr>
        <w:jc w:val="both"/>
        <w:ind w:left="1280"/>
        <w:spacing w:after="0" w:line="250" w:lineRule="auto"/>
        <w:rPr>
          <w:sz w:val="20"/>
          <w:szCs w:val="20"/>
          <w:color w:val="auto"/>
        </w:rPr>
      </w:pPr>
      <w:r>
        <w:rPr>
          <w:rFonts w:ascii="Arial" w:cs="Arial" w:eastAsia="Arial" w:hAnsi="Arial"/>
          <w:sz w:val="20"/>
          <w:szCs w:val="20"/>
          <w:color w:val="auto"/>
        </w:rPr>
        <w:t>based on SOFR and that has been selected or recommended by the Relevant Governmental Body, in each case as published on an information service as selected by the Administrative Agent from time to time in its reasonable discretion.</w:t>
      </w:r>
    </w:p>
    <w:p>
      <w:pPr>
        <w:spacing w:after="0" w:line="173"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Third Amendment Effective Date</w:t>
      </w:r>
      <w:r>
        <w:rPr>
          <w:rFonts w:ascii="Arial" w:cs="Arial" w:eastAsia="Arial" w:hAnsi="Arial"/>
          <w:sz w:val="20"/>
          <w:szCs w:val="20"/>
          <w:color w:val="auto"/>
        </w:rPr>
        <w:t>” means January 29, 2021.</w:t>
      </w:r>
    </w:p>
    <w:p>
      <w:pPr>
        <w:spacing w:after="0" w:line="189" w:lineRule="exact"/>
        <w:rPr>
          <w:sz w:val="20"/>
          <w:szCs w:val="20"/>
          <w:color w:val="auto"/>
        </w:rPr>
      </w:pPr>
    </w:p>
    <w:p>
      <w:pPr>
        <w:jc w:val="both"/>
        <w:ind w:left="-20" w:firstLine="1304"/>
        <w:spacing w:after="0" w:line="263" w:lineRule="auto"/>
        <w:tabs>
          <w:tab w:leader="none" w:pos="2137" w:val="left"/>
        </w:tabs>
        <w:numPr>
          <w:ilvl w:val="0"/>
          <w:numId w:val="6"/>
        </w:numPr>
        <w:rPr>
          <w:rFonts w:ascii="Arial" w:cs="Arial" w:eastAsia="Arial" w:hAnsi="Arial"/>
          <w:sz w:val="19"/>
          <w:szCs w:val="19"/>
          <w:color w:val="auto"/>
        </w:rPr>
      </w:pPr>
      <w:r>
        <w:rPr>
          <w:rFonts w:ascii="Arial" w:cs="Arial" w:eastAsia="Arial" w:hAnsi="Arial"/>
          <w:sz w:val="19"/>
          <w:szCs w:val="19"/>
          <w:u w:val="single" w:color="auto"/>
          <w:color w:val="auto"/>
        </w:rPr>
        <w:t>Amendment to Section 1.01</w:t>
      </w:r>
      <w:r>
        <w:rPr>
          <w:rFonts w:ascii="Arial" w:cs="Arial" w:eastAsia="Arial" w:hAnsi="Arial"/>
          <w:sz w:val="19"/>
          <w:szCs w:val="19"/>
          <w:color w:val="auto"/>
        </w:rPr>
        <w:t xml:space="preserve"> </w:t>
      </w:r>
      <w:r>
        <w:rPr>
          <w:rFonts w:ascii="Arial" w:cs="Arial" w:eastAsia="Arial" w:hAnsi="Arial"/>
          <w:sz w:val="19"/>
          <w:szCs w:val="19"/>
          <w:u w:val="single" w:color="auto"/>
          <w:color w:val="auto"/>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Amended Definition</w:t>
      </w:r>
      <w:r>
        <w:rPr>
          <w:rFonts w:ascii="Arial" w:cs="Arial" w:eastAsia="Arial" w:hAnsi="Arial"/>
          <w:sz w:val="19"/>
          <w:szCs w:val="19"/>
          <w:color w:val="auto"/>
        </w:rPr>
        <w:t xml:space="preserve">. Effective upon the delivery of the financial statements and corresponding Compliance Certificate for the fiscal quarter ending April 30, 2021 as required pursuant to, </w:t>
      </w:r>
      <w:r>
        <w:rPr>
          <w:rFonts w:ascii="Arial" w:cs="Arial" w:eastAsia="Arial" w:hAnsi="Arial"/>
          <w:sz w:val="19"/>
          <w:szCs w:val="19"/>
          <w:u w:val="single" w:color="auto"/>
          <w:color w:val="auto"/>
        </w:rPr>
        <w:t>Section 6.01(b)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6.02(b)</w:t>
      </w:r>
      <w:r>
        <w:rPr>
          <w:rFonts w:ascii="Arial" w:cs="Arial" w:eastAsia="Arial" w:hAnsi="Arial"/>
          <w:sz w:val="19"/>
          <w:szCs w:val="19"/>
          <w:color w:val="auto"/>
        </w:rPr>
        <w:t xml:space="preserve"> of the Credit Agreement, the definition of “Applicable Rate” as set forth in Section 1.01 of the Credit Agreement is hereby amended and restated in its entirety as follows:</w:t>
      </w:r>
    </w:p>
    <w:p>
      <w:pPr>
        <w:spacing w:after="0" w:line="163"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Rate</w:t>
      </w:r>
      <w:r>
        <w:rPr>
          <w:rFonts w:ascii="Arial" w:cs="Arial" w:eastAsia="Arial" w:hAnsi="Arial"/>
          <w:sz w:val="20"/>
          <w:szCs w:val="20"/>
          <w:color w:val="auto"/>
        </w:rPr>
        <w:t>” means, for any day,</w:t>
      </w:r>
    </w:p>
    <w:p>
      <w:pPr>
        <w:spacing w:after="0" w:line="202" w:lineRule="exact"/>
        <w:rPr>
          <w:sz w:val="20"/>
          <w:szCs w:val="20"/>
          <w:color w:val="auto"/>
        </w:rPr>
      </w:pPr>
    </w:p>
    <w:p>
      <w:pPr>
        <w:jc w:val="both"/>
        <w:ind w:left="1280" w:firstLine="652"/>
        <w:spacing w:after="0" w:line="246" w:lineRule="auto"/>
        <w:tabs>
          <w:tab w:leader="none" w:pos="2165"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with respect to Credit Extensions based on Commitments provided by Patronage Lenders, the per annum rate of (x) 1.75% with respect to Eurodollar Rate Loans, LIBOR Daily Floating Rate Loans and Letter of Credit Fee, (y) 0.75% with respect to Base Rate Loans and (z) 0.15% with respect to the commitment fee provided for in </w:t>
      </w:r>
      <w:r>
        <w:rPr>
          <w:rFonts w:ascii="Arial" w:cs="Arial" w:eastAsia="Arial" w:hAnsi="Arial"/>
          <w:sz w:val="20"/>
          <w:szCs w:val="20"/>
          <w:u w:val="single" w:color="auto"/>
          <w:color w:val="auto"/>
        </w:rPr>
        <w:t>Section 2.09(a)</w:t>
      </w:r>
      <w:r>
        <w:rPr>
          <w:rFonts w:ascii="Arial" w:cs="Arial" w:eastAsia="Arial" w:hAnsi="Arial"/>
          <w:sz w:val="20"/>
          <w:szCs w:val="20"/>
          <w:color w:val="auto"/>
        </w:rPr>
        <w:t>; and</w:t>
      </w:r>
    </w:p>
    <w:p>
      <w:pPr>
        <w:spacing w:after="0" w:line="164" w:lineRule="exact"/>
        <w:rPr>
          <w:rFonts w:ascii="Arial" w:cs="Arial" w:eastAsia="Arial" w:hAnsi="Arial"/>
          <w:sz w:val="20"/>
          <w:szCs w:val="20"/>
          <w:color w:val="auto"/>
        </w:rPr>
      </w:pPr>
    </w:p>
    <w:p>
      <w:pPr>
        <w:jc w:val="both"/>
        <w:ind w:left="1280" w:firstLine="652"/>
        <w:spacing w:after="0" w:line="255" w:lineRule="auto"/>
        <w:tabs>
          <w:tab w:leader="none" w:pos="2224" w:val="left"/>
        </w:tabs>
        <w:numPr>
          <w:ilvl w:val="0"/>
          <w:numId w:val="7"/>
        </w:numPr>
        <w:rPr>
          <w:rFonts w:ascii="Arial" w:cs="Arial" w:eastAsia="Arial" w:hAnsi="Arial"/>
          <w:sz w:val="19"/>
          <w:szCs w:val="19"/>
          <w:color w:val="auto"/>
        </w:rPr>
      </w:pPr>
      <w:r>
        <w:rPr>
          <w:rFonts w:ascii="Arial" w:cs="Arial" w:eastAsia="Arial" w:hAnsi="Arial"/>
          <w:sz w:val="19"/>
          <w:szCs w:val="19"/>
          <w:color w:val="auto"/>
        </w:rPr>
        <w:t xml:space="preserve">with respect to Credit Extensions based on Commitments from Non-Patronage Lenders, the rate per annum set forth below opposite the applicable Level then in effect (based on the Consolidated Leverage Ratio), it being understood that the Applicable Rate (related to Credit Extensions based on Commitments from Non-Patronage Lenders for (a) Revolving Loans that are Base Rate Loans shall be the percentage set forth under the column “Base Rate”, (b) Revolving Loans that are Eurodollar Rate Loans and LIBOR Daily Floating Rate Loans shall be the percentage set forth under the column “Eurodollar Rate, LIBOR Daily Floating Rate Loans &amp; Letter of Credit Fee”, (c) the Letter of Credit Fee shall be the percentage set forth under the column “Eurodollar Rate, LIBOR Daily Floating Rate Loans &amp; Letter of Credit Fee”, and (d) the commitment fee provided for in </w:t>
      </w:r>
      <w:r>
        <w:rPr>
          <w:rFonts w:ascii="Arial" w:cs="Arial" w:eastAsia="Arial" w:hAnsi="Arial"/>
          <w:sz w:val="19"/>
          <w:szCs w:val="19"/>
          <w:u w:val="single" w:color="auto"/>
          <w:color w:val="auto"/>
        </w:rPr>
        <w:t>Section 2.09(a)</w:t>
      </w:r>
      <w:r>
        <w:rPr>
          <w:rFonts w:ascii="Arial" w:cs="Arial" w:eastAsia="Arial" w:hAnsi="Arial"/>
          <w:sz w:val="19"/>
          <w:szCs w:val="19"/>
          <w:color w:val="auto"/>
        </w:rPr>
        <w:t xml:space="preserve"> shall be the percentage set forth under the column “Commitment Fee”:</w:t>
      </w:r>
    </w:p>
    <w:p>
      <w:pPr>
        <w:spacing w:after="0" w:line="200" w:lineRule="exact"/>
        <w:rPr>
          <w:sz w:val="20"/>
          <w:szCs w:val="20"/>
          <w:color w:val="auto"/>
        </w:rPr>
      </w:pPr>
    </w:p>
    <w:p>
      <w:pPr>
        <w:spacing w:after="0" w:line="202" w:lineRule="exact"/>
        <w:rPr>
          <w:sz w:val="20"/>
          <w:szCs w:val="20"/>
          <w:color w:val="auto"/>
        </w:rPr>
      </w:pPr>
    </w:p>
    <w:tbl>
      <w:tblPr>
        <w:tblLayout w:type="fixed"/>
        <w:tblInd w:w="990" w:type="dxa"/>
        <w:tblCellMar>
          <w:top w:w="0" w:type="dxa"/>
          <w:left w:w="0" w:type="dxa"/>
          <w:bottom w:w="0" w:type="dxa"/>
          <w:right w:w="0" w:type="dxa"/>
        </w:tblCellMar>
      </w:tblPr>
      <w:tr>
        <w:trPr>
          <w:trHeight w:val="203"/>
        </w:trPr>
        <w:tc>
          <w:tcPr>
            <w:tcW w:w="540" w:type="dxa"/>
            <w:vAlign w:val="bottom"/>
            <w:tcBorders>
              <w:top w:val="single" w:sz="8" w:color="auto"/>
              <w:left w:val="single" w:sz="8" w:color="auto"/>
            </w:tcBorders>
          </w:tcPr>
          <w:p>
            <w:pPr>
              <w:spacing w:after="0"/>
              <w:rPr>
                <w:sz w:val="17"/>
                <w:szCs w:val="17"/>
                <w:color w:val="auto"/>
              </w:rPr>
            </w:pPr>
          </w:p>
        </w:tc>
        <w:tc>
          <w:tcPr>
            <w:tcW w:w="1020" w:type="dxa"/>
            <w:vAlign w:val="bottom"/>
            <w:tcBorders>
              <w:top w:val="single" w:sz="8" w:color="auto"/>
              <w:right w:val="single" w:sz="8" w:color="auto"/>
            </w:tcBorders>
            <w:gridSpan w:val="2"/>
          </w:tcPr>
          <w:p>
            <w:pPr>
              <w:jc w:val="center"/>
              <w:ind w:right="560"/>
              <w:spacing w:after="0" w:line="203" w:lineRule="exact"/>
              <w:rPr>
                <w:sz w:val="20"/>
                <w:szCs w:val="20"/>
                <w:color w:val="auto"/>
              </w:rPr>
            </w:pPr>
            <w:r>
              <w:rPr>
                <w:rFonts w:ascii="Arial" w:cs="Arial" w:eastAsia="Arial" w:hAnsi="Arial"/>
                <w:sz w:val="20"/>
                <w:szCs w:val="20"/>
                <w:b w:val="1"/>
                <w:bCs w:val="1"/>
                <w:color w:val="auto"/>
                <w:w w:val="89"/>
              </w:rPr>
              <w:t>Level</w:t>
            </w:r>
          </w:p>
        </w:tc>
        <w:tc>
          <w:tcPr>
            <w:tcW w:w="180" w:type="dxa"/>
            <w:vAlign w:val="bottom"/>
            <w:tcBorders>
              <w:top w:val="single" w:sz="8" w:color="auto"/>
            </w:tcBorders>
          </w:tcPr>
          <w:p>
            <w:pPr>
              <w:spacing w:after="0"/>
              <w:rPr>
                <w:sz w:val="17"/>
                <w:szCs w:val="17"/>
                <w:color w:val="auto"/>
              </w:rPr>
            </w:pPr>
          </w:p>
        </w:tc>
        <w:tc>
          <w:tcPr>
            <w:tcW w:w="1520" w:type="dxa"/>
            <w:vAlign w:val="bottom"/>
            <w:tcBorders>
              <w:top w:val="single" w:sz="8" w:color="auto"/>
              <w:right w:val="single" w:sz="8" w:color="auto"/>
            </w:tcBorders>
            <w:gridSpan w:val="6"/>
          </w:tcPr>
          <w:p>
            <w:pPr>
              <w:jc w:val="center"/>
              <w:ind w:right="220"/>
              <w:spacing w:after="0" w:line="203" w:lineRule="exact"/>
              <w:rPr>
                <w:sz w:val="20"/>
                <w:szCs w:val="20"/>
                <w:color w:val="auto"/>
              </w:rPr>
            </w:pPr>
            <w:r>
              <w:rPr>
                <w:rFonts w:ascii="Arial" w:cs="Arial" w:eastAsia="Arial" w:hAnsi="Arial"/>
                <w:sz w:val="20"/>
                <w:szCs w:val="20"/>
                <w:b w:val="1"/>
                <w:bCs w:val="1"/>
                <w:color w:val="auto"/>
                <w:w w:val="86"/>
              </w:rPr>
              <w:t>Consolidated</w:t>
            </w: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760" w:type="dxa"/>
            <w:vAlign w:val="bottom"/>
            <w:tcBorders>
              <w:top w:val="single" w:sz="8" w:color="auto"/>
              <w:right w:val="single" w:sz="8" w:color="auto"/>
            </w:tcBorders>
            <w:gridSpan w:val="8"/>
          </w:tcPr>
          <w:p>
            <w:pPr>
              <w:jc w:val="center"/>
              <w:ind w:right="340"/>
              <w:spacing w:after="0" w:line="203" w:lineRule="exact"/>
              <w:rPr>
                <w:sz w:val="20"/>
                <w:szCs w:val="20"/>
                <w:color w:val="auto"/>
              </w:rPr>
            </w:pPr>
            <w:r>
              <w:rPr>
                <w:rFonts w:ascii="Arial" w:cs="Arial" w:eastAsia="Arial" w:hAnsi="Arial"/>
                <w:sz w:val="20"/>
                <w:szCs w:val="20"/>
                <w:b w:val="1"/>
                <w:bCs w:val="1"/>
                <w:color w:val="auto"/>
                <w:w w:val="91"/>
              </w:rPr>
              <w:t>Eurodollar Rate,</w:t>
            </w: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right w:val="single" w:sz="8" w:color="auto"/>
            </w:tcBorders>
            <w:gridSpan w:val="2"/>
          </w:tcPr>
          <w:p>
            <w:pPr>
              <w:jc w:val="center"/>
              <w:ind w:right="120"/>
              <w:spacing w:after="0" w:line="203" w:lineRule="exact"/>
              <w:rPr>
                <w:sz w:val="20"/>
                <w:szCs w:val="20"/>
                <w:color w:val="auto"/>
              </w:rPr>
            </w:pPr>
            <w:r>
              <w:rPr>
                <w:rFonts w:ascii="Arial" w:cs="Arial" w:eastAsia="Arial" w:hAnsi="Arial"/>
                <w:sz w:val="20"/>
                <w:szCs w:val="20"/>
                <w:b w:val="1"/>
                <w:bCs w:val="1"/>
                <w:color w:val="auto"/>
                <w:w w:val="86"/>
              </w:rPr>
              <w:t>Base Rate</w:t>
            </w:r>
          </w:p>
        </w:tc>
        <w:tc>
          <w:tcPr>
            <w:tcW w:w="200" w:type="dxa"/>
            <w:vAlign w:val="bottom"/>
            <w:tcBorders>
              <w:top w:val="single" w:sz="8" w:color="auto"/>
            </w:tcBorders>
          </w:tcPr>
          <w:p>
            <w:pPr>
              <w:spacing w:after="0"/>
              <w:rPr>
                <w:sz w:val="17"/>
                <w:szCs w:val="17"/>
                <w:color w:val="auto"/>
              </w:rPr>
            </w:pPr>
          </w:p>
        </w:tc>
        <w:tc>
          <w:tcPr>
            <w:tcW w:w="1340" w:type="dxa"/>
            <w:vAlign w:val="bottom"/>
            <w:tcBorders>
              <w:top w:val="single" w:sz="8" w:color="auto"/>
              <w:right w:val="single" w:sz="8" w:color="auto"/>
            </w:tcBorders>
            <w:gridSpan w:val="4"/>
          </w:tcPr>
          <w:p>
            <w:pPr>
              <w:jc w:val="center"/>
              <w:ind w:right="220"/>
              <w:spacing w:after="0" w:line="203" w:lineRule="exact"/>
              <w:rPr>
                <w:sz w:val="20"/>
                <w:szCs w:val="20"/>
                <w:color w:val="auto"/>
              </w:rPr>
            </w:pPr>
            <w:r>
              <w:rPr>
                <w:rFonts w:ascii="Arial" w:cs="Arial" w:eastAsia="Arial" w:hAnsi="Arial"/>
                <w:sz w:val="20"/>
                <w:szCs w:val="20"/>
                <w:b w:val="1"/>
                <w:bCs w:val="1"/>
                <w:color w:val="auto"/>
                <w:w w:val="91"/>
              </w:rPr>
              <w:t>Commitment</w:t>
            </w:r>
          </w:p>
        </w:tc>
      </w:tr>
      <w:tr>
        <w:trPr>
          <w:trHeight w:val="20"/>
        </w:trPr>
        <w:tc>
          <w:tcPr>
            <w:tcW w:w="540" w:type="dxa"/>
            <w:vAlign w:val="bottom"/>
            <w:tcBorders>
              <w:lef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r>
      <w:tr>
        <w:trPr>
          <w:trHeight w:val="210"/>
        </w:trPr>
        <w:tc>
          <w:tcPr>
            <w:tcW w:w="54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5"/>
          </w:tcPr>
          <w:p>
            <w:pPr>
              <w:jc w:val="center"/>
              <w:spacing w:after="0" w:line="209" w:lineRule="exact"/>
              <w:rPr>
                <w:sz w:val="20"/>
                <w:szCs w:val="20"/>
                <w:color w:val="auto"/>
              </w:rPr>
            </w:pPr>
            <w:r>
              <w:rPr>
                <w:rFonts w:ascii="Arial" w:cs="Arial" w:eastAsia="Arial" w:hAnsi="Arial"/>
                <w:sz w:val="20"/>
                <w:szCs w:val="20"/>
                <w:b w:val="1"/>
                <w:bCs w:val="1"/>
                <w:color w:val="auto"/>
                <w:w w:val="90"/>
              </w:rPr>
              <w:t>Leverage Ratio</w:t>
            </w:r>
          </w:p>
        </w:tc>
        <w:tc>
          <w:tcPr>
            <w:tcW w:w="2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Borders>
              <w:right w:val="single" w:sz="8" w:color="auto"/>
            </w:tcBorders>
            <w:gridSpan w:val="7"/>
          </w:tcPr>
          <w:p>
            <w:pPr>
              <w:jc w:val="center"/>
              <w:ind w:right="480"/>
              <w:spacing w:after="0" w:line="209" w:lineRule="exact"/>
              <w:rPr>
                <w:sz w:val="20"/>
                <w:szCs w:val="20"/>
                <w:color w:val="auto"/>
              </w:rPr>
            </w:pPr>
            <w:r>
              <w:rPr>
                <w:rFonts w:ascii="Arial" w:cs="Arial" w:eastAsia="Arial" w:hAnsi="Arial"/>
                <w:sz w:val="20"/>
                <w:szCs w:val="20"/>
                <w:b w:val="1"/>
                <w:bCs w:val="1"/>
                <w:color w:val="auto"/>
                <w:w w:val="98"/>
              </w:rPr>
              <w:t>LIBOR Daily</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Borders>
              <w:right w:val="single" w:sz="8" w:color="auto"/>
            </w:tcBorders>
            <w:gridSpan w:val="3"/>
          </w:tcPr>
          <w:p>
            <w:pPr>
              <w:jc w:val="center"/>
              <w:ind w:right="620"/>
              <w:spacing w:after="0" w:line="209" w:lineRule="exact"/>
              <w:rPr>
                <w:sz w:val="20"/>
                <w:szCs w:val="20"/>
                <w:color w:val="auto"/>
              </w:rPr>
            </w:pPr>
            <w:r>
              <w:rPr>
                <w:rFonts w:ascii="Arial" w:cs="Arial" w:eastAsia="Arial" w:hAnsi="Arial"/>
                <w:sz w:val="20"/>
                <w:szCs w:val="20"/>
                <w:b w:val="1"/>
                <w:bCs w:val="1"/>
                <w:color w:val="auto"/>
                <w:w w:val="86"/>
              </w:rPr>
              <w:t>Fee</w:t>
            </w:r>
          </w:p>
        </w:tc>
      </w:tr>
      <w:tr>
        <w:trPr>
          <w:trHeight w:val="20"/>
        </w:trPr>
        <w:tc>
          <w:tcPr>
            <w:tcW w:w="540" w:type="dxa"/>
            <w:vAlign w:val="bottom"/>
            <w:tcBorders>
              <w:lef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r>
      <w:tr>
        <w:trPr>
          <w:trHeight w:val="210"/>
        </w:trPr>
        <w:tc>
          <w:tcPr>
            <w:tcW w:w="54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gridSpan w:val="11"/>
          </w:tcPr>
          <w:p>
            <w:pPr>
              <w:jc w:val="center"/>
              <w:ind w:right="20"/>
              <w:spacing w:after="0" w:line="209" w:lineRule="exact"/>
              <w:rPr>
                <w:sz w:val="20"/>
                <w:szCs w:val="20"/>
                <w:color w:val="auto"/>
              </w:rPr>
            </w:pPr>
            <w:r>
              <w:rPr>
                <w:rFonts w:ascii="Arial" w:cs="Arial" w:eastAsia="Arial" w:hAnsi="Arial"/>
                <w:sz w:val="20"/>
                <w:szCs w:val="20"/>
                <w:b w:val="1"/>
                <w:bCs w:val="1"/>
                <w:color w:val="auto"/>
                <w:w w:val="89"/>
              </w:rPr>
              <w:t>Floating Rate Loans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r>
      <w:tr>
        <w:trPr>
          <w:trHeight w:val="209"/>
        </w:trPr>
        <w:tc>
          <w:tcPr>
            <w:tcW w:w="54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Borders>
              <w:top w:val="single" w:sz="8" w:color="auto"/>
            </w:tcBorders>
            <w:gridSpan w:val="9"/>
          </w:tcPr>
          <w:p>
            <w:pPr>
              <w:jc w:val="center"/>
              <w:spacing w:after="0" w:line="209" w:lineRule="exact"/>
              <w:rPr>
                <w:sz w:val="20"/>
                <w:szCs w:val="20"/>
                <w:color w:val="auto"/>
              </w:rPr>
            </w:pPr>
            <w:r>
              <w:rPr>
                <w:rFonts w:ascii="Arial" w:cs="Arial" w:eastAsia="Arial" w:hAnsi="Arial"/>
                <w:sz w:val="20"/>
                <w:szCs w:val="20"/>
                <w:b w:val="1"/>
                <w:bCs w:val="1"/>
                <w:color w:val="auto"/>
                <w:w w:val="95"/>
              </w:rPr>
              <w:t>&amp; Letter of Credit</w:t>
            </w:r>
          </w:p>
        </w:tc>
        <w:tc>
          <w:tcPr>
            <w:tcW w:w="1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r>
      <w:tr>
        <w:trPr>
          <w:trHeight w:val="210"/>
        </w:trPr>
        <w:tc>
          <w:tcPr>
            <w:tcW w:w="54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5"/>
          </w:tcPr>
          <w:p>
            <w:pPr>
              <w:jc w:val="center"/>
              <w:ind w:right="200"/>
              <w:spacing w:after="0" w:line="209" w:lineRule="exact"/>
              <w:rPr>
                <w:sz w:val="20"/>
                <w:szCs w:val="20"/>
                <w:color w:val="auto"/>
              </w:rPr>
            </w:pPr>
            <w:r>
              <w:rPr>
                <w:rFonts w:ascii="Arial" w:cs="Arial" w:eastAsia="Arial" w:hAnsi="Arial"/>
                <w:sz w:val="20"/>
                <w:szCs w:val="20"/>
                <w:b w:val="1"/>
                <w:bCs w:val="1"/>
                <w:color w:val="auto"/>
                <w:w w:val="86"/>
              </w:rPr>
              <w:t>Fee</w:t>
            </w:r>
          </w:p>
        </w:tc>
        <w:tc>
          <w:tcPr>
            <w:tcW w:w="280" w:type="dxa"/>
            <w:vAlign w:val="bottom"/>
            <w:tcBorders>
              <w:right w:val="single" w:sz="8" w:color="auto"/>
            </w:tcBorders>
            <w:gridSpan w:val="2"/>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r>
      <w:tr>
        <w:trPr>
          <w:trHeight w:val="223"/>
        </w:trPr>
        <w:tc>
          <w:tcPr>
            <w:tcW w:w="540" w:type="dxa"/>
            <w:vAlign w:val="bottom"/>
            <w:tcBorders>
              <w:left w:val="single" w:sz="8" w:color="auto"/>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r>
      <w:tr>
        <w:trPr>
          <w:trHeight w:val="183"/>
        </w:trPr>
        <w:tc>
          <w:tcPr>
            <w:tcW w:w="1000" w:type="dxa"/>
            <w:vAlign w:val="bottom"/>
            <w:tcBorders>
              <w:left w:val="single" w:sz="8" w:color="auto"/>
            </w:tcBorders>
            <w:gridSpan w:val="2"/>
          </w:tcPr>
          <w:p>
            <w:pPr>
              <w:jc w:val="center"/>
              <w:ind w:left="441"/>
              <w:spacing w:after="0" w:line="183" w:lineRule="exact"/>
              <w:rPr>
                <w:sz w:val="20"/>
                <w:szCs w:val="20"/>
                <w:color w:val="auto"/>
              </w:rPr>
            </w:pPr>
            <w:r>
              <w:rPr>
                <w:rFonts w:ascii="Arial" w:cs="Arial" w:eastAsia="Arial" w:hAnsi="Arial"/>
                <w:sz w:val="20"/>
                <w:szCs w:val="20"/>
                <w:color w:val="auto"/>
                <w:w w:val="89"/>
              </w:rPr>
              <w:t>1</w:t>
            </w:r>
          </w:p>
        </w:tc>
        <w:tc>
          <w:tcPr>
            <w:tcW w:w="560" w:type="dxa"/>
            <w:vAlign w:val="bottom"/>
            <w:tcBorders>
              <w:right w:val="single" w:sz="8" w:color="auto"/>
            </w:tcBorders>
          </w:tcPr>
          <w:p>
            <w:pPr>
              <w:spacing w:after="0"/>
              <w:rPr>
                <w:sz w:val="15"/>
                <w:szCs w:val="15"/>
                <w:color w:val="auto"/>
              </w:rPr>
            </w:pPr>
          </w:p>
        </w:tc>
        <w:tc>
          <w:tcPr>
            <w:tcW w:w="1380" w:type="dxa"/>
            <w:vAlign w:val="bottom"/>
            <w:gridSpan w:val="5"/>
          </w:tcPr>
          <w:p>
            <w:pPr>
              <w:jc w:val="center"/>
              <w:ind w:left="181"/>
              <w:spacing w:after="0" w:line="183" w:lineRule="exact"/>
              <w:rPr>
                <w:sz w:val="20"/>
                <w:szCs w:val="20"/>
                <w:color w:val="auto"/>
              </w:rPr>
            </w:pPr>
            <w:r>
              <w:rPr>
                <w:rFonts w:ascii="Arial" w:cs="Arial" w:eastAsia="Arial" w:hAnsi="Arial"/>
                <w:sz w:val="20"/>
                <w:szCs w:val="20"/>
                <w:color w:val="auto"/>
                <w:w w:val="89"/>
              </w:rPr>
              <w:t>&gt; 2.00:1.00</w:t>
            </w:r>
          </w:p>
        </w:tc>
        <w:tc>
          <w:tcPr>
            <w:tcW w:w="1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580" w:type="dxa"/>
            <w:vAlign w:val="bottom"/>
            <w:gridSpan w:val="7"/>
          </w:tcPr>
          <w:p>
            <w:pPr>
              <w:jc w:val="center"/>
              <w:ind w:left="361"/>
              <w:spacing w:after="0" w:line="183" w:lineRule="exact"/>
              <w:rPr>
                <w:sz w:val="20"/>
                <w:szCs w:val="20"/>
                <w:color w:val="auto"/>
              </w:rPr>
            </w:pPr>
            <w:r>
              <w:rPr>
                <w:rFonts w:ascii="Arial" w:cs="Arial" w:eastAsia="Arial" w:hAnsi="Arial"/>
                <w:sz w:val="20"/>
                <w:szCs w:val="20"/>
                <w:color w:val="auto"/>
                <w:w w:val="91"/>
              </w:rPr>
              <w:t>1.75%</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940" w:type="dxa"/>
            <w:vAlign w:val="bottom"/>
            <w:gridSpan w:val="2"/>
          </w:tcPr>
          <w:p>
            <w:pPr>
              <w:jc w:val="center"/>
              <w:ind w:left="1"/>
              <w:spacing w:after="0" w:line="183" w:lineRule="exact"/>
              <w:rPr>
                <w:sz w:val="20"/>
                <w:szCs w:val="20"/>
                <w:color w:val="auto"/>
              </w:rPr>
            </w:pPr>
            <w:r>
              <w:rPr>
                <w:rFonts w:ascii="Arial" w:cs="Arial" w:eastAsia="Arial" w:hAnsi="Arial"/>
                <w:sz w:val="20"/>
                <w:szCs w:val="20"/>
                <w:color w:val="auto"/>
                <w:w w:val="91"/>
              </w:rPr>
              <w:t>0.75%</w:t>
            </w:r>
          </w:p>
        </w:tc>
        <w:tc>
          <w:tcPr>
            <w:tcW w:w="120" w:type="dxa"/>
            <w:vAlign w:val="bottom"/>
            <w:tcBorders>
              <w:right w:val="single" w:sz="8" w:color="auto"/>
            </w:tcBorders>
          </w:tcPr>
          <w:p>
            <w:pPr>
              <w:spacing w:after="0"/>
              <w:rPr>
                <w:sz w:val="15"/>
                <w:szCs w:val="15"/>
                <w:color w:val="auto"/>
              </w:rPr>
            </w:pPr>
          </w:p>
        </w:tc>
        <w:tc>
          <w:tcPr>
            <w:tcW w:w="1320" w:type="dxa"/>
            <w:vAlign w:val="bottom"/>
            <w:gridSpan w:val="4"/>
          </w:tcPr>
          <w:p>
            <w:pPr>
              <w:jc w:val="center"/>
              <w:ind w:left="101"/>
              <w:spacing w:after="0" w:line="183" w:lineRule="exact"/>
              <w:rPr>
                <w:sz w:val="20"/>
                <w:szCs w:val="20"/>
                <w:color w:val="auto"/>
              </w:rPr>
            </w:pPr>
            <w:r>
              <w:rPr>
                <w:rFonts w:ascii="Arial" w:cs="Arial" w:eastAsia="Arial" w:hAnsi="Arial"/>
                <w:sz w:val="20"/>
                <w:szCs w:val="20"/>
                <w:color w:val="auto"/>
                <w:w w:val="91"/>
              </w:rPr>
              <w:t>0.15%</w:t>
            </w:r>
          </w:p>
        </w:tc>
        <w:tc>
          <w:tcPr>
            <w:tcW w:w="220" w:type="dxa"/>
            <w:vAlign w:val="bottom"/>
            <w:tcBorders>
              <w:right w:val="single" w:sz="8" w:color="auto"/>
            </w:tcBorders>
          </w:tcPr>
          <w:p>
            <w:pPr>
              <w:spacing w:after="0"/>
              <w:rPr>
                <w:sz w:val="15"/>
                <w:szCs w:val="15"/>
                <w:color w:val="auto"/>
              </w:rPr>
            </w:pPr>
          </w:p>
        </w:tc>
      </w:tr>
      <w:tr>
        <w:trPr>
          <w:trHeight w:val="223"/>
        </w:trPr>
        <w:tc>
          <w:tcPr>
            <w:tcW w:w="540" w:type="dxa"/>
            <w:vAlign w:val="bottom"/>
            <w:tcBorders>
              <w:left w:val="single" w:sz="8" w:color="auto"/>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r>
      <w:tr>
        <w:trPr>
          <w:trHeight w:val="206"/>
        </w:trPr>
        <w:tc>
          <w:tcPr>
            <w:tcW w:w="1000" w:type="dxa"/>
            <w:vAlign w:val="bottom"/>
            <w:tcBorders>
              <w:left w:val="single" w:sz="8" w:color="auto"/>
            </w:tcBorders>
            <w:gridSpan w:val="2"/>
          </w:tcPr>
          <w:p>
            <w:pPr>
              <w:jc w:val="center"/>
              <w:ind w:left="441"/>
              <w:spacing w:after="0" w:line="207" w:lineRule="exact"/>
              <w:rPr>
                <w:sz w:val="20"/>
                <w:szCs w:val="20"/>
                <w:color w:val="auto"/>
              </w:rPr>
            </w:pPr>
            <w:r>
              <w:rPr>
                <w:rFonts w:ascii="Arial" w:cs="Arial" w:eastAsia="Arial" w:hAnsi="Arial"/>
                <w:sz w:val="20"/>
                <w:szCs w:val="20"/>
                <w:color w:val="auto"/>
                <w:w w:val="89"/>
              </w:rPr>
              <w:t>2</w:t>
            </w:r>
          </w:p>
        </w:tc>
        <w:tc>
          <w:tcPr>
            <w:tcW w:w="56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Borders>
              <w:right w:val="single" w:sz="8" w:color="auto"/>
            </w:tcBorders>
            <w:gridSpan w:val="6"/>
          </w:tcPr>
          <w:p>
            <w:pPr>
              <w:jc w:val="center"/>
              <w:ind w:right="220"/>
              <w:spacing w:after="0" w:line="207" w:lineRule="exact"/>
              <w:rPr>
                <w:sz w:val="20"/>
                <w:szCs w:val="20"/>
                <w:color w:val="auto"/>
              </w:rPr>
            </w:pPr>
            <w:r>
              <w:rPr>
                <w:rFonts w:ascii="Arial" w:cs="Arial" w:eastAsia="Arial" w:hAnsi="Arial"/>
                <w:sz w:val="20"/>
                <w:szCs w:val="20"/>
                <w:color w:val="auto"/>
                <w:w w:val="90"/>
              </w:rPr>
              <w:t>&lt; 2.00:1.00 and</w:t>
            </w:r>
          </w:p>
        </w:tc>
        <w:tc>
          <w:tcPr>
            <w:tcW w:w="1580" w:type="dxa"/>
            <w:vAlign w:val="bottom"/>
            <w:gridSpan w:val="7"/>
          </w:tcPr>
          <w:p>
            <w:pPr>
              <w:jc w:val="center"/>
              <w:ind w:left="361"/>
              <w:spacing w:after="0" w:line="207" w:lineRule="exact"/>
              <w:rPr>
                <w:sz w:val="20"/>
                <w:szCs w:val="20"/>
                <w:color w:val="auto"/>
              </w:rPr>
            </w:pPr>
            <w:r>
              <w:rPr>
                <w:rFonts w:ascii="Arial" w:cs="Arial" w:eastAsia="Arial" w:hAnsi="Arial"/>
                <w:sz w:val="20"/>
                <w:szCs w:val="20"/>
                <w:color w:val="auto"/>
                <w:w w:val="91"/>
              </w:rPr>
              <w:t>1.50%</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940" w:type="dxa"/>
            <w:vAlign w:val="bottom"/>
            <w:gridSpan w:val="2"/>
          </w:tcPr>
          <w:p>
            <w:pPr>
              <w:jc w:val="center"/>
              <w:ind w:left="1"/>
              <w:spacing w:after="0" w:line="207" w:lineRule="exact"/>
              <w:rPr>
                <w:sz w:val="20"/>
                <w:szCs w:val="20"/>
                <w:color w:val="auto"/>
              </w:rPr>
            </w:pPr>
            <w:r>
              <w:rPr>
                <w:rFonts w:ascii="Arial" w:cs="Arial" w:eastAsia="Arial" w:hAnsi="Arial"/>
                <w:sz w:val="20"/>
                <w:szCs w:val="20"/>
                <w:color w:val="auto"/>
                <w:w w:val="91"/>
              </w:rPr>
              <w:t>0.50%</w:t>
            </w:r>
          </w:p>
        </w:tc>
        <w:tc>
          <w:tcPr>
            <w:tcW w:w="120" w:type="dxa"/>
            <w:vAlign w:val="bottom"/>
            <w:tcBorders>
              <w:right w:val="single" w:sz="8" w:color="auto"/>
            </w:tcBorders>
          </w:tcPr>
          <w:p>
            <w:pPr>
              <w:spacing w:after="0"/>
              <w:rPr>
                <w:sz w:val="17"/>
                <w:szCs w:val="17"/>
                <w:color w:val="auto"/>
              </w:rPr>
            </w:pPr>
          </w:p>
        </w:tc>
        <w:tc>
          <w:tcPr>
            <w:tcW w:w="1320" w:type="dxa"/>
            <w:vAlign w:val="bottom"/>
            <w:gridSpan w:val="4"/>
          </w:tcPr>
          <w:p>
            <w:pPr>
              <w:jc w:val="center"/>
              <w:ind w:left="101"/>
              <w:spacing w:after="0" w:line="207" w:lineRule="exact"/>
              <w:rPr>
                <w:sz w:val="20"/>
                <w:szCs w:val="20"/>
                <w:color w:val="auto"/>
              </w:rPr>
            </w:pPr>
            <w:r>
              <w:rPr>
                <w:rFonts w:ascii="Arial" w:cs="Arial" w:eastAsia="Arial" w:hAnsi="Arial"/>
                <w:sz w:val="20"/>
                <w:szCs w:val="20"/>
                <w:color w:val="auto"/>
                <w:w w:val="91"/>
              </w:rPr>
              <w:t>0.15%</w:t>
            </w:r>
          </w:p>
        </w:tc>
        <w:tc>
          <w:tcPr>
            <w:tcW w:w="220" w:type="dxa"/>
            <w:vAlign w:val="bottom"/>
            <w:tcBorders>
              <w:right w:val="single" w:sz="8" w:color="auto"/>
            </w:tcBorders>
          </w:tcPr>
          <w:p>
            <w:pPr>
              <w:spacing w:after="0"/>
              <w:rPr>
                <w:sz w:val="17"/>
                <w:szCs w:val="17"/>
                <w:color w:val="auto"/>
              </w:rPr>
            </w:pPr>
          </w:p>
        </w:tc>
      </w:tr>
      <w:tr>
        <w:trPr>
          <w:trHeight w:val="250"/>
        </w:trPr>
        <w:tc>
          <w:tcPr>
            <w:tcW w:w="540" w:type="dxa"/>
            <w:vAlign w:val="bottom"/>
            <w:tcBorders>
              <w:left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380" w:type="dxa"/>
            <w:vAlign w:val="bottom"/>
            <w:gridSpan w:val="5"/>
          </w:tcPr>
          <w:p>
            <w:pPr>
              <w:jc w:val="center"/>
              <w:ind w:left="181"/>
              <w:spacing w:after="0"/>
              <w:rPr>
                <w:sz w:val="20"/>
                <w:szCs w:val="20"/>
                <w:color w:val="auto"/>
              </w:rPr>
            </w:pPr>
            <w:r>
              <w:rPr>
                <w:rFonts w:ascii="Arial" w:cs="Arial" w:eastAsia="Arial" w:hAnsi="Arial"/>
                <w:sz w:val="20"/>
                <w:szCs w:val="20"/>
                <w:color w:val="auto"/>
                <w:w w:val="90"/>
              </w:rPr>
              <w:t>&gt;1.00:1.00</w:t>
            </w:r>
          </w:p>
        </w:tc>
        <w:tc>
          <w:tcPr>
            <w:tcW w:w="1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r>
      <w:tr>
        <w:trPr>
          <w:trHeight w:val="198"/>
        </w:trPr>
        <w:tc>
          <w:tcPr>
            <w:tcW w:w="540" w:type="dxa"/>
            <w:vAlign w:val="bottom"/>
            <w:tcBorders>
              <w:left w:val="single" w:sz="8" w:color="auto"/>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r>
      <w:tr>
        <w:trPr>
          <w:trHeight w:val="183"/>
        </w:trPr>
        <w:tc>
          <w:tcPr>
            <w:tcW w:w="1000" w:type="dxa"/>
            <w:vAlign w:val="bottom"/>
            <w:tcBorders>
              <w:left w:val="single" w:sz="8" w:color="auto"/>
            </w:tcBorders>
            <w:gridSpan w:val="2"/>
          </w:tcPr>
          <w:p>
            <w:pPr>
              <w:jc w:val="center"/>
              <w:ind w:left="441"/>
              <w:spacing w:after="0" w:line="183" w:lineRule="exact"/>
              <w:rPr>
                <w:sz w:val="20"/>
                <w:szCs w:val="20"/>
                <w:color w:val="auto"/>
              </w:rPr>
            </w:pPr>
            <w:r>
              <w:rPr>
                <w:rFonts w:ascii="Arial" w:cs="Arial" w:eastAsia="Arial" w:hAnsi="Arial"/>
                <w:sz w:val="20"/>
                <w:szCs w:val="20"/>
                <w:color w:val="auto"/>
                <w:w w:val="89"/>
              </w:rPr>
              <w:t>3</w:t>
            </w:r>
          </w:p>
        </w:tc>
        <w:tc>
          <w:tcPr>
            <w:tcW w:w="560" w:type="dxa"/>
            <w:vAlign w:val="bottom"/>
            <w:tcBorders>
              <w:right w:val="single" w:sz="8" w:color="auto"/>
            </w:tcBorders>
          </w:tcPr>
          <w:p>
            <w:pPr>
              <w:spacing w:after="0"/>
              <w:rPr>
                <w:sz w:val="15"/>
                <w:szCs w:val="15"/>
                <w:color w:val="auto"/>
              </w:rPr>
            </w:pPr>
          </w:p>
        </w:tc>
        <w:tc>
          <w:tcPr>
            <w:tcW w:w="1380" w:type="dxa"/>
            <w:vAlign w:val="bottom"/>
            <w:gridSpan w:val="5"/>
          </w:tcPr>
          <w:p>
            <w:pPr>
              <w:jc w:val="center"/>
              <w:ind w:left="181"/>
              <w:spacing w:after="0" w:line="183" w:lineRule="exact"/>
              <w:rPr>
                <w:sz w:val="20"/>
                <w:szCs w:val="20"/>
                <w:color w:val="auto"/>
              </w:rPr>
            </w:pPr>
            <w:r>
              <w:rPr>
                <w:rFonts w:ascii="Arial" w:cs="Arial" w:eastAsia="Arial" w:hAnsi="Arial"/>
                <w:sz w:val="20"/>
                <w:szCs w:val="20"/>
                <w:color w:val="auto"/>
                <w:w w:val="89"/>
              </w:rPr>
              <w:t>&lt; 1.00:1.00</w:t>
            </w:r>
          </w:p>
        </w:tc>
        <w:tc>
          <w:tcPr>
            <w:tcW w:w="1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580" w:type="dxa"/>
            <w:vAlign w:val="bottom"/>
            <w:gridSpan w:val="7"/>
          </w:tcPr>
          <w:p>
            <w:pPr>
              <w:jc w:val="center"/>
              <w:ind w:left="361"/>
              <w:spacing w:after="0" w:line="183" w:lineRule="exact"/>
              <w:rPr>
                <w:sz w:val="20"/>
                <w:szCs w:val="20"/>
                <w:color w:val="auto"/>
              </w:rPr>
            </w:pPr>
            <w:r>
              <w:rPr>
                <w:rFonts w:ascii="Arial" w:cs="Arial" w:eastAsia="Arial" w:hAnsi="Arial"/>
                <w:sz w:val="20"/>
                <w:szCs w:val="20"/>
                <w:color w:val="auto"/>
                <w:w w:val="91"/>
              </w:rPr>
              <w:t>1.25%</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940" w:type="dxa"/>
            <w:vAlign w:val="bottom"/>
            <w:gridSpan w:val="2"/>
          </w:tcPr>
          <w:p>
            <w:pPr>
              <w:jc w:val="center"/>
              <w:ind w:left="1"/>
              <w:spacing w:after="0" w:line="183" w:lineRule="exact"/>
              <w:rPr>
                <w:sz w:val="20"/>
                <w:szCs w:val="20"/>
                <w:color w:val="auto"/>
              </w:rPr>
            </w:pPr>
            <w:r>
              <w:rPr>
                <w:rFonts w:ascii="Arial" w:cs="Arial" w:eastAsia="Arial" w:hAnsi="Arial"/>
                <w:sz w:val="20"/>
                <w:szCs w:val="20"/>
                <w:color w:val="auto"/>
                <w:w w:val="91"/>
              </w:rPr>
              <w:t>0.25%</w:t>
            </w:r>
          </w:p>
        </w:tc>
        <w:tc>
          <w:tcPr>
            <w:tcW w:w="120" w:type="dxa"/>
            <w:vAlign w:val="bottom"/>
            <w:tcBorders>
              <w:right w:val="single" w:sz="8" w:color="auto"/>
            </w:tcBorders>
          </w:tcPr>
          <w:p>
            <w:pPr>
              <w:spacing w:after="0"/>
              <w:rPr>
                <w:sz w:val="15"/>
                <w:szCs w:val="15"/>
                <w:color w:val="auto"/>
              </w:rPr>
            </w:pPr>
          </w:p>
        </w:tc>
        <w:tc>
          <w:tcPr>
            <w:tcW w:w="1320" w:type="dxa"/>
            <w:vAlign w:val="bottom"/>
            <w:gridSpan w:val="4"/>
          </w:tcPr>
          <w:p>
            <w:pPr>
              <w:jc w:val="center"/>
              <w:ind w:left="101"/>
              <w:spacing w:after="0" w:line="183" w:lineRule="exact"/>
              <w:rPr>
                <w:sz w:val="20"/>
                <w:szCs w:val="20"/>
                <w:color w:val="auto"/>
              </w:rPr>
            </w:pPr>
            <w:r>
              <w:rPr>
                <w:rFonts w:ascii="Arial" w:cs="Arial" w:eastAsia="Arial" w:hAnsi="Arial"/>
                <w:sz w:val="20"/>
                <w:szCs w:val="20"/>
                <w:color w:val="auto"/>
                <w:w w:val="91"/>
              </w:rPr>
              <w:t>0.15%</w:t>
            </w:r>
          </w:p>
        </w:tc>
        <w:tc>
          <w:tcPr>
            <w:tcW w:w="220" w:type="dxa"/>
            <w:vAlign w:val="bottom"/>
            <w:tcBorders>
              <w:right w:val="single" w:sz="8" w:color="auto"/>
            </w:tcBorders>
          </w:tcPr>
          <w:p>
            <w:pPr>
              <w:spacing w:after="0"/>
              <w:rPr>
                <w:sz w:val="15"/>
                <w:szCs w:val="15"/>
                <w:color w:val="auto"/>
              </w:rPr>
            </w:pPr>
          </w:p>
        </w:tc>
      </w:tr>
      <w:tr>
        <w:trPr>
          <w:trHeight w:val="223"/>
        </w:trPr>
        <w:tc>
          <w:tcPr>
            <w:tcW w:w="540" w:type="dxa"/>
            <w:vAlign w:val="bottom"/>
            <w:tcBorders>
              <w:left w:val="single" w:sz="8" w:color="auto"/>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r>
    </w:tbl>
    <w:p>
      <w:pPr>
        <w:spacing w:after="0" w:line="213" w:lineRule="exact"/>
        <w:rPr>
          <w:sz w:val="20"/>
          <w:szCs w:val="20"/>
          <w:color w:val="auto"/>
        </w:rPr>
      </w:pPr>
    </w:p>
    <w:p>
      <w:pPr>
        <w:jc w:val="both"/>
        <w:ind w:left="1280" w:firstLine="648"/>
        <w:spacing w:after="0" w:line="250" w:lineRule="auto"/>
        <w:rPr>
          <w:sz w:val="20"/>
          <w:szCs w:val="20"/>
          <w:color w:val="auto"/>
        </w:rPr>
      </w:pPr>
      <w:r>
        <w:rPr>
          <w:rFonts w:ascii="Arial" w:cs="Arial" w:eastAsia="Arial" w:hAnsi="Arial"/>
          <w:sz w:val="20"/>
          <w:szCs w:val="20"/>
          <w:color w:val="auto"/>
        </w:rPr>
        <w:t>Any increase or decrease in the Applicable Rate for Credit Extensions based on Commitments from Non-Patronage Lenders resulting from a change in the Consolidated Leverage Ratio shall become effective as of the first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353060</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1000" w:top="121" w:right="999" w:bottom="1440" w:gutter="0" w:footer="0" w:header="0"/>
        </w:sectPr>
      </w:pPr>
    </w:p>
    <w:bookmarkStart w:id="6" w:name="page7"/>
    <w:bookmarkEnd w:id="6"/>
    <w:p>
      <w:pPr>
        <w:jc w:val="both"/>
        <w:ind w:left="1300"/>
        <w:spacing w:after="0" w:line="257" w:lineRule="auto"/>
        <w:rPr>
          <w:sz w:val="20"/>
          <w:szCs w:val="20"/>
          <w:color w:val="auto"/>
        </w:rPr>
      </w:pPr>
      <w:r>
        <w:rPr>
          <w:rFonts w:ascii="Arial" w:cs="Arial" w:eastAsia="Arial" w:hAnsi="Arial"/>
          <w:sz w:val="19"/>
          <w:szCs w:val="19"/>
          <w:color w:val="auto"/>
        </w:rPr>
        <w:t xml:space="preserve">Day immediately following the date a Compliance Certificate is delivered pursuant to </w:t>
      </w:r>
      <w:r>
        <w:rPr>
          <w:rFonts w:ascii="Arial" w:cs="Arial" w:eastAsia="Arial" w:hAnsi="Arial"/>
          <w:sz w:val="19"/>
          <w:szCs w:val="19"/>
          <w:u w:val="single" w:color="auto"/>
          <w:color w:val="auto"/>
        </w:rPr>
        <w:t>Section 6.02(b)</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 Compliance Certificate is not delivered when due in accordance with such Section, then, upon Administrative Agent’s determination, Pricing Level 1 shall apply, in each case as of the first Business Day after the date on which such Compliance Certificate was required to have been delivered and in each case shall remain in effect until the first Business Day following the date on which such Compliance Certificate is delivered. In addition, at all times while the Default Rate is in effect, the highest rate set forth in each column of the Applicable Rate shall apply to Credit Extensions based on Commitments from Non-Patronage Lenders.</w:t>
      </w:r>
    </w:p>
    <w:p>
      <w:pPr>
        <w:spacing w:after="0" w:line="168" w:lineRule="exact"/>
        <w:rPr>
          <w:sz w:val="20"/>
          <w:szCs w:val="20"/>
          <w:color w:val="auto"/>
        </w:rPr>
      </w:pPr>
    </w:p>
    <w:p>
      <w:pPr>
        <w:jc w:val="both"/>
        <w:ind w:left="1300" w:firstLine="648"/>
        <w:spacing w:after="0" w:line="274" w:lineRule="auto"/>
        <w:rPr>
          <w:sz w:val="20"/>
          <w:szCs w:val="20"/>
          <w:color w:val="auto"/>
        </w:rPr>
      </w:pPr>
      <w:r>
        <w:rPr>
          <w:rFonts w:ascii="Arial" w:cs="Arial" w:eastAsia="Arial" w:hAnsi="Arial"/>
          <w:sz w:val="18"/>
          <w:szCs w:val="18"/>
          <w:color w:val="auto"/>
        </w:rPr>
        <w:t xml:space="preserve">Notwithstanding anything to the contrary contained in this definition, (a) the determination of the Applicable Rate for any period shall be subject to the provisions of </w:t>
      </w:r>
      <w:r>
        <w:rPr>
          <w:rFonts w:ascii="Arial" w:cs="Arial" w:eastAsia="Arial" w:hAnsi="Arial"/>
          <w:sz w:val="18"/>
          <w:szCs w:val="18"/>
          <w:u w:val="single" w:color="auto"/>
          <w:color w:val="auto"/>
        </w:rPr>
        <w:t>Section 2.10(b)</w:t>
      </w:r>
      <w:r>
        <w:rPr>
          <w:rFonts w:ascii="Arial" w:cs="Arial" w:eastAsia="Arial" w:hAnsi="Arial"/>
          <w:sz w:val="18"/>
          <w:szCs w:val="18"/>
          <w:color w:val="auto"/>
        </w:rPr>
        <w:t xml:space="preserve">, and (b) the initial Applicable Rate for Credit Extensions based on Commitments from Non-Patronage Lenders shall be set forth in Level 3 until the first Business Day immediately following the date a Compliance Certificate is delivered pursuant to </w:t>
      </w:r>
      <w:r>
        <w:rPr>
          <w:rFonts w:ascii="Arial" w:cs="Arial" w:eastAsia="Arial" w:hAnsi="Arial"/>
          <w:sz w:val="18"/>
          <w:szCs w:val="18"/>
          <w:u w:val="single" w:color="auto"/>
          <w:color w:val="auto"/>
        </w:rPr>
        <w:t>Section 6.02(b)</w:t>
      </w:r>
      <w:r>
        <w:rPr>
          <w:rFonts w:ascii="Arial" w:cs="Arial" w:eastAsia="Arial" w:hAnsi="Arial"/>
          <w:sz w:val="18"/>
          <w:szCs w:val="18"/>
          <w:color w:val="auto"/>
        </w:rPr>
        <w:t>. Any adjustment in the Applicable Rate for Credit Extensions based on Commitments from Non-Patronage Lenders shall be applicable to all Credit Extensions based on Commitments from Non-Patronage Lenders then existing or subsequently made or issued.</w:t>
      </w:r>
    </w:p>
    <w:p>
      <w:pPr>
        <w:spacing w:after="0" w:line="14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xml:space="preserve">The Applicable Rate set forth above shall be increased as, and to the extent, required by </w:t>
      </w:r>
      <w:r>
        <w:rPr>
          <w:rFonts w:ascii="Arial" w:cs="Arial" w:eastAsia="Arial" w:hAnsi="Arial"/>
          <w:sz w:val="18"/>
          <w:szCs w:val="18"/>
          <w:u w:val="single" w:color="auto"/>
          <w:color w:val="auto"/>
        </w:rPr>
        <w:t>Section</w:t>
      </w:r>
    </w:p>
    <w:p>
      <w:pPr>
        <w:spacing w:after="0" w:line="39"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auto"/>
        </w:rPr>
        <w:t>2.16</w:t>
      </w:r>
      <w:r>
        <w:rPr>
          <w:rFonts w:ascii="Arial" w:cs="Arial" w:eastAsia="Arial" w:hAnsi="Arial"/>
          <w:sz w:val="20"/>
          <w:szCs w:val="20"/>
          <w:color w:val="auto"/>
        </w:rPr>
        <w:t>.</w:t>
      </w:r>
    </w:p>
    <w:p>
      <w:pPr>
        <w:spacing w:after="0" w:line="186" w:lineRule="exact"/>
        <w:rPr>
          <w:sz w:val="20"/>
          <w:szCs w:val="20"/>
          <w:color w:val="auto"/>
        </w:rPr>
      </w:pPr>
    </w:p>
    <w:p>
      <w:pPr>
        <w:jc w:val="both"/>
        <w:ind w:firstLine="1304"/>
        <w:spacing w:after="0" w:line="250" w:lineRule="auto"/>
        <w:tabs>
          <w:tab w:leader="none" w:pos="2092" w:val="left"/>
        </w:tabs>
        <w:numPr>
          <w:ilvl w:val="0"/>
          <w:numId w:val="8"/>
        </w:numPr>
        <w:rPr>
          <w:rFonts w:ascii="Arial" w:cs="Arial" w:eastAsia="Arial" w:hAnsi="Arial"/>
          <w:sz w:val="20"/>
          <w:szCs w:val="20"/>
          <w:color w:val="auto"/>
        </w:rPr>
      </w:pPr>
      <w:r>
        <w:rPr>
          <w:rFonts w:ascii="Arial" w:cs="Arial" w:eastAsia="Arial" w:hAnsi="Arial"/>
          <w:sz w:val="20"/>
          <w:szCs w:val="20"/>
          <w:u w:val="single" w:color="auto"/>
          <w:color w:val="auto"/>
        </w:rPr>
        <w:t>Amendment to Section 1.01</w:t>
      </w:r>
      <w:r>
        <w:rPr>
          <w:rFonts w:ascii="Arial" w:cs="Arial" w:eastAsia="Arial" w:hAnsi="Arial"/>
          <w:sz w:val="20"/>
          <w:szCs w:val="20"/>
          <w:color w:val="auto"/>
        </w:rPr>
        <w:t xml:space="preserve"> </w:t>
      </w:r>
      <w:r>
        <w:rPr>
          <w:rFonts w:ascii="Arial" w:cs="Arial" w:eastAsia="Arial" w:hAnsi="Arial"/>
          <w:sz w:val="20"/>
          <w:szCs w:val="20"/>
          <w:u w:val="single" w:color="auto"/>
          <w:color w:val="auto"/>
        </w:rPr>
        <w:t>–</w:t>
      </w:r>
      <w:r>
        <w:rPr>
          <w:rFonts w:ascii="Arial" w:cs="Arial" w:eastAsia="Arial" w:hAnsi="Arial"/>
          <w:sz w:val="20"/>
          <w:szCs w:val="20"/>
          <w:color w:val="auto"/>
        </w:rPr>
        <w:t xml:space="preserve"> </w:t>
      </w:r>
      <w:r>
        <w:rPr>
          <w:rFonts w:ascii="Arial" w:cs="Arial" w:eastAsia="Arial" w:hAnsi="Arial"/>
          <w:sz w:val="20"/>
          <w:szCs w:val="20"/>
          <w:u w:val="single" w:color="auto"/>
          <w:color w:val="auto"/>
        </w:rPr>
        <w:t>Amended Definition</w:t>
      </w:r>
      <w:r>
        <w:rPr>
          <w:rFonts w:ascii="Arial" w:cs="Arial" w:eastAsia="Arial" w:hAnsi="Arial"/>
          <w:sz w:val="20"/>
          <w:szCs w:val="20"/>
          <w:color w:val="auto"/>
        </w:rPr>
        <w:t>. The definition of “Consolidated EBITDA” as set forth in Section 1.01 of the Credit Agreement is hereby amended by inserting a new clause (vi) therein immediately following clause (v) thereof to read as follows:</w:t>
      </w:r>
    </w:p>
    <w:p>
      <w:pPr>
        <w:spacing w:after="0" w:line="172" w:lineRule="exact"/>
        <w:rPr>
          <w:sz w:val="20"/>
          <w:szCs w:val="20"/>
          <w:color w:val="auto"/>
        </w:rPr>
      </w:pPr>
    </w:p>
    <w:p>
      <w:pPr>
        <w:jc w:val="both"/>
        <w:ind w:left="1300"/>
        <w:spacing w:after="0" w:line="246" w:lineRule="auto"/>
        <w:rPr>
          <w:sz w:val="20"/>
          <w:szCs w:val="20"/>
          <w:color w:val="auto"/>
        </w:rPr>
      </w:pPr>
      <w:r>
        <w:rPr>
          <w:rFonts w:ascii="Arial" w:cs="Arial" w:eastAsia="Arial" w:hAnsi="Arial"/>
          <w:sz w:val="20"/>
          <w:szCs w:val="20"/>
          <w:color w:val="auto"/>
        </w:rPr>
        <w:t xml:space="preserve">“, and (vi) non-recurring or unusual expenses, losses, write-offs or charges;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aggregate amount thereof at no time shall exceed ten percent (10%) of the Consolidated EBITDA (before giving effect to such expenses, losses, write-offs or charges) during any Measurement Period, or such other amount as agreed to by the Administrative Agent in writing.”</w:t>
      </w:r>
    </w:p>
    <w:p>
      <w:pPr>
        <w:spacing w:after="0" w:line="164" w:lineRule="exact"/>
        <w:rPr>
          <w:sz w:val="20"/>
          <w:szCs w:val="20"/>
          <w:color w:val="auto"/>
        </w:rPr>
      </w:pPr>
    </w:p>
    <w:p>
      <w:pPr>
        <w:ind w:left="2160" w:hanging="856"/>
        <w:spacing w:after="0"/>
        <w:tabs>
          <w:tab w:leader="none" w:pos="216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Amendment to Section 1.01</w:t>
      </w:r>
      <w:r>
        <w:rPr>
          <w:rFonts w:ascii="Arial" w:cs="Arial" w:eastAsia="Arial" w:hAnsi="Arial"/>
          <w:sz w:val="18"/>
          <w:szCs w:val="18"/>
          <w:color w:val="auto"/>
        </w:rPr>
        <w:t xml:space="preserve"> </w:t>
      </w:r>
      <w:r>
        <w:rPr>
          <w:rFonts w:ascii="Arial" w:cs="Arial" w:eastAsia="Arial" w:hAnsi="Arial"/>
          <w:sz w:val="18"/>
          <w:szCs w:val="18"/>
          <w:u w:val="single" w:color="auto"/>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Other Amended Definitions</w:t>
      </w:r>
      <w:r>
        <w:rPr>
          <w:rFonts w:ascii="Arial" w:cs="Arial" w:eastAsia="Arial" w:hAnsi="Arial"/>
          <w:sz w:val="18"/>
          <w:szCs w:val="18"/>
          <w:color w:val="auto"/>
        </w:rPr>
        <w:t>. The following definitions in Section</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1.01 of the Credit Agreement are hereby amended and restated in their entirety as follows:</w:t>
      </w:r>
    </w:p>
    <w:p>
      <w:pPr>
        <w:spacing w:after="0" w:line="186"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Eurodollar Rate</w:t>
      </w:r>
      <w:r>
        <w:rPr>
          <w:rFonts w:ascii="Arial" w:cs="Arial" w:eastAsia="Arial" w:hAnsi="Arial"/>
          <w:sz w:val="20"/>
          <w:szCs w:val="20"/>
          <w:color w:val="auto"/>
        </w:rPr>
        <w:t>” means:</w:t>
      </w:r>
    </w:p>
    <w:p>
      <w:pPr>
        <w:spacing w:after="0" w:line="202" w:lineRule="exact"/>
        <w:rPr>
          <w:sz w:val="20"/>
          <w:szCs w:val="20"/>
          <w:color w:val="auto"/>
        </w:rPr>
      </w:pPr>
    </w:p>
    <w:p>
      <w:pPr>
        <w:jc w:val="both"/>
        <w:ind w:left="1300" w:firstLine="652"/>
        <w:spacing w:after="0" w:line="257" w:lineRule="auto"/>
        <w:tabs>
          <w:tab w:leader="none" w:pos="2666" w:val="left"/>
        </w:tabs>
        <w:numPr>
          <w:ilvl w:val="0"/>
          <w:numId w:val="10"/>
        </w:numPr>
        <w:rPr>
          <w:rFonts w:ascii="Arial" w:cs="Arial" w:eastAsia="Arial" w:hAnsi="Arial"/>
          <w:sz w:val="19"/>
          <w:szCs w:val="19"/>
          <w:color w:val="auto"/>
        </w:rPr>
      </w:pPr>
      <w:r>
        <w:rPr>
          <w:rFonts w:ascii="Arial" w:cs="Arial" w:eastAsia="Arial" w:hAnsi="Arial"/>
          <w:sz w:val="19"/>
          <w:szCs w:val="19"/>
          <w:color w:val="auto"/>
        </w:rPr>
        <w:t>for any Interest Period with respect to a Eurodollar Rate Loan, the rate per annum equal to the London Interbank Offered Rate as administered by ICE Benchmark Administration (or any other Person that takes over the administration of such rate for U.S. Dollars for a period equal in length to such Interest Period) (“</w:t>
      </w:r>
      <w:r>
        <w:rPr>
          <w:rFonts w:ascii="Arial" w:cs="Arial" w:eastAsia="Arial" w:hAnsi="Arial"/>
          <w:sz w:val="19"/>
          <w:szCs w:val="19"/>
          <w:u w:val="single" w:color="auto"/>
          <w:color w:val="auto"/>
        </w:rPr>
        <w:t>LIBOR</w:t>
      </w:r>
      <w:r>
        <w:rPr>
          <w:rFonts w:ascii="Arial" w:cs="Arial" w:eastAsia="Arial" w:hAnsi="Arial"/>
          <w:sz w:val="19"/>
          <w:szCs w:val="19"/>
          <w:color w:val="auto"/>
        </w:rPr>
        <w:t xml:space="preserve">”), or a successor rate determined in accordance with </w:t>
      </w:r>
      <w:r>
        <w:rPr>
          <w:rFonts w:ascii="Arial" w:cs="Arial" w:eastAsia="Arial" w:hAnsi="Arial"/>
          <w:sz w:val="19"/>
          <w:szCs w:val="19"/>
          <w:u w:val="single" w:color="auto"/>
          <w:color w:val="auto"/>
        </w:rPr>
        <w:t>Section 3.03</w:t>
      </w:r>
      <w:r>
        <w:rPr>
          <w:rFonts w:ascii="Arial" w:cs="Arial" w:eastAsia="Arial" w:hAnsi="Arial"/>
          <w:sz w:val="19"/>
          <w:szCs w:val="19"/>
          <w:color w:val="auto"/>
        </w:rPr>
        <w:t>, as published on the applicable Bloomberg screen page (or such other commercially available source providing such quotations as may be designated by the Administrative Agent from time to time) (in each case, the “</w:t>
      </w:r>
      <w:r>
        <w:rPr>
          <w:rFonts w:ascii="Arial" w:cs="Arial" w:eastAsia="Arial" w:hAnsi="Arial"/>
          <w:sz w:val="19"/>
          <w:szCs w:val="19"/>
          <w:u w:val="single" w:color="auto"/>
          <w:color w:val="auto"/>
        </w:rPr>
        <w:t>LIBOR Rate</w:t>
      </w:r>
      <w:r>
        <w:rPr>
          <w:rFonts w:ascii="Arial" w:cs="Arial" w:eastAsia="Arial" w:hAnsi="Arial"/>
          <w:sz w:val="19"/>
          <w:szCs w:val="19"/>
          <w:color w:val="auto"/>
        </w:rPr>
        <w:t>”), at or about 11:00 a.m., London time, two (2) Business Days prior to the commencement of such Interest Period, for Dollar deposits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 w:name="page8"/>
    <w:bookmarkEnd w:id="7"/>
    <w:p>
      <w:pPr>
        <w:ind w:left="1300"/>
        <w:spacing w:after="0"/>
        <w:rPr>
          <w:sz w:val="20"/>
          <w:szCs w:val="20"/>
          <w:color w:val="auto"/>
        </w:rPr>
      </w:pPr>
      <w:r>
        <w:rPr>
          <w:rFonts w:ascii="Arial" w:cs="Arial" w:eastAsia="Arial" w:hAnsi="Arial"/>
          <w:sz w:val="19"/>
          <w:szCs w:val="19"/>
          <w:color w:val="auto"/>
        </w:rPr>
        <w:t>delivery on the first day of such Interest Period) with a term equivalent to such Interest Period; and</w:t>
      </w:r>
    </w:p>
    <w:p>
      <w:pPr>
        <w:spacing w:after="0" w:line="215" w:lineRule="exact"/>
        <w:rPr>
          <w:sz w:val="20"/>
          <w:szCs w:val="20"/>
          <w:color w:val="auto"/>
        </w:rPr>
      </w:pPr>
    </w:p>
    <w:p>
      <w:pPr>
        <w:jc w:val="both"/>
        <w:ind w:left="1300" w:firstLine="652"/>
        <w:spacing w:after="0" w:line="250" w:lineRule="auto"/>
        <w:tabs>
          <w:tab w:leader="none" w:pos="2828" w:val="left"/>
        </w:tabs>
        <w:numPr>
          <w:ilvl w:val="0"/>
          <w:numId w:val="11"/>
        </w:numPr>
        <w:rPr>
          <w:rFonts w:ascii="Arial" w:cs="Arial" w:eastAsia="Arial" w:hAnsi="Arial"/>
          <w:sz w:val="20"/>
          <w:szCs w:val="20"/>
          <w:color w:val="auto"/>
        </w:rPr>
      </w:pPr>
      <w:r>
        <w:rPr>
          <w:rFonts w:ascii="Arial" w:cs="Arial" w:eastAsia="Arial" w:hAnsi="Arial"/>
          <w:sz w:val="20"/>
          <w:szCs w:val="20"/>
          <w:color w:val="auto"/>
        </w:rPr>
        <w:t>for any interest calculation with respect to a Base Rate Loan on any date, the rate per annum equal to the LIBOR Rate, at or about 11:00 a.m., London time, two (2) Business Days prior to such date for Dollar deposits with a term of one (1) month commencing that day;</w:t>
      </w:r>
    </w:p>
    <w:p>
      <w:pPr>
        <w:spacing w:after="0" w:line="159" w:lineRule="exact"/>
        <w:rPr>
          <w:sz w:val="20"/>
          <w:szCs w:val="20"/>
          <w:color w:val="auto"/>
        </w:rPr>
      </w:pPr>
    </w:p>
    <w:p>
      <w:pPr>
        <w:ind w:left="1300" w:right="20"/>
        <w:spacing w:after="0" w:line="260"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Eurodollar Rate (or any successor rate determined in accordance with </w:t>
      </w:r>
      <w:r>
        <w:rPr>
          <w:rFonts w:ascii="Arial" w:cs="Arial" w:eastAsia="Arial" w:hAnsi="Arial"/>
          <w:sz w:val="20"/>
          <w:szCs w:val="20"/>
          <w:u w:val="single" w:color="auto"/>
          <w:color w:val="auto"/>
        </w:rPr>
        <w:t>Section 3.03</w:t>
      </w:r>
      <w:r>
        <w:rPr>
          <w:rFonts w:ascii="Arial" w:cs="Arial" w:eastAsia="Arial" w:hAnsi="Arial"/>
          <w:sz w:val="20"/>
          <w:szCs w:val="20"/>
          <w:color w:val="auto"/>
        </w:rPr>
        <w:t>) shall be less than zero, such rate shall be deemed zero for purposes of this Agreement.</w:t>
      </w:r>
    </w:p>
    <w:p>
      <w:pPr>
        <w:spacing w:after="0" w:line="16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 Daily Floating Rate</w:t>
      </w:r>
      <w:r>
        <w:rPr>
          <w:rFonts w:ascii="Arial" w:cs="Arial" w:eastAsia="Arial" w:hAnsi="Arial"/>
          <w:sz w:val="20"/>
          <w:szCs w:val="20"/>
          <w:color w:val="auto"/>
        </w:rPr>
        <w:t>” means:</w:t>
      </w:r>
    </w:p>
    <w:p>
      <w:pPr>
        <w:spacing w:after="0" w:line="202" w:lineRule="exact"/>
        <w:rPr>
          <w:sz w:val="20"/>
          <w:szCs w:val="20"/>
          <w:color w:val="auto"/>
        </w:rPr>
      </w:pPr>
    </w:p>
    <w:p>
      <w:pPr>
        <w:jc w:val="both"/>
        <w:ind w:left="1300" w:firstLine="652"/>
        <w:spacing w:after="0" w:line="250" w:lineRule="auto"/>
        <w:tabs>
          <w:tab w:leader="none" w:pos="2613" w:val="left"/>
        </w:tabs>
        <w:numPr>
          <w:ilvl w:val="0"/>
          <w:numId w:val="12"/>
        </w:numPr>
        <w:rPr>
          <w:rFonts w:ascii="Arial" w:cs="Arial" w:eastAsia="Arial" w:hAnsi="Arial"/>
          <w:sz w:val="20"/>
          <w:szCs w:val="20"/>
          <w:color w:val="auto"/>
        </w:rPr>
      </w:pPr>
      <w:r>
        <w:rPr>
          <w:rFonts w:ascii="Arial" w:cs="Arial" w:eastAsia="Arial" w:hAnsi="Arial"/>
          <w:sz w:val="20"/>
          <w:szCs w:val="20"/>
          <w:color w:val="auto"/>
        </w:rPr>
        <w:t xml:space="preserve">the fluctuating rate of interest, which can change on each Business Day, equal to the LIBOR Rate, or a successor rate determined in accordance with </w:t>
      </w:r>
      <w:r>
        <w:rPr>
          <w:rFonts w:ascii="Arial" w:cs="Arial" w:eastAsia="Arial" w:hAnsi="Arial"/>
          <w:sz w:val="20"/>
          <w:szCs w:val="20"/>
          <w:u w:val="single" w:color="auto"/>
          <w:color w:val="auto"/>
        </w:rPr>
        <w:t>Section 3.03</w:t>
      </w:r>
      <w:r>
        <w:rPr>
          <w:rFonts w:ascii="Arial" w:cs="Arial" w:eastAsia="Arial" w:hAnsi="Arial"/>
          <w:sz w:val="20"/>
          <w:szCs w:val="20"/>
          <w:color w:val="auto"/>
        </w:rPr>
        <w:t>, for Dollar deposits with a term equivalent to a one (1) month term beginning on that date; and</w:t>
      </w:r>
    </w:p>
    <w:p>
      <w:pPr>
        <w:spacing w:after="0" w:line="158" w:lineRule="exact"/>
        <w:rPr>
          <w:rFonts w:ascii="Arial" w:cs="Arial" w:eastAsia="Arial" w:hAnsi="Arial"/>
          <w:sz w:val="20"/>
          <w:szCs w:val="20"/>
          <w:color w:val="auto"/>
        </w:rPr>
      </w:pPr>
    </w:p>
    <w:p>
      <w:pPr>
        <w:ind w:left="1300" w:firstLine="652"/>
        <w:spacing w:after="0" w:line="260" w:lineRule="auto"/>
        <w:tabs>
          <w:tab w:leader="none" w:pos="2828" w:val="left"/>
        </w:tabs>
        <w:numPr>
          <w:ilvl w:val="0"/>
          <w:numId w:val="12"/>
        </w:numPr>
        <w:rPr>
          <w:rFonts w:ascii="Arial" w:cs="Arial" w:eastAsia="Arial" w:hAnsi="Arial"/>
          <w:sz w:val="20"/>
          <w:szCs w:val="20"/>
          <w:color w:val="auto"/>
        </w:rPr>
      </w:pPr>
      <w:r>
        <w:rPr>
          <w:rFonts w:ascii="Arial" w:cs="Arial" w:eastAsia="Arial" w:hAnsi="Arial"/>
          <w:sz w:val="20"/>
          <w:szCs w:val="20"/>
          <w:color w:val="auto"/>
        </w:rPr>
        <w:t>for any interest calculation with respect to a Base Rate Loan on any date, the rate per annum equal to the LIBOR Rate;</w:t>
      </w:r>
    </w:p>
    <w:p>
      <w:pPr>
        <w:spacing w:after="0" w:line="163" w:lineRule="exact"/>
        <w:rPr>
          <w:sz w:val="20"/>
          <w:szCs w:val="20"/>
          <w:color w:val="auto"/>
        </w:rPr>
      </w:pPr>
    </w:p>
    <w:p>
      <w:pPr>
        <w:jc w:val="both"/>
        <w:ind w:left="1300"/>
        <w:spacing w:after="0" w:line="287"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LIBOR Daily Floating Rate (or any successor rate determined in accordance with </w:t>
      </w:r>
      <w:r>
        <w:rPr>
          <w:rFonts w:ascii="Arial" w:cs="Arial" w:eastAsia="Arial" w:hAnsi="Arial"/>
          <w:sz w:val="19"/>
          <w:szCs w:val="19"/>
          <w:u w:val="single" w:color="auto"/>
          <w:color w:val="auto"/>
        </w:rPr>
        <w:t>Section 3.03</w:t>
      </w:r>
      <w:r>
        <w:rPr>
          <w:rFonts w:ascii="Arial" w:cs="Arial" w:eastAsia="Arial" w:hAnsi="Arial"/>
          <w:sz w:val="19"/>
          <w:szCs w:val="19"/>
          <w:color w:val="auto"/>
        </w:rPr>
        <w:t>) shall be less than zero , such rate shall be deemed zero for purposes of this Agreement.</w:t>
      </w:r>
    </w:p>
    <w:p>
      <w:pPr>
        <w:spacing w:after="0" w:line="139" w:lineRule="exact"/>
        <w:rPr>
          <w:sz w:val="20"/>
          <w:szCs w:val="20"/>
          <w:color w:val="auto"/>
        </w:rPr>
      </w:pPr>
    </w:p>
    <w:p>
      <w:pPr>
        <w:jc w:val="both"/>
        <w:ind w:left="130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Maturity Date</w:t>
      </w:r>
      <w:r>
        <w:rPr>
          <w:rFonts w:ascii="Arial" w:cs="Arial" w:eastAsia="Arial" w:hAnsi="Arial"/>
          <w:sz w:val="20"/>
          <w:szCs w:val="20"/>
          <w:color w:val="auto"/>
        </w:rPr>
        <w:t xml:space="preserve">” means January 29, 2026; </w:t>
      </w:r>
      <w:r>
        <w:rPr>
          <w:rFonts w:ascii="Arial" w:cs="Arial" w:eastAsia="Arial" w:hAnsi="Arial"/>
          <w:sz w:val="20"/>
          <w:szCs w:val="20"/>
          <w:u w:val="single" w:color="auto"/>
          <w:color w:val="auto"/>
        </w:rPr>
        <w:t>provided</w:t>
      </w:r>
      <w:r>
        <w:rPr>
          <w:rFonts w:ascii="Arial" w:cs="Arial" w:eastAsia="Arial" w:hAnsi="Arial"/>
          <w:sz w:val="20"/>
          <w:szCs w:val="20"/>
          <w:color w:val="auto"/>
        </w:rPr>
        <w:t>, however, that, if such date is not a Business Day, the Maturity Date shall be the next preceding Business Day.</w:t>
      </w:r>
    </w:p>
    <w:p>
      <w:pPr>
        <w:spacing w:after="0" w:line="150" w:lineRule="exact"/>
        <w:rPr>
          <w:sz w:val="20"/>
          <w:szCs w:val="20"/>
          <w:color w:val="auto"/>
        </w:rPr>
      </w:pPr>
    </w:p>
    <w:p>
      <w:pPr>
        <w:jc w:val="both"/>
        <w:ind w:left="1300"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w:t>
      </w:r>
      <w:r>
        <w:rPr>
          <w:rFonts w:ascii="Arial" w:cs="Arial" w:eastAsia="Arial" w:hAnsi="Arial"/>
          <w:sz w:val="18"/>
          <w:szCs w:val="18"/>
          <w:color w:val="auto"/>
        </w:rPr>
        <w:t xml:space="preserve">” means, as to each Revolving Lender, its obligation to (a) make Revolving Loans to the Borrower pursuant to </w:t>
      </w:r>
      <w:r>
        <w:rPr>
          <w:rFonts w:ascii="Arial" w:cs="Arial" w:eastAsia="Arial" w:hAnsi="Arial"/>
          <w:sz w:val="18"/>
          <w:szCs w:val="18"/>
          <w:u w:val="single" w:color="auto"/>
          <w:color w:val="auto"/>
        </w:rPr>
        <w:t>Section 2.01(b)</w:t>
      </w:r>
      <w:r>
        <w:rPr>
          <w:rFonts w:ascii="Arial" w:cs="Arial" w:eastAsia="Arial" w:hAnsi="Arial"/>
          <w:sz w:val="18"/>
          <w:szCs w:val="18"/>
          <w:color w:val="auto"/>
        </w:rPr>
        <w:t xml:space="preserve">, (b) purchase participations in L/C Obligations, and (c) purchase participations in Swingline Loans, in an aggregate principal amount at any one time outstanding not to exceed the amount set forth opposite such Lender’s name on </w:t>
      </w:r>
      <w:r>
        <w:rPr>
          <w:rFonts w:ascii="Arial" w:cs="Arial" w:eastAsia="Arial" w:hAnsi="Arial"/>
          <w:sz w:val="18"/>
          <w:szCs w:val="18"/>
          <w:u w:val="single" w:color="auto"/>
          <w:color w:val="auto"/>
        </w:rPr>
        <w:t>Schedule 1.01(b)</w:t>
      </w:r>
      <w:r>
        <w:rPr>
          <w:rFonts w:ascii="Arial" w:cs="Arial" w:eastAsia="Arial" w:hAnsi="Arial"/>
          <w:sz w:val="18"/>
          <w:szCs w:val="18"/>
          <w:color w:val="auto"/>
        </w:rPr>
        <w:t xml:space="preserve"> under the caption “Revolving Commitment” or opposite such caption in the Assignment and Assumption pursuant to which such Lender becomes a party hereto, as applicable, as such amount may be adjusted from time to time in accordance with this Agreement. The Revolving Commitment of all of the Revolving Lenders on the Third Amendment Effective Date shall be $100,000,000.</w:t>
      </w:r>
    </w:p>
    <w:p>
      <w:pPr>
        <w:spacing w:after="0" w:line="155" w:lineRule="exact"/>
        <w:rPr>
          <w:sz w:val="20"/>
          <w:szCs w:val="20"/>
          <w:color w:val="auto"/>
        </w:rPr>
      </w:pPr>
    </w:p>
    <w:p>
      <w:pPr>
        <w:ind w:firstLine="1304"/>
        <w:spacing w:after="0" w:line="260" w:lineRule="auto"/>
        <w:tabs>
          <w:tab w:leader="none" w:pos="2079"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Amendment to Section 3.03</w:t>
      </w:r>
      <w:r>
        <w:rPr>
          <w:rFonts w:ascii="Arial" w:cs="Arial" w:eastAsia="Arial" w:hAnsi="Arial"/>
          <w:sz w:val="20"/>
          <w:szCs w:val="20"/>
          <w:color w:val="auto"/>
        </w:rPr>
        <w:t xml:space="preserve"> </w:t>
      </w:r>
      <w:r>
        <w:rPr>
          <w:rFonts w:ascii="Arial" w:cs="Arial" w:eastAsia="Arial" w:hAnsi="Arial"/>
          <w:sz w:val="20"/>
          <w:szCs w:val="20"/>
          <w:u w:val="single" w:color="auto"/>
          <w:color w:val="auto"/>
        </w:rPr>
        <w:t>–</w:t>
      </w:r>
      <w:r>
        <w:rPr>
          <w:rFonts w:ascii="Arial" w:cs="Arial" w:eastAsia="Arial" w:hAnsi="Arial"/>
          <w:sz w:val="20"/>
          <w:szCs w:val="20"/>
          <w:color w:val="auto"/>
        </w:rPr>
        <w:t xml:space="preserve"> </w:t>
      </w:r>
      <w:r>
        <w:rPr>
          <w:rFonts w:ascii="Arial" w:cs="Arial" w:eastAsia="Arial" w:hAnsi="Arial"/>
          <w:sz w:val="20"/>
          <w:szCs w:val="20"/>
          <w:u w:val="single" w:color="auto"/>
          <w:color w:val="auto"/>
        </w:rPr>
        <w:t>Inability to Determine Rates</w:t>
      </w:r>
      <w:r>
        <w:rPr>
          <w:rFonts w:ascii="Arial" w:cs="Arial" w:eastAsia="Arial" w:hAnsi="Arial"/>
          <w:sz w:val="20"/>
          <w:szCs w:val="20"/>
          <w:color w:val="auto"/>
        </w:rPr>
        <w:t>. Section 3.03 of the Credit Agreement is hereby amended and restated in its entirety to read as follows: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19"/>
          <w:szCs w:val="19"/>
          <w:color w:val="auto"/>
        </w:rPr>
        <w:t>Section 3.03.</w:t>
      </w:r>
      <w:r>
        <w:rPr>
          <w:rFonts w:ascii="Arial" w:cs="Arial" w:eastAsia="Arial" w:hAnsi="Arial"/>
          <w:sz w:val="22"/>
          <w:szCs w:val="22"/>
          <w:color w:val="auto"/>
        </w:rPr>
        <w:t xml:space="preserve"> </w:t>
      </w:r>
      <w:r>
        <w:rPr>
          <w:rFonts w:ascii="Arial" w:cs="Arial" w:eastAsia="Arial" w:hAnsi="Arial"/>
          <w:sz w:val="19"/>
          <w:szCs w:val="19"/>
          <w:u w:val="single" w:color="auto"/>
          <w:color w:val="auto"/>
        </w:rPr>
        <w:t>Inability to Determine Rates</w:t>
      </w:r>
      <w:r>
        <w:rPr>
          <w:rFonts w:ascii="Arial" w:cs="Arial" w:eastAsia="Arial" w:hAnsi="Arial"/>
          <w:sz w:val="19"/>
          <w:szCs w:val="19"/>
          <w:color w:val="auto"/>
        </w:rPr>
        <w:t>.</w:t>
      </w:r>
    </w:p>
    <w:p>
      <w:pPr>
        <w:spacing w:after="0" w:line="196" w:lineRule="exact"/>
        <w:rPr>
          <w:sz w:val="20"/>
          <w:szCs w:val="20"/>
          <w:color w:val="auto"/>
        </w:rPr>
      </w:pPr>
    </w:p>
    <w:p>
      <w:pPr>
        <w:jc w:val="both"/>
        <w:ind w:left="660" w:firstLine="644"/>
        <w:spacing w:after="0" w:line="263" w:lineRule="auto"/>
        <w:tabs>
          <w:tab w:leader="none" w:pos="2145" w:val="left"/>
        </w:tabs>
        <w:numPr>
          <w:ilvl w:val="0"/>
          <w:numId w:val="14"/>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Agreement or any other Loan Documents,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 w:name="page9"/>
    <w:bookmarkEnd w:id="8"/>
    <w:p>
      <w:pPr>
        <w:jc w:val="both"/>
        <w:ind w:left="840" w:firstLine="652"/>
        <w:spacing w:after="0" w:line="291" w:lineRule="auto"/>
        <w:tabs>
          <w:tab w:leader="none" w:pos="2522"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adequate and reasonable means do not exist for ascertaining LIBOR for any Interest Period hereunder or any other tenors of LIBOR, including, without limitation, because the LIBOR Rate is not available or published on a current basis and such circumstances are unlikely to be temporary; or</w:t>
      </w:r>
    </w:p>
    <w:p>
      <w:pPr>
        <w:spacing w:after="0" w:line="152" w:lineRule="exact"/>
        <w:rPr>
          <w:rFonts w:ascii="Arial" w:cs="Arial" w:eastAsia="Arial" w:hAnsi="Arial"/>
          <w:sz w:val="18"/>
          <w:szCs w:val="18"/>
          <w:color w:val="auto"/>
        </w:rPr>
      </w:pPr>
    </w:p>
    <w:p>
      <w:pPr>
        <w:jc w:val="both"/>
        <w:ind w:left="840" w:firstLine="652"/>
        <w:spacing w:after="0" w:line="259" w:lineRule="auto"/>
        <w:tabs>
          <w:tab w:leader="none" w:pos="2238"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the administrator of the LIBOR Rate or a Governmental Authority having jurisdiction over the Administrative Agent or such administrator has made a public statement identifying a specific date after which LIBOR or the LIBOR Rate shall no longer be made available, or used for determining the interest rate of loans, provided that, at the time of such statement, there is no successor administrator that is satisfactory to the Administrative Agent, that will continue to provide LIBOR after such specific date (such specific date, the “</w:t>
      </w:r>
      <w:r>
        <w:rPr>
          <w:rFonts w:ascii="Arial" w:cs="Arial" w:eastAsia="Arial" w:hAnsi="Arial"/>
          <w:sz w:val="19"/>
          <w:szCs w:val="19"/>
          <w:u w:val="single" w:color="auto"/>
          <w:color w:val="auto"/>
        </w:rPr>
        <w:t>Scheduled Unavailability Date</w:t>
      </w:r>
      <w:r>
        <w:rPr>
          <w:rFonts w:ascii="Arial" w:cs="Arial" w:eastAsia="Arial" w:hAnsi="Arial"/>
          <w:sz w:val="19"/>
          <w:szCs w:val="19"/>
          <w:color w:val="auto"/>
        </w:rPr>
        <w:t>”); or</w:t>
      </w:r>
    </w:p>
    <w:p>
      <w:pPr>
        <w:spacing w:after="0" w:line="178" w:lineRule="exact"/>
        <w:rPr>
          <w:rFonts w:ascii="Arial" w:cs="Arial" w:eastAsia="Arial" w:hAnsi="Arial"/>
          <w:sz w:val="19"/>
          <w:szCs w:val="19"/>
          <w:color w:val="auto"/>
        </w:rPr>
      </w:pPr>
    </w:p>
    <w:p>
      <w:pPr>
        <w:jc w:val="both"/>
        <w:ind w:left="840" w:firstLine="652"/>
        <w:spacing w:after="0" w:line="250" w:lineRule="auto"/>
        <w:tabs>
          <w:tab w:leader="none" w:pos="2224"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administrator of the LIBOR Rate or a Governmental Authority having jurisdiction over such administrator has made a public statement announcing that all Interest Periods and other tenors of LIBOR are no longer representative; or</w:t>
      </w:r>
    </w:p>
    <w:p>
      <w:pPr>
        <w:spacing w:after="0" w:line="185" w:lineRule="exact"/>
        <w:rPr>
          <w:rFonts w:ascii="Arial" w:cs="Arial" w:eastAsia="Arial" w:hAnsi="Arial"/>
          <w:sz w:val="20"/>
          <w:szCs w:val="20"/>
          <w:color w:val="auto"/>
        </w:rPr>
      </w:pPr>
    </w:p>
    <w:p>
      <w:pPr>
        <w:jc w:val="both"/>
        <w:ind w:left="840" w:firstLine="652"/>
        <w:spacing w:after="0" w:line="250" w:lineRule="auto"/>
        <w:tabs>
          <w:tab w:leader="none" w:pos="2537" w:val="left"/>
        </w:tabs>
        <w:numPr>
          <w:ilvl w:val="0"/>
          <w:numId w:val="15"/>
        </w:numPr>
        <w:rPr>
          <w:rFonts w:ascii="Arial" w:cs="Arial" w:eastAsia="Arial" w:hAnsi="Arial"/>
          <w:sz w:val="20"/>
          <w:szCs w:val="20"/>
          <w:color w:val="auto"/>
        </w:rPr>
      </w:pPr>
      <w:r>
        <w:rPr>
          <w:rFonts w:ascii="Arial" w:cs="Arial" w:eastAsia="Arial" w:hAnsi="Arial"/>
          <w:sz w:val="20"/>
          <w:szCs w:val="20"/>
          <w:color w:val="auto"/>
        </w:rPr>
        <w:t xml:space="preserve">syndicated loans currently being executed, or that include language similar to that contained in this </w:t>
      </w:r>
      <w:r>
        <w:rPr>
          <w:rFonts w:ascii="Arial" w:cs="Arial" w:eastAsia="Arial" w:hAnsi="Arial"/>
          <w:sz w:val="20"/>
          <w:szCs w:val="20"/>
          <w:u w:val="single" w:color="auto"/>
          <w:color w:val="auto"/>
        </w:rPr>
        <w:t>Section 3.03</w:t>
      </w:r>
      <w:r>
        <w:rPr>
          <w:rFonts w:ascii="Arial" w:cs="Arial" w:eastAsia="Arial" w:hAnsi="Arial"/>
          <w:sz w:val="20"/>
          <w:szCs w:val="20"/>
          <w:color w:val="auto"/>
        </w:rPr>
        <w:t>, are being executed or amended (as applicable) to incorporate or adopt a new benchmark interest rate to replace LIBOR;,</w:t>
      </w:r>
    </w:p>
    <w:p>
      <w:pPr>
        <w:spacing w:after="0" w:line="186" w:lineRule="exact"/>
        <w:rPr>
          <w:sz w:val="20"/>
          <w:szCs w:val="20"/>
          <w:color w:val="auto"/>
        </w:rPr>
      </w:pPr>
    </w:p>
    <w:p>
      <w:pPr>
        <w:jc w:val="both"/>
        <w:ind w:left="200"/>
        <w:spacing w:after="0" w:line="255" w:lineRule="auto"/>
        <w:rPr>
          <w:sz w:val="20"/>
          <w:szCs w:val="20"/>
          <w:color w:val="auto"/>
        </w:rPr>
      </w:pPr>
      <w:r>
        <w:rPr>
          <w:rFonts w:ascii="Arial" w:cs="Arial" w:eastAsia="Arial" w:hAnsi="Arial"/>
          <w:sz w:val="19"/>
          <w:szCs w:val="19"/>
          <w:color w:val="auto"/>
        </w:rPr>
        <w:t>then, in the case of clauses (i)-(iii) above, on a date and time determined by the Administrative Agent (any such date, the “</w:t>
      </w:r>
      <w:r>
        <w:rPr>
          <w:rFonts w:ascii="Arial" w:cs="Arial" w:eastAsia="Arial" w:hAnsi="Arial"/>
          <w:sz w:val="19"/>
          <w:szCs w:val="19"/>
          <w:u w:val="single" w:color="auto"/>
          <w:color w:val="auto"/>
        </w:rPr>
        <w:t>LIBOR Replacement Date</w:t>
      </w:r>
      <w:r>
        <w:rPr>
          <w:rFonts w:ascii="Arial" w:cs="Arial" w:eastAsia="Arial" w:hAnsi="Arial"/>
          <w:sz w:val="19"/>
          <w:szCs w:val="19"/>
          <w:color w:val="auto"/>
        </w:rPr>
        <w:t>”), which date shall be at the end of an Interest Period or on the relevant interest payment date, as applicable, for interest calculated and shall occur reasonably promptly upon the occurrence of any of the events or circumstances under clauses (i), (ii) or (iii) above and, solely with respect to clause (ii) above, no later than the Scheduled Unavailability Date, LIBOR will be replaced hereunder and under any Loan Document with, subject to the proviso below, the first available alternative set forth in the order below for any payment period for interest calculated that can be determined by the Administrative Agent, in each case, without any amendment to, or further action or consent of any other party to, this Agreement or any other Loan Document (the “</w:t>
      </w:r>
      <w:r>
        <w:rPr>
          <w:rFonts w:ascii="Arial" w:cs="Arial" w:eastAsia="Arial" w:hAnsi="Arial"/>
          <w:sz w:val="19"/>
          <w:szCs w:val="19"/>
          <w:u w:val="single" w:color="auto"/>
          <w:color w:val="auto"/>
        </w:rPr>
        <w:t>LIBOR</w:t>
      </w:r>
      <w:r>
        <w:rPr>
          <w:rFonts w:ascii="Arial" w:cs="Arial" w:eastAsia="Arial" w:hAnsi="Arial"/>
          <w:sz w:val="19"/>
          <w:szCs w:val="19"/>
          <w:color w:val="auto"/>
        </w:rPr>
        <w:t xml:space="preserve"> </w:t>
      </w:r>
      <w:r>
        <w:rPr>
          <w:rFonts w:ascii="Arial" w:cs="Arial" w:eastAsia="Arial" w:hAnsi="Arial"/>
          <w:sz w:val="19"/>
          <w:szCs w:val="19"/>
          <w:u w:val="single" w:color="auto"/>
          <w:color w:val="auto"/>
        </w:rPr>
        <w:t>Successor Rate</w:t>
      </w:r>
      <w:r>
        <w:rPr>
          <w:rFonts w:ascii="Arial" w:cs="Arial" w:eastAsia="Arial" w:hAnsi="Arial"/>
          <w:sz w:val="19"/>
          <w:szCs w:val="19"/>
          <w:color w:val="auto"/>
        </w:rPr>
        <w:t>”; and any such rate before giving effect to the Related Adjustment, the “</w:t>
      </w:r>
      <w:r>
        <w:rPr>
          <w:rFonts w:ascii="Arial" w:cs="Arial" w:eastAsia="Arial" w:hAnsi="Arial"/>
          <w:sz w:val="19"/>
          <w:szCs w:val="19"/>
          <w:u w:val="single" w:color="auto"/>
          <w:color w:val="auto"/>
        </w:rPr>
        <w:t>Pre-Adjustment Successor</w:t>
      </w:r>
      <w:r>
        <w:rPr>
          <w:rFonts w:ascii="Arial" w:cs="Arial" w:eastAsia="Arial" w:hAnsi="Arial"/>
          <w:sz w:val="19"/>
          <w:szCs w:val="19"/>
          <w:color w:val="auto"/>
        </w:rPr>
        <w:t xml:space="preserve"> </w:t>
      </w:r>
      <w:r>
        <w:rPr>
          <w:rFonts w:ascii="Arial" w:cs="Arial" w:eastAsia="Arial" w:hAnsi="Arial"/>
          <w:sz w:val="19"/>
          <w:szCs w:val="19"/>
          <w:u w:val="single" w:color="auto"/>
          <w:color w:val="auto"/>
        </w:rPr>
        <w:t>Rate</w:t>
      </w:r>
      <w:r>
        <w:rPr>
          <w:rFonts w:ascii="Arial" w:cs="Arial" w:eastAsia="Arial" w:hAnsi="Arial"/>
          <w:sz w:val="19"/>
          <w:szCs w:val="19"/>
          <w:color w:val="auto"/>
        </w:rPr>
        <w:t>”):</w:t>
      </w:r>
    </w:p>
    <w:p>
      <w:pPr>
        <w:spacing w:after="0" w:line="82" w:lineRule="exact"/>
        <w:rPr>
          <w:sz w:val="20"/>
          <w:szCs w:val="20"/>
          <w:color w:val="auto"/>
        </w:rPr>
      </w:pPr>
    </w:p>
    <w:p>
      <w:pPr>
        <w:ind w:left="1520" w:hanging="676"/>
        <w:spacing w:after="0"/>
        <w:tabs>
          <w:tab w:leader="none" w:pos="15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 xml:space="preserve">Term SOFR </w:t>
      </w:r>
      <w:r>
        <w:rPr>
          <w:rFonts w:ascii="Arial" w:cs="Arial" w:eastAsia="Arial" w:hAnsi="Arial"/>
          <w:sz w:val="20"/>
          <w:szCs w:val="20"/>
          <w:i w:val="1"/>
          <w:iCs w:val="1"/>
          <w:color w:val="auto"/>
        </w:rPr>
        <w:t>plus</w:t>
      </w:r>
      <w:r>
        <w:rPr>
          <w:rFonts w:ascii="Arial" w:cs="Arial" w:eastAsia="Arial" w:hAnsi="Arial"/>
          <w:sz w:val="20"/>
          <w:szCs w:val="20"/>
          <w:color w:val="auto"/>
        </w:rPr>
        <w:t xml:space="preserve"> the Related Adjustment; and</w:t>
      </w:r>
    </w:p>
    <w:p>
      <w:pPr>
        <w:spacing w:after="0" w:line="107" w:lineRule="exact"/>
        <w:rPr>
          <w:rFonts w:ascii="Arial" w:cs="Arial" w:eastAsia="Arial" w:hAnsi="Arial"/>
          <w:sz w:val="20"/>
          <w:szCs w:val="20"/>
          <w:color w:val="auto"/>
        </w:rPr>
      </w:pPr>
    </w:p>
    <w:p>
      <w:pPr>
        <w:ind w:left="1520" w:hanging="676"/>
        <w:spacing w:after="0"/>
        <w:tabs>
          <w:tab w:leader="none" w:pos="15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 xml:space="preserve">SOFR </w:t>
      </w:r>
      <w:r>
        <w:rPr>
          <w:rFonts w:ascii="Arial" w:cs="Arial" w:eastAsia="Arial" w:hAnsi="Arial"/>
          <w:sz w:val="20"/>
          <w:szCs w:val="20"/>
          <w:i w:val="1"/>
          <w:iCs w:val="1"/>
          <w:color w:val="auto"/>
        </w:rPr>
        <w:t>plus</w:t>
      </w:r>
      <w:r>
        <w:rPr>
          <w:rFonts w:ascii="Arial" w:cs="Arial" w:eastAsia="Arial" w:hAnsi="Arial"/>
          <w:sz w:val="20"/>
          <w:szCs w:val="20"/>
          <w:color w:val="auto"/>
        </w:rPr>
        <w:t xml:space="preserve"> the Related Adjustment;</w:t>
      </w:r>
    </w:p>
    <w:p>
      <w:pPr>
        <w:spacing w:after="0" w:line="108" w:lineRule="exact"/>
        <w:rPr>
          <w:sz w:val="20"/>
          <w:szCs w:val="20"/>
          <w:color w:val="auto"/>
        </w:rPr>
      </w:pPr>
    </w:p>
    <w:p>
      <w:pPr>
        <w:jc w:val="both"/>
        <w:ind w:left="200"/>
        <w:spacing w:after="0" w:line="257" w:lineRule="auto"/>
        <w:rPr>
          <w:sz w:val="20"/>
          <w:szCs w:val="20"/>
          <w:color w:val="auto"/>
        </w:rPr>
      </w:pPr>
      <w:r>
        <w:rPr>
          <w:rFonts w:ascii="Arial" w:cs="Arial" w:eastAsia="Arial" w:hAnsi="Arial"/>
          <w:sz w:val="19"/>
          <w:szCs w:val="19"/>
          <w:color w:val="auto"/>
        </w:rPr>
        <w:t>and in the case of clause (iv) above, the Borrower and Administrative Agent may amend this Agreement solely for the purpose of replacing LIBOR under this Agreement and under any other Loan Document in accordance with the definition of “LIBOR Successor Rate” and such amendment will become effective at 5:00 p.m., on the fifth Business Day after the Administrative Agent shall have notified all Lenders and the Borrower of the occurrence of the circumstances described in clause (iv) above unless, prior to such time, Lenders comprising the Required Lenders have delivered to the Administrative Agent written notice that such Required Lenders object to the implementation of a LIBOR Successor Rate pursuant to such clause;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9" w:name="page10"/>
    <w:bookmarkEnd w:id="9"/>
    <w:p>
      <w:pPr>
        <w:jc w:val="both"/>
        <w:ind w:left="200"/>
        <w:spacing w:after="0" w:line="242" w:lineRule="auto"/>
        <w:rPr>
          <w:sz w:val="20"/>
          <w:szCs w:val="20"/>
          <w:color w:val="auto"/>
        </w:rPr>
      </w:pPr>
      <w:r>
        <w:rPr>
          <w:rFonts w:ascii="Arial" w:cs="Arial" w:eastAsia="Arial" w:hAnsi="Arial"/>
          <w:sz w:val="20"/>
          <w:szCs w:val="20"/>
          <w:i w:val="1"/>
          <w:iCs w:val="1"/>
          <w:u w:val="single" w:color="auto"/>
          <w:color w:val="auto"/>
        </w:rPr>
        <w:t>provided</w:t>
      </w:r>
      <w:r>
        <w:rPr>
          <w:rFonts w:ascii="Arial" w:cs="Arial" w:eastAsia="Arial" w:hAnsi="Arial"/>
          <w:sz w:val="20"/>
          <w:szCs w:val="20"/>
          <w:i w:val="1"/>
          <w:iCs w:val="1"/>
          <w:color w:val="auto"/>
        </w:rPr>
        <w:t xml:space="preserve"> </w:t>
      </w:r>
      <w:r>
        <w:rPr>
          <w:rFonts w:ascii="Arial" w:cs="Arial" w:eastAsia="Arial" w:hAnsi="Arial"/>
          <w:sz w:val="20"/>
          <w:szCs w:val="20"/>
          <w:color w:val="auto"/>
        </w:rPr>
        <w:t>that, if the Administrative Agent determines that Term SOFR has become available, is administratively</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feasible for the Administrative Agent and would have been identified as the Pre-Adjustment Successor Rate in accordance with the foregoing if it had been so available at the time that the LIBOR Successor Rate then in effect was so identified, and the Administrative Agent notifies the Borrower and each Lender of such availability, then from and after the beginning of the Interest Period, relevant interest payment date or payment period for interest calculated, in each case, commencing no less than thirty (30) days after the date of such notice, the Pre-Adjustment Successor Rate shall be Term SOFR and the LIBOR Successor Rate shall be Term SOFR </w:t>
      </w:r>
      <w:r>
        <w:rPr>
          <w:rFonts w:ascii="Arial" w:cs="Arial" w:eastAsia="Arial" w:hAnsi="Arial"/>
          <w:sz w:val="20"/>
          <w:szCs w:val="20"/>
          <w:i w:val="1"/>
          <w:iCs w:val="1"/>
          <w:color w:val="auto"/>
        </w:rPr>
        <w:t>plus</w:t>
      </w:r>
      <w:r>
        <w:rPr>
          <w:rFonts w:ascii="Arial" w:cs="Arial" w:eastAsia="Arial" w:hAnsi="Arial"/>
          <w:sz w:val="20"/>
          <w:szCs w:val="20"/>
          <w:color w:val="auto"/>
        </w:rPr>
        <w:t xml:space="preserve"> the relevant Related Adjustment.</w:t>
      </w:r>
    </w:p>
    <w:p>
      <w:pPr>
        <w:spacing w:after="0" w:line="198" w:lineRule="exact"/>
        <w:rPr>
          <w:sz w:val="20"/>
          <w:szCs w:val="20"/>
          <w:color w:val="auto"/>
        </w:rPr>
      </w:pPr>
    </w:p>
    <w:p>
      <w:pPr>
        <w:ind w:left="840"/>
        <w:spacing w:after="0"/>
        <w:rPr>
          <w:sz w:val="20"/>
          <w:szCs w:val="20"/>
          <w:color w:val="auto"/>
        </w:rPr>
      </w:pPr>
      <w:r>
        <w:rPr>
          <w:rFonts w:ascii="Arial" w:cs="Arial" w:eastAsia="Arial" w:hAnsi="Arial"/>
          <w:sz w:val="19"/>
          <w:szCs w:val="19"/>
          <w:color w:val="auto"/>
        </w:rPr>
        <w:t>The Administrative Agent will promptly (in one or more notices) notify the Borrower and each Lender of</w:t>
      </w:r>
    </w:p>
    <w:p>
      <w:pPr>
        <w:spacing w:after="0" w:line="27" w:lineRule="exact"/>
        <w:rPr>
          <w:sz w:val="20"/>
          <w:szCs w:val="20"/>
          <w:color w:val="auto"/>
        </w:rPr>
      </w:pPr>
    </w:p>
    <w:p>
      <w:pPr>
        <w:ind w:left="200" w:right="20" w:hanging="4"/>
        <w:spacing w:after="0" w:line="244" w:lineRule="auto"/>
        <w:tabs>
          <w:tab w:leader="none" w:pos="485" w:val="left"/>
        </w:tabs>
        <w:numPr>
          <w:ilvl w:val="0"/>
          <w:numId w:val="17"/>
        </w:numPr>
        <w:rPr>
          <w:rFonts w:ascii="Arial" w:cs="Arial" w:eastAsia="Arial" w:hAnsi="Arial"/>
          <w:sz w:val="20"/>
          <w:szCs w:val="20"/>
          <w:color w:val="auto"/>
        </w:rPr>
      </w:pPr>
      <w:r>
        <w:rPr>
          <w:rFonts w:ascii="Arial" w:cs="Arial" w:eastAsia="Arial" w:hAnsi="Arial"/>
          <w:sz w:val="20"/>
          <w:szCs w:val="20"/>
          <w:color w:val="auto"/>
        </w:rPr>
        <w:t>any occurrence of any of the events, periods or circumstances under clauses (i) through (iii) above, (y) a LIBOR Replacement Date and (z) the LIBOR Successor Rate.</w:t>
      </w:r>
    </w:p>
    <w:p>
      <w:pPr>
        <w:spacing w:after="0" w:line="191" w:lineRule="exact"/>
        <w:rPr>
          <w:sz w:val="20"/>
          <w:szCs w:val="20"/>
          <w:color w:val="auto"/>
        </w:rPr>
      </w:pPr>
    </w:p>
    <w:p>
      <w:pPr>
        <w:jc w:val="both"/>
        <w:ind w:left="200" w:firstLine="648"/>
        <w:spacing w:after="0" w:line="291" w:lineRule="auto"/>
        <w:rPr>
          <w:sz w:val="20"/>
          <w:szCs w:val="20"/>
          <w:color w:val="auto"/>
        </w:rPr>
      </w:pPr>
      <w:r>
        <w:rPr>
          <w:rFonts w:ascii="Arial" w:cs="Arial" w:eastAsia="Arial" w:hAnsi="Arial"/>
          <w:sz w:val="18"/>
          <w:szCs w:val="18"/>
          <w:color w:val="auto"/>
        </w:rPr>
        <w:t xml:space="preserve">Any LIBOR Successor Rate shall be applied in a manner consistent with market practice;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such market practice is not administratively feasible for the Administrative Agent, such LIBOR Successor Rate shall be applied in a manner as otherwise reasonably determined by the Administrative Agent.</w:t>
      </w:r>
    </w:p>
    <w:p>
      <w:pPr>
        <w:spacing w:after="0" w:line="152" w:lineRule="exact"/>
        <w:rPr>
          <w:sz w:val="20"/>
          <w:szCs w:val="20"/>
          <w:color w:val="auto"/>
        </w:rPr>
      </w:pPr>
    </w:p>
    <w:p>
      <w:pPr>
        <w:jc w:val="both"/>
        <w:ind w:left="200" w:firstLine="648"/>
        <w:spacing w:after="0" w:line="250" w:lineRule="auto"/>
        <w:rPr>
          <w:sz w:val="20"/>
          <w:szCs w:val="20"/>
          <w:color w:val="auto"/>
        </w:rPr>
      </w:pPr>
      <w:r>
        <w:rPr>
          <w:rFonts w:ascii="Arial" w:cs="Arial" w:eastAsia="Arial" w:hAnsi="Arial"/>
          <w:sz w:val="20"/>
          <w:szCs w:val="20"/>
          <w:color w:val="auto"/>
        </w:rPr>
        <w:t>Notwithstanding anything else herein, if at any time any LIBOR Successor Rate as so determined would otherwise be less than 0%, the LIBOR Successor Rate will be deemed to be 0% for the purposes of this Agreement and the other Loan Documents.</w:t>
      </w:r>
    </w:p>
    <w:p>
      <w:pPr>
        <w:spacing w:after="0" w:line="186" w:lineRule="exact"/>
        <w:rPr>
          <w:sz w:val="20"/>
          <w:szCs w:val="20"/>
          <w:color w:val="auto"/>
        </w:rPr>
      </w:pPr>
    </w:p>
    <w:p>
      <w:pPr>
        <w:jc w:val="both"/>
        <w:ind w:left="200" w:firstLine="648"/>
        <w:spacing w:after="0" w:line="257" w:lineRule="auto"/>
        <w:rPr>
          <w:sz w:val="20"/>
          <w:szCs w:val="20"/>
          <w:color w:val="auto"/>
        </w:rPr>
      </w:pPr>
      <w:r>
        <w:rPr>
          <w:rFonts w:ascii="Arial" w:cs="Arial" w:eastAsia="Arial" w:hAnsi="Arial"/>
          <w:sz w:val="19"/>
          <w:szCs w:val="19"/>
          <w:color w:val="auto"/>
        </w:rPr>
        <w:t xml:space="preserve">In connection with the implementation of a LIBOR Successor Rate, the Administrative Agent will have the right to make LIBOR Successor Rate Conforming Changes from time to time and, notwithstanding anything to the contrary herein or in any other Loan Document, any amendments implementing such LIBOR Successor Rate Conforming Changes will become effective without any further action or consent of any other party to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any such amendment effected, the Administrative Agent shall post each such amendment implementing such LIBOR Successor Rate Conforming Changes to the Borrower and the Lenders reasonably promptly after such amendment becomes effective.</w:t>
      </w:r>
    </w:p>
    <w:p>
      <w:pPr>
        <w:spacing w:after="0" w:line="185" w:lineRule="exact"/>
        <w:rPr>
          <w:sz w:val="20"/>
          <w:szCs w:val="20"/>
          <w:color w:val="auto"/>
        </w:rPr>
      </w:pPr>
    </w:p>
    <w:p>
      <w:pPr>
        <w:jc w:val="both"/>
        <w:ind w:left="200" w:firstLine="648"/>
        <w:spacing w:after="0" w:line="250" w:lineRule="auto"/>
        <w:rPr>
          <w:sz w:val="20"/>
          <w:szCs w:val="20"/>
          <w:color w:val="auto"/>
        </w:rPr>
      </w:pPr>
      <w:r>
        <w:rPr>
          <w:rFonts w:ascii="Arial" w:cs="Arial" w:eastAsia="Arial" w:hAnsi="Arial"/>
          <w:sz w:val="20"/>
          <w:szCs w:val="20"/>
          <w:color w:val="auto"/>
        </w:rPr>
        <w:t>If the events or circumstances of the type described in 3.03(a)(i)-(iii) have occurred with respect to the LIBOR Successor Rate then in effect, then the successor rate thereto shall be determined in accordance with the definition of “LIBOR Successor Rate.”</w:t>
      </w:r>
    </w:p>
    <w:p>
      <w:pPr>
        <w:spacing w:after="0" w:line="186" w:lineRule="exact"/>
        <w:rPr>
          <w:sz w:val="20"/>
          <w:szCs w:val="20"/>
          <w:color w:val="auto"/>
        </w:rPr>
      </w:pPr>
    </w:p>
    <w:p>
      <w:pPr>
        <w:jc w:val="both"/>
        <w:ind w:left="200" w:firstLine="644"/>
        <w:spacing w:after="0" w:line="256" w:lineRule="auto"/>
        <w:tabs>
          <w:tab w:leader="none" w:pos="1952" w:val="left"/>
        </w:tabs>
        <w:numPr>
          <w:ilvl w:val="0"/>
          <w:numId w:val="18"/>
        </w:numPr>
        <w:rPr>
          <w:rFonts w:ascii="Arial" w:cs="Arial" w:eastAsia="Arial" w:hAnsi="Arial"/>
          <w:sz w:val="19"/>
          <w:szCs w:val="19"/>
          <w:color w:val="auto"/>
        </w:rPr>
      </w:pPr>
      <w:r>
        <w:rPr>
          <w:rFonts w:ascii="Arial" w:cs="Arial" w:eastAsia="Arial" w:hAnsi="Arial"/>
          <w:sz w:val="19"/>
          <w:szCs w:val="19"/>
          <w:color w:val="auto"/>
        </w:rPr>
        <w:t>Notwithstanding anything to the contrary herein, (i) after any such determination by the Administrative Agent or receipt by the Administrative Agent of any such notice described under Section 3.03(a)(i)-(iii), as applicable, if the Administrative Agent determines that none of the LIBOR Successor Rates is available on or prior to the LIBOR Replacement Date, (ii) if the events or circumstances described in Section 3.03(a)(iv) have occurred but none of the LIBOR Successor Rates is available, or (iii) if the events or circumstances of the type described in Section 3.03(a)(i)-(iii) have occurred with respect to the LIBOR Successor Rate then in effect and the Administrative Agent determines that none of the LIBOR Successor Rates is available, then in each case, the Administrative Agent and the Borrower may amend this Agreement solely for the purpose of replacing LIBOR or any then current LIBOR Successor Rate in accordance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10" w:name="page11"/>
    <w:bookmarkEnd w:id="10"/>
    <w:p>
      <w:pPr>
        <w:jc w:val="both"/>
        <w:ind w:left="660"/>
        <w:spacing w:after="0" w:line="270" w:lineRule="auto"/>
        <w:rPr>
          <w:sz w:val="20"/>
          <w:szCs w:val="20"/>
          <w:color w:val="auto"/>
        </w:rPr>
      </w:pPr>
      <w:r>
        <w:rPr>
          <w:rFonts w:ascii="Arial" w:cs="Arial" w:eastAsia="Arial" w:hAnsi="Arial"/>
          <w:sz w:val="18"/>
          <w:szCs w:val="18"/>
          <w:color w:val="auto"/>
        </w:rPr>
        <w:t xml:space="preserve">with this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at the end of any Interest Period, relevant interest payment date or payment period for interest calculated, as applicable, with another alternate benchmark rate giving due consideration to any evolving or then existing convention for similar U.S. dollar denominated syndicated credit facilities for such alternative benchmarks and, in each case, including any Related Adjustments and any other mathematical or other adjustments to such benchmark giving due consideration to any evolving or then existing convention for similar U.S. dollar denominated syndicated credit facilities for such benchmarks, which adjustment or method for calculating such adjustment shall be published on an information service as selected by the Administrative Agent from time to time in its reasonable discretion and may be periodically updated. For the avoidance of doubt, any such proposed rate and adjustments shall constitute a LIBOR Successor Rate.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w:t>
      </w:r>
    </w:p>
    <w:p>
      <w:pPr>
        <w:spacing w:after="0" w:line="177" w:lineRule="exact"/>
        <w:rPr>
          <w:sz w:val="20"/>
          <w:szCs w:val="20"/>
          <w:color w:val="auto"/>
        </w:rPr>
      </w:pPr>
    </w:p>
    <w:p>
      <w:pPr>
        <w:jc w:val="both"/>
        <w:ind w:left="660" w:firstLine="644"/>
        <w:spacing w:after="0" w:line="301" w:lineRule="auto"/>
        <w:tabs>
          <w:tab w:leader="none" w:pos="2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If, at the end of any Interest Period, relevant interest payment date or payment period for interest calculated, no LIBOR Successor Rate has been determined in accordance with clauses (a) or (b) of this </w:t>
      </w:r>
      <w:r>
        <w:rPr>
          <w:rFonts w:ascii="Arial" w:cs="Arial" w:eastAsia="Arial" w:hAnsi="Arial"/>
          <w:sz w:val="16"/>
          <w:szCs w:val="16"/>
          <w:u w:val="single" w:color="auto"/>
          <w:color w:val="auto"/>
        </w:rPr>
        <w:t>Section 3.03</w:t>
      </w:r>
      <w:r>
        <w:rPr>
          <w:rFonts w:ascii="Arial" w:cs="Arial" w:eastAsia="Arial" w:hAnsi="Arial"/>
          <w:sz w:val="16"/>
          <w:szCs w:val="16"/>
          <w:color w:val="auto"/>
        </w:rPr>
        <w:t xml:space="preserve"> and the circumstances under clauses (a)(i) or (a)(iii) above exist or the Scheduled Unavailability Date has occurred (as applicable), the Administrative Agent will promptly so notify the Borrower and each Lender. Thereafter, (x) the obligation of the Lenders to make or maintain Eurodollar Rate Loans and LIBOR Daily Floating Rate Loans shall be suspended, (to the extent of the affected Eurodollar Rate Loans, Interest Periods, interest payment dates or payment periods), and (y) the Eurodollar Rate and LIBOR Daily Floating Rate component shall no longer be utilized in determining the Base Rate, until the LIBOR Successor Rate has been determined in accordance with clauses (a) or</w:t>
      </w:r>
    </w:p>
    <w:p>
      <w:pPr>
        <w:spacing w:after="0" w:line="6" w:lineRule="exact"/>
        <w:rPr>
          <w:rFonts w:ascii="Arial" w:cs="Arial" w:eastAsia="Arial" w:hAnsi="Arial"/>
          <w:sz w:val="16"/>
          <w:szCs w:val="16"/>
          <w:color w:val="auto"/>
        </w:rPr>
      </w:pPr>
    </w:p>
    <w:p>
      <w:pPr>
        <w:jc w:val="both"/>
        <w:ind w:left="660"/>
        <w:spacing w:after="0"/>
        <w:rPr>
          <w:rFonts w:ascii="Arial" w:cs="Arial" w:eastAsia="Arial" w:hAnsi="Arial"/>
          <w:sz w:val="16"/>
          <w:szCs w:val="16"/>
          <w:color w:val="auto"/>
        </w:rPr>
      </w:pPr>
      <w:r>
        <w:rPr>
          <w:rFonts w:ascii="Arial" w:cs="Arial" w:eastAsia="Arial" w:hAnsi="Arial"/>
          <w:sz w:val="20"/>
          <w:szCs w:val="20"/>
          <w:color w:val="auto"/>
        </w:rPr>
        <w:t>(b). Upon receipt of such notice, the Borrower may revoke any pending request for a Borrowing of, conversion to or continuation of Eurodollar Rate Loans and LIBOR Daily Floating Rate Loans (to the extent of the affected Eurodollar Rate Loans, Interest Periods, interest payment dates or payment periods) or, failing that, will be deemed to have converted such request into a request for a Borrowing of Base Rate Loans (subject to the foregoing clause (y)) in the amount specified therein.</w:t>
      </w:r>
    </w:p>
    <w:p>
      <w:pPr>
        <w:spacing w:after="0" w:line="198" w:lineRule="exact"/>
        <w:rPr>
          <w:sz w:val="20"/>
          <w:szCs w:val="20"/>
          <w:color w:val="auto"/>
        </w:rPr>
      </w:pPr>
    </w:p>
    <w:p>
      <w:pPr>
        <w:ind w:firstLine="1304"/>
        <w:spacing w:after="0" w:line="260" w:lineRule="auto"/>
        <w:tabs>
          <w:tab w:leader="none" w:pos="2232" w:val="left"/>
        </w:tabs>
        <w:numPr>
          <w:ilvl w:val="0"/>
          <w:numId w:val="20"/>
        </w:numPr>
        <w:rPr>
          <w:rFonts w:ascii="Arial" w:cs="Arial" w:eastAsia="Arial" w:hAnsi="Arial"/>
          <w:sz w:val="20"/>
          <w:szCs w:val="20"/>
          <w:color w:val="auto"/>
        </w:rPr>
      </w:pPr>
      <w:r>
        <w:rPr>
          <w:rFonts w:ascii="Arial" w:cs="Arial" w:eastAsia="Arial" w:hAnsi="Arial"/>
          <w:sz w:val="20"/>
          <w:szCs w:val="20"/>
          <w:u w:val="single" w:color="auto"/>
          <w:color w:val="auto"/>
        </w:rPr>
        <w:t>Amendment to Section 7.12</w:t>
      </w:r>
      <w:r>
        <w:rPr>
          <w:rFonts w:ascii="Arial" w:cs="Arial" w:eastAsia="Arial" w:hAnsi="Arial"/>
          <w:sz w:val="20"/>
          <w:szCs w:val="20"/>
          <w:color w:val="auto"/>
        </w:rPr>
        <w:t xml:space="preserve"> </w:t>
      </w:r>
      <w:r>
        <w:rPr>
          <w:rFonts w:ascii="Arial" w:cs="Arial" w:eastAsia="Arial" w:hAnsi="Arial"/>
          <w:sz w:val="20"/>
          <w:szCs w:val="20"/>
          <w:u w:val="single" w:color="auto"/>
          <w:color w:val="auto"/>
        </w:rPr>
        <w:t>–</w:t>
      </w:r>
      <w:r>
        <w:rPr>
          <w:rFonts w:ascii="Arial" w:cs="Arial" w:eastAsia="Arial" w:hAnsi="Arial"/>
          <w:sz w:val="20"/>
          <w:szCs w:val="20"/>
          <w:color w:val="auto"/>
        </w:rPr>
        <w:t xml:space="preserve"> </w:t>
      </w:r>
      <w:r>
        <w:rPr>
          <w:rFonts w:ascii="Arial" w:cs="Arial" w:eastAsia="Arial" w:hAnsi="Arial"/>
          <w:sz w:val="20"/>
          <w:szCs w:val="20"/>
          <w:u w:val="single" w:color="auto"/>
          <w:color w:val="auto"/>
        </w:rPr>
        <w:t>Capital Expenditures</w:t>
      </w:r>
      <w:r>
        <w:rPr>
          <w:rFonts w:ascii="Arial" w:cs="Arial" w:eastAsia="Arial" w:hAnsi="Arial"/>
          <w:sz w:val="20"/>
          <w:szCs w:val="20"/>
          <w:color w:val="auto"/>
        </w:rPr>
        <w:t>. Section 7.12 of the Credit Agreement is hereby amended and restated in its entirety to read as follows:</w:t>
      </w:r>
    </w:p>
    <w:p>
      <w:pPr>
        <w:spacing w:after="0" w:line="157" w:lineRule="exact"/>
        <w:rPr>
          <w:sz w:val="20"/>
          <w:szCs w:val="20"/>
          <w:color w:val="auto"/>
        </w:rPr>
      </w:pPr>
    </w:p>
    <w:p>
      <w:pPr>
        <w:jc w:val="both"/>
        <w:ind w:left="1300" w:firstLine="648"/>
        <w:spacing w:after="0" w:line="253" w:lineRule="auto"/>
        <w:rPr>
          <w:sz w:val="20"/>
          <w:szCs w:val="20"/>
          <w:color w:val="auto"/>
        </w:rPr>
      </w:pPr>
      <w:r>
        <w:rPr>
          <w:rFonts w:ascii="Arial" w:cs="Arial" w:eastAsia="Arial" w:hAnsi="Arial"/>
          <w:sz w:val="20"/>
          <w:szCs w:val="20"/>
          <w:color w:val="auto"/>
        </w:rPr>
        <w:t xml:space="preserve">“7.12 </w:t>
      </w:r>
      <w:r>
        <w:rPr>
          <w:rFonts w:ascii="Arial" w:cs="Arial" w:eastAsia="Arial" w:hAnsi="Arial"/>
          <w:sz w:val="20"/>
          <w:szCs w:val="20"/>
          <w:b w:val="1"/>
          <w:bCs w:val="1"/>
          <w:u w:val="single" w:color="auto"/>
          <w:color w:val="auto"/>
        </w:rPr>
        <w:t>Capital Expenditures</w:t>
      </w:r>
      <w:r>
        <w:rPr>
          <w:rFonts w:ascii="Arial" w:cs="Arial" w:eastAsia="Arial" w:hAnsi="Arial"/>
          <w:sz w:val="20"/>
          <w:szCs w:val="20"/>
          <w:color w:val="auto"/>
        </w:rPr>
        <w:t>. Make or become legally obligated to make any Capital Expenditure, except for Capital Expenditures in the ordinary course of business not exceeding $30,000,000 in the aggregate for the Borrower and its Subsidiaries during any fiscal year.”</w:t>
      </w:r>
    </w:p>
    <w:p>
      <w:pPr>
        <w:spacing w:after="0" w:line="156" w:lineRule="exact"/>
        <w:rPr>
          <w:sz w:val="20"/>
          <w:szCs w:val="20"/>
          <w:color w:val="auto"/>
        </w:rPr>
      </w:pPr>
    </w:p>
    <w:p>
      <w:pPr>
        <w:ind w:left="2240" w:hanging="936"/>
        <w:spacing w:after="0"/>
        <w:tabs>
          <w:tab w:leader="none" w:pos="224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New Section 11.24</w:t>
      </w:r>
      <w:r>
        <w:rPr>
          <w:rFonts w:ascii="Arial" w:cs="Arial" w:eastAsia="Arial" w:hAnsi="Arial"/>
          <w:sz w:val="18"/>
          <w:szCs w:val="18"/>
          <w:color w:val="auto"/>
        </w:rPr>
        <w:t xml:space="preserve">.  The following is hereby added to the Credit Agreement as a new </w:t>
      </w:r>
      <w:r>
        <w:rPr>
          <w:rFonts w:ascii="Arial" w:cs="Arial" w:eastAsia="Arial" w:hAnsi="Arial"/>
          <w:sz w:val="18"/>
          <w:szCs w:val="18"/>
          <w:u w:val="single" w:color="auto"/>
          <w:color w:val="auto"/>
        </w:rPr>
        <w:t>Section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11.24</w:t>
      </w:r>
      <w:r>
        <w:rPr>
          <w:rFonts w:ascii="Arial" w:cs="Arial" w:eastAsia="Arial" w:hAnsi="Arial"/>
          <w:sz w:val="20"/>
          <w:szCs w:val="20"/>
          <w:color w:val="auto"/>
        </w:rPr>
        <w:t>:</w:t>
      </w:r>
    </w:p>
    <w:p>
      <w:pPr>
        <w:spacing w:after="0" w:line="180" w:lineRule="exact"/>
        <w:rPr>
          <w:sz w:val="20"/>
          <w:szCs w:val="20"/>
          <w:color w:val="auto"/>
        </w:rPr>
      </w:pPr>
    </w:p>
    <w:p>
      <w:pPr>
        <w:jc w:val="both"/>
        <w:ind w:left="1300" w:firstLine="648"/>
        <w:spacing w:after="0" w:line="248" w:lineRule="auto"/>
        <w:rPr>
          <w:sz w:val="20"/>
          <w:szCs w:val="20"/>
          <w:color w:val="auto"/>
        </w:rPr>
      </w:pPr>
      <w:r>
        <w:rPr>
          <w:rFonts w:ascii="Arial" w:cs="Arial" w:eastAsia="Arial" w:hAnsi="Arial"/>
          <w:sz w:val="20"/>
          <w:szCs w:val="20"/>
          <w:color w:val="auto"/>
        </w:rPr>
        <w:t xml:space="preserve">11.24 </w:t>
      </w:r>
      <w:r>
        <w:rPr>
          <w:rFonts w:ascii="Arial" w:cs="Arial" w:eastAsia="Arial" w:hAnsi="Arial"/>
          <w:sz w:val="20"/>
          <w:szCs w:val="20"/>
          <w:b w:val="1"/>
          <w:bCs w:val="1"/>
          <w:u w:val="single" w:color="auto"/>
          <w:color w:val="auto"/>
        </w:rPr>
        <w:t>ACKNOWLEDGEMENT REGARDING SUPPORTED QFCS</w:t>
      </w:r>
      <w:r>
        <w:rPr>
          <w:rFonts w:ascii="Arial" w:cs="Arial" w:eastAsia="Arial" w:hAnsi="Arial"/>
          <w:sz w:val="20"/>
          <w:szCs w:val="20"/>
          <w:color w:val="auto"/>
        </w:rPr>
        <w:t>. To the extent that the Loan Documents provide support, through a guarantee or otherwise, for any Swap Contract or any other agreement or instrument that is a QFC (such support, “</w:t>
      </w:r>
      <w:r>
        <w:rPr>
          <w:rFonts w:ascii="Arial" w:cs="Arial" w:eastAsia="Arial" w:hAnsi="Arial"/>
          <w:sz w:val="20"/>
          <w:szCs w:val="20"/>
          <w:u w:val="single" w:color="auto"/>
          <w:color w:val="auto"/>
        </w:rPr>
        <w:t>QFC Credit Support</w:t>
      </w:r>
      <w:r>
        <w:rPr>
          <w:rFonts w:ascii="Arial" w:cs="Arial" w:eastAsia="Arial" w:hAnsi="Arial"/>
          <w:sz w:val="20"/>
          <w:szCs w:val="20"/>
          <w:color w:val="auto"/>
        </w:rPr>
        <w:t>”, and each such QFC, a “</w:t>
      </w:r>
      <w:r>
        <w:rPr>
          <w:rFonts w:ascii="Arial" w:cs="Arial" w:eastAsia="Arial" w:hAnsi="Arial"/>
          <w:sz w:val="20"/>
          <w:szCs w:val="20"/>
          <w:u w:val="single" w:color="auto"/>
          <w:color w:val="auto"/>
        </w:rPr>
        <w:t>Supported QFC</w:t>
      </w:r>
      <w:r>
        <w:rPr>
          <w:rFonts w:ascii="Arial" w:cs="Arial" w:eastAsia="Arial" w:hAnsi="Arial"/>
          <w:sz w:val="20"/>
          <w:szCs w:val="20"/>
          <w:color w:val="auto"/>
        </w:rPr>
        <w:t>”), the parties acknowledge and agree as follows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11" w:name="page12"/>
    <w:bookmarkEnd w:id="11"/>
    <w:p>
      <w:pPr>
        <w:jc w:val="both"/>
        <w:ind w:left="1300"/>
        <w:spacing w:after="0" w:line="276" w:lineRule="auto"/>
        <w:rPr>
          <w:sz w:val="20"/>
          <w:szCs w:val="20"/>
          <w:color w:val="auto"/>
        </w:rPr>
      </w:pPr>
      <w:r>
        <w:rPr>
          <w:rFonts w:ascii="Arial" w:cs="Arial" w:eastAsia="Arial" w:hAnsi="Arial"/>
          <w:sz w:val="18"/>
          <w:szCs w:val="18"/>
          <w:color w:val="auto"/>
        </w:rPr>
        <w:t>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in respect of such Supported QFC and QFC Credit Support (with the provisions below applicable notwithstanding that the Loan Documents and any Supported QFC may in fact be stated to be governed by the laws of the State of California and/or of the United States or any other state of the United States):</w:t>
      </w:r>
    </w:p>
    <w:p>
      <w:pPr>
        <w:spacing w:after="0" w:line="152" w:lineRule="exact"/>
        <w:rPr>
          <w:sz w:val="20"/>
          <w:szCs w:val="20"/>
          <w:color w:val="auto"/>
        </w:rPr>
      </w:pPr>
    </w:p>
    <w:p>
      <w:pPr>
        <w:jc w:val="both"/>
        <w:ind w:left="1300" w:firstLine="1300"/>
        <w:spacing w:after="0" w:line="254" w:lineRule="auto"/>
        <w:tabs>
          <w:tab w:leader="none" w:pos="3474"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Covered Party</w:t>
      </w:r>
      <w:r>
        <w:rPr>
          <w:rFonts w:ascii="Arial" w:cs="Arial" w:eastAsia="Arial" w:hAnsi="Arial"/>
          <w:sz w:val="19"/>
          <w:szCs w:val="19"/>
          <w:color w:val="auto"/>
        </w:rPr>
        <w:t>. If a Covered Entity that is party to a Supported QFC (each, a “</w:t>
      </w:r>
      <w:r>
        <w:rPr>
          <w:rFonts w:ascii="Arial" w:cs="Arial" w:eastAsia="Arial" w:hAnsi="Arial"/>
          <w:sz w:val="19"/>
          <w:szCs w:val="19"/>
          <w:u w:val="single" w:color="auto"/>
          <w:color w:val="auto"/>
        </w:rPr>
        <w:t>Covered Party</w:t>
      </w:r>
      <w:r>
        <w:rPr>
          <w:rFonts w:ascii="Arial" w:cs="Arial" w:eastAsia="Arial" w:hAnsi="Arial"/>
          <w:sz w:val="19"/>
          <w:szCs w:val="19"/>
          <w:color w:val="auto"/>
        </w:rPr>
        <w:t>”) becomes subject to a proceeding under a U.S. Special Resolution Regime,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Regimes if the Supported QFC and such QFC Credit Support (and any such interest, obligation and rights in property) were governed by the laws of the United States or a state of the United States. If a Covered Party or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Regimes if the Supported QFC and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61" w:lineRule="exact"/>
        <w:rPr>
          <w:rFonts w:ascii="Arial" w:cs="Arial" w:eastAsia="Arial" w:hAnsi="Arial"/>
          <w:sz w:val="19"/>
          <w:szCs w:val="19"/>
          <w:color w:val="auto"/>
        </w:rPr>
      </w:pPr>
    </w:p>
    <w:p>
      <w:pPr>
        <w:ind w:left="3700" w:hanging="1100"/>
        <w:spacing w:after="0"/>
        <w:tabs>
          <w:tab w:leader="none" w:pos="370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As used in this </w:t>
      </w:r>
      <w:r>
        <w:rPr>
          <w:rFonts w:ascii="Arial" w:cs="Arial" w:eastAsia="Arial" w:hAnsi="Arial"/>
          <w:sz w:val="18"/>
          <w:szCs w:val="18"/>
          <w:u w:val="single" w:color="auto"/>
          <w:color w:val="auto"/>
        </w:rPr>
        <w:t>Section 11.24</w:t>
      </w:r>
      <w:r>
        <w:rPr>
          <w:rFonts w:ascii="Arial" w:cs="Arial" w:eastAsia="Arial" w:hAnsi="Arial"/>
          <w:sz w:val="18"/>
          <w:szCs w:val="18"/>
          <w:color w:val="auto"/>
        </w:rPr>
        <w:t>, the following terms shall have the</w:t>
      </w:r>
    </w:p>
    <w:p>
      <w:pPr>
        <w:spacing w:after="0" w:line="38"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20"/>
          <w:szCs w:val="20"/>
          <w:color w:val="auto"/>
        </w:rPr>
        <w:t>following definitions:</w:t>
      </w:r>
    </w:p>
    <w:p>
      <w:pPr>
        <w:spacing w:after="0" w:line="186" w:lineRule="exact"/>
        <w:rPr>
          <w:sz w:val="20"/>
          <w:szCs w:val="20"/>
          <w:color w:val="auto"/>
        </w:rPr>
      </w:pPr>
    </w:p>
    <w:p>
      <w:pPr>
        <w:jc w:val="both"/>
        <w:ind w:left="19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BHC Act Affiliate</w:t>
      </w:r>
      <w:r>
        <w:rPr>
          <w:rFonts w:ascii="Arial" w:cs="Arial" w:eastAsia="Arial" w:hAnsi="Arial"/>
          <w:sz w:val="20"/>
          <w:szCs w:val="20"/>
          <w:color w:val="auto"/>
        </w:rPr>
        <w:t>” means an “affiliate,” as defined in and interpreted in accordance with 12 U.S.C. §1841(k).</w:t>
      </w:r>
    </w:p>
    <w:p>
      <w:pPr>
        <w:spacing w:after="0" w:line="163" w:lineRule="exact"/>
        <w:rPr>
          <w:sz w:val="20"/>
          <w:szCs w:val="20"/>
          <w:color w:val="auto"/>
        </w:rPr>
      </w:pPr>
    </w:p>
    <w:p>
      <w:pPr>
        <w:jc w:val="both"/>
        <w:ind w:left="196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Entity</w:t>
      </w:r>
      <w:r>
        <w:rPr>
          <w:rFonts w:ascii="Arial" w:cs="Arial" w:eastAsia="Arial" w:hAnsi="Arial"/>
          <w:sz w:val="20"/>
          <w:szCs w:val="20"/>
          <w:color w:val="auto"/>
        </w:rPr>
        <w:t>” means (a) a “covered entity,” as defined and interpreted in accordance with 12 C.F.R. §252.82(b); (b) a “covered bank,” as defined in and interpreted in accordance with 12 C.F.R. §47.3(b); or (c) a “covered FSI,” as defined in and interpreted in accordance with 12 C.F.R. §382.2(b).</w:t>
      </w:r>
    </w:p>
    <w:p>
      <w:pPr>
        <w:spacing w:after="0" w:line="164"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in and interpreted in accordance with 12 C.F.R.</w:t>
      </w:r>
    </w:p>
    <w:p>
      <w:pPr>
        <w:spacing w:after="0" w:line="39"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§§252.81, 47.2 or 382.1, as applicable.</w:t>
      </w:r>
    </w:p>
    <w:p>
      <w:pPr>
        <w:spacing w:after="0" w:line="186" w:lineRule="exact"/>
        <w:rPr>
          <w:sz w:val="20"/>
          <w:szCs w:val="20"/>
          <w:color w:val="auto"/>
        </w:rPr>
      </w:pPr>
    </w:p>
    <w:p>
      <w:pPr>
        <w:jc w:val="both"/>
        <w:ind w:left="19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QFC</w:t>
      </w:r>
      <w:r>
        <w:rPr>
          <w:rFonts w:ascii="Arial" w:cs="Arial" w:eastAsia="Arial" w:hAnsi="Arial"/>
          <w:sz w:val="20"/>
          <w:szCs w:val="20"/>
          <w:color w:val="auto"/>
        </w:rPr>
        <w:t>” means a “qualified financial contract,” as defined in and interpreted in accordance with 12 U.S.C. §5390(c)(8)(D).</w:t>
      </w:r>
    </w:p>
    <w:p>
      <w:pPr>
        <w:spacing w:after="0" w:line="163" w:lineRule="exact"/>
        <w:rPr>
          <w:sz w:val="20"/>
          <w:szCs w:val="20"/>
          <w:color w:val="auto"/>
        </w:rPr>
      </w:pPr>
    </w:p>
    <w:p>
      <w:pPr>
        <w:ind w:right="20" w:firstLine="656"/>
        <w:spacing w:after="0" w:line="260" w:lineRule="auto"/>
        <w:tabs>
          <w:tab w:leader="none" w:pos="1331"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Amendment to Exhibit C</w:t>
      </w:r>
      <w:r>
        <w:rPr>
          <w:rFonts w:ascii="Arial" w:cs="Arial" w:eastAsia="Arial" w:hAnsi="Arial"/>
          <w:sz w:val="20"/>
          <w:szCs w:val="20"/>
          <w:color w:val="auto"/>
        </w:rPr>
        <w:t xml:space="preserve">.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to the Credit Agreement is hereby amended and restated in its entirety in the form of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attached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12" w:name="page13"/>
    <w:bookmarkEnd w:id="12"/>
    <w:p>
      <w:pPr>
        <w:ind w:firstLine="656"/>
        <w:spacing w:after="0" w:line="261" w:lineRule="auto"/>
        <w:tabs>
          <w:tab w:leader="none" w:pos="1318" w:val="left"/>
        </w:tabs>
        <w:numPr>
          <w:ilvl w:val="0"/>
          <w:numId w:val="24"/>
        </w:numPr>
        <w:rPr>
          <w:rFonts w:ascii="Arial" w:cs="Arial" w:eastAsia="Arial" w:hAnsi="Arial"/>
          <w:sz w:val="20"/>
          <w:szCs w:val="20"/>
          <w:color w:val="auto"/>
        </w:rPr>
      </w:pPr>
      <w:r>
        <w:rPr>
          <w:rFonts w:ascii="Arial" w:cs="Arial" w:eastAsia="Arial" w:hAnsi="Arial"/>
          <w:sz w:val="20"/>
          <w:szCs w:val="20"/>
          <w:u w:val="single" w:color="auto"/>
          <w:color w:val="auto"/>
        </w:rPr>
        <w:t>Amendment to Exhibit N</w:t>
      </w:r>
      <w:r>
        <w:rPr>
          <w:rFonts w:ascii="Arial" w:cs="Arial" w:eastAsia="Arial" w:hAnsi="Arial"/>
          <w:sz w:val="20"/>
          <w:szCs w:val="20"/>
          <w:color w:val="auto"/>
        </w:rPr>
        <w:t xml:space="preserve">. </w:t>
      </w:r>
      <w:r>
        <w:rPr>
          <w:rFonts w:ascii="Arial" w:cs="Arial" w:eastAsia="Arial" w:hAnsi="Arial"/>
          <w:sz w:val="20"/>
          <w:szCs w:val="20"/>
          <w:u w:val="single" w:color="auto"/>
          <w:color w:val="auto"/>
        </w:rPr>
        <w:t>Exhibit N</w:t>
      </w:r>
      <w:r>
        <w:rPr>
          <w:rFonts w:ascii="Arial" w:cs="Arial" w:eastAsia="Arial" w:hAnsi="Arial"/>
          <w:sz w:val="20"/>
          <w:szCs w:val="20"/>
          <w:color w:val="auto"/>
        </w:rPr>
        <w:t xml:space="preserve"> to the Credit Agreement is hereby amended and restated in its entirety in the form of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attached hereto.</w:t>
      </w:r>
    </w:p>
    <w:p>
      <w:pPr>
        <w:spacing w:after="0" w:line="162" w:lineRule="exact"/>
        <w:rPr>
          <w:rFonts w:ascii="Arial" w:cs="Arial" w:eastAsia="Arial" w:hAnsi="Arial"/>
          <w:sz w:val="20"/>
          <w:szCs w:val="20"/>
          <w:color w:val="auto"/>
        </w:rPr>
      </w:pPr>
    </w:p>
    <w:p>
      <w:pPr>
        <w:ind w:right="20" w:firstLine="656"/>
        <w:spacing w:after="0" w:line="260" w:lineRule="auto"/>
        <w:tabs>
          <w:tab w:leader="none" w:pos="1304" w:val="left"/>
        </w:tabs>
        <w:numPr>
          <w:ilvl w:val="0"/>
          <w:numId w:val="24"/>
        </w:numPr>
        <w:rPr>
          <w:rFonts w:ascii="Arial" w:cs="Arial" w:eastAsia="Arial" w:hAnsi="Arial"/>
          <w:sz w:val="20"/>
          <w:szCs w:val="20"/>
          <w:color w:val="auto"/>
        </w:rPr>
      </w:pPr>
      <w:r>
        <w:rPr>
          <w:rFonts w:ascii="Arial" w:cs="Arial" w:eastAsia="Arial" w:hAnsi="Arial"/>
          <w:sz w:val="20"/>
          <w:szCs w:val="20"/>
          <w:u w:val="single" w:color="auto"/>
          <w:color w:val="auto"/>
        </w:rPr>
        <w:t>Amendment to Schedule 1.01(b)</w:t>
      </w:r>
      <w:r>
        <w:rPr>
          <w:rFonts w:ascii="Arial" w:cs="Arial" w:eastAsia="Arial" w:hAnsi="Arial"/>
          <w:sz w:val="20"/>
          <w:szCs w:val="20"/>
          <w:color w:val="auto"/>
        </w:rPr>
        <w:t xml:space="preserve">. </w:t>
      </w:r>
      <w:r>
        <w:rPr>
          <w:rFonts w:ascii="Arial" w:cs="Arial" w:eastAsia="Arial" w:hAnsi="Arial"/>
          <w:sz w:val="20"/>
          <w:szCs w:val="20"/>
          <w:u w:val="single" w:color="auto"/>
          <w:color w:val="auto"/>
        </w:rPr>
        <w:t>Schedule 1.01(b)</w:t>
      </w:r>
      <w:r>
        <w:rPr>
          <w:rFonts w:ascii="Arial" w:cs="Arial" w:eastAsia="Arial" w:hAnsi="Arial"/>
          <w:sz w:val="20"/>
          <w:szCs w:val="20"/>
          <w:color w:val="auto"/>
        </w:rPr>
        <w:t xml:space="preserve"> to the Credit Agreement is hereby amended and restated in its entirety in the form of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attached hereto.</w:t>
      </w:r>
    </w:p>
    <w:p>
      <w:pPr>
        <w:spacing w:after="0" w:line="149" w:lineRule="exact"/>
        <w:rPr>
          <w:rFonts w:ascii="Arial" w:cs="Arial" w:eastAsia="Arial" w:hAnsi="Arial"/>
          <w:sz w:val="20"/>
          <w:szCs w:val="20"/>
          <w:color w:val="auto"/>
        </w:rPr>
      </w:pPr>
    </w:p>
    <w:p>
      <w:pPr>
        <w:jc w:val="both"/>
        <w:ind w:firstLine="656"/>
        <w:spacing w:after="0" w:line="250" w:lineRule="auto"/>
        <w:tabs>
          <w:tab w:leader="none" w:pos="1520" w:val="left"/>
        </w:tabs>
        <w:numPr>
          <w:ilvl w:val="0"/>
          <w:numId w:val="24"/>
        </w:numPr>
        <w:rPr>
          <w:rFonts w:ascii="Arial" w:cs="Arial" w:eastAsia="Arial" w:hAnsi="Arial"/>
          <w:sz w:val="20"/>
          <w:szCs w:val="20"/>
          <w:color w:val="auto"/>
        </w:rPr>
      </w:pPr>
      <w:r>
        <w:rPr>
          <w:rFonts w:ascii="Arial" w:cs="Arial" w:eastAsia="Arial" w:hAnsi="Arial"/>
          <w:sz w:val="20"/>
          <w:szCs w:val="20"/>
          <w:u w:val="single" w:color="auto"/>
          <w:color w:val="auto"/>
        </w:rPr>
        <w:t>Conditions Precedent</w:t>
      </w:r>
      <w:r>
        <w:rPr>
          <w:rFonts w:ascii="Arial" w:cs="Arial" w:eastAsia="Arial" w:hAnsi="Arial"/>
          <w:sz w:val="20"/>
          <w:szCs w:val="20"/>
          <w:color w:val="auto"/>
        </w:rPr>
        <w:t>. This Amendment and the obligations of Administrative Agent and the Lenders hereunder will be effective only upon satisfaction of each of the following conditions precedent, each in a manner in form and substance acceptable to Administrative Agent in its sole discretion:</w:t>
      </w:r>
    </w:p>
    <w:p>
      <w:pPr>
        <w:spacing w:after="0" w:line="172" w:lineRule="exact"/>
        <w:rPr>
          <w:rFonts w:ascii="Arial" w:cs="Arial" w:eastAsia="Arial" w:hAnsi="Arial"/>
          <w:sz w:val="20"/>
          <w:szCs w:val="20"/>
          <w:color w:val="auto"/>
        </w:rPr>
      </w:pPr>
    </w:p>
    <w:p>
      <w:pPr>
        <w:ind w:left="2080" w:hanging="776"/>
        <w:spacing w:after="0"/>
        <w:tabs>
          <w:tab w:leader="none" w:pos="2080" w:val="left"/>
        </w:tabs>
        <w:numPr>
          <w:ilvl w:val="1"/>
          <w:numId w:val="24"/>
        </w:numPr>
        <w:rPr>
          <w:rFonts w:ascii="Arial" w:cs="Arial" w:eastAsia="Arial" w:hAnsi="Arial"/>
          <w:sz w:val="20"/>
          <w:szCs w:val="20"/>
          <w:color w:val="auto"/>
        </w:rPr>
      </w:pPr>
      <w:r>
        <w:rPr>
          <w:rFonts w:ascii="Arial" w:cs="Arial" w:eastAsia="Arial" w:hAnsi="Arial"/>
          <w:sz w:val="20"/>
          <w:szCs w:val="20"/>
          <w:color w:val="auto"/>
        </w:rPr>
        <w:t>Receipt by Administrative Agent of a fully-executed original of this Amendment;</w:t>
      </w:r>
    </w:p>
    <w:p>
      <w:pPr>
        <w:spacing w:after="0" w:line="202" w:lineRule="exact"/>
        <w:rPr>
          <w:rFonts w:ascii="Arial" w:cs="Arial" w:eastAsia="Arial" w:hAnsi="Arial"/>
          <w:sz w:val="20"/>
          <w:szCs w:val="20"/>
          <w:color w:val="auto"/>
        </w:rPr>
      </w:pPr>
    </w:p>
    <w:p>
      <w:pPr>
        <w:ind w:left="2080" w:hanging="776"/>
        <w:spacing w:after="0"/>
        <w:tabs>
          <w:tab w:leader="none" w:pos="2080" w:val="left"/>
        </w:tabs>
        <w:numPr>
          <w:ilvl w:val="1"/>
          <w:numId w:val="24"/>
        </w:numPr>
        <w:rPr>
          <w:rFonts w:ascii="Arial" w:cs="Arial" w:eastAsia="Arial" w:hAnsi="Arial"/>
          <w:sz w:val="20"/>
          <w:szCs w:val="20"/>
          <w:color w:val="auto"/>
        </w:rPr>
      </w:pPr>
      <w:r>
        <w:rPr>
          <w:rFonts w:ascii="Arial" w:cs="Arial" w:eastAsia="Arial" w:hAnsi="Arial"/>
          <w:sz w:val="20"/>
          <w:szCs w:val="20"/>
          <w:color w:val="auto"/>
        </w:rPr>
        <w:t>Receipt by Administrative Agent of a legal opinion from Borrower’s counsel;</w:t>
      </w:r>
    </w:p>
    <w:p>
      <w:pPr>
        <w:spacing w:after="0" w:line="188" w:lineRule="exact"/>
        <w:rPr>
          <w:rFonts w:ascii="Arial" w:cs="Arial" w:eastAsia="Arial" w:hAnsi="Arial"/>
          <w:sz w:val="20"/>
          <w:szCs w:val="20"/>
          <w:color w:val="auto"/>
        </w:rPr>
      </w:pPr>
    </w:p>
    <w:p>
      <w:pPr>
        <w:jc w:val="both"/>
        <w:ind w:firstLine="1304"/>
        <w:spacing w:after="0" w:line="250" w:lineRule="auto"/>
        <w:tabs>
          <w:tab w:leader="none" w:pos="2119" w:val="left"/>
        </w:tabs>
        <w:numPr>
          <w:ilvl w:val="1"/>
          <w:numId w:val="24"/>
        </w:numPr>
        <w:rPr>
          <w:rFonts w:ascii="Arial" w:cs="Arial" w:eastAsia="Arial" w:hAnsi="Arial"/>
          <w:sz w:val="20"/>
          <w:szCs w:val="20"/>
          <w:color w:val="auto"/>
        </w:rPr>
      </w:pPr>
      <w:r>
        <w:rPr>
          <w:rFonts w:ascii="Arial" w:cs="Arial" w:eastAsia="Arial" w:hAnsi="Arial"/>
          <w:sz w:val="20"/>
          <w:szCs w:val="20"/>
          <w:color w:val="auto"/>
        </w:rPr>
        <w:t>The Borrower shall have paid to Administrative Agent all reasonable and out-of-pocket costs and expenses owed to and/or incurred by the Administrative Agent arising in connection with this Amendment (including reasonable attorneys’ fees and costs);</w:t>
      </w:r>
    </w:p>
    <w:p>
      <w:pPr>
        <w:spacing w:after="0" w:line="172" w:lineRule="exact"/>
        <w:rPr>
          <w:rFonts w:ascii="Arial" w:cs="Arial" w:eastAsia="Arial" w:hAnsi="Arial"/>
          <w:sz w:val="20"/>
          <w:szCs w:val="20"/>
          <w:color w:val="auto"/>
        </w:rPr>
      </w:pPr>
    </w:p>
    <w:p>
      <w:pPr>
        <w:jc w:val="both"/>
        <w:ind w:firstLine="1304"/>
        <w:spacing w:after="0" w:line="246" w:lineRule="auto"/>
        <w:tabs>
          <w:tab w:leader="none" w:pos="2157" w:val="left"/>
        </w:tabs>
        <w:numPr>
          <w:ilvl w:val="1"/>
          <w:numId w:val="24"/>
        </w:numPr>
        <w:rPr>
          <w:rFonts w:ascii="Arial" w:cs="Arial" w:eastAsia="Arial" w:hAnsi="Arial"/>
          <w:sz w:val="20"/>
          <w:szCs w:val="20"/>
          <w:color w:val="auto"/>
        </w:rPr>
      </w:pPr>
      <w:r>
        <w:rPr>
          <w:rFonts w:ascii="Arial" w:cs="Arial" w:eastAsia="Arial" w:hAnsi="Arial"/>
          <w:sz w:val="20"/>
          <w:szCs w:val="20"/>
          <w:color w:val="auto"/>
        </w:rPr>
        <w:t>the Administrative Agent shall have received an Officer’s Certificate dated as of the date hereof, certifying as to the Organization Documents of each Loan Party, the resolutions of the governing body of each Loan Party, the good standing, existence or its equivalent of each Loan Party and of the incumbency (including specimen signatures) of the Responsible Officers of each Loan Party; and</w:t>
      </w:r>
    </w:p>
    <w:p>
      <w:pPr>
        <w:spacing w:after="0" w:line="177" w:lineRule="exact"/>
        <w:rPr>
          <w:rFonts w:ascii="Arial" w:cs="Arial" w:eastAsia="Arial" w:hAnsi="Arial"/>
          <w:sz w:val="20"/>
          <w:szCs w:val="20"/>
          <w:color w:val="auto"/>
        </w:rPr>
      </w:pPr>
    </w:p>
    <w:p>
      <w:pPr>
        <w:jc w:val="both"/>
        <w:ind w:firstLine="1304"/>
        <w:spacing w:after="0" w:line="250" w:lineRule="auto"/>
        <w:tabs>
          <w:tab w:leader="none" w:pos="2160" w:val="left"/>
        </w:tabs>
        <w:numPr>
          <w:ilvl w:val="1"/>
          <w:numId w:val="24"/>
        </w:numPr>
        <w:rPr>
          <w:rFonts w:ascii="Arial" w:cs="Arial" w:eastAsia="Arial" w:hAnsi="Arial"/>
          <w:sz w:val="20"/>
          <w:szCs w:val="20"/>
          <w:color w:val="auto"/>
        </w:rPr>
      </w:pPr>
      <w:r>
        <w:rPr>
          <w:rFonts w:ascii="Arial" w:cs="Arial" w:eastAsia="Arial" w:hAnsi="Arial"/>
          <w:sz w:val="20"/>
          <w:szCs w:val="20"/>
          <w:color w:val="auto"/>
        </w:rPr>
        <w:t>the Administrative Agent shall have received such other documents, certificates and information that the Administrative Agent shall require each in form and substance satisfactory to the Administrative Agent in its reasonable credit judgment.</w:t>
      </w:r>
    </w:p>
    <w:p>
      <w:pPr>
        <w:spacing w:after="0" w:line="158" w:lineRule="exact"/>
        <w:rPr>
          <w:rFonts w:ascii="Arial" w:cs="Arial" w:eastAsia="Arial" w:hAnsi="Arial"/>
          <w:sz w:val="20"/>
          <w:szCs w:val="20"/>
          <w:color w:val="auto"/>
        </w:rPr>
      </w:pPr>
    </w:p>
    <w:p>
      <w:pPr>
        <w:jc w:val="both"/>
        <w:ind w:right="20" w:firstLine="656"/>
        <w:spacing w:after="0" w:line="291" w:lineRule="auto"/>
        <w:tabs>
          <w:tab w:leader="none" w:pos="1304"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Reaffirmation of Representations and Warranties</w:t>
      </w:r>
      <w:r>
        <w:rPr>
          <w:rFonts w:ascii="Arial" w:cs="Arial" w:eastAsia="Arial" w:hAnsi="Arial"/>
          <w:sz w:val="18"/>
          <w:szCs w:val="18"/>
          <w:color w:val="auto"/>
        </w:rPr>
        <w:t>. Each Loan Party represents and warrants that after giving effect to this Amendment, the representations and warranties made by each obligor set forth in the Loan Documents are true and correct in all material respects as of the date hereof (except those that expressly relate to an earlier period).</w:t>
      </w:r>
    </w:p>
    <w:p>
      <w:pPr>
        <w:spacing w:after="0" w:line="138" w:lineRule="exact"/>
        <w:rPr>
          <w:rFonts w:ascii="Arial" w:cs="Arial" w:eastAsia="Arial" w:hAnsi="Arial"/>
          <w:sz w:val="18"/>
          <w:szCs w:val="18"/>
          <w:color w:val="auto"/>
        </w:rPr>
      </w:pPr>
    </w:p>
    <w:p>
      <w:pPr>
        <w:jc w:val="both"/>
        <w:ind w:firstLine="656"/>
        <w:spacing w:after="0" w:line="246" w:lineRule="auto"/>
        <w:tabs>
          <w:tab w:leader="none" w:pos="1507" w:val="left"/>
        </w:tabs>
        <w:numPr>
          <w:ilvl w:val="0"/>
          <w:numId w:val="24"/>
        </w:numPr>
        <w:rPr>
          <w:rFonts w:ascii="Arial" w:cs="Arial" w:eastAsia="Arial" w:hAnsi="Arial"/>
          <w:sz w:val="20"/>
          <w:szCs w:val="20"/>
          <w:color w:val="auto"/>
        </w:rPr>
      </w:pPr>
      <w:r>
        <w:rPr>
          <w:rFonts w:ascii="Arial" w:cs="Arial" w:eastAsia="Arial" w:hAnsi="Arial"/>
          <w:sz w:val="20"/>
          <w:szCs w:val="20"/>
          <w:u w:val="single" w:color="auto"/>
          <w:color w:val="auto"/>
        </w:rPr>
        <w:t>Reaffirmation of Obligations</w:t>
      </w:r>
      <w:r>
        <w:rPr>
          <w:rFonts w:ascii="Arial" w:cs="Arial" w:eastAsia="Arial" w:hAnsi="Arial"/>
          <w:sz w:val="20"/>
          <w:szCs w:val="20"/>
          <w:color w:val="auto"/>
        </w:rPr>
        <w:t>. Each Loan Party (a) acknowledges and consents to all of the terms and conditions of this Amendment, (b) affirms all of its obligations under the Loan Documents and (c) agrees that this Amendment and all documents executed in connection herewith do not operate to reduce or discharge such Loan Party’s obligations under the Loan Documents.</w:t>
      </w:r>
    </w:p>
    <w:p>
      <w:pPr>
        <w:spacing w:after="0" w:line="177" w:lineRule="exact"/>
        <w:rPr>
          <w:rFonts w:ascii="Arial" w:cs="Arial" w:eastAsia="Arial" w:hAnsi="Arial"/>
          <w:sz w:val="20"/>
          <w:szCs w:val="20"/>
          <w:color w:val="auto"/>
        </w:rPr>
      </w:pPr>
    </w:p>
    <w:p>
      <w:pPr>
        <w:ind w:left="1300" w:hanging="644"/>
        <w:spacing w:after="0"/>
        <w:tabs>
          <w:tab w:leader="none" w:pos="1300" w:val="left"/>
        </w:tabs>
        <w:numPr>
          <w:ilvl w:val="0"/>
          <w:numId w:val="24"/>
        </w:numPr>
        <w:rPr>
          <w:rFonts w:ascii="Arial" w:cs="Arial" w:eastAsia="Arial" w:hAnsi="Arial"/>
          <w:sz w:val="20"/>
          <w:szCs w:val="20"/>
          <w:color w:val="auto"/>
        </w:rPr>
      </w:pP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firstLine="656"/>
        <w:spacing w:after="0" w:line="260" w:lineRule="auto"/>
        <w:tabs>
          <w:tab w:leader="none" w:pos="1304" w:val="left"/>
        </w:tabs>
        <w:numPr>
          <w:ilvl w:val="0"/>
          <w:numId w:val="24"/>
        </w:numPr>
        <w:rPr>
          <w:rFonts w:ascii="Arial" w:cs="Arial" w:eastAsia="Arial" w:hAnsi="Arial"/>
          <w:sz w:val="20"/>
          <w:szCs w:val="20"/>
          <w:color w:val="auto"/>
        </w:rPr>
      </w:pPr>
      <w:r>
        <w:rPr>
          <w:rFonts w:ascii="Arial" w:cs="Arial" w:eastAsia="Arial" w:hAnsi="Arial"/>
          <w:sz w:val="20"/>
          <w:szCs w:val="20"/>
          <w:u w:val="single" w:color="auto"/>
          <w:color w:val="auto"/>
        </w:rPr>
        <w:t>No Other Changes</w:t>
      </w:r>
      <w:r>
        <w:rPr>
          <w:rFonts w:ascii="Arial" w:cs="Arial" w:eastAsia="Arial" w:hAnsi="Arial"/>
          <w:sz w:val="20"/>
          <w:szCs w:val="20"/>
          <w:color w:val="auto"/>
        </w:rPr>
        <w:t>. Except as modified hereby, all of the terms and provisions of the Loan Documents shall remain in full force and effect.</w:t>
      </w:r>
    </w:p>
    <w:p>
      <w:pPr>
        <w:spacing w:after="0" w:line="163" w:lineRule="exact"/>
        <w:rPr>
          <w:rFonts w:ascii="Arial" w:cs="Arial" w:eastAsia="Arial" w:hAnsi="Arial"/>
          <w:sz w:val="20"/>
          <w:szCs w:val="20"/>
          <w:color w:val="auto"/>
        </w:rPr>
      </w:pPr>
    </w:p>
    <w:p>
      <w:pPr>
        <w:jc w:val="both"/>
        <w:ind w:firstLine="656"/>
        <w:spacing w:after="0" w:line="257" w:lineRule="auto"/>
        <w:tabs>
          <w:tab w:leader="none" w:pos="1324"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Counterparts; Electronic Delivery</w:t>
      </w:r>
      <w:r>
        <w:rPr>
          <w:rFonts w:ascii="Arial" w:cs="Arial" w:eastAsia="Arial" w:hAnsi="Arial"/>
          <w:sz w:val="19"/>
          <w:szCs w:val="19"/>
          <w:color w:val="auto"/>
        </w:rPr>
        <w:t>. This Amendment may be executed in one or more counterparts, each of which when so executed shall be deemed to be an original, but all of which when taken together shall constitute one and the same instrument. Delivery of an executed counterpart of this Amendment may be in the form of an Electronic Record, telefacsimile or other electronic method of transmission and may be executed using Electronic Signature (including, without limitation, facsimile and .pdf) and shall be equally as effective, valid and enforceable as delivery of an original executed counterpart of this Amendment. Any party delivering an executed counterpart of this Amendment by telefacsimile or other electronic method of transmission also shall deliver an original executed counterpart of this Amendment but the failure to deliver an original executed counterpart shall not affect the validity,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13" w:name="page14"/>
    <w:bookmarkEnd w:id="13"/>
    <w:p>
      <w:pPr>
        <w:jc w:val="both"/>
        <w:spacing w:after="0" w:line="243" w:lineRule="auto"/>
        <w:rPr>
          <w:sz w:val="20"/>
          <w:szCs w:val="20"/>
          <w:color w:val="auto"/>
        </w:rPr>
      </w:pPr>
      <w:r>
        <w:rPr>
          <w:rFonts w:ascii="Arial" w:cs="Arial" w:eastAsia="Arial" w:hAnsi="Arial"/>
          <w:sz w:val="20"/>
          <w:szCs w:val="20"/>
          <w:color w:val="auto"/>
        </w:rPr>
        <w:t>enforceability, and binding effect of this Amendment. For the avoidance of doubt, the authorization under this paragraph may include, without limitation, use or acceptance by the Administrative Agent and Lenders of a manually signed paper which has been converted into electronic form (such as scanned into PDF format), or an electronically signed document converted into another format, for transmission, delivery and/or retention. For purposes hereof, “Electronic Record” and “Electronic Signature” shall have the meanings assigned to them, respectively, by 15 USC § 7006, as it may be amended from time to time.</w:t>
      </w:r>
    </w:p>
    <w:p>
      <w:pPr>
        <w:spacing w:after="0" w:line="184" w:lineRule="exact"/>
        <w:rPr>
          <w:sz w:val="20"/>
          <w:szCs w:val="20"/>
          <w:color w:val="auto"/>
        </w:rPr>
      </w:pPr>
    </w:p>
    <w:p>
      <w:pPr>
        <w:jc w:val="both"/>
        <w:ind w:firstLine="656"/>
        <w:spacing w:after="0" w:line="250" w:lineRule="auto"/>
        <w:tabs>
          <w:tab w:leader="none" w:pos="1345" w:val="left"/>
        </w:tabs>
        <w:numPr>
          <w:ilvl w:val="0"/>
          <w:numId w:val="25"/>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Amendment shall be deemed to be a contract made under, and for all purposes shall be construed in accordance with, the laws of the State of California (without regards to principles of conflict of laws which would defer to the laws of another jurisdiction as governing).</w:t>
      </w:r>
    </w:p>
    <w:p>
      <w:pPr>
        <w:spacing w:after="0" w:line="152" w:lineRule="exact"/>
        <w:rPr>
          <w:rFonts w:ascii="Arial" w:cs="Arial" w:eastAsia="Arial" w:hAnsi="Arial"/>
          <w:sz w:val="20"/>
          <w:szCs w:val="20"/>
          <w:color w:val="auto"/>
        </w:rPr>
      </w:pPr>
    </w:p>
    <w:p>
      <w:pPr>
        <w:jc w:val="both"/>
        <w:ind w:firstLine="656"/>
        <w:spacing w:after="0" w:line="262" w:lineRule="auto"/>
        <w:tabs>
          <w:tab w:leader="none" w:pos="1331"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Jury Trial Waiver; California Judicial Reference</w:t>
      </w:r>
      <w:r>
        <w:rPr>
          <w:rFonts w:ascii="Arial" w:cs="Arial" w:eastAsia="Arial" w:hAnsi="Arial"/>
          <w:sz w:val="19"/>
          <w:szCs w:val="19"/>
          <w:color w:val="auto"/>
        </w:rPr>
        <w:t xml:space="preserve">. </w:t>
      </w:r>
      <w:r>
        <w:rPr>
          <w:rFonts w:ascii="Arial" w:cs="Arial" w:eastAsia="Arial" w:hAnsi="Arial"/>
          <w:sz w:val="19"/>
          <w:szCs w:val="19"/>
          <w:b w:val="1"/>
          <w:bCs w:val="1"/>
          <w:color w:val="auto"/>
        </w:rPr>
        <w:t>To the fullest extent permitted by applicable law, each</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of the parties hereto waives its right to trial by jury in any proceeding or dispute of any kind relating to this Amendment or the other Loan Documents, Obligations or Collateral. </w:t>
      </w:r>
      <w:r>
        <w:rPr>
          <w:rFonts w:ascii="Arial" w:cs="Arial" w:eastAsia="Arial" w:hAnsi="Arial"/>
          <w:sz w:val="19"/>
          <w:szCs w:val="19"/>
          <w:color w:val="auto"/>
        </w:rPr>
        <w:t>Without limiting the applicability of any other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section of this Amendment, </w:t>
      </w:r>
      <w:r>
        <w:rPr>
          <w:rFonts w:ascii="Arial" w:cs="Arial" w:eastAsia="Arial" w:hAnsi="Arial"/>
          <w:sz w:val="19"/>
          <w:szCs w:val="19"/>
          <w:u w:val="single" w:color="auto"/>
          <w:color w:val="auto"/>
        </w:rPr>
        <w:t>Section 11.16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11.17</w:t>
      </w:r>
      <w:r>
        <w:rPr>
          <w:rFonts w:ascii="Arial" w:cs="Arial" w:eastAsia="Arial" w:hAnsi="Arial"/>
          <w:sz w:val="19"/>
          <w:szCs w:val="19"/>
          <w:color w:val="auto"/>
        </w:rPr>
        <w:t xml:space="preserve"> of the Credit Agreement are hereby incorporated by this reference and shall apply to any action, proceeding, claim or controversy arising out of this Amendment.</w:t>
      </w:r>
    </w:p>
    <w:p>
      <w:pPr>
        <w:spacing w:after="0" w:line="163" w:lineRule="exact"/>
        <w:rPr>
          <w:rFonts w:ascii="Arial" w:cs="Arial" w:eastAsia="Arial" w:hAnsi="Arial"/>
          <w:sz w:val="19"/>
          <w:szCs w:val="19"/>
          <w:color w:val="auto"/>
        </w:rPr>
      </w:pPr>
    </w:p>
    <w:p>
      <w:pPr>
        <w:jc w:val="both"/>
        <w:ind w:firstLine="656"/>
        <w:spacing w:after="0" w:line="250" w:lineRule="auto"/>
        <w:tabs>
          <w:tab w:leader="none" w:pos="1453" w:val="left"/>
        </w:tabs>
        <w:numPr>
          <w:ilvl w:val="0"/>
          <w:numId w:val="25"/>
        </w:numPr>
        <w:rPr>
          <w:rFonts w:ascii="Arial" w:cs="Arial" w:eastAsia="Arial" w:hAnsi="Arial"/>
          <w:sz w:val="20"/>
          <w:szCs w:val="20"/>
          <w:color w:val="auto"/>
        </w:rPr>
      </w:pPr>
      <w:r>
        <w:rPr>
          <w:rFonts w:ascii="Arial" w:cs="Arial" w:eastAsia="Arial" w:hAnsi="Arial"/>
          <w:sz w:val="20"/>
          <w:szCs w:val="20"/>
          <w:u w:val="single" w:color="auto"/>
          <w:color w:val="auto"/>
        </w:rPr>
        <w:t>Total Agreement</w:t>
      </w:r>
      <w:r>
        <w:rPr>
          <w:rFonts w:ascii="Arial" w:cs="Arial" w:eastAsia="Arial" w:hAnsi="Arial"/>
          <w:sz w:val="20"/>
          <w:szCs w:val="20"/>
          <w:color w:val="auto"/>
        </w:rPr>
        <w:t>. This Amendment, the Credit Agreement, and all other Loan Documents embody the entire understanding of the parties with respect to the subject matter thereof and supersede all prior understandings regarding the same subject matter.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14" w:name="page15"/>
    <w:bookmarkEnd w:id="14"/>
    <w:p>
      <w:pPr>
        <w:ind w:firstLine="648"/>
        <w:spacing w:after="0" w:line="261" w:lineRule="auto"/>
        <w:rPr>
          <w:sz w:val="20"/>
          <w:szCs w:val="20"/>
          <w:color w:val="auto"/>
        </w:rPr>
      </w:pPr>
      <w:r>
        <w:rPr>
          <w:rFonts w:ascii="Arial" w:cs="Arial" w:eastAsia="Arial" w:hAnsi="Arial"/>
          <w:sz w:val="20"/>
          <w:szCs w:val="20"/>
          <w:color w:val="auto"/>
        </w:rPr>
        <w:t>IN WITNESS WHEREOF, each of the parties hereto has caused a counterpart of this Amendment to be duly executed and delivered as of the date first above written.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7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BORROWER:</w:t>
            </w:r>
          </w:p>
        </w:tc>
        <w:tc>
          <w:tcPr>
            <w:tcW w:w="5200" w:type="dxa"/>
            <w:vAlign w:val="bottom"/>
            <w:gridSpan w:val="2"/>
          </w:tcPr>
          <w:p>
            <w:pPr>
              <w:ind w:left="360"/>
              <w:spacing w:after="0"/>
              <w:rPr>
                <w:sz w:val="20"/>
                <w:szCs w:val="20"/>
                <w:color w:val="auto"/>
              </w:rPr>
            </w:pPr>
            <w:r>
              <w:rPr>
                <w:rFonts w:ascii="Arial" w:cs="Arial" w:eastAsia="Arial" w:hAnsi="Arial"/>
                <w:sz w:val="20"/>
                <w:szCs w:val="20"/>
                <w:b w:val="1"/>
                <w:bCs w:val="1"/>
                <w:color w:val="auto"/>
              </w:rPr>
              <w:t>CALAVO GROWERS, INC.,</w:t>
            </w:r>
          </w:p>
        </w:tc>
      </w:tr>
      <w:tr>
        <w:trPr>
          <w:trHeight w:val="230"/>
        </w:trPr>
        <w:tc>
          <w:tcPr>
            <w:tcW w:w="4720" w:type="dxa"/>
            <w:vAlign w:val="bottom"/>
          </w:tcPr>
          <w:p>
            <w:pPr>
              <w:spacing w:after="0"/>
              <w:rPr>
                <w:sz w:val="20"/>
                <w:szCs w:val="20"/>
                <w:color w:val="auto"/>
              </w:rPr>
            </w:pPr>
          </w:p>
        </w:tc>
        <w:tc>
          <w:tcPr>
            <w:tcW w:w="5200" w:type="dxa"/>
            <w:vAlign w:val="bottom"/>
            <w:gridSpan w:val="2"/>
          </w:tcPr>
          <w:p>
            <w:pPr>
              <w:ind w:left="360"/>
              <w:spacing w:after="0"/>
              <w:rPr>
                <w:sz w:val="20"/>
                <w:szCs w:val="20"/>
                <w:color w:val="auto"/>
              </w:rPr>
            </w:pPr>
            <w:r>
              <w:rPr>
                <w:rFonts w:ascii="Arial" w:cs="Arial" w:eastAsia="Arial" w:hAnsi="Arial"/>
                <w:sz w:val="20"/>
                <w:szCs w:val="20"/>
                <w:color w:val="auto"/>
              </w:rPr>
              <w:t>a California corporation</w:t>
            </w:r>
          </w:p>
        </w:tc>
      </w:tr>
      <w:tr>
        <w:trPr>
          <w:trHeight w:val="681"/>
        </w:trPr>
        <w:tc>
          <w:tcPr>
            <w:tcW w:w="4720" w:type="dxa"/>
            <w:vAlign w:val="bottom"/>
          </w:tcPr>
          <w:p>
            <w:pPr>
              <w:spacing w:after="0"/>
              <w:rPr>
                <w:sz w:val="24"/>
                <w:szCs w:val="24"/>
                <w:color w:val="auto"/>
              </w:rPr>
            </w:pPr>
          </w:p>
        </w:tc>
        <w:tc>
          <w:tcPr>
            <w:tcW w:w="1000" w:type="dxa"/>
            <w:vAlign w:val="bottom"/>
          </w:tcPr>
          <w:p>
            <w:pPr>
              <w:ind w:left="360"/>
              <w:spacing w:after="0"/>
              <w:rPr>
                <w:sz w:val="20"/>
                <w:szCs w:val="20"/>
                <w:color w:val="auto"/>
              </w:rPr>
            </w:pPr>
            <w:r>
              <w:rPr>
                <w:rFonts w:ascii="Arial" w:cs="Arial" w:eastAsia="Arial" w:hAnsi="Arial"/>
                <w:sz w:val="20"/>
                <w:szCs w:val="20"/>
                <w:color w:val="auto"/>
              </w:rPr>
              <w:t>By:</w:t>
            </w:r>
          </w:p>
        </w:tc>
        <w:tc>
          <w:tcPr>
            <w:tcW w:w="42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James E. Gibson</w:t>
            </w:r>
          </w:p>
        </w:tc>
      </w:tr>
      <w:tr>
        <w:trPr>
          <w:trHeight w:val="223"/>
        </w:trPr>
        <w:tc>
          <w:tcPr>
            <w:tcW w:w="4720" w:type="dxa"/>
            <w:vAlign w:val="bottom"/>
          </w:tcPr>
          <w:p>
            <w:pPr>
              <w:spacing w:after="0"/>
              <w:rPr>
                <w:sz w:val="19"/>
                <w:szCs w:val="19"/>
                <w:color w:val="auto"/>
              </w:rPr>
            </w:pPr>
          </w:p>
        </w:tc>
        <w:tc>
          <w:tcPr>
            <w:tcW w:w="1000" w:type="dxa"/>
            <w:vAlign w:val="bottom"/>
          </w:tcPr>
          <w:p>
            <w:pPr>
              <w:ind w:left="360"/>
              <w:spacing w:after="0" w:line="223" w:lineRule="exact"/>
              <w:rPr>
                <w:sz w:val="20"/>
                <w:szCs w:val="20"/>
                <w:color w:val="auto"/>
              </w:rPr>
            </w:pPr>
            <w:r>
              <w:rPr>
                <w:rFonts w:ascii="Arial" w:cs="Arial" w:eastAsia="Arial" w:hAnsi="Arial"/>
                <w:sz w:val="20"/>
                <w:szCs w:val="20"/>
                <w:color w:val="auto"/>
              </w:rPr>
              <w:t>Name:</w:t>
            </w:r>
          </w:p>
        </w:tc>
        <w:tc>
          <w:tcPr>
            <w:tcW w:w="420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James E. Gibson</w:t>
            </w:r>
          </w:p>
        </w:tc>
      </w:tr>
      <w:tr>
        <w:trPr>
          <w:trHeight w:val="223"/>
        </w:trPr>
        <w:tc>
          <w:tcPr>
            <w:tcW w:w="4720" w:type="dxa"/>
            <w:vAlign w:val="bottom"/>
          </w:tcPr>
          <w:p>
            <w:pPr>
              <w:spacing w:after="0"/>
              <w:rPr>
                <w:sz w:val="19"/>
                <w:szCs w:val="19"/>
                <w:color w:val="auto"/>
              </w:rPr>
            </w:pPr>
          </w:p>
        </w:tc>
        <w:tc>
          <w:tcPr>
            <w:tcW w:w="1000" w:type="dxa"/>
            <w:vAlign w:val="bottom"/>
          </w:tcPr>
          <w:p>
            <w:pPr>
              <w:ind w:left="360"/>
              <w:spacing w:after="0" w:line="223" w:lineRule="exact"/>
              <w:rPr>
                <w:sz w:val="20"/>
                <w:szCs w:val="20"/>
                <w:color w:val="auto"/>
              </w:rPr>
            </w:pPr>
            <w:r>
              <w:rPr>
                <w:rFonts w:ascii="Arial" w:cs="Arial" w:eastAsia="Arial" w:hAnsi="Arial"/>
                <w:sz w:val="20"/>
                <w:szCs w:val="20"/>
                <w:color w:val="auto"/>
              </w:rPr>
              <w:t>Title:</w:t>
            </w:r>
          </w:p>
        </w:tc>
        <w:tc>
          <w:tcPr>
            <w:tcW w:w="420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President and CEO</w:t>
            </w: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Pages Continue]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THIRD AMENDMENT TO CREDIT AGREEMENT</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(CALAVO)</w:t>
      </w:r>
    </w:p>
    <w:p>
      <w:pPr>
        <w:jc w:val="right"/>
        <w:spacing w:after="0"/>
        <w:rPr>
          <w:sz w:val="20"/>
          <w:szCs w:val="20"/>
          <w:color w:val="auto"/>
        </w:rPr>
      </w:pPr>
      <w:r>
        <w:rPr>
          <w:rFonts w:ascii="Arial" w:cs="Arial" w:eastAsia="Arial" w:hAnsi="Arial"/>
          <w:sz w:val="20"/>
          <w:szCs w:val="20"/>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342900</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52"/>
        </w:trPr>
        <w:tc>
          <w:tcPr>
            <w:tcW w:w="472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ADMINISTRATIVE AGENT:</w:t>
            </w:r>
          </w:p>
        </w:tc>
        <w:tc>
          <w:tcPr>
            <w:tcW w:w="5200" w:type="dxa"/>
            <w:vAlign w:val="bottom"/>
            <w:gridSpan w:val="2"/>
          </w:tcPr>
          <w:p>
            <w:pPr>
              <w:ind w:left="360"/>
              <w:spacing w:after="0"/>
              <w:rPr>
                <w:sz w:val="20"/>
                <w:szCs w:val="20"/>
                <w:color w:val="auto"/>
              </w:rPr>
            </w:pPr>
            <w:r>
              <w:rPr>
                <w:rFonts w:ascii="Arial" w:cs="Arial" w:eastAsia="Arial" w:hAnsi="Arial"/>
                <w:sz w:val="20"/>
                <w:szCs w:val="20"/>
                <w:b w:val="1"/>
                <w:bCs w:val="1"/>
                <w:color w:val="auto"/>
              </w:rPr>
              <w:t>BANK OF AMERICA, N.A.,</w:t>
            </w:r>
          </w:p>
        </w:tc>
      </w:tr>
      <w:tr>
        <w:trPr>
          <w:trHeight w:val="230"/>
        </w:trPr>
        <w:tc>
          <w:tcPr>
            <w:tcW w:w="4720" w:type="dxa"/>
            <w:vAlign w:val="bottom"/>
          </w:tcPr>
          <w:p>
            <w:pPr>
              <w:spacing w:after="0"/>
              <w:rPr>
                <w:sz w:val="20"/>
                <w:szCs w:val="20"/>
                <w:color w:val="auto"/>
              </w:rPr>
            </w:pPr>
          </w:p>
        </w:tc>
        <w:tc>
          <w:tcPr>
            <w:tcW w:w="5200" w:type="dxa"/>
            <w:vAlign w:val="bottom"/>
            <w:gridSpan w:val="2"/>
          </w:tcPr>
          <w:p>
            <w:pPr>
              <w:ind w:left="360"/>
              <w:spacing w:after="0"/>
              <w:rPr>
                <w:sz w:val="20"/>
                <w:szCs w:val="20"/>
                <w:color w:val="auto"/>
              </w:rPr>
            </w:pPr>
            <w:r>
              <w:rPr>
                <w:rFonts w:ascii="Arial" w:cs="Arial" w:eastAsia="Arial" w:hAnsi="Arial"/>
                <w:sz w:val="20"/>
                <w:szCs w:val="20"/>
                <w:color w:val="auto"/>
              </w:rPr>
              <w:t>as Administrative Agent</w:t>
            </w:r>
          </w:p>
        </w:tc>
      </w:tr>
      <w:tr>
        <w:trPr>
          <w:trHeight w:val="681"/>
        </w:trPr>
        <w:tc>
          <w:tcPr>
            <w:tcW w:w="4720" w:type="dxa"/>
            <w:vAlign w:val="bottom"/>
          </w:tcPr>
          <w:p>
            <w:pPr>
              <w:spacing w:after="0"/>
              <w:rPr>
                <w:sz w:val="24"/>
                <w:szCs w:val="24"/>
                <w:color w:val="auto"/>
              </w:rPr>
            </w:pPr>
          </w:p>
        </w:tc>
        <w:tc>
          <w:tcPr>
            <w:tcW w:w="1000" w:type="dxa"/>
            <w:vAlign w:val="bottom"/>
          </w:tcPr>
          <w:p>
            <w:pPr>
              <w:ind w:left="360"/>
              <w:spacing w:after="0"/>
              <w:rPr>
                <w:sz w:val="20"/>
                <w:szCs w:val="20"/>
                <w:color w:val="auto"/>
              </w:rPr>
            </w:pPr>
            <w:r>
              <w:rPr>
                <w:rFonts w:ascii="Arial" w:cs="Arial" w:eastAsia="Arial" w:hAnsi="Arial"/>
                <w:sz w:val="20"/>
                <w:szCs w:val="20"/>
                <w:color w:val="auto"/>
              </w:rPr>
              <w:t>By:</w:t>
            </w:r>
          </w:p>
        </w:tc>
        <w:tc>
          <w:tcPr>
            <w:tcW w:w="42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Carol Alfonso</w:t>
            </w:r>
          </w:p>
        </w:tc>
      </w:tr>
      <w:tr>
        <w:trPr>
          <w:trHeight w:val="223"/>
        </w:trPr>
        <w:tc>
          <w:tcPr>
            <w:tcW w:w="4720" w:type="dxa"/>
            <w:vAlign w:val="bottom"/>
          </w:tcPr>
          <w:p>
            <w:pPr>
              <w:spacing w:after="0"/>
              <w:rPr>
                <w:sz w:val="19"/>
                <w:szCs w:val="19"/>
                <w:color w:val="auto"/>
              </w:rPr>
            </w:pPr>
          </w:p>
        </w:tc>
        <w:tc>
          <w:tcPr>
            <w:tcW w:w="1000" w:type="dxa"/>
            <w:vAlign w:val="bottom"/>
          </w:tcPr>
          <w:p>
            <w:pPr>
              <w:ind w:left="360"/>
              <w:spacing w:after="0" w:line="223" w:lineRule="exact"/>
              <w:rPr>
                <w:sz w:val="20"/>
                <w:szCs w:val="20"/>
                <w:color w:val="auto"/>
              </w:rPr>
            </w:pPr>
            <w:r>
              <w:rPr>
                <w:rFonts w:ascii="Arial" w:cs="Arial" w:eastAsia="Arial" w:hAnsi="Arial"/>
                <w:sz w:val="20"/>
                <w:szCs w:val="20"/>
                <w:color w:val="auto"/>
              </w:rPr>
              <w:t>Name:</w:t>
            </w:r>
          </w:p>
        </w:tc>
        <w:tc>
          <w:tcPr>
            <w:tcW w:w="420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Carol Alfonso</w:t>
            </w:r>
          </w:p>
        </w:tc>
      </w:tr>
      <w:tr>
        <w:trPr>
          <w:trHeight w:val="223"/>
        </w:trPr>
        <w:tc>
          <w:tcPr>
            <w:tcW w:w="4720" w:type="dxa"/>
            <w:vAlign w:val="bottom"/>
          </w:tcPr>
          <w:p>
            <w:pPr>
              <w:spacing w:after="0"/>
              <w:rPr>
                <w:sz w:val="19"/>
                <w:szCs w:val="19"/>
                <w:color w:val="auto"/>
              </w:rPr>
            </w:pPr>
          </w:p>
        </w:tc>
        <w:tc>
          <w:tcPr>
            <w:tcW w:w="1000" w:type="dxa"/>
            <w:vAlign w:val="bottom"/>
          </w:tcPr>
          <w:p>
            <w:pPr>
              <w:ind w:left="360"/>
              <w:spacing w:after="0" w:line="223" w:lineRule="exact"/>
              <w:rPr>
                <w:sz w:val="20"/>
                <w:szCs w:val="20"/>
                <w:color w:val="auto"/>
              </w:rPr>
            </w:pPr>
            <w:r>
              <w:rPr>
                <w:rFonts w:ascii="Arial" w:cs="Arial" w:eastAsia="Arial" w:hAnsi="Arial"/>
                <w:sz w:val="20"/>
                <w:szCs w:val="20"/>
                <w:color w:val="auto"/>
              </w:rPr>
              <w:t>Title:</w:t>
            </w:r>
          </w:p>
        </w:tc>
        <w:tc>
          <w:tcPr>
            <w:tcW w:w="420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Assistant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THIRD AMENDMENT TO CREDIT AGREEMENT</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(CALAVO)</w:t>
      </w:r>
    </w:p>
    <w:p>
      <w:pPr>
        <w:jc w:val="right"/>
        <w:spacing w:after="0"/>
        <w:rPr>
          <w:sz w:val="20"/>
          <w:szCs w:val="20"/>
          <w:color w:val="auto"/>
        </w:rPr>
      </w:pPr>
      <w:r>
        <w:rPr>
          <w:rFonts w:ascii="Arial" w:cs="Arial" w:eastAsia="Arial" w:hAnsi="Arial"/>
          <w:sz w:val="20"/>
          <w:szCs w:val="20"/>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342900</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52"/>
        </w:trPr>
        <w:tc>
          <w:tcPr>
            <w:tcW w:w="472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LENDERS:</w:t>
            </w:r>
          </w:p>
        </w:tc>
        <w:tc>
          <w:tcPr>
            <w:tcW w:w="5200" w:type="dxa"/>
            <w:vAlign w:val="bottom"/>
            <w:gridSpan w:val="3"/>
          </w:tcPr>
          <w:p>
            <w:pPr>
              <w:ind w:left="360"/>
              <w:spacing w:after="0"/>
              <w:rPr>
                <w:sz w:val="20"/>
                <w:szCs w:val="20"/>
                <w:color w:val="auto"/>
              </w:rPr>
            </w:pPr>
            <w:r>
              <w:rPr>
                <w:rFonts w:ascii="Arial" w:cs="Arial" w:eastAsia="Arial" w:hAnsi="Arial"/>
                <w:sz w:val="20"/>
                <w:szCs w:val="20"/>
                <w:b w:val="1"/>
                <w:bCs w:val="1"/>
                <w:color w:val="auto"/>
                <w:w w:val="98"/>
              </w:rPr>
              <w:t xml:space="preserve">BANK OF AMERICA, N.A., </w:t>
            </w:r>
            <w:r>
              <w:rPr>
                <w:rFonts w:ascii="Arial" w:cs="Arial" w:eastAsia="Arial" w:hAnsi="Arial"/>
                <w:sz w:val="20"/>
                <w:szCs w:val="20"/>
                <w:color w:val="auto"/>
                <w:w w:val="98"/>
              </w:rPr>
              <w:t>as Lender, Non-Patronage</w:t>
            </w:r>
          </w:p>
        </w:tc>
      </w:tr>
      <w:tr>
        <w:trPr>
          <w:trHeight w:val="230"/>
        </w:trPr>
        <w:tc>
          <w:tcPr>
            <w:tcW w:w="4720" w:type="dxa"/>
            <w:vAlign w:val="bottom"/>
          </w:tcPr>
          <w:p>
            <w:pPr>
              <w:spacing w:after="0"/>
              <w:rPr>
                <w:sz w:val="20"/>
                <w:szCs w:val="20"/>
                <w:color w:val="auto"/>
              </w:rPr>
            </w:pPr>
          </w:p>
        </w:tc>
        <w:tc>
          <w:tcPr>
            <w:tcW w:w="5200" w:type="dxa"/>
            <w:vAlign w:val="bottom"/>
            <w:gridSpan w:val="3"/>
          </w:tcPr>
          <w:p>
            <w:pPr>
              <w:ind w:left="360"/>
              <w:spacing w:after="0"/>
              <w:rPr>
                <w:sz w:val="20"/>
                <w:szCs w:val="20"/>
                <w:color w:val="auto"/>
              </w:rPr>
            </w:pPr>
            <w:r>
              <w:rPr>
                <w:rFonts w:ascii="Arial" w:cs="Arial" w:eastAsia="Arial" w:hAnsi="Arial"/>
                <w:sz w:val="20"/>
                <w:szCs w:val="20"/>
                <w:color w:val="auto"/>
              </w:rPr>
              <w:t>Lender, L/C Issuer and Swingline Lender</w:t>
            </w:r>
          </w:p>
        </w:tc>
      </w:tr>
      <w:tr>
        <w:trPr>
          <w:trHeight w:val="681"/>
        </w:trPr>
        <w:tc>
          <w:tcPr>
            <w:tcW w:w="4720" w:type="dxa"/>
            <w:vAlign w:val="bottom"/>
          </w:tcPr>
          <w:p>
            <w:pPr>
              <w:spacing w:after="0"/>
              <w:rPr>
                <w:sz w:val="24"/>
                <w:szCs w:val="24"/>
                <w:color w:val="auto"/>
              </w:rPr>
            </w:pPr>
          </w:p>
        </w:tc>
        <w:tc>
          <w:tcPr>
            <w:tcW w:w="1000" w:type="dxa"/>
            <w:vAlign w:val="bottom"/>
          </w:tcPr>
          <w:p>
            <w:pPr>
              <w:ind w:left="360"/>
              <w:spacing w:after="0"/>
              <w:rPr>
                <w:sz w:val="20"/>
                <w:szCs w:val="20"/>
                <w:color w:val="auto"/>
              </w:rPr>
            </w:pPr>
            <w:r>
              <w:rPr>
                <w:rFonts w:ascii="Arial" w:cs="Arial" w:eastAsia="Arial" w:hAnsi="Arial"/>
                <w:sz w:val="20"/>
                <w:szCs w:val="20"/>
                <w:color w:val="auto"/>
              </w:rPr>
              <w:t>By:</w:t>
            </w:r>
          </w:p>
        </w:tc>
        <w:tc>
          <w:tcPr>
            <w:tcW w:w="42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David Barney</w:t>
            </w:r>
          </w:p>
        </w:tc>
      </w:tr>
      <w:tr>
        <w:trPr>
          <w:trHeight w:val="223"/>
        </w:trPr>
        <w:tc>
          <w:tcPr>
            <w:tcW w:w="4720" w:type="dxa"/>
            <w:vAlign w:val="bottom"/>
          </w:tcPr>
          <w:p>
            <w:pPr>
              <w:spacing w:after="0"/>
              <w:rPr>
                <w:sz w:val="19"/>
                <w:szCs w:val="19"/>
                <w:color w:val="auto"/>
              </w:rPr>
            </w:pPr>
          </w:p>
        </w:tc>
        <w:tc>
          <w:tcPr>
            <w:tcW w:w="1000" w:type="dxa"/>
            <w:vAlign w:val="bottom"/>
          </w:tcPr>
          <w:p>
            <w:pPr>
              <w:ind w:left="360"/>
              <w:spacing w:after="0" w:line="223" w:lineRule="exact"/>
              <w:rPr>
                <w:sz w:val="20"/>
                <w:szCs w:val="20"/>
                <w:color w:val="auto"/>
              </w:rPr>
            </w:pPr>
            <w:r>
              <w:rPr>
                <w:rFonts w:ascii="Arial" w:cs="Arial" w:eastAsia="Arial" w:hAnsi="Arial"/>
                <w:sz w:val="20"/>
                <w:szCs w:val="20"/>
                <w:color w:val="auto"/>
              </w:rPr>
              <w:t>Name:</w:t>
            </w:r>
          </w:p>
        </w:tc>
        <w:tc>
          <w:tcPr>
            <w:tcW w:w="4200" w:type="dxa"/>
            <w:vAlign w:val="bottom"/>
            <w:tcBorders>
              <w:bottom w:val="single" w:sz="8" w:color="auto"/>
            </w:tcBorders>
            <w:gridSpan w:val="2"/>
          </w:tcPr>
          <w:p>
            <w:pPr>
              <w:spacing w:after="0" w:line="223" w:lineRule="exact"/>
              <w:rPr>
                <w:sz w:val="20"/>
                <w:szCs w:val="20"/>
                <w:color w:val="auto"/>
              </w:rPr>
            </w:pPr>
            <w:r>
              <w:rPr>
                <w:rFonts w:ascii="Arial" w:cs="Arial" w:eastAsia="Arial" w:hAnsi="Arial"/>
                <w:sz w:val="20"/>
                <w:szCs w:val="20"/>
                <w:color w:val="auto"/>
              </w:rPr>
              <w:t>David Barney</w:t>
            </w:r>
          </w:p>
        </w:tc>
      </w:tr>
      <w:tr>
        <w:trPr>
          <w:trHeight w:val="183"/>
        </w:trPr>
        <w:tc>
          <w:tcPr>
            <w:tcW w:w="4720" w:type="dxa"/>
            <w:vAlign w:val="bottom"/>
          </w:tcPr>
          <w:p>
            <w:pPr>
              <w:spacing w:after="0"/>
              <w:rPr>
                <w:sz w:val="15"/>
                <w:szCs w:val="15"/>
                <w:color w:val="auto"/>
              </w:rPr>
            </w:pPr>
          </w:p>
        </w:tc>
        <w:tc>
          <w:tcPr>
            <w:tcW w:w="1000" w:type="dxa"/>
            <w:vAlign w:val="bottom"/>
          </w:tcPr>
          <w:p>
            <w:pPr>
              <w:ind w:left="360"/>
              <w:spacing w:after="0" w:line="183" w:lineRule="exact"/>
              <w:rPr>
                <w:sz w:val="20"/>
                <w:szCs w:val="20"/>
                <w:color w:val="auto"/>
              </w:rPr>
            </w:pPr>
            <w:r>
              <w:rPr>
                <w:rFonts w:ascii="Arial" w:cs="Arial" w:eastAsia="Arial" w:hAnsi="Arial"/>
                <w:sz w:val="20"/>
                <w:szCs w:val="20"/>
                <w:color w:val="auto"/>
              </w:rPr>
              <w:t>Title:</w:t>
            </w:r>
          </w:p>
        </w:tc>
        <w:tc>
          <w:tcPr>
            <w:tcW w:w="4200" w:type="dxa"/>
            <w:vAlign w:val="bottom"/>
            <w:gridSpan w:val="2"/>
          </w:tcPr>
          <w:p>
            <w:pPr>
              <w:spacing w:after="0" w:line="183" w:lineRule="exact"/>
              <w:rPr>
                <w:sz w:val="20"/>
                <w:szCs w:val="20"/>
                <w:color w:val="auto"/>
              </w:rPr>
            </w:pPr>
            <w:r>
              <w:rPr>
                <w:rFonts w:ascii="Arial" w:cs="Arial" w:eastAsia="Arial" w:hAnsi="Arial"/>
                <w:sz w:val="20"/>
                <w:szCs w:val="20"/>
                <w:color w:val="auto"/>
              </w:rPr>
              <w:t>Senior Vice President</w:t>
            </w:r>
          </w:p>
        </w:tc>
      </w:tr>
      <w:tr>
        <w:trPr>
          <w:trHeight w:val="20"/>
        </w:trPr>
        <w:tc>
          <w:tcPr>
            <w:tcW w:w="4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THIRD AMENDMENT TO CREDIT AGREEMENT</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(CALAVO)</w:t>
      </w:r>
    </w:p>
    <w:p>
      <w:pPr>
        <w:jc w:val="right"/>
        <w:spacing w:after="0"/>
        <w:rPr>
          <w:sz w:val="20"/>
          <w:szCs w:val="20"/>
          <w:color w:val="auto"/>
        </w:rPr>
      </w:pPr>
      <w:r>
        <w:rPr>
          <w:rFonts w:ascii="Arial" w:cs="Arial" w:eastAsia="Arial" w:hAnsi="Arial"/>
          <w:sz w:val="20"/>
          <w:szCs w:val="20"/>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342900</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17" w:name="page18"/>
    <w:bookmarkEnd w:id="17"/>
    <w:p>
      <w:pPr>
        <w:ind w:left="4620"/>
        <w:spacing w:after="0"/>
        <w:rPr>
          <w:sz w:val="20"/>
          <w:szCs w:val="20"/>
          <w:color w:val="auto"/>
        </w:rPr>
      </w:pPr>
      <w:r>
        <w:rPr>
          <w:rFonts w:ascii="Arial" w:cs="Arial" w:eastAsia="Arial" w:hAnsi="Arial"/>
          <w:sz w:val="20"/>
          <w:szCs w:val="20"/>
          <w:b w:val="1"/>
          <w:bCs w:val="1"/>
          <w:color w:val="auto"/>
        </w:rPr>
        <w:t>FARM CREDIT WEST, PCA</w:t>
      </w:r>
    </w:p>
    <w:p>
      <w:pPr>
        <w:spacing w:after="0" w:line="22"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as a Lender and Patronage Lender</w:t>
      </w:r>
    </w:p>
    <w:p>
      <w:pPr>
        <w:spacing w:after="0" w:line="200" w:lineRule="exact"/>
        <w:rPr>
          <w:sz w:val="20"/>
          <w:szCs w:val="20"/>
          <w:color w:val="auto"/>
        </w:rPr>
      </w:pPr>
    </w:p>
    <w:p>
      <w:pPr>
        <w:spacing w:after="0" w:line="243" w:lineRule="exact"/>
        <w:rPr>
          <w:sz w:val="20"/>
          <w:szCs w:val="20"/>
          <w:color w:val="auto"/>
        </w:rPr>
      </w:pPr>
    </w:p>
    <w:tbl>
      <w:tblPr>
        <w:tblLayout w:type="fixed"/>
        <w:tblInd w:w="4620" w:type="dxa"/>
        <w:tblCellMar>
          <w:top w:w="0" w:type="dxa"/>
          <w:left w:w="0" w:type="dxa"/>
          <w:bottom w:w="0" w:type="dxa"/>
          <w:right w:w="0" w:type="dxa"/>
        </w:tblCellMar>
      </w:tblPr>
      <w:tr>
        <w:trPr>
          <w:trHeight w:val="246"/>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42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Nathan Garcin</w:t>
            </w:r>
          </w:p>
        </w:tc>
      </w:tr>
      <w:tr>
        <w:trPr>
          <w:trHeight w:val="223"/>
        </w:trPr>
        <w:tc>
          <w:tcPr>
            <w:tcW w:w="640" w:type="dxa"/>
            <w:vAlign w:val="bottom"/>
          </w:tcPr>
          <w:p>
            <w:pPr>
              <w:spacing w:after="0" w:line="223" w:lineRule="exact"/>
              <w:rPr>
                <w:sz w:val="20"/>
                <w:szCs w:val="20"/>
                <w:color w:val="auto"/>
              </w:rPr>
            </w:pPr>
            <w:r>
              <w:rPr>
                <w:rFonts w:ascii="Arial" w:cs="Arial" w:eastAsia="Arial" w:hAnsi="Arial"/>
                <w:sz w:val="20"/>
                <w:szCs w:val="20"/>
                <w:color w:val="auto"/>
              </w:rPr>
              <w:t>Name:</w:t>
            </w:r>
          </w:p>
        </w:tc>
        <w:tc>
          <w:tcPr>
            <w:tcW w:w="420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Nathan Garcin</w:t>
            </w:r>
          </w:p>
        </w:tc>
      </w:tr>
      <w:tr>
        <w:trPr>
          <w:trHeight w:val="223"/>
        </w:trPr>
        <w:tc>
          <w:tcPr>
            <w:tcW w:w="640" w:type="dxa"/>
            <w:vAlign w:val="bottom"/>
          </w:tcPr>
          <w:p>
            <w:pPr>
              <w:spacing w:after="0" w:line="223" w:lineRule="exact"/>
              <w:rPr>
                <w:sz w:val="20"/>
                <w:szCs w:val="20"/>
                <w:color w:val="auto"/>
              </w:rPr>
            </w:pPr>
            <w:r>
              <w:rPr>
                <w:rFonts w:ascii="Arial" w:cs="Arial" w:eastAsia="Arial" w:hAnsi="Arial"/>
                <w:sz w:val="20"/>
                <w:szCs w:val="20"/>
                <w:color w:val="auto"/>
              </w:rPr>
              <w:t>Title:</w:t>
            </w:r>
          </w:p>
        </w:tc>
        <w:tc>
          <w:tcPr>
            <w:tcW w:w="420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Vice President, Capital Markets</w:t>
            </w: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THIRD AMENDMENT TO CREDIT AGREEMENT</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(CALAVO)</w:t>
      </w:r>
    </w:p>
    <w:p>
      <w:pPr>
        <w:jc w:val="right"/>
        <w:spacing w:after="0"/>
        <w:rPr>
          <w:sz w:val="20"/>
          <w:szCs w:val="20"/>
          <w:color w:val="auto"/>
        </w:rPr>
      </w:pPr>
      <w:r>
        <w:rPr>
          <w:rFonts w:ascii="Arial" w:cs="Arial" w:eastAsia="Arial" w:hAnsi="Arial"/>
          <w:sz w:val="20"/>
          <w:szCs w:val="20"/>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342900</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30" w:right="999" w:bottom="1440" w:gutter="0" w:footer="0" w:header="0"/>
        </w:sectPr>
      </w:pPr>
    </w:p>
    <w:bookmarkStart w:id="18" w:name="page19"/>
    <w:bookmarkEnd w:id="18"/>
    <w:p>
      <w:pPr>
        <w:jc w:val="center"/>
        <w:spacing w:after="0"/>
        <w:rPr>
          <w:sz w:val="20"/>
          <w:szCs w:val="20"/>
          <w:color w:val="auto"/>
        </w:rPr>
      </w:pPr>
      <w:r>
        <w:rPr>
          <w:rFonts w:ascii="Arial" w:cs="Arial" w:eastAsia="Arial" w:hAnsi="Arial"/>
          <w:sz w:val="20"/>
          <w:szCs w:val="20"/>
          <w:b w:val="1"/>
          <w:bCs w:val="1"/>
          <w:color w:val="auto"/>
        </w:rPr>
        <w:t>GUARANTOR ACKNOWLEDGMENT AND CONSENT</w:t>
      </w: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Guarantor hereby expressly: (a) consents to the execution by Borrower, Administrative Agent and Lenders of this Amendment; (b) acknowledges that the “Guaranteed Obligations” (as defined in the Credit Agreement) includes all of the obligations and liabilities owing from time to time by the Borrower under and/or in connection with the “Loan Documents” including, but not limited to, the obligations and liabilities of Borrower to Lenders under and pursuant to the Credit Agreement, as amended from time to time; (c) acknowledges that the Guarantor does not have any set-off, defense, or counterclaim to the payment or performance of any of the obligations of Borrower under the Credit Agreement or the Guarantor under the Guaranty (as defined in the Credit Agreement); (d) reaffirms, assumes, and binds itself in all respects to all of the obligations, liabilities, duties, covenants, terms, and conditions that are contained in the Guaranty; and (e) agrees that all such obligations and liabilities under the Guaranty shall continue in full force and that the execution and delivery of this Amendment to, and its acceptance by, Administrative Agent shall not in any manner whatsoever (i) impair or affect the liability of the Guarantor, (i) prejudice, waive, or be construed to impair, affect, prejudice, or waive the rights and abilities of Administrative Agent at law, in equity or by statute, against the Guarantor, and/or (ii) release or discharge, nor be construed to release or discharge, any of the obligations and liabilities owing to Administrative Agent or any Lender by the Guarantor.</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720" w:type="dxa"/>
            <w:vAlign w:val="bottom"/>
          </w:tcPr>
          <w:p>
            <w:pPr>
              <w:spacing w:after="0"/>
              <w:rPr>
                <w:sz w:val="20"/>
                <w:szCs w:val="20"/>
                <w:color w:val="auto"/>
              </w:rPr>
            </w:pPr>
            <w:r>
              <w:rPr>
                <w:rFonts w:ascii="Arial" w:cs="Arial" w:eastAsia="Arial" w:hAnsi="Arial"/>
                <w:sz w:val="20"/>
                <w:szCs w:val="20"/>
                <w:b w:val="1"/>
                <w:bCs w:val="1"/>
                <w:color w:val="auto"/>
              </w:rPr>
              <w:t>AGREED TO AND ACCEPTED BY:</w:t>
            </w:r>
          </w:p>
        </w:tc>
        <w:tc>
          <w:tcPr>
            <w:tcW w:w="3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468"/>
        </w:trPr>
        <w:tc>
          <w:tcPr>
            <w:tcW w:w="472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GUARANTOR:</w:t>
            </w:r>
          </w:p>
        </w:tc>
        <w:tc>
          <w:tcPr>
            <w:tcW w:w="360" w:type="dxa"/>
            <w:vAlign w:val="bottom"/>
          </w:tcPr>
          <w:p>
            <w:pPr>
              <w:spacing w:after="0"/>
              <w:rPr>
                <w:sz w:val="24"/>
                <w:szCs w:val="24"/>
                <w:color w:val="auto"/>
              </w:rPr>
            </w:pPr>
          </w:p>
        </w:tc>
        <w:tc>
          <w:tcPr>
            <w:tcW w:w="4840" w:type="dxa"/>
            <w:vAlign w:val="bottom"/>
            <w:gridSpan w:val="3"/>
          </w:tcPr>
          <w:p>
            <w:pPr>
              <w:spacing w:after="0"/>
              <w:rPr>
                <w:sz w:val="20"/>
                <w:szCs w:val="20"/>
                <w:color w:val="auto"/>
              </w:rPr>
            </w:pPr>
            <w:r>
              <w:rPr>
                <w:rFonts w:ascii="Arial" w:cs="Arial" w:eastAsia="Arial" w:hAnsi="Arial"/>
                <w:sz w:val="20"/>
                <w:szCs w:val="20"/>
                <w:b w:val="1"/>
                <w:bCs w:val="1"/>
                <w:color w:val="auto"/>
              </w:rPr>
              <w:t>RENAISSANCE FOOD GROUP, LLC,</w:t>
            </w:r>
          </w:p>
        </w:tc>
      </w:tr>
      <w:tr>
        <w:trPr>
          <w:trHeight w:val="183"/>
        </w:trPr>
        <w:tc>
          <w:tcPr>
            <w:tcW w:w="4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940" w:type="dxa"/>
            <w:vAlign w:val="bottom"/>
            <w:tcBorders>
              <w:bottom w:val="single" w:sz="8" w:color="auto"/>
            </w:tcBorders>
            <w:gridSpan w:val="2"/>
          </w:tcPr>
          <w:p>
            <w:pPr>
              <w:spacing w:after="0" w:line="183" w:lineRule="exact"/>
              <w:rPr>
                <w:sz w:val="20"/>
                <w:szCs w:val="20"/>
                <w:color w:val="auto"/>
              </w:rPr>
            </w:pPr>
            <w:r>
              <w:rPr>
                <w:rFonts w:ascii="Arial" w:cs="Arial" w:eastAsia="Arial" w:hAnsi="Arial"/>
                <w:sz w:val="20"/>
                <w:szCs w:val="20"/>
                <w:color w:val="auto"/>
                <w:w w:val="92"/>
              </w:rPr>
              <w:t>a Delaware limited liability company</w:t>
            </w:r>
          </w:p>
        </w:tc>
        <w:tc>
          <w:tcPr>
            <w:tcW w:w="1900" w:type="dxa"/>
            <w:vAlign w:val="bottom"/>
          </w:tcPr>
          <w:p>
            <w:pPr>
              <w:spacing w:after="0"/>
              <w:rPr>
                <w:sz w:val="15"/>
                <w:szCs w:val="15"/>
                <w:color w:val="auto"/>
              </w:rPr>
            </w:pPr>
          </w:p>
        </w:tc>
      </w:tr>
      <w:tr>
        <w:trPr>
          <w:trHeight w:val="709"/>
        </w:trPr>
        <w:tc>
          <w:tcPr>
            <w:tcW w:w="4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20"/>
                <w:szCs w:val="20"/>
                <w:color w:val="auto"/>
              </w:rPr>
              <w:t>By:</w:t>
            </w:r>
          </w:p>
        </w:tc>
        <w:tc>
          <w:tcPr>
            <w:tcW w:w="42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James E Gibson</w:t>
            </w:r>
          </w:p>
        </w:tc>
      </w:tr>
      <w:tr>
        <w:trPr>
          <w:trHeight w:val="223"/>
        </w:trPr>
        <w:tc>
          <w:tcPr>
            <w:tcW w:w="4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line="223" w:lineRule="exact"/>
              <w:rPr>
                <w:sz w:val="20"/>
                <w:szCs w:val="20"/>
                <w:color w:val="auto"/>
              </w:rPr>
            </w:pPr>
            <w:r>
              <w:rPr>
                <w:rFonts w:ascii="Arial" w:cs="Arial" w:eastAsia="Arial" w:hAnsi="Arial"/>
                <w:sz w:val="20"/>
                <w:szCs w:val="20"/>
                <w:color w:val="auto"/>
              </w:rPr>
              <w:t>Name:</w:t>
            </w:r>
          </w:p>
        </w:tc>
        <w:tc>
          <w:tcPr>
            <w:tcW w:w="4200" w:type="dxa"/>
            <w:vAlign w:val="bottom"/>
            <w:tcBorders>
              <w:bottom w:val="single" w:sz="8" w:color="auto"/>
            </w:tcBorders>
            <w:gridSpan w:val="2"/>
          </w:tcPr>
          <w:p>
            <w:pPr>
              <w:spacing w:after="0" w:line="223" w:lineRule="exact"/>
              <w:rPr>
                <w:sz w:val="20"/>
                <w:szCs w:val="20"/>
                <w:color w:val="auto"/>
              </w:rPr>
            </w:pPr>
            <w:r>
              <w:rPr>
                <w:rFonts w:ascii="Arial" w:cs="Arial" w:eastAsia="Arial" w:hAnsi="Arial"/>
                <w:sz w:val="20"/>
                <w:szCs w:val="20"/>
                <w:color w:val="auto"/>
              </w:rPr>
              <w:t>James E. Gibson</w:t>
            </w:r>
          </w:p>
        </w:tc>
      </w:tr>
      <w:tr>
        <w:trPr>
          <w:trHeight w:val="223"/>
        </w:trPr>
        <w:tc>
          <w:tcPr>
            <w:tcW w:w="4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line="223" w:lineRule="exact"/>
              <w:rPr>
                <w:sz w:val="20"/>
                <w:szCs w:val="20"/>
                <w:color w:val="auto"/>
              </w:rPr>
            </w:pPr>
            <w:r>
              <w:rPr>
                <w:rFonts w:ascii="Arial" w:cs="Arial" w:eastAsia="Arial" w:hAnsi="Arial"/>
                <w:sz w:val="20"/>
                <w:szCs w:val="20"/>
                <w:color w:val="auto"/>
              </w:rPr>
              <w:t>Title:</w:t>
            </w:r>
          </w:p>
        </w:tc>
        <w:tc>
          <w:tcPr>
            <w:tcW w:w="4200" w:type="dxa"/>
            <w:vAlign w:val="bottom"/>
            <w:tcBorders>
              <w:bottom w:val="single" w:sz="8" w:color="auto"/>
            </w:tcBorders>
            <w:gridSpan w:val="2"/>
          </w:tcPr>
          <w:p>
            <w:pPr>
              <w:spacing w:after="0" w:line="223" w:lineRule="exact"/>
              <w:rPr>
                <w:sz w:val="20"/>
                <w:szCs w:val="20"/>
                <w:color w:val="auto"/>
              </w:rPr>
            </w:pPr>
            <w:r>
              <w:rPr>
                <w:rFonts w:ascii="Arial" w:cs="Arial" w:eastAsia="Arial" w:hAnsi="Arial"/>
                <w:sz w:val="20"/>
                <w:szCs w:val="20"/>
                <w:color w:val="auto"/>
              </w:rPr>
              <w:t>CEO</w:t>
            </w: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GUARANTOR ACKNOWLEDGMENT AND CONSENT TO</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THIRD AMENDMENT TO CREDIT AGREEMENT</w:t>
      </w:r>
    </w:p>
    <w:p>
      <w:pPr>
        <w:jc w:val="right"/>
        <w:spacing w:after="0"/>
        <w:rPr>
          <w:sz w:val="20"/>
          <w:szCs w:val="20"/>
          <w:color w:val="auto"/>
        </w:rPr>
      </w:pPr>
      <w:r>
        <w:rPr>
          <w:rFonts w:ascii="Arial" w:cs="Arial" w:eastAsia="Arial" w:hAnsi="Arial"/>
          <w:sz w:val="20"/>
          <w:szCs w:val="20"/>
          <w:color w:val="auto"/>
        </w:rPr>
        <w:t>(CALAVO)</w:t>
      </w:r>
    </w:p>
    <w:p>
      <w:pPr>
        <w:jc w:val="right"/>
        <w:spacing w:after="0"/>
        <w:rPr>
          <w:sz w:val="20"/>
          <w:szCs w:val="20"/>
          <w:color w:val="auto"/>
        </w:rPr>
      </w:pPr>
      <w:r>
        <w:rPr>
          <w:rFonts w:ascii="Arial" w:cs="Arial" w:eastAsia="Arial" w:hAnsi="Arial"/>
          <w:sz w:val="20"/>
          <w:szCs w:val="20"/>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342900</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20"/>
          <w:szCs w:val="20"/>
          <w:u w:val="single" w:color="auto"/>
          <w:color w:val="auto"/>
        </w:rPr>
        <w:t>Exhibit A</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Amended and Restated Exhibit C to Credit Agreement</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764540</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0" w:name="page21"/>
    <w:bookmarkEnd w:id="20"/>
    <w:p>
      <w:pPr>
        <w:jc w:val="center"/>
        <w:spacing w:after="0"/>
        <w:rPr>
          <w:sz w:val="20"/>
          <w:szCs w:val="20"/>
          <w:color w:val="auto"/>
        </w:rPr>
      </w:pPr>
      <w:r>
        <w:rPr>
          <w:rFonts w:ascii="Arial" w:cs="Arial" w:eastAsia="Arial" w:hAnsi="Arial"/>
          <w:sz w:val="20"/>
          <w:szCs w:val="20"/>
          <w:u w:val="single" w:color="auto"/>
          <w:color w:val="auto"/>
        </w:rPr>
        <w:t>Exhibit B</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Exhibit N to Credit Agreement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764540</wp:posOffset>
            </wp:positionV>
            <wp:extent cx="629221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1" w:name="page22"/>
    <w:bookmarkEnd w:id="21"/>
    <w:p>
      <w:pPr>
        <w:jc w:val="center"/>
        <w:spacing w:after="0"/>
        <w:rPr>
          <w:sz w:val="20"/>
          <w:szCs w:val="20"/>
          <w:color w:val="auto"/>
        </w:rPr>
      </w:pPr>
      <w:r>
        <w:rPr>
          <w:rFonts w:ascii="Arial" w:cs="Arial" w:eastAsia="Arial" w:hAnsi="Arial"/>
          <w:sz w:val="20"/>
          <w:szCs w:val="20"/>
          <w:u w:val="single" w:color="auto"/>
          <w:color w:val="auto"/>
        </w:rPr>
        <w:t>Exhibit C</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Amended and Restated Schedule 1.01(b) to Credit Agreement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Initial Commitments and Applicable Percentages as of Third Amendment Effective Date</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20" w:type="dxa"/>
            <w:vAlign w:val="bottom"/>
            <w:tcBorders>
              <w:right w:val="single" w:sz="8" w:color="auto"/>
            </w:tcBorders>
          </w:tcPr>
          <w:p>
            <w:pPr>
              <w:spacing w:after="0"/>
              <w:rPr>
                <w:sz w:val="19"/>
                <w:szCs w:val="19"/>
                <w:color w:val="auto"/>
              </w:rPr>
            </w:pPr>
          </w:p>
        </w:tc>
        <w:tc>
          <w:tcPr>
            <w:tcW w:w="2640" w:type="dxa"/>
            <w:vAlign w:val="bottom"/>
            <w:tcBorders>
              <w:top w:val="single" w:sz="8" w:color="auto"/>
              <w:right w:val="single" w:sz="8" w:color="auto"/>
            </w:tcBorders>
            <w:shd w:val="clear" w:color="auto" w:fill="002060"/>
          </w:tcPr>
          <w:p>
            <w:pPr>
              <w:jc w:val="center"/>
              <w:spacing w:after="0" w:line="220" w:lineRule="exact"/>
              <w:rPr>
                <w:sz w:val="20"/>
                <w:szCs w:val="20"/>
                <w:color w:val="auto"/>
              </w:rPr>
            </w:pPr>
            <w:r>
              <w:rPr>
                <w:rFonts w:ascii="Arial" w:cs="Arial" w:eastAsia="Arial" w:hAnsi="Arial"/>
                <w:sz w:val="20"/>
                <w:szCs w:val="20"/>
                <w:b w:val="1"/>
                <w:bCs w:val="1"/>
                <w:color w:val="FFFFFF"/>
                <w:w w:val="92"/>
              </w:rPr>
              <w:t>Lender</w:t>
            </w:r>
          </w:p>
        </w:tc>
        <w:tc>
          <w:tcPr>
            <w:tcW w:w="2640" w:type="dxa"/>
            <w:vAlign w:val="bottom"/>
            <w:tcBorders>
              <w:top w:val="single" w:sz="8" w:color="auto"/>
              <w:right w:val="single" w:sz="8" w:color="auto"/>
            </w:tcBorders>
            <w:shd w:val="clear" w:color="auto" w:fill="002060"/>
          </w:tcPr>
          <w:p>
            <w:pPr>
              <w:ind w:left="300"/>
              <w:spacing w:after="0" w:line="220" w:lineRule="exact"/>
              <w:rPr>
                <w:sz w:val="20"/>
                <w:szCs w:val="20"/>
                <w:color w:val="auto"/>
              </w:rPr>
            </w:pPr>
            <w:r>
              <w:rPr>
                <w:rFonts w:ascii="Arial" w:cs="Arial" w:eastAsia="Arial" w:hAnsi="Arial"/>
                <w:sz w:val="20"/>
                <w:szCs w:val="20"/>
                <w:b w:val="1"/>
                <w:bCs w:val="1"/>
                <w:color w:val="FFFFFF"/>
              </w:rPr>
              <w:t>Revolving Commitment</w:t>
            </w:r>
          </w:p>
        </w:tc>
        <w:tc>
          <w:tcPr>
            <w:tcW w:w="2620" w:type="dxa"/>
            <w:vAlign w:val="bottom"/>
            <w:tcBorders>
              <w:top w:val="single" w:sz="8" w:color="auto"/>
              <w:right w:val="single" w:sz="8" w:color="auto"/>
            </w:tcBorders>
            <w:shd w:val="clear" w:color="auto" w:fill="002060"/>
          </w:tcPr>
          <w:p>
            <w:pPr>
              <w:jc w:val="center"/>
              <w:spacing w:after="0" w:line="220" w:lineRule="exact"/>
              <w:rPr>
                <w:sz w:val="20"/>
                <w:szCs w:val="20"/>
                <w:color w:val="auto"/>
              </w:rPr>
            </w:pPr>
            <w:r>
              <w:rPr>
                <w:rFonts w:ascii="Arial" w:cs="Arial" w:eastAsia="Arial" w:hAnsi="Arial"/>
                <w:sz w:val="20"/>
                <w:szCs w:val="20"/>
                <w:b w:val="1"/>
                <w:bCs w:val="1"/>
                <w:color w:val="FFFFFF"/>
                <w:w w:val="87"/>
              </w:rPr>
              <w:t>Applicable Percentage</w:t>
            </w:r>
          </w:p>
        </w:tc>
        <w:tc>
          <w:tcPr>
            <w:tcW w:w="1000" w:type="dxa"/>
            <w:vAlign w:val="bottom"/>
          </w:tcPr>
          <w:p>
            <w:pPr>
              <w:spacing w:after="0"/>
              <w:rPr>
                <w:sz w:val="19"/>
                <w:szCs w:val="19"/>
                <w:color w:val="auto"/>
              </w:rPr>
            </w:pPr>
          </w:p>
        </w:tc>
      </w:tr>
      <w:tr>
        <w:trPr>
          <w:trHeight w:val="256"/>
        </w:trPr>
        <w:tc>
          <w:tcPr>
            <w:tcW w:w="1020" w:type="dxa"/>
            <w:vAlign w:val="bottom"/>
            <w:tcBorders>
              <w:right w:val="single" w:sz="8" w:color="auto"/>
            </w:tcBorders>
          </w:tcPr>
          <w:p>
            <w:pPr>
              <w:spacing w:after="0"/>
              <w:rPr>
                <w:sz w:val="22"/>
                <w:szCs w:val="22"/>
                <w:color w:val="auto"/>
              </w:rPr>
            </w:pPr>
          </w:p>
        </w:tc>
        <w:tc>
          <w:tcPr>
            <w:tcW w:w="2640" w:type="dxa"/>
            <w:vAlign w:val="bottom"/>
            <w:tcBorders>
              <w:right w:val="single" w:sz="8" w:color="auto"/>
            </w:tcBorders>
            <w:shd w:val="clear" w:color="auto" w:fill="002060"/>
          </w:tcPr>
          <w:p>
            <w:pPr>
              <w:spacing w:after="0"/>
              <w:rPr>
                <w:sz w:val="22"/>
                <w:szCs w:val="22"/>
                <w:color w:val="auto"/>
              </w:rPr>
            </w:pPr>
          </w:p>
        </w:tc>
        <w:tc>
          <w:tcPr>
            <w:tcW w:w="2640" w:type="dxa"/>
            <w:vAlign w:val="bottom"/>
            <w:tcBorders>
              <w:right w:val="single" w:sz="8" w:color="auto"/>
            </w:tcBorders>
            <w:shd w:val="clear" w:color="auto" w:fill="002060"/>
          </w:tcPr>
          <w:p>
            <w:pPr>
              <w:spacing w:after="0"/>
              <w:rPr>
                <w:sz w:val="22"/>
                <w:szCs w:val="22"/>
                <w:color w:val="auto"/>
              </w:rPr>
            </w:pPr>
          </w:p>
        </w:tc>
        <w:tc>
          <w:tcPr>
            <w:tcW w:w="2620" w:type="dxa"/>
            <w:vAlign w:val="bottom"/>
            <w:tcBorders>
              <w:right w:val="single" w:sz="8" w:color="auto"/>
            </w:tcBorders>
            <w:shd w:val="clear" w:color="auto" w:fill="002060"/>
          </w:tcPr>
          <w:p>
            <w:pPr>
              <w:jc w:val="center"/>
              <w:spacing w:after="0"/>
              <w:rPr>
                <w:sz w:val="20"/>
                <w:szCs w:val="20"/>
                <w:color w:val="auto"/>
              </w:rPr>
            </w:pPr>
            <w:r>
              <w:rPr>
                <w:rFonts w:ascii="Arial" w:cs="Arial" w:eastAsia="Arial" w:hAnsi="Arial"/>
                <w:sz w:val="20"/>
                <w:szCs w:val="20"/>
                <w:b w:val="1"/>
                <w:bCs w:val="1"/>
                <w:color w:val="FFFFFF"/>
                <w:w w:val="88"/>
              </w:rPr>
              <w:t>(Revolving Loans)</w:t>
            </w:r>
          </w:p>
        </w:tc>
        <w:tc>
          <w:tcPr>
            <w:tcW w:w="1000" w:type="dxa"/>
            <w:vAlign w:val="bottom"/>
          </w:tcPr>
          <w:p>
            <w:pPr>
              <w:spacing w:after="0"/>
              <w:rPr>
                <w:sz w:val="22"/>
                <w:szCs w:val="22"/>
                <w:color w:val="auto"/>
              </w:rPr>
            </w:pPr>
          </w:p>
        </w:tc>
      </w:tr>
      <w:tr>
        <w:trPr>
          <w:trHeight w:val="198"/>
        </w:trPr>
        <w:tc>
          <w:tcPr>
            <w:tcW w:w="1020" w:type="dxa"/>
            <w:vAlign w:val="bottom"/>
            <w:tcBorders>
              <w:right w:val="single" w:sz="8" w:color="auto"/>
            </w:tcBorders>
          </w:tcPr>
          <w:p>
            <w:pPr>
              <w:spacing w:after="0"/>
              <w:rPr>
                <w:sz w:val="17"/>
                <w:szCs w:val="17"/>
                <w:color w:val="auto"/>
              </w:rPr>
            </w:pPr>
          </w:p>
        </w:tc>
        <w:tc>
          <w:tcPr>
            <w:tcW w:w="2640" w:type="dxa"/>
            <w:vAlign w:val="bottom"/>
            <w:tcBorders>
              <w:bottom w:val="single" w:sz="8" w:color="auto"/>
              <w:right w:val="single" w:sz="8" w:color="auto"/>
            </w:tcBorders>
            <w:shd w:val="clear" w:color="auto" w:fill="002060"/>
          </w:tcPr>
          <w:p>
            <w:pPr>
              <w:spacing w:after="0"/>
              <w:rPr>
                <w:sz w:val="17"/>
                <w:szCs w:val="17"/>
                <w:color w:val="auto"/>
              </w:rPr>
            </w:pPr>
          </w:p>
        </w:tc>
        <w:tc>
          <w:tcPr>
            <w:tcW w:w="2640" w:type="dxa"/>
            <w:vAlign w:val="bottom"/>
            <w:tcBorders>
              <w:bottom w:val="single" w:sz="8" w:color="auto"/>
              <w:right w:val="single" w:sz="8" w:color="auto"/>
            </w:tcBorders>
            <w:shd w:val="clear" w:color="auto" w:fill="002060"/>
          </w:tcPr>
          <w:p>
            <w:pPr>
              <w:spacing w:after="0"/>
              <w:rPr>
                <w:sz w:val="17"/>
                <w:szCs w:val="17"/>
                <w:color w:val="auto"/>
              </w:rPr>
            </w:pPr>
          </w:p>
        </w:tc>
        <w:tc>
          <w:tcPr>
            <w:tcW w:w="2620" w:type="dxa"/>
            <w:vAlign w:val="bottom"/>
            <w:tcBorders>
              <w:bottom w:val="single" w:sz="8" w:color="auto"/>
              <w:right w:val="single" w:sz="8" w:color="auto"/>
            </w:tcBorders>
            <w:shd w:val="clear" w:color="auto" w:fill="002060"/>
          </w:tcPr>
          <w:p>
            <w:pPr>
              <w:spacing w:after="0"/>
              <w:rPr>
                <w:sz w:val="17"/>
                <w:szCs w:val="17"/>
                <w:color w:val="auto"/>
              </w:rPr>
            </w:pPr>
          </w:p>
        </w:tc>
        <w:tc>
          <w:tcPr>
            <w:tcW w:w="1000" w:type="dxa"/>
            <w:vAlign w:val="bottom"/>
          </w:tcPr>
          <w:p>
            <w:pPr>
              <w:spacing w:after="0"/>
              <w:rPr>
                <w:sz w:val="17"/>
                <w:szCs w:val="17"/>
                <w:color w:val="auto"/>
              </w:rPr>
            </w:pPr>
          </w:p>
        </w:tc>
      </w:tr>
      <w:tr>
        <w:trPr>
          <w:trHeight w:val="244"/>
        </w:trPr>
        <w:tc>
          <w:tcPr>
            <w:tcW w:w="1020" w:type="dxa"/>
            <w:vAlign w:val="bottom"/>
            <w:tcBorders>
              <w:right w:val="single" w:sz="8" w:color="auto"/>
            </w:tcBorders>
          </w:tcPr>
          <w:p>
            <w:pPr>
              <w:spacing w:after="0"/>
              <w:rPr>
                <w:sz w:val="21"/>
                <w:szCs w:val="21"/>
                <w:color w:val="auto"/>
              </w:rPr>
            </w:pP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Bank of America, N.A.</w:t>
            </w: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$50,000,000</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50%</w:t>
            </w:r>
          </w:p>
        </w:tc>
        <w:tc>
          <w:tcPr>
            <w:tcW w:w="1000" w:type="dxa"/>
            <w:vAlign w:val="bottom"/>
          </w:tcPr>
          <w:p>
            <w:pPr>
              <w:spacing w:after="0"/>
              <w:rPr>
                <w:sz w:val="21"/>
                <w:szCs w:val="21"/>
                <w:color w:val="auto"/>
              </w:rPr>
            </w:pPr>
          </w:p>
        </w:tc>
      </w:tr>
      <w:tr>
        <w:trPr>
          <w:trHeight w:val="182"/>
        </w:trPr>
        <w:tc>
          <w:tcPr>
            <w:tcW w:w="1020" w:type="dxa"/>
            <w:vAlign w:val="bottom"/>
            <w:tcBorders>
              <w:right w:val="single" w:sz="8" w:color="auto"/>
            </w:tcBorders>
          </w:tcPr>
          <w:p>
            <w:pPr>
              <w:spacing w:after="0"/>
              <w:rPr>
                <w:sz w:val="15"/>
                <w:szCs w:val="15"/>
                <w:color w:val="auto"/>
              </w:rPr>
            </w:pPr>
          </w:p>
        </w:tc>
        <w:tc>
          <w:tcPr>
            <w:tcW w:w="2640" w:type="dxa"/>
            <w:vAlign w:val="bottom"/>
            <w:tcBorders>
              <w:bottom w:val="single" w:sz="8" w:color="auto"/>
              <w:right w:val="single" w:sz="8" w:color="auto"/>
            </w:tcBorders>
          </w:tcPr>
          <w:p>
            <w:pPr>
              <w:spacing w:after="0"/>
              <w:rPr>
                <w:sz w:val="15"/>
                <w:szCs w:val="15"/>
                <w:color w:val="auto"/>
              </w:rPr>
            </w:pPr>
          </w:p>
        </w:tc>
        <w:tc>
          <w:tcPr>
            <w:tcW w:w="2640" w:type="dxa"/>
            <w:vAlign w:val="bottom"/>
            <w:tcBorders>
              <w:bottom w:val="single" w:sz="8" w:color="auto"/>
              <w:right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000" w:type="dxa"/>
            <w:vAlign w:val="bottom"/>
          </w:tcPr>
          <w:p>
            <w:pPr>
              <w:spacing w:after="0"/>
              <w:rPr>
                <w:sz w:val="15"/>
                <w:szCs w:val="15"/>
                <w:color w:val="auto"/>
              </w:rPr>
            </w:pPr>
          </w:p>
        </w:tc>
      </w:tr>
      <w:tr>
        <w:trPr>
          <w:trHeight w:val="244"/>
        </w:trPr>
        <w:tc>
          <w:tcPr>
            <w:tcW w:w="1020" w:type="dxa"/>
            <w:vAlign w:val="bottom"/>
            <w:tcBorders>
              <w:right w:val="single" w:sz="8" w:color="auto"/>
            </w:tcBorders>
          </w:tcPr>
          <w:p>
            <w:pPr>
              <w:spacing w:after="0"/>
              <w:rPr>
                <w:sz w:val="21"/>
                <w:szCs w:val="21"/>
                <w:color w:val="auto"/>
              </w:rPr>
            </w:pP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Farm Credit West</w:t>
            </w: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$50,000,000</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50%</w:t>
            </w:r>
          </w:p>
        </w:tc>
        <w:tc>
          <w:tcPr>
            <w:tcW w:w="1000" w:type="dxa"/>
            <w:vAlign w:val="bottom"/>
          </w:tcPr>
          <w:p>
            <w:pPr>
              <w:spacing w:after="0"/>
              <w:rPr>
                <w:sz w:val="21"/>
                <w:szCs w:val="21"/>
                <w:color w:val="auto"/>
              </w:rPr>
            </w:pPr>
          </w:p>
        </w:tc>
      </w:tr>
      <w:tr>
        <w:trPr>
          <w:trHeight w:val="182"/>
        </w:trPr>
        <w:tc>
          <w:tcPr>
            <w:tcW w:w="1020" w:type="dxa"/>
            <w:vAlign w:val="bottom"/>
            <w:tcBorders>
              <w:right w:val="single" w:sz="8" w:color="auto"/>
            </w:tcBorders>
          </w:tcPr>
          <w:p>
            <w:pPr>
              <w:spacing w:after="0"/>
              <w:rPr>
                <w:sz w:val="15"/>
                <w:szCs w:val="15"/>
                <w:color w:val="auto"/>
              </w:rPr>
            </w:pPr>
          </w:p>
        </w:tc>
        <w:tc>
          <w:tcPr>
            <w:tcW w:w="2640" w:type="dxa"/>
            <w:vAlign w:val="bottom"/>
            <w:tcBorders>
              <w:bottom w:val="single" w:sz="8" w:color="auto"/>
              <w:right w:val="single" w:sz="8" w:color="auto"/>
            </w:tcBorders>
          </w:tcPr>
          <w:p>
            <w:pPr>
              <w:spacing w:after="0"/>
              <w:rPr>
                <w:sz w:val="15"/>
                <w:szCs w:val="15"/>
                <w:color w:val="auto"/>
              </w:rPr>
            </w:pPr>
          </w:p>
        </w:tc>
        <w:tc>
          <w:tcPr>
            <w:tcW w:w="2640" w:type="dxa"/>
            <w:vAlign w:val="bottom"/>
            <w:tcBorders>
              <w:bottom w:val="single" w:sz="8" w:color="auto"/>
              <w:right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000" w:type="dxa"/>
            <w:vAlign w:val="bottom"/>
          </w:tcPr>
          <w:p>
            <w:pPr>
              <w:spacing w:after="0"/>
              <w:rPr>
                <w:sz w:val="15"/>
                <w:szCs w:val="15"/>
                <w:color w:val="auto"/>
              </w:rPr>
            </w:pPr>
          </w:p>
        </w:tc>
      </w:tr>
      <w:tr>
        <w:trPr>
          <w:trHeight w:val="250"/>
        </w:trPr>
        <w:tc>
          <w:tcPr>
            <w:tcW w:w="1020" w:type="dxa"/>
            <w:vAlign w:val="bottom"/>
            <w:tcBorders>
              <w:right w:val="single" w:sz="8" w:color="auto"/>
            </w:tcBorders>
          </w:tcPr>
          <w:p>
            <w:pPr>
              <w:spacing w:after="0"/>
              <w:rPr>
                <w:sz w:val="21"/>
                <w:szCs w:val="21"/>
                <w:color w:val="auto"/>
              </w:rPr>
            </w:pP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Total:</w:t>
            </w: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$100,000,000</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100%</w:t>
            </w:r>
          </w:p>
        </w:tc>
        <w:tc>
          <w:tcPr>
            <w:tcW w:w="1000" w:type="dxa"/>
            <w:vAlign w:val="bottom"/>
          </w:tcPr>
          <w:p>
            <w:pPr>
              <w:spacing w:after="0"/>
              <w:rPr>
                <w:sz w:val="21"/>
                <w:szCs w:val="21"/>
                <w:color w:val="auto"/>
              </w:rPr>
            </w:pPr>
          </w:p>
        </w:tc>
      </w:tr>
      <w:tr>
        <w:trPr>
          <w:trHeight w:val="176"/>
        </w:trPr>
        <w:tc>
          <w:tcPr>
            <w:tcW w:w="1020" w:type="dxa"/>
            <w:vAlign w:val="bottom"/>
            <w:tcBorders>
              <w:right w:val="single" w:sz="8" w:color="auto"/>
            </w:tcBorders>
          </w:tcPr>
          <w:p>
            <w:pPr>
              <w:spacing w:after="0"/>
              <w:rPr>
                <w:sz w:val="15"/>
                <w:szCs w:val="15"/>
                <w:color w:val="auto"/>
              </w:rPr>
            </w:pPr>
          </w:p>
        </w:tc>
        <w:tc>
          <w:tcPr>
            <w:tcW w:w="2640" w:type="dxa"/>
            <w:vAlign w:val="bottom"/>
            <w:tcBorders>
              <w:bottom w:val="single" w:sz="8" w:color="auto"/>
              <w:right w:val="single" w:sz="8" w:color="auto"/>
            </w:tcBorders>
          </w:tcPr>
          <w:p>
            <w:pPr>
              <w:spacing w:after="0"/>
              <w:rPr>
                <w:sz w:val="15"/>
                <w:szCs w:val="15"/>
                <w:color w:val="auto"/>
              </w:rPr>
            </w:pPr>
          </w:p>
        </w:tc>
        <w:tc>
          <w:tcPr>
            <w:tcW w:w="2640" w:type="dxa"/>
            <w:vAlign w:val="bottom"/>
            <w:tcBorders>
              <w:bottom w:val="single" w:sz="8" w:color="auto"/>
              <w:right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000" w:type="dxa"/>
            <w:vAlign w:val="bottom"/>
          </w:tcPr>
          <w:p>
            <w:pPr>
              <w:spacing w:after="0"/>
              <w:rPr>
                <w:sz w:val="15"/>
                <w:szCs w:val="15"/>
                <w:color w:val="auto"/>
              </w:rPr>
            </w:pPr>
          </w:p>
        </w:tc>
      </w:tr>
      <w:tr>
        <w:trPr>
          <w:trHeight w:val="1418"/>
        </w:trPr>
        <w:tc>
          <w:tcPr>
            <w:tcW w:w="10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1285240</wp:posOffset>
            </wp:positionH>
            <wp:positionV relativeFrom="paragraph">
              <wp:posOffset>-2073910</wp:posOffset>
            </wp:positionV>
            <wp:extent cx="3905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90525" cy="8255"/>
                    </a:xfrm>
                    <a:prstGeom prst="rect">
                      <a:avLst/>
                    </a:prstGeom>
                    <a:noFill/>
                  </pic:spPr>
                </pic:pic>
              </a:graphicData>
            </a:graphic>
          </wp:anchor>
        </w:drawing>
        <w:drawing>
          <wp:anchor simplePos="0" relativeHeight="251657728" behindDoc="1" locked="0" layoutInCell="0" allowOverlap="1">
            <wp:simplePos x="0" y="0"/>
            <wp:positionH relativeFrom="column">
              <wp:posOffset>2512060</wp:posOffset>
            </wp:positionH>
            <wp:positionV relativeFrom="paragraph">
              <wp:posOffset>-2073910</wp:posOffset>
            </wp:positionV>
            <wp:extent cx="29127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912745" cy="8255"/>
                    </a:xfrm>
                    <a:prstGeom prst="rect">
                      <a:avLst/>
                    </a:prstGeom>
                    <a:noFill/>
                  </pic:spPr>
                </pic:pic>
              </a:graphicData>
            </a:graphic>
          </wp:anchor>
        </w:drawing>
        <w:drawing>
          <wp:anchor simplePos="0" relativeHeight="251657728" behindDoc="1" locked="0" layoutInCell="0" allowOverlap="1">
            <wp:simplePos x="0" y="0"/>
            <wp:positionH relativeFrom="column">
              <wp:posOffset>4333240</wp:posOffset>
            </wp:positionH>
            <wp:positionV relativeFrom="paragraph">
              <wp:posOffset>-1928495</wp:posOffset>
            </wp:positionV>
            <wp:extent cx="9804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80440" cy="889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80" w:type="dxa"/>
            <w:vAlign w:val="bottom"/>
            <w:gridSpan w:val="3"/>
          </w:tcPr>
          <w:p>
            <w:pPr>
              <w:jc w:val="center"/>
              <w:ind w:right="4440"/>
              <w:spacing w:after="0"/>
              <w:rPr>
                <w:sz w:val="20"/>
                <w:szCs w:val="20"/>
                <w:color w:val="auto"/>
              </w:rPr>
            </w:pPr>
            <w:r>
              <w:rPr>
                <w:rFonts w:ascii="Arial" w:cs="Arial" w:eastAsia="Arial" w:hAnsi="Arial"/>
                <w:sz w:val="20"/>
                <w:szCs w:val="20"/>
                <w:b w:val="1"/>
                <w:bCs w:val="1"/>
                <w:color w:val="auto"/>
              </w:rPr>
              <w:t>EXHIBIT C</w:t>
            </w:r>
          </w:p>
        </w:tc>
      </w:tr>
      <w:tr>
        <w:trPr>
          <w:trHeight w:val="457"/>
        </w:trPr>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Form of</w:t>
            </w:r>
          </w:p>
        </w:tc>
        <w:tc>
          <w:tcPr>
            <w:tcW w:w="4440" w:type="dxa"/>
            <w:vAlign w:val="bottom"/>
            <w:gridSpan w:val="2"/>
          </w:tcPr>
          <w:p>
            <w:pPr>
              <w:spacing w:after="0"/>
              <w:rPr>
                <w:sz w:val="24"/>
                <w:szCs w:val="24"/>
                <w:color w:val="auto"/>
              </w:rPr>
            </w:pPr>
          </w:p>
        </w:tc>
      </w:tr>
      <w:tr>
        <w:trPr>
          <w:trHeight w:val="256"/>
        </w:trPr>
        <w:tc>
          <w:tcPr>
            <w:tcW w:w="10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180" w:type="dxa"/>
            <w:vAlign w:val="bottom"/>
            <w:gridSpan w:val="5"/>
          </w:tcPr>
          <w:p>
            <w:pPr>
              <w:jc w:val="center"/>
              <w:ind w:right="2740"/>
              <w:spacing w:after="0"/>
              <w:rPr>
                <w:sz w:val="20"/>
                <w:szCs w:val="20"/>
                <w:color w:val="auto"/>
              </w:rPr>
            </w:pPr>
            <w:r>
              <w:rPr>
                <w:rFonts w:ascii="Arial" w:cs="Arial" w:eastAsia="Arial" w:hAnsi="Arial"/>
                <w:sz w:val="20"/>
                <w:szCs w:val="20"/>
                <w:b w:val="1"/>
                <w:bCs w:val="1"/>
                <w:color w:val="auto"/>
                <w:w w:val="90"/>
              </w:rPr>
              <w:t>Compliance Certificate</w:t>
            </w:r>
          </w:p>
        </w:tc>
      </w:tr>
      <w:tr>
        <w:trPr>
          <w:trHeight w:val="459"/>
        </w:trPr>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80" w:type="dxa"/>
            <w:vAlign w:val="bottom"/>
            <w:gridSpan w:val="3"/>
          </w:tcPr>
          <w:p>
            <w:pPr>
              <w:ind w:left="800"/>
              <w:spacing w:after="0"/>
              <w:rPr>
                <w:sz w:val="20"/>
                <w:szCs w:val="20"/>
                <w:color w:val="auto"/>
              </w:rPr>
            </w:pPr>
            <w:r>
              <w:rPr>
                <w:rFonts w:ascii="Arial" w:cs="Arial" w:eastAsia="Arial" w:hAnsi="Arial"/>
                <w:sz w:val="20"/>
                <w:szCs w:val="20"/>
                <w:i w:val="1"/>
                <w:iCs w:val="1"/>
                <w:color w:val="auto"/>
              </w:rPr>
              <w:t>Financial Statement Date: [________, ____]</w:t>
            </w:r>
          </w:p>
        </w:tc>
      </w:tr>
      <w:tr>
        <w:trPr>
          <w:trHeight w:val="459"/>
        </w:trPr>
        <w:tc>
          <w:tcPr>
            <w:tcW w:w="1060" w:type="dxa"/>
            <w:vAlign w:val="bottom"/>
          </w:tcPr>
          <w:p>
            <w:pPr>
              <w:spacing w:after="0"/>
              <w:rPr>
                <w:sz w:val="20"/>
                <w:szCs w:val="20"/>
                <w:color w:val="auto"/>
              </w:rPr>
            </w:pPr>
            <w:r>
              <w:rPr>
                <w:rFonts w:ascii="Arial" w:cs="Arial" w:eastAsia="Arial" w:hAnsi="Arial"/>
                <w:sz w:val="20"/>
                <w:szCs w:val="20"/>
                <w:color w:val="auto"/>
              </w:rPr>
              <w:t>TO:</w:t>
            </w:r>
          </w:p>
        </w:tc>
        <w:tc>
          <w:tcPr>
            <w:tcW w:w="8860" w:type="dxa"/>
            <w:vAlign w:val="bottom"/>
            <w:gridSpan w:val="8"/>
          </w:tcPr>
          <w:p>
            <w:pPr>
              <w:ind w:left="240"/>
              <w:spacing w:after="0"/>
              <w:rPr>
                <w:sz w:val="20"/>
                <w:szCs w:val="20"/>
                <w:color w:val="auto"/>
              </w:rPr>
            </w:pPr>
            <w:r>
              <w:rPr>
                <w:rFonts w:ascii="Arial" w:cs="Arial" w:eastAsia="Arial" w:hAnsi="Arial"/>
                <w:sz w:val="20"/>
                <w:szCs w:val="20"/>
                <w:color w:val="auto"/>
              </w:rPr>
              <w:t>Bank of America, N.A., as Administrative Agent</w:t>
            </w:r>
          </w:p>
        </w:tc>
      </w:tr>
      <w:tr>
        <w:trPr>
          <w:trHeight w:val="438"/>
        </w:trPr>
        <w:tc>
          <w:tcPr>
            <w:tcW w:w="1060" w:type="dxa"/>
            <w:vAlign w:val="bottom"/>
          </w:tcPr>
          <w:p>
            <w:pPr>
              <w:spacing w:after="0"/>
              <w:rPr>
                <w:sz w:val="20"/>
                <w:szCs w:val="20"/>
                <w:color w:val="auto"/>
              </w:rPr>
            </w:pPr>
            <w:r>
              <w:rPr>
                <w:rFonts w:ascii="Arial" w:cs="Arial" w:eastAsia="Arial" w:hAnsi="Arial"/>
                <w:sz w:val="20"/>
                <w:szCs w:val="20"/>
                <w:color w:val="auto"/>
              </w:rPr>
              <w:t>RE:</w:t>
            </w:r>
          </w:p>
        </w:tc>
        <w:tc>
          <w:tcPr>
            <w:tcW w:w="8860" w:type="dxa"/>
            <w:vAlign w:val="bottom"/>
            <w:gridSpan w:val="8"/>
          </w:tcPr>
          <w:p>
            <w:pPr>
              <w:ind w:left="240"/>
              <w:spacing w:after="0"/>
              <w:rPr>
                <w:sz w:val="20"/>
                <w:szCs w:val="20"/>
                <w:color w:val="auto"/>
              </w:rPr>
            </w:pPr>
            <w:r>
              <w:rPr>
                <w:rFonts w:ascii="Arial" w:cs="Arial" w:eastAsia="Arial" w:hAnsi="Arial"/>
                <w:sz w:val="20"/>
                <w:szCs w:val="20"/>
                <w:color w:val="auto"/>
                <w:w w:val="90"/>
              </w:rPr>
              <w:t>Credit Agreement, dated as of June 14, 2016, by and among Calavo Growers, Inc., a California corporation</w:t>
            </w:r>
          </w:p>
        </w:tc>
      </w:tr>
      <w:tr>
        <w:trPr>
          <w:trHeight w:val="206"/>
        </w:trPr>
        <w:tc>
          <w:tcPr>
            <w:tcW w:w="1060" w:type="dxa"/>
            <w:vAlign w:val="bottom"/>
          </w:tcPr>
          <w:p>
            <w:pPr>
              <w:spacing w:after="0"/>
              <w:rPr>
                <w:sz w:val="17"/>
                <w:szCs w:val="17"/>
                <w:color w:val="auto"/>
              </w:rPr>
            </w:pPr>
          </w:p>
        </w:tc>
        <w:tc>
          <w:tcPr>
            <w:tcW w:w="8860" w:type="dxa"/>
            <w:vAlign w:val="bottom"/>
            <w:gridSpan w:val="8"/>
          </w:tcPr>
          <w:p>
            <w:pPr>
              <w:ind w:left="240"/>
              <w:spacing w:after="0" w:line="206" w:lineRule="exact"/>
              <w:rPr>
                <w:sz w:val="20"/>
                <w:szCs w:val="20"/>
                <w:color w:val="auto"/>
              </w:rPr>
            </w:pPr>
            <w:r>
              <w:rPr>
                <w:rFonts w:ascii="Arial" w:cs="Arial" w:eastAsia="Arial" w:hAnsi="Arial"/>
                <w:sz w:val="20"/>
                <w:szCs w:val="20"/>
                <w:color w:val="auto"/>
                <w:w w:val="94"/>
              </w:rPr>
              <w:t>(the “Borrower”), the Guarantors, the Lenders and Bank of America, N.A., as Administrative Agent, L/C</w:t>
            </w:r>
          </w:p>
        </w:tc>
      </w:tr>
      <w:tr>
        <w:trPr>
          <w:trHeight w:val="20"/>
        </w:trPr>
        <w:tc>
          <w:tcPr>
            <w:tcW w:w="1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33"/>
        </w:trPr>
        <w:tc>
          <w:tcPr>
            <w:tcW w:w="1060" w:type="dxa"/>
            <w:vAlign w:val="bottom"/>
          </w:tcPr>
          <w:p>
            <w:pPr>
              <w:spacing w:after="0"/>
              <w:rPr>
                <w:sz w:val="20"/>
                <w:szCs w:val="20"/>
                <w:color w:val="auto"/>
              </w:rPr>
            </w:pPr>
          </w:p>
        </w:tc>
        <w:tc>
          <w:tcPr>
            <w:tcW w:w="8860" w:type="dxa"/>
            <w:vAlign w:val="bottom"/>
            <w:gridSpan w:val="8"/>
          </w:tcPr>
          <w:p>
            <w:pPr>
              <w:ind w:left="240"/>
              <w:spacing w:after="0"/>
              <w:rPr>
                <w:sz w:val="20"/>
                <w:szCs w:val="20"/>
                <w:color w:val="auto"/>
              </w:rPr>
            </w:pPr>
            <w:r>
              <w:rPr>
                <w:rFonts w:ascii="Arial" w:cs="Arial" w:eastAsia="Arial" w:hAnsi="Arial"/>
                <w:sz w:val="20"/>
                <w:szCs w:val="20"/>
                <w:color w:val="auto"/>
                <w:w w:val="92"/>
              </w:rPr>
              <w:t>Issuer and Swingline Lender (as amended, modified, extended, restated, replaced, or supplemented from</w:t>
            </w:r>
          </w:p>
        </w:tc>
      </w:tr>
      <w:tr>
        <w:trPr>
          <w:trHeight w:val="206"/>
        </w:trPr>
        <w:tc>
          <w:tcPr>
            <w:tcW w:w="1060" w:type="dxa"/>
            <w:vAlign w:val="bottom"/>
          </w:tcPr>
          <w:p>
            <w:pPr>
              <w:spacing w:after="0"/>
              <w:rPr>
                <w:sz w:val="17"/>
                <w:szCs w:val="17"/>
                <w:color w:val="auto"/>
              </w:rPr>
            </w:pPr>
          </w:p>
        </w:tc>
        <w:tc>
          <w:tcPr>
            <w:tcW w:w="8860" w:type="dxa"/>
            <w:vAlign w:val="bottom"/>
            <w:gridSpan w:val="8"/>
          </w:tcPr>
          <w:p>
            <w:pPr>
              <w:ind w:left="240"/>
              <w:spacing w:after="0" w:line="206" w:lineRule="exact"/>
              <w:rPr>
                <w:sz w:val="20"/>
                <w:szCs w:val="20"/>
                <w:color w:val="auto"/>
              </w:rPr>
            </w:pPr>
            <w:r>
              <w:rPr>
                <w:rFonts w:ascii="Arial" w:cs="Arial" w:eastAsia="Arial" w:hAnsi="Arial"/>
                <w:sz w:val="20"/>
                <w:szCs w:val="20"/>
                <w:color w:val="auto"/>
                <w:w w:val="90"/>
              </w:rPr>
              <w:t>time to time, the “Credit Agreement”; capitalized terms used herein and not otherwise defined shall have the</w:t>
            </w:r>
          </w:p>
        </w:tc>
      </w:tr>
      <w:tr>
        <w:trPr>
          <w:trHeight w:val="20"/>
        </w:trPr>
        <w:tc>
          <w:tcPr>
            <w:tcW w:w="106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54"/>
        </w:trPr>
        <w:tc>
          <w:tcPr>
            <w:tcW w:w="1060" w:type="dxa"/>
            <w:vAlign w:val="bottom"/>
          </w:tcPr>
          <w:p>
            <w:pPr>
              <w:spacing w:after="0"/>
              <w:rPr>
                <w:sz w:val="22"/>
                <w:szCs w:val="22"/>
                <w:color w:val="auto"/>
              </w:rPr>
            </w:pPr>
          </w:p>
        </w:tc>
        <w:tc>
          <w:tcPr>
            <w:tcW w:w="8860" w:type="dxa"/>
            <w:vAlign w:val="bottom"/>
            <w:gridSpan w:val="8"/>
          </w:tcPr>
          <w:p>
            <w:pPr>
              <w:ind w:left="240"/>
              <w:spacing w:after="0"/>
              <w:rPr>
                <w:sz w:val="20"/>
                <w:szCs w:val="20"/>
                <w:color w:val="auto"/>
              </w:rPr>
            </w:pPr>
            <w:r>
              <w:rPr>
                <w:rFonts w:ascii="Arial" w:cs="Arial" w:eastAsia="Arial" w:hAnsi="Arial"/>
                <w:sz w:val="20"/>
                <w:szCs w:val="20"/>
                <w:color w:val="auto"/>
              </w:rPr>
              <w:t>meanings set forth in the Credit Agreement)</w:t>
            </w:r>
          </w:p>
        </w:tc>
      </w:tr>
      <w:tr>
        <w:trPr>
          <w:trHeight w:val="459"/>
        </w:trPr>
        <w:tc>
          <w:tcPr>
            <w:tcW w:w="1060" w:type="dxa"/>
            <w:vAlign w:val="bottom"/>
          </w:tcPr>
          <w:p>
            <w:pPr>
              <w:spacing w:after="0"/>
              <w:rPr>
                <w:sz w:val="20"/>
                <w:szCs w:val="20"/>
                <w:color w:val="auto"/>
              </w:rPr>
            </w:pPr>
            <w:r>
              <w:rPr>
                <w:rFonts w:ascii="Arial" w:cs="Arial" w:eastAsia="Arial" w:hAnsi="Arial"/>
                <w:sz w:val="20"/>
                <w:szCs w:val="20"/>
                <w:color w:val="auto"/>
              </w:rPr>
              <w:t>DATE:</w:t>
            </w:r>
          </w:p>
        </w:tc>
        <w:tc>
          <w:tcPr>
            <w:tcW w:w="8860" w:type="dxa"/>
            <w:vAlign w:val="bottom"/>
            <w:gridSpan w:val="8"/>
          </w:tcPr>
          <w:p>
            <w:pPr>
              <w:ind w:left="240"/>
              <w:spacing w:after="0"/>
              <w:rPr>
                <w:sz w:val="20"/>
                <w:szCs w:val="20"/>
                <w:color w:val="auto"/>
              </w:rPr>
            </w:pPr>
            <w:r>
              <w:rPr>
                <w:rFonts w:ascii="Arial" w:cs="Arial" w:eastAsia="Arial" w:hAnsi="Arial"/>
                <w:sz w:val="20"/>
                <w:szCs w:val="20"/>
                <w:color w:val="auto"/>
              </w:rPr>
              <w:t>[Date]</w:t>
            </w:r>
          </w:p>
        </w:tc>
      </w:tr>
      <w:tr>
        <w:trPr>
          <w:trHeight w:val="185"/>
        </w:trPr>
        <w:tc>
          <w:tcPr>
            <w:tcW w:w="1060" w:type="dxa"/>
            <w:vAlign w:val="bottom"/>
            <w:tcBorders>
              <w:bottom w:val="single" w:sz="8" w:color="auto"/>
            </w:tcBorders>
          </w:tcPr>
          <w:p>
            <w:pPr>
              <w:spacing w:after="0"/>
              <w:rPr>
                <w:sz w:val="16"/>
                <w:szCs w:val="16"/>
                <w:color w:val="auto"/>
              </w:rPr>
            </w:pPr>
          </w:p>
        </w:tc>
        <w:tc>
          <w:tcPr>
            <w:tcW w:w="7360" w:type="dxa"/>
            <w:vAlign w:val="bottom"/>
            <w:tcBorders>
              <w:bottom w:val="single" w:sz="8" w:color="auto"/>
            </w:tcBorders>
            <w:gridSpan w:val="7"/>
          </w:tcPr>
          <w:p>
            <w:pPr>
              <w:spacing w:after="0"/>
              <w:rPr>
                <w:sz w:val="16"/>
                <w:szCs w:val="16"/>
                <w:color w:val="auto"/>
              </w:rPr>
            </w:pPr>
          </w:p>
        </w:tc>
        <w:tc>
          <w:tcPr>
            <w:tcW w:w="1500" w:type="dxa"/>
            <w:vAlign w:val="bottom"/>
          </w:tcPr>
          <w:p>
            <w:pPr>
              <w:spacing w:after="0"/>
              <w:rPr>
                <w:sz w:val="16"/>
                <w:szCs w:val="16"/>
                <w:color w:val="auto"/>
              </w:rPr>
            </w:pPr>
          </w:p>
        </w:tc>
      </w:tr>
      <w:tr>
        <w:trPr>
          <w:trHeight w:val="492"/>
        </w:trPr>
        <w:tc>
          <w:tcPr>
            <w:tcW w:w="1060" w:type="dxa"/>
            <w:vAlign w:val="bottom"/>
          </w:tcPr>
          <w:p>
            <w:pPr>
              <w:ind w:left="660"/>
              <w:spacing w:after="0"/>
              <w:rPr>
                <w:sz w:val="20"/>
                <w:szCs w:val="20"/>
                <w:color w:val="auto"/>
              </w:rPr>
            </w:pPr>
            <w:r>
              <w:rPr>
                <w:rFonts w:ascii="Arial" w:cs="Arial" w:eastAsia="Arial" w:hAnsi="Arial"/>
                <w:sz w:val="20"/>
                <w:szCs w:val="20"/>
                <w:color w:val="auto"/>
              </w:rPr>
              <w:t>The</w:t>
            </w:r>
          </w:p>
        </w:tc>
        <w:tc>
          <w:tcPr>
            <w:tcW w:w="8860" w:type="dxa"/>
            <w:vAlign w:val="bottom"/>
            <w:gridSpan w:val="8"/>
          </w:tcPr>
          <w:p>
            <w:pPr>
              <w:ind w:left="80"/>
              <w:spacing w:after="0"/>
              <w:rPr>
                <w:rFonts w:ascii="Arial" w:cs="Arial" w:eastAsia="Arial" w:hAnsi="Arial"/>
                <w:sz w:val="20"/>
                <w:szCs w:val="20"/>
                <w:color w:val="auto"/>
                <w:w w:val="99"/>
              </w:rPr>
            </w:pPr>
            <w:r>
              <w:rPr>
                <w:rFonts w:ascii="Arial" w:cs="Arial" w:eastAsia="Arial" w:hAnsi="Arial"/>
                <w:sz w:val="20"/>
                <w:szCs w:val="20"/>
                <w:color w:val="auto"/>
                <w:w w:val="99"/>
              </w:rPr>
              <w:t>undersigned  Responsible  Officer</w:t>
            </w:r>
            <w:hyperlink w:anchor="page23">
              <w:r>
                <w:rPr>
                  <w:rFonts w:ascii="Arial" w:cs="Arial" w:eastAsia="Arial" w:hAnsi="Arial"/>
                  <w:sz w:val="29"/>
                  <w:szCs w:val="29"/>
                  <w:u w:val="single" w:color="auto"/>
                  <w:color w:val="0000EE"/>
                  <w:w w:val="99"/>
                  <w:vertAlign w:val="superscript"/>
                </w:rPr>
                <w:t>1</w:t>
              </w:r>
              <w:r>
                <w:rPr>
                  <w:rFonts w:ascii="Arial" w:cs="Arial" w:eastAsia="Arial" w:hAnsi="Arial"/>
                  <w:sz w:val="20"/>
                  <w:szCs w:val="20"/>
                  <w:u w:val="single" w:color="auto"/>
                  <w:color w:val="auto"/>
                  <w:w w:val="99"/>
                </w:rPr>
                <w:t xml:space="preserve">   </w:t>
              </w:r>
            </w:hyperlink>
            <w:r>
              <w:rPr>
                <w:rFonts w:ascii="Arial" w:cs="Arial" w:eastAsia="Arial" w:hAnsi="Arial"/>
                <w:sz w:val="20"/>
                <w:szCs w:val="20"/>
                <w:color w:val="auto"/>
                <w:w w:val="99"/>
              </w:rPr>
              <w:t>hereby  certifies  as  of  the  date  hereof  that  [he/she]  is  the</w:t>
            </w:r>
          </w:p>
        </w:tc>
      </w:tr>
    </w:tbl>
    <w:p>
      <w:pPr>
        <w:spacing w:after="0"/>
        <w:rPr>
          <w:sz w:val="20"/>
          <w:szCs w:val="20"/>
          <w:color w:val="auto"/>
        </w:rPr>
      </w:pPr>
      <w:r>
        <w:rPr>
          <w:rFonts w:ascii="Arial" w:cs="Arial" w:eastAsia="Arial" w:hAnsi="Arial"/>
          <w:sz w:val="18"/>
          <w:szCs w:val="18"/>
          <w:color w:val="auto"/>
        </w:rPr>
        <w:t>[_____________________] of the Borrower, and that, as such, [he/she] is authorized to execute and deliver this Certificate</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to the Administrative Agent on the behalf of the Borrower and the other Loan Parties, and that: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[Use following paragraph 1 for fiscal year-end financial statements]</w:t>
      </w:r>
    </w:p>
    <w:p>
      <w:pPr>
        <w:spacing w:after="0" w:line="229" w:lineRule="exact"/>
        <w:rPr>
          <w:sz w:val="20"/>
          <w:szCs w:val="20"/>
          <w:color w:val="auto"/>
        </w:rPr>
      </w:pPr>
    </w:p>
    <w:p>
      <w:pPr>
        <w:jc w:val="both"/>
        <w:ind w:firstLine="656"/>
        <w:spacing w:after="0" w:line="273" w:lineRule="auto"/>
        <w:tabs>
          <w:tab w:leader="none" w:pos="1296"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Borrower has delivered (i) the year-end audited financial statements required by Section 6.01(a) of the Credit Agreement for the fiscal year of the Borrower ended as of the above date, together with the report and opinion of an independent certified public accountant required by such section and (ii) the Consolidated and consolidating balance sheets of the Borrower and its Subsidiaries as at the end of such fiscal year and the related Consolidated and consolidating statements of income or operations, changes in shareholders’ equity and cash flows for such fiscal year, setting forth in each case in comparative form the figures for the previous fiscal year, all in reasonable detail and prepared in accordance with GAAP. Such consolidating statements are fairly stated in all material respects when considered in relation to the Consolidated financial statements of the Borrower and its Subsidiaries.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[Use following paragraph 1 for fiscal quarter-end financial statements]</w:t>
      </w:r>
    </w:p>
    <w:p>
      <w:pPr>
        <w:spacing w:after="0" w:line="229" w:lineRule="exact"/>
        <w:rPr>
          <w:sz w:val="20"/>
          <w:szCs w:val="20"/>
          <w:color w:val="auto"/>
        </w:rPr>
      </w:pPr>
    </w:p>
    <w:p>
      <w:pPr>
        <w:jc w:val="both"/>
        <w:ind w:firstLine="656"/>
        <w:spacing w:after="0" w:line="243" w:lineRule="auto"/>
        <w:tabs>
          <w:tab w:leader="none" w:pos="1296"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Borrower has delivered the unaudited financial statements required by Section 6.01(b) of the Credit Agreement for the fiscal quarter of the Borrower ended as of the above date. Such Consolidated and consolidating financial statements fairly present the financial condition, results of operations, changes in shareholders’ equity and cash flows of the Borrower and its Subsidiaries in accordance with GAAP as at such date and for such period, subject only to normal year-end audit adjustments and the absence of footnotes and such Consolidated and consolidating financial statements are fairly stated in all material respects when considered in relation to the Consolidated financial statements of the Borrower and its Subsidiaries.</w:t>
      </w:r>
    </w:p>
    <w:p>
      <w:pPr>
        <w:spacing w:after="0" w:line="206" w:lineRule="exact"/>
        <w:rPr>
          <w:rFonts w:ascii="Arial" w:cs="Arial" w:eastAsia="Arial" w:hAnsi="Arial"/>
          <w:sz w:val="20"/>
          <w:szCs w:val="20"/>
          <w:color w:val="auto"/>
        </w:rPr>
      </w:pPr>
    </w:p>
    <w:p>
      <w:pPr>
        <w:jc w:val="both"/>
        <w:ind w:firstLine="656"/>
        <w:spacing w:after="0" w:line="269" w:lineRule="auto"/>
        <w:tabs>
          <w:tab w:leader="none" w:pos="1296"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undersigned has reviewed and is familiar with the terms of the Credit Agreement and has made, or has caused to be made under [his/her] supervision, a review of the transactions and condition (financial or otherwise) of the Borrower and its Subsidiaries during the accounting period covered by such financial statements.</w:t>
      </w:r>
    </w:p>
    <w:p>
      <w:pPr>
        <w:spacing w:after="0" w:line="183" w:lineRule="exact"/>
        <w:rPr>
          <w:rFonts w:ascii="Arial" w:cs="Arial" w:eastAsia="Arial" w:hAnsi="Arial"/>
          <w:sz w:val="19"/>
          <w:szCs w:val="19"/>
          <w:color w:val="auto"/>
        </w:rPr>
      </w:pPr>
    </w:p>
    <w:p>
      <w:pPr>
        <w:jc w:val="both"/>
        <w:ind w:firstLine="656"/>
        <w:spacing w:after="0" w:line="269" w:lineRule="auto"/>
        <w:tabs>
          <w:tab w:leader="none" w:pos="1296" w:val="left"/>
        </w:tabs>
        <w:numPr>
          <w:ilvl w:val="0"/>
          <w:numId w:val="27"/>
        </w:numPr>
        <w:rPr>
          <w:rFonts w:ascii="Arial" w:cs="Arial" w:eastAsia="Arial" w:hAnsi="Arial"/>
          <w:sz w:val="19"/>
          <w:szCs w:val="19"/>
          <w:color w:val="auto"/>
        </w:rPr>
      </w:pPr>
      <w:r>
        <w:rPr>
          <w:rFonts w:ascii="Arial" w:cs="Arial" w:eastAsia="Arial" w:hAnsi="Arial"/>
          <w:sz w:val="19"/>
          <w:szCs w:val="19"/>
          <w:color w:val="auto"/>
        </w:rPr>
        <w:t>A review of the activities of the Borrower and its Subsidiaries during such fiscal period has been made under the supervision of the undersigned with a view to determining whether during such fiscal period the Borrower and each of the other Loan Parties performed and observed all its obligations under the Loan Documents, and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[select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327660</wp:posOffset>
            </wp:positionV>
            <wp:extent cx="15684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firstLine="656"/>
        <w:spacing w:after="0" w:line="207" w:lineRule="auto"/>
        <w:tabs>
          <w:tab w:leader="none" w:pos="774" w:val="left"/>
        </w:tabs>
        <w:numPr>
          <w:ilvl w:val="0"/>
          <w:numId w:val="28"/>
        </w:numPr>
        <w:rPr>
          <w:rFonts w:ascii="Arial" w:cs="Arial" w:eastAsia="Arial" w:hAnsi="Arial"/>
          <w:sz w:val="27"/>
          <w:szCs w:val="27"/>
          <w:color w:val="auto"/>
          <w:vertAlign w:val="superscript"/>
        </w:rPr>
      </w:pPr>
      <w:r>
        <w:rPr>
          <w:rFonts w:ascii="Arial" w:cs="Arial" w:eastAsia="Arial" w:hAnsi="Arial"/>
          <w:sz w:val="18"/>
          <w:szCs w:val="18"/>
          <w:color w:val="auto"/>
        </w:rPr>
        <w:t>This certificate should be from the chief executive officer, president, chief financial officer, treasurer, assistant treasurer or controller of the Borrower or Parent,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480060</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99" w:right="999" w:bottom="1440" w:gutter="0" w:footer="0" w:header="0"/>
        </w:sectPr>
      </w:pPr>
    </w:p>
    <w:bookmarkStart w:id="23" w:name="page24"/>
    <w:bookmarkEnd w:id="23"/>
    <w:p>
      <w:pPr>
        <w:jc w:val="both"/>
        <w:ind w:firstLine="648"/>
        <w:spacing w:after="0" w:line="250" w:lineRule="auto"/>
        <w:rPr>
          <w:sz w:val="20"/>
          <w:szCs w:val="20"/>
          <w:color w:val="auto"/>
        </w:rPr>
      </w:pPr>
      <w:r>
        <w:rPr>
          <w:rFonts w:ascii="Arial" w:cs="Arial" w:eastAsia="Arial" w:hAnsi="Arial"/>
          <w:sz w:val="20"/>
          <w:szCs w:val="20"/>
          <w:color w:val="auto"/>
        </w:rPr>
        <w:t>[to the best knowledge of the undersigned, during such fiscal period each of the Loan Parties performed and observed each covenant and condition of the Loan Documents applicable to it, and no Default has occurred and is continuing.]</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--or—</w:t>
      </w:r>
    </w:p>
    <w:p>
      <w:pPr>
        <w:spacing w:after="0" w:line="22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[to the best knowledge of the undersigned, the following covenants or conditions have not been performed or observed and the following is a list of each such Default and its nature and status:]</w:t>
      </w:r>
    </w:p>
    <w:p>
      <w:pPr>
        <w:spacing w:after="0" w:line="190" w:lineRule="exact"/>
        <w:rPr>
          <w:sz w:val="20"/>
          <w:szCs w:val="20"/>
          <w:color w:val="auto"/>
        </w:rPr>
      </w:pPr>
    </w:p>
    <w:p>
      <w:pPr>
        <w:jc w:val="both"/>
        <w:ind w:firstLine="656"/>
        <w:spacing w:after="0" w:line="276" w:lineRule="auto"/>
        <w:tabs>
          <w:tab w:leader="none" w:pos="129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representations and warranties of the Borrower and each other Loan Party contained in Article V of the Credit Agreement or any other Loan Document, or which are contained in any document furnished at any time under or in connection therewith are true and correct on and as of the date hereof, and except that for purposes of this Compliance Certificate, the representations and warranties contained in subsections (a) and (b) of Section 5.05 of the Credit Agreement shall be deemed to refer to the most recent statements furnished pursuant to clauses (a) and (b), respectively, of Section 6.01 of the Credit Agreement, including the statements in connection with which this Compliance Certificate is delivered.</w:t>
      </w:r>
    </w:p>
    <w:p>
      <w:pPr>
        <w:spacing w:after="0" w:line="178" w:lineRule="exact"/>
        <w:rPr>
          <w:rFonts w:ascii="Arial" w:cs="Arial" w:eastAsia="Arial" w:hAnsi="Arial"/>
          <w:sz w:val="18"/>
          <w:szCs w:val="18"/>
          <w:color w:val="auto"/>
        </w:rPr>
      </w:pPr>
    </w:p>
    <w:p>
      <w:pPr>
        <w:ind w:firstLine="656"/>
        <w:spacing w:after="0" w:line="260" w:lineRule="auto"/>
        <w:tabs>
          <w:tab w:leader="none" w:pos="1296" w:val="left"/>
        </w:tabs>
        <w:numPr>
          <w:ilvl w:val="0"/>
          <w:numId w:val="29"/>
        </w:numPr>
        <w:rPr>
          <w:rFonts w:ascii="Arial" w:cs="Arial" w:eastAsia="Arial" w:hAnsi="Arial"/>
          <w:sz w:val="20"/>
          <w:szCs w:val="20"/>
          <w:color w:val="auto"/>
        </w:rPr>
      </w:pPr>
      <w:r>
        <w:rPr>
          <w:rFonts w:ascii="Arial" w:cs="Arial" w:eastAsia="Arial" w:hAnsi="Arial"/>
          <w:sz w:val="20"/>
          <w:szCs w:val="20"/>
          <w:color w:val="auto"/>
        </w:rPr>
        <w:t xml:space="preserve">The financial covenant analyses and information set forth on </w:t>
      </w:r>
      <w:r>
        <w:rPr>
          <w:rFonts w:ascii="Arial" w:cs="Arial" w:eastAsia="Arial" w:hAnsi="Arial"/>
          <w:sz w:val="20"/>
          <w:szCs w:val="20"/>
          <w:u w:val="single" w:color="auto"/>
          <w:color w:val="auto"/>
        </w:rPr>
        <w:t>Schedule A</w:t>
      </w:r>
      <w:r>
        <w:rPr>
          <w:rFonts w:ascii="Arial" w:cs="Arial" w:eastAsia="Arial" w:hAnsi="Arial"/>
          <w:sz w:val="20"/>
          <w:szCs w:val="20"/>
          <w:color w:val="auto"/>
        </w:rPr>
        <w:t xml:space="preserve"> attached hereto are true and accurate on and as of the date of this Certificate.</w:t>
      </w:r>
    </w:p>
    <w:p>
      <w:pPr>
        <w:spacing w:after="0" w:line="190" w:lineRule="exact"/>
        <w:rPr>
          <w:sz w:val="20"/>
          <w:szCs w:val="20"/>
          <w:color w:val="auto"/>
        </w:rPr>
      </w:pPr>
    </w:p>
    <w:p>
      <w:pPr>
        <w:ind w:right="20" w:firstLine="648"/>
        <w:spacing w:after="0" w:line="316" w:lineRule="auto"/>
        <w:rPr>
          <w:sz w:val="20"/>
          <w:szCs w:val="20"/>
          <w:color w:val="auto"/>
        </w:rPr>
      </w:pPr>
      <w:r>
        <w:rPr>
          <w:rFonts w:ascii="Arial" w:cs="Arial" w:eastAsia="Arial" w:hAnsi="Arial"/>
          <w:sz w:val="18"/>
          <w:szCs w:val="18"/>
          <w:color w:val="auto"/>
        </w:rPr>
        <w:t>Delivery of an executed counterpart of a signature page of this Certificate by fax transmission or other electronic mail transmission (e.g. “pdf” or “tif”) shall be effective as delivery of a manually executed counterpart of this Certificate.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884555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4" w:name="page25"/>
    <w:bookmarkEnd w:id="24"/>
    <w:p>
      <w:pPr>
        <w:spacing w:after="0"/>
        <w:rPr>
          <w:sz w:val="20"/>
          <w:szCs w:val="20"/>
          <w:color w:val="auto"/>
        </w:rPr>
      </w:pPr>
      <w:r>
        <w:rPr>
          <w:rFonts w:ascii="Arial" w:cs="Arial" w:eastAsia="Arial" w:hAnsi="Arial"/>
          <w:sz w:val="19"/>
          <w:szCs w:val="19"/>
          <w:b w:val="1"/>
          <w:bCs w:val="1"/>
          <w:color w:val="auto"/>
        </w:rPr>
        <w:t>CALAVO GROWERS, INC.,</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a California corporation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-14605</wp:posOffset>
            </wp:positionV>
            <wp:extent cx="22840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28409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-24765</wp:posOffset>
            </wp:positionV>
            <wp:extent cx="21310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3106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1157605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273050</wp:posOffset>
            </wp:positionH>
            <wp:positionV relativeFrom="paragraph">
              <wp:posOffset>-24765</wp:posOffset>
            </wp:positionV>
            <wp:extent cx="21932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93290" cy="8255"/>
                    </a:xfrm>
                    <a:prstGeom prst="rect">
                      <a:avLst/>
                    </a:prstGeom>
                    <a:noFill/>
                  </pic:spPr>
                </pic:pic>
              </a:graphicData>
            </a:graphic>
          </wp:anchor>
        </w:drawing>
      </w:r>
    </w:p>
    <w:p>
      <w:pPr>
        <w:sectPr>
          <w:pgSz w:w="11900" w:h="16838" w:orient="portrait"/>
          <w:cols w:equalWidth="0" w:num="1">
            <w:col w:w="9479"/>
          </w:cols>
          <w:pgMar w:left="980" w:top="118" w:right="1440" w:bottom="1440" w:gutter="0" w:footer="0" w:header="0"/>
        </w:sectPr>
      </w:pPr>
    </w:p>
    <w:bookmarkStart w:id="25" w:name="page26"/>
    <w:bookmarkEnd w:id="25"/>
    <w:p>
      <w:pPr>
        <w:jc w:val="center"/>
        <w:spacing w:after="0"/>
        <w:rPr>
          <w:sz w:val="20"/>
          <w:szCs w:val="20"/>
          <w:color w:val="auto"/>
        </w:rPr>
      </w:pPr>
      <w:r>
        <w:rPr>
          <w:rFonts w:ascii="Arial" w:cs="Arial" w:eastAsia="Arial" w:hAnsi="Arial"/>
          <w:sz w:val="22"/>
          <w:szCs w:val="22"/>
          <w:b w:val="1"/>
          <w:bCs w:val="1"/>
          <w:i w:val="1"/>
          <w:iCs w:val="1"/>
          <w:color w:val="auto"/>
        </w:rPr>
        <w:t>Schedule A</w:t>
      </w:r>
    </w:p>
    <w:p>
      <w:pPr>
        <w:spacing w:after="0" w:line="234" w:lineRule="exact"/>
        <w:rPr>
          <w:sz w:val="20"/>
          <w:szCs w:val="20"/>
          <w:color w:val="auto"/>
        </w:rPr>
      </w:pPr>
    </w:p>
    <w:p>
      <w:pPr>
        <w:ind w:left="2100"/>
        <w:spacing w:after="0"/>
        <w:rPr>
          <w:sz w:val="20"/>
          <w:szCs w:val="20"/>
          <w:color w:val="auto"/>
        </w:rPr>
      </w:pPr>
      <w:r>
        <w:rPr>
          <w:rFonts w:ascii="Arial" w:cs="Arial" w:eastAsia="Arial" w:hAnsi="Arial"/>
          <w:sz w:val="22"/>
          <w:szCs w:val="22"/>
          <w:i w:val="1"/>
          <w:iCs w:val="1"/>
          <w:color w:val="auto"/>
        </w:rPr>
        <w:t>Financial Statement Date: [________, ____] (“</w:t>
      </w:r>
      <w:r>
        <w:rPr>
          <w:rFonts w:ascii="Arial" w:cs="Arial" w:eastAsia="Arial" w:hAnsi="Arial"/>
          <w:sz w:val="22"/>
          <w:szCs w:val="22"/>
          <w:i w:val="1"/>
          <w:iCs w:val="1"/>
          <w:u w:val="single" w:color="auto"/>
          <w:color w:val="auto"/>
        </w:rPr>
        <w:t>Statement Date</w:t>
      </w:r>
      <w:r>
        <w:rPr>
          <w:rFonts w:ascii="Arial" w:cs="Arial" w:eastAsia="Arial" w:hAnsi="Arial"/>
          <w:sz w:val="22"/>
          <w:szCs w:val="22"/>
          <w:i w:val="1"/>
          <w:iCs w:val="1"/>
          <w:color w:val="auto"/>
        </w:rPr>
        <w:t>”)</w:t>
      </w:r>
    </w:p>
    <w:p>
      <w:pPr>
        <w:spacing w:after="0" w:line="200" w:lineRule="exact"/>
        <w:rPr>
          <w:sz w:val="20"/>
          <w:szCs w:val="20"/>
          <w:color w:val="auto"/>
        </w:rPr>
      </w:pPr>
    </w:p>
    <w:p>
      <w:pPr>
        <w:spacing w:after="0" w:line="243" w:lineRule="exact"/>
        <w:rPr>
          <w:sz w:val="20"/>
          <w:szCs w:val="20"/>
          <w:color w:val="auto"/>
        </w:rPr>
      </w:pPr>
    </w:p>
    <w:p>
      <w:pPr>
        <w:ind w:left="1300" w:right="4560" w:hanging="644"/>
        <w:spacing w:after="0" w:line="256" w:lineRule="auto"/>
        <w:tabs>
          <w:tab w:leader="none" w:pos="1354" w:val="left"/>
        </w:tabs>
        <w:numPr>
          <w:ilvl w:val="0"/>
          <w:numId w:val="30"/>
        </w:numPr>
        <w:rPr>
          <w:rFonts w:ascii="Arial" w:cs="Arial" w:eastAsia="Arial" w:hAnsi="Arial"/>
          <w:sz w:val="22"/>
          <w:szCs w:val="22"/>
          <w:b w:val="1"/>
          <w:bCs w:val="1"/>
          <w:color w:val="auto"/>
        </w:rPr>
      </w:pPr>
      <w:r>
        <w:rPr>
          <w:rFonts w:ascii="Arial" w:cs="Arial" w:eastAsia="Arial" w:hAnsi="Arial"/>
          <w:sz w:val="22"/>
          <w:szCs w:val="22"/>
          <w:b w:val="1"/>
          <w:bCs w:val="1"/>
          <w:color w:val="auto"/>
        </w:rPr>
        <w:t>Consolidated Fixed Charge Coverage Ratio ($ in 000’s)</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660" w:type="dxa"/>
            <w:vAlign w:val="bottom"/>
            <w:tcBorders>
              <w:top w:val="single" w:sz="8" w:color="auto"/>
              <w:left w:val="single" w:sz="8" w:color="auto"/>
              <w:right w:val="single" w:sz="8" w:color="auto"/>
            </w:tcBorders>
          </w:tcPr>
          <w:p>
            <w:pPr>
              <w:spacing w:after="0"/>
              <w:rPr>
                <w:sz w:val="18"/>
                <w:szCs w:val="18"/>
                <w:color w:val="auto"/>
              </w:rPr>
            </w:pPr>
          </w:p>
        </w:tc>
        <w:tc>
          <w:tcPr>
            <w:tcW w:w="6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w:t>
            </w:r>
          </w:p>
        </w:tc>
        <w:tc>
          <w:tcPr>
            <w:tcW w:w="6180" w:type="dxa"/>
            <w:vAlign w:val="bottom"/>
            <w:tcBorders>
              <w:top w:val="single" w:sz="8" w:color="auto"/>
              <w:right w:val="single" w:sz="8" w:color="auto"/>
            </w:tcBorders>
            <w:gridSpan w:val="7"/>
          </w:tcPr>
          <w:p>
            <w:pPr>
              <w:ind w:left="80"/>
              <w:spacing w:after="0"/>
              <w:rPr>
                <w:sz w:val="20"/>
                <w:szCs w:val="20"/>
                <w:color w:val="auto"/>
              </w:rPr>
            </w:pPr>
            <w:r>
              <w:rPr>
                <w:rFonts w:ascii="Arial" w:cs="Arial" w:eastAsia="Arial" w:hAnsi="Arial"/>
                <w:sz w:val="18"/>
                <w:szCs w:val="18"/>
                <w:color w:val="auto"/>
                <w:w w:val="95"/>
              </w:rPr>
              <w:t>Consolidated EBITDA of the Borrower and its Subsidiaries for the Measurement</w:t>
            </w:r>
          </w:p>
        </w:tc>
        <w:tc>
          <w:tcPr>
            <w:tcW w:w="1300" w:type="dxa"/>
            <w:vAlign w:val="bottom"/>
            <w:tcBorders>
              <w:top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190"/>
        </w:trPr>
        <w:tc>
          <w:tcPr>
            <w:tcW w:w="66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5800" w:type="dxa"/>
            <w:vAlign w:val="bottom"/>
            <w:gridSpan w:val="6"/>
          </w:tcPr>
          <w:p>
            <w:pPr>
              <w:ind w:left="80"/>
              <w:spacing w:after="0" w:line="190" w:lineRule="exact"/>
              <w:rPr>
                <w:sz w:val="20"/>
                <w:szCs w:val="20"/>
                <w:color w:val="auto"/>
              </w:rPr>
            </w:pPr>
            <w:r>
              <w:rPr>
                <w:rFonts w:ascii="Arial" w:cs="Arial" w:eastAsia="Arial" w:hAnsi="Arial"/>
                <w:sz w:val="18"/>
                <w:szCs w:val="18"/>
                <w:color w:val="auto"/>
              </w:rPr>
              <w:t>Period ending on above date (“Subject Period”):</w:t>
            </w:r>
          </w:p>
        </w:tc>
        <w:tc>
          <w:tcPr>
            <w:tcW w:w="38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1120" w:type="dxa"/>
            <w:vAlign w:val="bottom"/>
          </w:tcPr>
          <w:p>
            <w:pPr>
              <w:spacing w:after="0"/>
              <w:rPr>
                <w:sz w:val="16"/>
                <w:szCs w:val="16"/>
                <w:color w:val="auto"/>
              </w:rPr>
            </w:pPr>
          </w:p>
        </w:tc>
      </w:tr>
      <w:tr>
        <w:trPr>
          <w:trHeight w:val="20"/>
        </w:trPr>
        <w:tc>
          <w:tcPr>
            <w:tcW w:w="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0"/>
        </w:trPr>
        <w:tc>
          <w:tcPr>
            <w:tcW w:w="660" w:type="dxa"/>
            <w:vAlign w:val="bottom"/>
            <w:tcBorders>
              <w:left w:val="single" w:sz="8" w:color="auto"/>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w:t>
            </w:r>
          </w:p>
        </w:tc>
        <w:tc>
          <w:tcPr>
            <w:tcW w:w="516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color w:val="auto"/>
              </w:rPr>
              <w:t>Consolidated Net Income for Subject Period:</w:t>
            </w:r>
          </w:p>
        </w:tc>
        <w:tc>
          <w:tcPr>
            <w:tcW w:w="3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w w:val="98"/>
              </w:rPr>
              <w:t>$___________</w:t>
            </w:r>
          </w:p>
        </w:tc>
        <w:tc>
          <w:tcPr>
            <w:tcW w:w="1120" w:type="dxa"/>
            <w:vAlign w:val="bottom"/>
          </w:tcPr>
          <w:p>
            <w:pPr>
              <w:spacing w:after="0"/>
              <w:rPr>
                <w:sz w:val="18"/>
                <w:szCs w:val="18"/>
                <w:color w:val="auto"/>
              </w:rPr>
            </w:pPr>
          </w:p>
        </w:tc>
      </w:tr>
      <w:tr>
        <w:trPr>
          <w:trHeight w:val="210"/>
        </w:trPr>
        <w:tc>
          <w:tcPr>
            <w:tcW w:w="660" w:type="dxa"/>
            <w:vAlign w:val="bottom"/>
            <w:tcBorders>
              <w:left w:val="single" w:sz="8" w:color="auto"/>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w:t>
            </w:r>
          </w:p>
        </w:tc>
        <w:tc>
          <w:tcPr>
            <w:tcW w:w="516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color w:val="auto"/>
              </w:rPr>
              <w:t>Consolidated Interest Charges for Subject Period:</w:t>
            </w:r>
          </w:p>
        </w:tc>
        <w:tc>
          <w:tcPr>
            <w:tcW w:w="3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w w:val="98"/>
              </w:rPr>
              <w:t>$___________</w:t>
            </w:r>
          </w:p>
        </w:tc>
        <w:tc>
          <w:tcPr>
            <w:tcW w:w="1120" w:type="dxa"/>
            <w:vAlign w:val="bottom"/>
          </w:tcPr>
          <w:p>
            <w:pPr>
              <w:spacing w:after="0"/>
              <w:rPr>
                <w:sz w:val="18"/>
                <w:szCs w:val="18"/>
                <w:color w:val="auto"/>
              </w:rPr>
            </w:pPr>
          </w:p>
        </w:tc>
      </w:tr>
      <w:tr>
        <w:trPr>
          <w:trHeight w:val="195"/>
        </w:trPr>
        <w:tc>
          <w:tcPr>
            <w:tcW w:w="66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3.</w:t>
            </w:r>
          </w:p>
        </w:tc>
        <w:tc>
          <w:tcPr>
            <w:tcW w:w="5540" w:type="dxa"/>
            <w:vAlign w:val="bottom"/>
            <w:tcBorders>
              <w:right w:val="single" w:sz="8" w:color="auto"/>
            </w:tcBorders>
            <w:gridSpan w:val="6"/>
          </w:tcPr>
          <w:p>
            <w:pPr>
              <w:ind w:left="80"/>
              <w:spacing w:after="0" w:line="195" w:lineRule="exact"/>
              <w:rPr>
                <w:sz w:val="20"/>
                <w:szCs w:val="20"/>
                <w:color w:val="auto"/>
              </w:rPr>
            </w:pPr>
            <w:r>
              <w:rPr>
                <w:rFonts w:ascii="Arial" w:cs="Arial" w:eastAsia="Arial" w:hAnsi="Arial"/>
                <w:sz w:val="18"/>
                <w:szCs w:val="18"/>
                <w:color w:val="auto"/>
                <w:w w:val="98"/>
              </w:rPr>
              <w:t>provision for federal, state, local and foreign income taxes for Subject</w:t>
            </w:r>
          </w:p>
        </w:tc>
        <w:tc>
          <w:tcPr>
            <w:tcW w:w="1300" w:type="dxa"/>
            <w:vAlign w:val="bottom"/>
            <w:tcBorders>
              <w:right w:val="single" w:sz="8" w:color="auto"/>
            </w:tcBorders>
          </w:tcPr>
          <w:p>
            <w:pPr>
              <w:spacing w:after="0"/>
              <w:rPr>
                <w:sz w:val="16"/>
                <w:szCs w:val="16"/>
                <w:color w:val="auto"/>
              </w:rPr>
            </w:pPr>
          </w:p>
        </w:tc>
        <w:tc>
          <w:tcPr>
            <w:tcW w:w="1120" w:type="dxa"/>
            <w:vAlign w:val="bottom"/>
          </w:tcPr>
          <w:p>
            <w:pPr>
              <w:spacing w:after="0"/>
              <w:rPr>
                <w:sz w:val="16"/>
                <w:szCs w:val="16"/>
                <w:color w:val="auto"/>
              </w:rPr>
            </w:pPr>
          </w:p>
        </w:tc>
      </w:tr>
      <w:tr>
        <w:trPr>
          <w:trHeight w:val="230"/>
        </w:trPr>
        <w:tc>
          <w:tcPr>
            <w:tcW w:w="66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516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color w:val="auto"/>
              </w:rPr>
              <w:t>Period:</w:t>
            </w:r>
          </w:p>
        </w:tc>
        <w:tc>
          <w:tcPr>
            <w:tcW w:w="38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w w:val="98"/>
              </w:rPr>
              <w:t>$___________</w:t>
            </w:r>
          </w:p>
        </w:tc>
        <w:tc>
          <w:tcPr>
            <w:tcW w:w="1120" w:type="dxa"/>
            <w:vAlign w:val="bottom"/>
          </w:tcPr>
          <w:p>
            <w:pPr>
              <w:spacing w:after="0"/>
              <w:rPr>
                <w:sz w:val="20"/>
                <w:szCs w:val="20"/>
                <w:color w:val="auto"/>
              </w:rPr>
            </w:pPr>
          </w:p>
        </w:tc>
      </w:tr>
      <w:tr>
        <w:trPr>
          <w:trHeight w:val="210"/>
        </w:trPr>
        <w:tc>
          <w:tcPr>
            <w:tcW w:w="660" w:type="dxa"/>
            <w:vAlign w:val="bottom"/>
            <w:tcBorders>
              <w:left w:val="single" w:sz="8" w:color="auto"/>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4.</w:t>
            </w:r>
          </w:p>
        </w:tc>
        <w:tc>
          <w:tcPr>
            <w:tcW w:w="516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color w:val="auto"/>
              </w:rPr>
              <w:t>depreciation and amortization expenses for Subject Period:</w:t>
            </w:r>
          </w:p>
        </w:tc>
        <w:tc>
          <w:tcPr>
            <w:tcW w:w="3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w w:val="98"/>
              </w:rPr>
              <w:t>$___________</w:t>
            </w:r>
          </w:p>
        </w:tc>
        <w:tc>
          <w:tcPr>
            <w:tcW w:w="1120" w:type="dxa"/>
            <w:vAlign w:val="bottom"/>
          </w:tcPr>
          <w:p>
            <w:pPr>
              <w:spacing w:after="0"/>
              <w:rPr>
                <w:sz w:val="18"/>
                <w:szCs w:val="18"/>
                <w:color w:val="auto"/>
              </w:rPr>
            </w:pPr>
          </w:p>
        </w:tc>
      </w:tr>
      <w:tr>
        <w:trPr>
          <w:trHeight w:val="195"/>
        </w:trPr>
        <w:tc>
          <w:tcPr>
            <w:tcW w:w="66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5.</w:t>
            </w:r>
          </w:p>
        </w:tc>
        <w:tc>
          <w:tcPr>
            <w:tcW w:w="5540" w:type="dxa"/>
            <w:vAlign w:val="bottom"/>
            <w:tcBorders>
              <w:right w:val="single" w:sz="8" w:color="auto"/>
            </w:tcBorders>
            <w:gridSpan w:val="6"/>
          </w:tcPr>
          <w:p>
            <w:pPr>
              <w:ind w:left="80"/>
              <w:spacing w:after="0" w:line="195" w:lineRule="exact"/>
              <w:rPr>
                <w:sz w:val="20"/>
                <w:szCs w:val="20"/>
                <w:color w:val="auto"/>
              </w:rPr>
            </w:pPr>
            <w:r>
              <w:rPr>
                <w:rFonts w:ascii="Arial" w:cs="Arial" w:eastAsia="Arial" w:hAnsi="Arial"/>
                <w:sz w:val="18"/>
                <w:szCs w:val="18"/>
                <w:color w:val="auto"/>
                <w:w w:val="91"/>
              </w:rPr>
              <w:t>non-cash non-recurring charges and losses (excluding any such non-cash</w:t>
            </w:r>
          </w:p>
        </w:tc>
        <w:tc>
          <w:tcPr>
            <w:tcW w:w="1300" w:type="dxa"/>
            <w:vAlign w:val="bottom"/>
            <w:tcBorders>
              <w:right w:val="single" w:sz="8" w:color="auto"/>
            </w:tcBorders>
          </w:tcPr>
          <w:p>
            <w:pPr>
              <w:spacing w:after="0"/>
              <w:rPr>
                <w:sz w:val="16"/>
                <w:szCs w:val="16"/>
                <w:color w:val="auto"/>
              </w:rPr>
            </w:pPr>
          </w:p>
        </w:tc>
        <w:tc>
          <w:tcPr>
            <w:tcW w:w="1120" w:type="dxa"/>
            <w:vAlign w:val="bottom"/>
          </w:tcPr>
          <w:p>
            <w:pPr>
              <w:spacing w:after="0"/>
              <w:rPr>
                <w:sz w:val="16"/>
                <w:szCs w:val="16"/>
                <w:color w:val="auto"/>
              </w:rPr>
            </w:pPr>
          </w:p>
        </w:tc>
      </w:tr>
      <w:tr>
        <w:trPr>
          <w:trHeight w:val="216"/>
        </w:trPr>
        <w:tc>
          <w:tcPr>
            <w:tcW w:w="66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554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w w:val="90"/>
              </w:rPr>
              <w:t>charges or losses to the extent (A) there were cash charges with respect to</w:t>
            </w:r>
          </w:p>
        </w:tc>
        <w:tc>
          <w:tcPr>
            <w:tcW w:w="130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6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554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such charges and losses in past accounting periods or (B) there is a</w:t>
            </w:r>
          </w:p>
        </w:tc>
        <w:tc>
          <w:tcPr>
            <w:tcW w:w="130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6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554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w w:val="90"/>
              </w:rPr>
              <w:t>reasonable expectation that there will be cash charges with respect to such</w:t>
            </w:r>
          </w:p>
        </w:tc>
        <w:tc>
          <w:tcPr>
            <w:tcW w:w="130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66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516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color w:val="auto"/>
                <w:w w:val="93"/>
              </w:rPr>
              <w:t>charges and losses in future accounting periods) for Subject Period:</w:t>
            </w:r>
          </w:p>
        </w:tc>
        <w:tc>
          <w:tcPr>
            <w:tcW w:w="38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w w:val="98"/>
              </w:rPr>
              <w:t>$___________</w:t>
            </w:r>
          </w:p>
        </w:tc>
        <w:tc>
          <w:tcPr>
            <w:tcW w:w="1120" w:type="dxa"/>
            <w:vAlign w:val="bottom"/>
          </w:tcPr>
          <w:p>
            <w:pPr>
              <w:spacing w:after="0"/>
              <w:rPr>
                <w:sz w:val="20"/>
                <w:szCs w:val="20"/>
                <w:color w:val="auto"/>
              </w:rPr>
            </w:pPr>
          </w:p>
        </w:tc>
      </w:tr>
      <w:tr>
        <w:trPr>
          <w:trHeight w:val="209"/>
        </w:trPr>
        <w:tc>
          <w:tcPr>
            <w:tcW w:w="660" w:type="dxa"/>
            <w:vAlign w:val="bottom"/>
            <w:tcBorders>
              <w:left w:val="single" w:sz="8" w:color="auto"/>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6.</w:t>
            </w:r>
          </w:p>
        </w:tc>
        <w:tc>
          <w:tcPr>
            <w:tcW w:w="516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color w:val="auto"/>
                <w:w w:val="97"/>
              </w:rPr>
              <w:t>non-cash stock-based compensation expense for Subject Period:</w:t>
            </w:r>
          </w:p>
        </w:tc>
        <w:tc>
          <w:tcPr>
            <w:tcW w:w="3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w w:val="98"/>
              </w:rPr>
              <w:t>$___________</w:t>
            </w:r>
          </w:p>
        </w:tc>
        <w:tc>
          <w:tcPr>
            <w:tcW w:w="1120" w:type="dxa"/>
            <w:vAlign w:val="bottom"/>
          </w:tcPr>
          <w:p>
            <w:pPr>
              <w:spacing w:after="0"/>
              <w:rPr>
                <w:sz w:val="18"/>
                <w:szCs w:val="18"/>
                <w:color w:val="auto"/>
              </w:rPr>
            </w:pPr>
          </w:p>
        </w:tc>
      </w:tr>
      <w:tr>
        <w:trPr>
          <w:trHeight w:val="195"/>
        </w:trPr>
        <w:tc>
          <w:tcPr>
            <w:tcW w:w="66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7.</w:t>
            </w:r>
          </w:p>
        </w:tc>
        <w:tc>
          <w:tcPr>
            <w:tcW w:w="5160" w:type="dxa"/>
            <w:vAlign w:val="bottom"/>
            <w:gridSpan w:val="5"/>
          </w:tcPr>
          <w:p>
            <w:pPr>
              <w:ind w:left="80"/>
              <w:spacing w:after="0" w:line="195" w:lineRule="exact"/>
              <w:rPr>
                <w:sz w:val="20"/>
                <w:szCs w:val="20"/>
                <w:color w:val="auto"/>
              </w:rPr>
            </w:pPr>
            <w:r>
              <w:rPr>
                <w:rFonts w:ascii="Arial" w:cs="Arial" w:eastAsia="Arial" w:hAnsi="Arial"/>
                <w:sz w:val="18"/>
                <w:szCs w:val="18"/>
                <w:color w:val="auto"/>
                <w:w w:val="98"/>
              </w:rPr>
              <w:t>non-recurring or unusual expenses, losses, write-offs or charges</w:t>
            </w:r>
          </w:p>
        </w:tc>
        <w:tc>
          <w:tcPr>
            <w:tcW w:w="380" w:type="dxa"/>
            <w:vAlign w:val="bottom"/>
            <w:tcBorders>
              <w:right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for</w:t>
            </w:r>
          </w:p>
        </w:tc>
        <w:tc>
          <w:tcPr>
            <w:tcW w:w="1300" w:type="dxa"/>
            <w:vAlign w:val="bottom"/>
            <w:tcBorders>
              <w:right w:val="single" w:sz="8" w:color="auto"/>
            </w:tcBorders>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66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5540" w:type="dxa"/>
            <w:vAlign w:val="bottom"/>
            <w:tcBorders>
              <w:right w:val="single" w:sz="8" w:color="auto"/>
            </w:tcBorders>
            <w:gridSpan w:val="6"/>
          </w:tcPr>
          <w:p>
            <w:pPr>
              <w:ind w:left="80"/>
              <w:spacing w:after="0" w:line="190" w:lineRule="exact"/>
              <w:rPr>
                <w:sz w:val="20"/>
                <w:szCs w:val="20"/>
                <w:color w:val="auto"/>
              </w:rPr>
            </w:pPr>
            <w:r>
              <w:rPr>
                <w:rFonts w:ascii="Arial" w:cs="Arial" w:eastAsia="Arial" w:hAnsi="Arial"/>
                <w:sz w:val="18"/>
                <w:szCs w:val="18"/>
                <w:color w:val="auto"/>
                <w:w w:val="97"/>
              </w:rPr>
              <w:t>Subject Period; provided that the aggregate amount thereof at no time</w:t>
            </w:r>
          </w:p>
        </w:tc>
        <w:tc>
          <w:tcPr>
            <w:tcW w:w="1300" w:type="dxa"/>
            <w:vAlign w:val="bottom"/>
            <w:tcBorders>
              <w:right w:val="single" w:sz="8" w:color="auto"/>
            </w:tcBorders>
          </w:tcPr>
          <w:p>
            <w:pPr>
              <w:spacing w:after="0"/>
              <w:rPr>
                <w:sz w:val="16"/>
                <w:szCs w:val="16"/>
                <w:color w:val="auto"/>
              </w:rPr>
            </w:pPr>
          </w:p>
        </w:tc>
        <w:tc>
          <w:tcPr>
            <w:tcW w:w="1120" w:type="dxa"/>
            <w:vAlign w:val="bottom"/>
          </w:tcPr>
          <w:p>
            <w:pPr>
              <w:spacing w:after="0"/>
              <w:rPr>
                <w:sz w:val="16"/>
                <w:szCs w:val="16"/>
                <w:color w:val="auto"/>
              </w:rPr>
            </w:pPr>
          </w:p>
        </w:tc>
      </w:tr>
      <w:tr>
        <w:trPr>
          <w:trHeight w:val="20"/>
        </w:trPr>
        <w:tc>
          <w:tcPr>
            <w:tcW w:w="660" w:type="dxa"/>
            <w:vAlign w:val="bottom"/>
            <w:tcBorders>
              <w:left w:val="single" w:sz="8" w:color="auto"/>
              <w:right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3620" w:type="dxa"/>
            <w:vAlign w:val="bottom"/>
            <w:tcBorders>
              <w:right w:val="single" w:sz="8" w:color="auto"/>
            </w:tcBorders>
            <w:gridSpan w:val="3"/>
          </w:tcPr>
          <w:p>
            <w:pPr>
              <w:spacing w:after="0" w:line="20" w:lineRule="exact"/>
              <w:rPr>
                <w:sz w:val="1"/>
                <w:szCs w:val="1"/>
                <w:color w:val="auto"/>
              </w:rPr>
            </w:pPr>
          </w:p>
        </w:tc>
        <w:tc>
          <w:tcPr>
            <w:tcW w:w="1300" w:type="dxa"/>
            <w:vAlign w:val="bottom"/>
            <w:tcBorders>
              <w:right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2"/>
        </w:trPr>
        <w:tc>
          <w:tcPr>
            <w:tcW w:w="660" w:type="dxa"/>
            <w:vAlign w:val="bottom"/>
            <w:tcBorders>
              <w:left w:val="single" w:sz="8" w:color="auto"/>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554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w w:val="99"/>
              </w:rPr>
              <w:t>shall exceed ten  percent (10%) of the Consolidated EBITDA (before</w:t>
            </w:r>
          </w:p>
        </w:tc>
        <w:tc>
          <w:tcPr>
            <w:tcW w:w="1300" w:type="dxa"/>
            <w:vAlign w:val="bottom"/>
            <w:tcBorders>
              <w:right w:val="single" w:sz="8" w:color="auto"/>
            </w:tcBorders>
          </w:tcPr>
          <w:p>
            <w:pPr>
              <w:spacing w:after="0"/>
              <w:rPr>
                <w:sz w:val="19"/>
                <w:szCs w:val="19"/>
                <w:color w:val="auto"/>
              </w:rPr>
            </w:pPr>
          </w:p>
        </w:tc>
        <w:tc>
          <w:tcPr>
            <w:tcW w:w="1120" w:type="dxa"/>
            <w:vAlign w:val="bottom"/>
          </w:tcPr>
          <w:p>
            <w:pPr>
              <w:spacing w:after="0"/>
              <w:rPr>
                <w:sz w:val="19"/>
                <w:szCs w:val="19"/>
                <w:color w:val="auto"/>
              </w:rPr>
            </w:pPr>
          </w:p>
        </w:tc>
      </w:tr>
      <w:tr>
        <w:trPr>
          <w:trHeight w:val="216"/>
        </w:trPr>
        <w:tc>
          <w:tcPr>
            <w:tcW w:w="66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554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w w:val="95"/>
              </w:rPr>
              <w:t>giving effect to such expenses, losses, write-offs or charges) during any</w:t>
            </w:r>
          </w:p>
        </w:tc>
        <w:tc>
          <w:tcPr>
            <w:tcW w:w="130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6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554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w w:val="94"/>
              </w:rPr>
              <w:t>Subject Period, or such other amount as agreed to by the Administrative</w:t>
            </w:r>
          </w:p>
        </w:tc>
        <w:tc>
          <w:tcPr>
            <w:tcW w:w="130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66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516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color w:val="auto"/>
              </w:rPr>
              <w:t>Agent in writing</w:t>
            </w:r>
          </w:p>
        </w:tc>
        <w:tc>
          <w:tcPr>
            <w:tcW w:w="38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$__________</w:t>
            </w:r>
          </w:p>
        </w:tc>
        <w:tc>
          <w:tcPr>
            <w:tcW w:w="1120" w:type="dxa"/>
            <w:vAlign w:val="bottom"/>
          </w:tcPr>
          <w:p>
            <w:pPr>
              <w:spacing w:after="0"/>
              <w:rPr>
                <w:sz w:val="20"/>
                <w:szCs w:val="20"/>
                <w:color w:val="auto"/>
              </w:rPr>
            </w:pPr>
          </w:p>
        </w:tc>
      </w:tr>
      <w:tr>
        <w:trPr>
          <w:trHeight w:val="195"/>
        </w:trPr>
        <w:tc>
          <w:tcPr>
            <w:tcW w:w="66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8.</w:t>
            </w:r>
          </w:p>
        </w:tc>
        <w:tc>
          <w:tcPr>
            <w:tcW w:w="5540" w:type="dxa"/>
            <w:vAlign w:val="bottom"/>
            <w:tcBorders>
              <w:right w:val="single" w:sz="8" w:color="auto"/>
            </w:tcBorders>
            <w:gridSpan w:val="6"/>
          </w:tcPr>
          <w:p>
            <w:pPr>
              <w:ind w:left="80"/>
              <w:spacing w:after="0" w:line="195" w:lineRule="exact"/>
              <w:rPr>
                <w:sz w:val="20"/>
                <w:szCs w:val="20"/>
                <w:color w:val="auto"/>
              </w:rPr>
            </w:pPr>
            <w:r>
              <w:rPr>
                <w:rFonts w:ascii="Arial" w:cs="Arial" w:eastAsia="Arial" w:hAnsi="Arial"/>
                <w:sz w:val="18"/>
                <w:szCs w:val="18"/>
                <w:color w:val="auto"/>
                <w:w w:val="94"/>
              </w:rPr>
              <w:t>non-cash non-recurring gains (excluding any such non-cash gains to the</w:t>
            </w:r>
          </w:p>
        </w:tc>
        <w:tc>
          <w:tcPr>
            <w:tcW w:w="1300" w:type="dxa"/>
            <w:vAlign w:val="bottom"/>
            <w:tcBorders>
              <w:right w:val="single" w:sz="8" w:color="auto"/>
            </w:tcBorders>
          </w:tcPr>
          <w:p>
            <w:pPr>
              <w:spacing w:after="0"/>
              <w:rPr>
                <w:sz w:val="16"/>
                <w:szCs w:val="16"/>
                <w:color w:val="auto"/>
              </w:rPr>
            </w:pPr>
          </w:p>
        </w:tc>
        <w:tc>
          <w:tcPr>
            <w:tcW w:w="1120" w:type="dxa"/>
            <w:vAlign w:val="bottom"/>
          </w:tcPr>
          <w:p>
            <w:pPr>
              <w:spacing w:after="0"/>
              <w:rPr>
                <w:sz w:val="16"/>
                <w:szCs w:val="16"/>
                <w:color w:val="auto"/>
              </w:rPr>
            </w:pPr>
          </w:p>
        </w:tc>
      </w:tr>
      <w:tr>
        <w:trPr>
          <w:trHeight w:val="216"/>
        </w:trPr>
        <w:tc>
          <w:tcPr>
            <w:tcW w:w="66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554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extent (A) there were cash gains with respect to such gains in past</w:t>
            </w:r>
          </w:p>
        </w:tc>
        <w:tc>
          <w:tcPr>
            <w:tcW w:w="130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6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554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w w:val="93"/>
              </w:rPr>
              <w:t>accounting periods or (B) there is a reasonable expectation that there will</w:t>
            </w:r>
          </w:p>
        </w:tc>
        <w:tc>
          <w:tcPr>
            <w:tcW w:w="130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6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554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w w:val="93"/>
              </w:rPr>
              <w:t>be cash gains with respect to such gains in future accounting periods) for</w:t>
            </w:r>
          </w:p>
        </w:tc>
        <w:tc>
          <w:tcPr>
            <w:tcW w:w="130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66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516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color w:val="auto"/>
              </w:rPr>
              <w:t>Subject Period:</w:t>
            </w:r>
          </w:p>
        </w:tc>
        <w:tc>
          <w:tcPr>
            <w:tcW w:w="38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w w:val="98"/>
              </w:rPr>
              <w:t>$___________</w:t>
            </w:r>
          </w:p>
        </w:tc>
        <w:tc>
          <w:tcPr>
            <w:tcW w:w="1120" w:type="dxa"/>
            <w:vAlign w:val="bottom"/>
          </w:tcPr>
          <w:p>
            <w:pPr>
              <w:spacing w:after="0"/>
              <w:rPr>
                <w:sz w:val="20"/>
                <w:szCs w:val="20"/>
                <w:color w:val="auto"/>
              </w:rPr>
            </w:pPr>
          </w:p>
        </w:tc>
      </w:tr>
      <w:tr>
        <w:trPr>
          <w:trHeight w:val="210"/>
        </w:trPr>
        <w:tc>
          <w:tcPr>
            <w:tcW w:w="660" w:type="dxa"/>
            <w:vAlign w:val="bottom"/>
            <w:tcBorders>
              <w:left w:val="single" w:sz="8" w:color="auto"/>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9.</w:t>
            </w:r>
          </w:p>
        </w:tc>
        <w:tc>
          <w:tcPr>
            <w:tcW w:w="516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color w:val="auto"/>
              </w:rPr>
              <w:t>EBITDA (Lines I.A.1 + 2 + 3 + 4 + 5 + 6 +7 -8):</w:t>
            </w:r>
          </w:p>
        </w:tc>
        <w:tc>
          <w:tcPr>
            <w:tcW w:w="3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w w:val="98"/>
              </w:rPr>
              <w:t>$___________</w:t>
            </w:r>
          </w:p>
        </w:tc>
        <w:tc>
          <w:tcPr>
            <w:tcW w:w="1120" w:type="dxa"/>
            <w:vAlign w:val="bottom"/>
          </w:tcPr>
          <w:p>
            <w:pPr>
              <w:spacing w:after="0"/>
              <w:rPr>
                <w:sz w:val="18"/>
                <w:szCs w:val="18"/>
                <w:color w:val="auto"/>
              </w:rPr>
            </w:pPr>
          </w:p>
        </w:tc>
      </w:tr>
      <w:tr>
        <w:trPr>
          <w:trHeight w:val="209"/>
        </w:trPr>
        <w:tc>
          <w:tcPr>
            <w:tcW w:w="660" w:type="dxa"/>
            <w:vAlign w:val="bottom"/>
            <w:tcBorders>
              <w:left w:val="single" w:sz="8" w:color="auto"/>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660" w:type="dxa"/>
            <w:vAlign w:val="bottom"/>
            <w:tcBorders>
              <w:left w:val="single" w:sz="8" w:color="auto"/>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w:t>
            </w:r>
          </w:p>
        </w:tc>
        <w:tc>
          <w:tcPr>
            <w:tcW w:w="5800" w:type="dxa"/>
            <w:vAlign w:val="bottom"/>
            <w:tcBorders>
              <w:bottom w:val="single" w:sz="8" w:color="auto"/>
            </w:tcBorders>
            <w:gridSpan w:val="6"/>
          </w:tcPr>
          <w:p>
            <w:pPr>
              <w:ind w:left="80"/>
              <w:spacing w:after="0"/>
              <w:rPr>
                <w:sz w:val="20"/>
                <w:szCs w:val="20"/>
                <w:color w:val="auto"/>
              </w:rPr>
            </w:pPr>
            <w:r>
              <w:rPr>
                <w:rFonts w:ascii="Arial" w:cs="Arial" w:eastAsia="Arial" w:hAnsi="Arial"/>
                <w:sz w:val="18"/>
                <w:szCs w:val="18"/>
                <w:color w:val="auto"/>
              </w:rPr>
              <w:t>maintenance Consolidated Capital Expenditures for Subject Period:</w:t>
            </w:r>
          </w:p>
        </w:tc>
        <w:tc>
          <w:tcPr>
            <w:tcW w:w="3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$__________</w:t>
            </w:r>
          </w:p>
        </w:tc>
        <w:tc>
          <w:tcPr>
            <w:tcW w:w="1120" w:type="dxa"/>
            <w:vAlign w:val="bottom"/>
          </w:tcPr>
          <w:p>
            <w:pPr>
              <w:spacing w:after="0"/>
              <w:rPr>
                <w:sz w:val="18"/>
                <w:szCs w:val="18"/>
                <w:color w:val="auto"/>
              </w:rPr>
            </w:pPr>
          </w:p>
        </w:tc>
      </w:tr>
      <w:tr>
        <w:trPr>
          <w:trHeight w:val="210"/>
        </w:trPr>
        <w:tc>
          <w:tcPr>
            <w:tcW w:w="660" w:type="dxa"/>
            <w:vAlign w:val="bottom"/>
            <w:tcBorders>
              <w:left w:val="single" w:sz="8" w:color="auto"/>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660" w:type="dxa"/>
            <w:vAlign w:val="bottom"/>
            <w:tcBorders>
              <w:left w:val="single" w:sz="8" w:color="auto"/>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w:t>
            </w:r>
          </w:p>
        </w:tc>
        <w:tc>
          <w:tcPr>
            <w:tcW w:w="5800" w:type="dxa"/>
            <w:vAlign w:val="bottom"/>
            <w:tcBorders>
              <w:bottom w:val="single" w:sz="8" w:color="auto"/>
            </w:tcBorders>
            <w:gridSpan w:val="6"/>
          </w:tcPr>
          <w:p>
            <w:pPr>
              <w:ind w:left="80"/>
              <w:spacing w:after="0"/>
              <w:rPr>
                <w:sz w:val="20"/>
                <w:szCs w:val="20"/>
                <w:color w:val="auto"/>
              </w:rPr>
            </w:pPr>
            <w:r>
              <w:rPr>
                <w:rFonts w:ascii="Arial" w:cs="Arial" w:eastAsia="Arial" w:hAnsi="Arial"/>
                <w:sz w:val="18"/>
                <w:szCs w:val="18"/>
                <w:color w:val="auto"/>
              </w:rPr>
              <w:t>Fixed Charges for Subject Period:</w:t>
            </w:r>
          </w:p>
        </w:tc>
        <w:tc>
          <w:tcPr>
            <w:tcW w:w="3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195"/>
        </w:trPr>
        <w:tc>
          <w:tcPr>
            <w:tcW w:w="66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1.</w:t>
            </w:r>
          </w:p>
        </w:tc>
        <w:tc>
          <w:tcPr>
            <w:tcW w:w="5160" w:type="dxa"/>
            <w:vAlign w:val="bottom"/>
            <w:gridSpan w:val="5"/>
          </w:tcPr>
          <w:p>
            <w:pPr>
              <w:ind w:left="80"/>
              <w:spacing w:after="0" w:line="195" w:lineRule="exact"/>
              <w:rPr>
                <w:sz w:val="20"/>
                <w:szCs w:val="20"/>
                <w:color w:val="auto"/>
              </w:rPr>
            </w:pPr>
            <w:r>
              <w:rPr>
                <w:rFonts w:ascii="Arial" w:cs="Arial" w:eastAsia="Arial" w:hAnsi="Arial"/>
                <w:sz w:val="18"/>
                <w:szCs w:val="18"/>
                <w:color w:val="auto"/>
              </w:rPr>
              <w:t>Consolidated Interest Charges to the extent paid in cash during</w:t>
            </w:r>
          </w:p>
        </w:tc>
        <w:tc>
          <w:tcPr>
            <w:tcW w:w="380" w:type="dxa"/>
            <w:vAlign w:val="bottom"/>
            <w:tcBorders>
              <w:right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w w:val="95"/>
              </w:rPr>
              <w:t>the</w:t>
            </w:r>
          </w:p>
        </w:tc>
        <w:tc>
          <w:tcPr>
            <w:tcW w:w="1300" w:type="dxa"/>
            <w:vAlign w:val="bottom"/>
            <w:tcBorders>
              <w:right w:val="single" w:sz="8" w:color="auto"/>
            </w:tcBorders>
          </w:tcPr>
          <w:p>
            <w:pPr>
              <w:spacing w:after="0"/>
              <w:rPr>
                <w:sz w:val="16"/>
                <w:szCs w:val="16"/>
                <w:color w:val="auto"/>
              </w:rPr>
            </w:pPr>
          </w:p>
        </w:tc>
        <w:tc>
          <w:tcPr>
            <w:tcW w:w="1120" w:type="dxa"/>
            <w:vAlign w:val="bottom"/>
          </w:tcPr>
          <w:p>
            <w:pPr>
              <w:spacing w:after="0"/>
              <w:rPr>
                <w:sz w:val="16"/>
                <w:szCs w:val="16"/>
                <w:color w:val="auto"/>
              </w:rPr>
            </w:pPr>
          </w:p>
        </w:tc>
      </w:tr>
      <w:tr>
        <w:trPr>
          <w:trHeight w:val="230"/>
        </w:trPr>
        <w:tc>
          <w:tcPr>
            <w:tcW w:w="66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516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color w:val="auto"/>
              </w:rPr>
              <w:t>Subject Period:</w:t>
            </w:r>
          </w:p>
        </w:tc>
        <w:tc>
          <w:tcPr>
            <w:tcW w:w="38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w w:val="98"/>
              </w:rPr>
              <w:t>$___________</w:t>
            </w:r>
          </w:p>
        </w:tc>
        <w:tc>
          <w:tcPr>
            <w:tcW w:w="1120" w:type="dxa"/>
            <w:vAlign w:val="bottom"/>
          </w:tcPr>
          <w:p>
            <w:pPr>
              <w:spacing w:after="0"/>
              <w:rPr>
                <w:sz w:val="20"/>
                <w:szCs w:val="20"/>
                <w:color w:val="auto"/>
              </w:rPr>
            </w:pPr>
          </w:p>
        </w:tc>
      </w:tr>
      <w:tr>
        <w:trPr>
          <w:trHeight w:val="195"/>
        </w:trPr>
        <w:tc>
          <w:tcPr>
            <w:tcW w:w="66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2.</w:t>
            </w:r>
          </w:p>
        </w:tc>
        <w:tc>
          <w:tcPr>
            <w:tcW w:w="5540" w:type="dxa"/>
            <w:vAlign w:val="bottom"/>
            <w:tcBorders>
              <w:right w:val="single" w:sz="8" w:color="auto"/>
            </w:tcBorders>
            <w:gridSpan w:val="6"/>
          </w:tcPr>
          <w:p>
            <w:pPr>
              <w:ind w:left="80"/>
              <w:spacing w:after="0" w:line="195" w:lineRule="exact"/>
              <w:rPr>
                <w:sz w:val="20"/>
                <w:szCs w:val="20"/>
                <w:color w:val="auto"/>
              </w:rPr>
            </w:pPr>
            <w:r>
              <w:rPr>
                <w:rFonts w:ascii="Arial" w:cs="Arial" w:eastAsia="Arial" w:hAnsi="Arial"/>
                <w:sz w:val="18"/>
                <w:szCs w:val="18"/>
                <w:color w:val="auto"/>
                <w:w w:val="94"/>
              </w:rPr>
              <w:t>the aggregate principal amount of all redemptions or similar acquisitions</w:t>
            </w:r>
          </w:p>
        </w:tc>
        <w:tc>
          <w:tcPr>
            <w:tcW w:w="1300" w:type="dxa"/>
            <w:vAlign w:val="bottom"/>
            <w:tcBorders>
              <w:right w:val="single" w:sz="8" w:color="auto"/>
            </w:tcBorders>
          </w:tcPr>
          <w:p>
            <w:pPr>
              <w:spacing w:after="0"/>
              <w:rPr>
                <w:sz w:val="16"/>
                <w:szCs w:val="16"/>
                <w:color w:val="auto"/>
              </w:rPr>
            </w:pPr>
          </w:p>
        </w:tc>
        <w:tc>
          <w:tcPr>
            <w:tcW w:w="1120" w:type="dxa"/>
            <w:vAlign w:val="bottom"/>
          </w:tcPr>
          <w:p>
            <w:pPr>
              <w:spacing w:after="0"/>
              <w:rPr>
                <w:sz w:val="16"/>
                <w:szCs w:val="16"/>
                <w:color w:val="auto"/>
              </w:rPr>
            </w:pPr>
          </w:p>
        </w:tc>
      </w:tr>
      <w:tr>
        <w:trPr>
          <w:trHeight w:val="216"/>
        </w:trPr>
        <w:tc>
          <w:tcPr>
            <w:tcW w:w="66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554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w w:val="96"/>
              </w:rPr>
              <w:t>for value of outstanding debt or regularly scheduled principal payments</w:t>
            </w:r>
          </w:p>
        </w:tc>
        <w:tc>
          <w:tcPr>
            <w:tcW w:w="130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6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554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w w:val="97"/>
              </w:rPr>
              <w:t>on debt for borrowed money or Capitalized Leases, but excluding any</w:t>
            </w:r>
          </w:p>
        </w:tc>
        <w:tc>
          <w:tcPr>
            <w:tcW w:w="130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6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554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w w:val="96"/>
              </w:rPr>
              <w:t>such  payments  to  the  extent  refinanced  through  the  incurrence  of</w:t>
            </w:r>
          </w:p>
        </w:tc>
        <w:tc>
          <w:tcPr>
            <w:tcW w:w="130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6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554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w w:val="91"/>
              </w:rPr>
              <w:t>additional Indebtedness otherwise expressly permitted under Section 7.02</w:t>
            </w:r>
          </w:p>
        </w:tc>
        <w:tc>
          <w:tcPr>
            <w:tcW w:w="130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66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516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color w:val="auto"/>
              </w:rPr>
              <w:t>of the Credit Agreement made during the Subject Period:</w:t>
            </w:r>
          </w:p>
        </w:tc>
        <w:tc>
          <w:tcPr>
            <w:tcW w:w="38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w w:val="98"/>
              </w:rPr>
              <w:t>$___________</w:t>
            </w:r>
          </w:p>
        </w:tc>
        <w:tc>
          <w:tcPr>
            <w:tcW w:w="1120" w:type="dxa"/>
            <w:vAlign w:val="bottom"/>
          </w:tcPr>
          <w:p>
            <w:pPr>
              <w:spacing w:after="0"/>
              <w:rPr>
                <w:sz w:val="20"/>
                <w:szCs w:val="20"/>
                <w:color w:val="auto"/>
              </w:rPr>
            </w:pPr>
          </w:p>
        </w:tc>
      </w:tr>
      <w:tr>
        <w:trPr>
          <w:trHeight w:val="195"/>
        </w:trPr>
        <w:tc>
          <w:tcPr>
            <w:tcW w:w="66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3.</w:t>
            </w:r>
          </w:p>
        </w:tc>
        <w:tc>
          <w:tcPr>
            <w:tcW w:w="5540" w:type="dxa"/>
            <w:vAlign w:val="bottom"/>
            <w:tcBorders>
              <w:right w:val="single" w:sz="8" w:color="auto"/>
            </w:tcBorders>
            <w:gridSpan w:val="6"/>
          </w:tcPr>
          <w:p>
            <w:pPr>
              <w:ind w:left="80"/>
              <w:spacing w:after="0" w:line="195" w:lineRule="exact"/>
              <w:rPr>
                <w:sz w:val="20"/>
                <w:szCs w:val="20"/>
                <w:color w:val="auto"/>
              </w:rPr>
            </w:pPr>
            <w:r>
              <w:rPr>
                <w:rFonts w:ascii="Arial" w:cs="Arial" w:eastAsia="Arial" w:hAnsi="Arial"/>
                <w:sz w:val="18"/>
                <w:szCs w:val="18"/>
                <w:color w:val="auto"/>
                <w:w w:val="94"/>
              </w:rPr>
              <w:t>the aggregate amount of all Restricted Payments paid in cash during the</w:t>
            </w:r>
          </w:p>
        </w:tc>
        <w:tc>
          <w:tcPr>
            <w:tcW w:w="1300" w:type="dxa"/>
            <w:vAlign w:val="bottom"/>
            <w:tcBorders>
              <w:right w:val="single" w:sz="8" w:color="auto"/>
            </w:tcBorders>
          </w:tcPr>
          <w:p>
            <w:pPr>
              <w:spacing w:after="0"/>
              <w:rPr>
                <w:sz w:val="16"/>
                <w:szCs w:val="16"/>
                <w:color w:val="auto"/>
              </w:rPr>
            </w:pPr>
          </w:p>
        </w:tc>
        <w:tc>
          <w:tcPr>
            <w:tcW w:w="1120" w:type="dxa"/>
            <w:vAlign w:val="bottom"/>
          </w:tcPr>
          <w:p>
            <w:pPr>
              <w:spacing w:after="0"/>
              <w:rPr>
                <w:sz w:val="16"/>
                <w:szCs w:val="16"/>
                <w:color w:val="auto"/>
              </w:rPr>
            </w:pPr>
          </w:p>
        </w:tc>
      </w:tr>
      <w:tr>
        <w:trPr>
          <w:trHeight w:val="230"/>
        </w:trPr>
        <w:tc>
          <w:tcPr>
            <w:tcW w:w="66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516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color w:val="auto"/>
              </w:rPr>
              <w:t>Subject Period:</w:t>
            </w:r>
          </w:p>
        </w:tc>
        <w:tc>
          <w:tcPr>
            <w:tcW w:w="38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w w:val="98"/>
              </w:rPr>
              <w:t>$___________</w:t>
            </w:r>
          </w:p>
        </w:tc>
        <w:tc>
          <w:tcPr>
            <w:tcW w:w="1120" w:type="dxa"/>
            <w:vAlign w:val="bottom"/>
          </w:tcPr>
          <w:p>
            <w:pPr>
              <w:spacing w:after="0"/>
              <w:rPr>
                <w:sz w:val="20"/>
                <w:szCs w:val="20"/>
                <w:color w:val="auto"/>
              </w:rPr>
            </w:pPr>
          </w:p>
        </w:tc>
      </w:tr>
      <w:tr>
        <w:trPr>
          <w:trHeight w:val="195"/>
        </w:trPr>
        <w:tc>
          <w:tcPr>
            <w:tcW w:w="66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4.</w:t>
            </w:r>
          </w:p>
        </w:tc>
        <w:tc>
          <w:tcPr>
            <w:tcW w:w="5540" w:type="dxa"/>
            <w:vAlign w:val="bottom"/>
            <w:tcBorders>
              <w:right w:val="single" w:sz="8" w:color="auto"/>
            </w:tcBorders>
            <w:gridSpan w:val="6"/>
          </w:tcPr>
          <w:p>
            <w:pPr>
              <w:ind w:left="80"/>
              <w:spacing w:after="0" w:line="195" w:lineRule="exact"/>
              <w:rPr>
                <w:sz w:val="20"/>
                <w:szCs w:val="20"/>
                <w:color w:val="auto"/>
              </w:rPr>
            </w:pPr>
            <w:r>
              <w:rPr>
                <w:rFonts w:ascii="Arial" w:cs="Arial" w:eastAsia="Arial" w:hAnsi="Arial"/>
                <w:sz w:val="18"/>
                <w:szCs w:val="18"/>
                <w:color w:val="auto"/>
                <w:w w:val="96"/>
              </w:rPr>
              <w:t>the aggregate amount of federal, state, local and foreign income Taxes</w:t>
            </w:r>
          </w:p>
        </w:tc>
        <w:tc>
          <w:tcPr>
            <w:tcW w:w="1300" w:type="dxa"/>
            <w:vAlign w:val="bottom"/>
            <w:tcBorders>
              <w:right w:val="single" w:sz="8" w:color="auto"/>
            </w:tcBorders>
          </w:tcPr>
          <w:p>
            <w:pPr>
              <w:spacing w:after="0"/>
              <w:rPr>
                <w:sz w:val="16"/>
                <w:szCs w:val="16"/>
                <w:color w:val="auto"/>
              </w:rPr>
            </w:pPr>
          </w:p>
        </w:tc>
        <w:tc>
          <w:tcPr>
            <w:tcW w:w="1120" w:type="dxa"/>
            <w:vAlign w:val="bottom"/>
          </w:tcPr>
          <w:p>
            <w:pPr>
              <w:spacing w:after="0"/>
              <w:rPr>
                <w:sz w:val="16"/>
                <w:szCs w:val="16"/>
                <w:color w:val="auto"/>
              </w:rPr>
            </w:pPr>
          </w:p>
        </w:tc>
      </w:tr>
      <w:tr>
        <w:trPr>
          <w:trHeight w:val="216"/>
        </w:trPr>
        <w:tc>
          <w:tcPr>
            <w:tcW w:w="66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554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w w:val="99"/>
              </w:rPr>
              <w:t>paid in cash, in each case, of or by the Borrower and its Subsidiaries</w:t>
            </w:r>
          </w:p>
        </w:tc>
        <w:tc>
          <w:tcPr>
            <w:tcW w:w="130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66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516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color w:val="auto"/>
              </w:rPr>
              <w:t>during the Subject Period</w:t>
            </w:r>
          </w:p>
        </w:tc>
        <w:tc>
          <w:tcPr>
            <w:tcW w:w="38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120" w:type="dxa"/>
            <w:vAlign w:val="bottom"/>
          </w:tcPr>
          <w:p>
            <w:pPr>
              <w:spacing w:after="0"/>
              <w:rPr>
                <w:sz w:val="20"/>
                <w:szCs w:val="20"/>
                <w:color w:val="auto"/>
              </w:rPr>
            </w:pPr>
          </w:p>
        </w:tc>
      </w:tr>
      <w:tr>
        <w:trPr>
          <w:trHeight w:val="770"/>
        </w:trPr>
        <w:tc>
          <w:tcPr>
            <w:tcW w:w="6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8" w:right="999" w:bottom="1440" w:gutter="0" w:footer="0" w:header="0"/>
        </w:sectPr>
      </w:pPr>
    </w:p>
    <w:bookmarkStart w:id="26" w:name="page27"/>
    <w:bookmarkEnd w:id="2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66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660" w:type="dxa"/>
            <w:vAlign w:val="bottom"/>
            <w:tcBorders>
              <w:top w:val="single" w:sz="8" w:color="auto"/>
              <w:bottom w:val="single" w:sz="8" w:color="auto"/>
              <w:right w:val="single" w:sz="8" w:color="auto"/>
            </w:tcBorders>
          </w:tcPr>
          <w:p>
            <w:pPr>
              <w:spacing w:after="0"/>
              <w:rPr>
                <w:sz w:val="19"/>
                <w:szCs w:val="19"/>
                <w:color w:val="auto"/>
              </w:rPr>
            </w:pPr>
          </w:p>
        </w:tc>
        <w:tc>
          <w:tcPr>
            <w:tcW w:w="64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5.</w:t>
            </w:r>
          </w:p>
        </w:tc>
        <w:tc>
          <w:tcPr>
            <w:tcW w:w="554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Fixed Charges (Lines I.C.1 + 2 + 3 + 4):</w:t>
            </w:r>
          </w:p>
        </w:tc>
        <w:tc>
          <w:tcPr>
            <w:tcW w:w="1300" w:type="dxa"/>
            <w:vAlign w:val="bottom"/>
            <w:tcBorders>
              <w:top w:val="single" w:sz="8" w:color="auto"/>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w w:val="96"/>
              </w:rPr>
              <w:t>$___________</w:t>
            </w:r>
          </w:p>
        </w:tc>
      </w:tr>
      <w:tr>
        <w:trPr>
          <w:trHeight w:val="210"/>
        </w:trPr>
        <w:tc>
          <w:tcPr>
            <w:tcW w:w="660" w:type="dxa"/>
            <w:vAlign w:val="bottom"/>
            <w:tcBorders>
              <w:left w:val="single" w:sz="8" w:color="auto"/>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554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r>
      <w:tr>
        <w:trPr>
          <w:trHeight w:val="195"/>
        </w:trPr>
        <w:tc>
          <w:tcPr>
            <w:tcW w:w="66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D.</w:t>
            </w:r>
          </w:p>
        </w:tc>
        <w:tc>
          <w:tcPr>
            <w:tcW w:w="6180" w:type="dxa"/>
            <w:vAlign w:val="bottom"/>
            <w:tcBorders>
              <w:right w:val="single" w:sz="8" w:color="auto"/>
            </w:tcBorders>
            <w:gridSpan w:val="2"/>
          </w:tcPr>
          <w:p>
            <w:pPr>
              <w:ind w:left="80"/>
              <w:spacing w:after="0" w:line="195" w:lineRule="exact"/>
              <w:rPr>
                <w:sz w:val="20"/>
                <w:szCs w:val="20"/>
                <w:color w:val="auto"/>
              </w:rPr>
            </w:pPr>
            <w:r>
              <w:rPr>
                <w:rFonts w:ascii="Arial" w:cs="Arial" w:eastAsia="Arial" w:hAnsi="Arial"/>
                <w:sz w:val="18"/>
                <w:szCs w:val="18"/>
                <w:color w:val="auto"/>
              </w:rPr>
              <w:t>Fixed Charge Coverage Ratio ((Line I.A.9 – Line I.B) ÷ ( Line I.C.5))</w:t>
            </w:r>
          </w:p>
        </w:tc>
        <w:tc>
          <w:tcPr>
            <w:tcW w:w="1300" w:type="dxa"/>
            <w:vAlign w:val="bottom"/>
            <w:tcBorders>
              <w:right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__________</w:t>
            </w:r>
          </w:p>
        </w:tc>
      </w:tr>
      <w:tr>
        <w:trPr>
          <w:trHeight w:val="230"/>
        </w:trPr>
        <w:tc>
          <w:tcPr>
            <w:tcW w:w="66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554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to 1.00</w:t>
            </w:r>
          </w:p>
        </w:tc>
      </w:tr>
      <w:tr>
        <w:trPr>
          <w:trHeight w:val="210"/>
        </w:trPr>
        <w:tc>
          <w:tcPr>
            <w:tcW w:w="660" w:type="dxa"/>
            <w:vAlign w:val="bottom"/>
            <w:tcBorders>
              <w:left w:val="single" w:sz="8" w:color="auto"/>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618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i w:val="1"/>
                <w:iCs w:val="1"/>
                <w:color w:val="auto"/>
              </w:rPr>
              <w:t>Minimum Permitted</w:t>
            </w:r>
          </w:p>
        </w:tc>
        <w:tc>
          <w:tcPr>
            <w:tcW w:w="13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1.15 to 1.00</w:t>
            </w:r>
          </w:p>
        </w:tc>
      </w:tr>
    </w:tbl>
    <w:p>
      <w:pPr>
        <w:spacing w:after="0" w:line="193" w:lineRule="exact"/>
        <w:rPr>
          <w:sz w:val="20"/>
          <w:szCs w:val="20"/>
          <w:color w:val="auto"/>
        </w:rPr>
      </w:pPr>
    </w:p>
    <w:p>
      <w:pPr>
        <w:ind w:left="1300" w:right="6060" w:hanging="644"/>
        <w:spacing w:after="0" w:line="267" w:lineRule="auto"/>
        <w:tabs>
          <w:tab w:leader="none" w:pos="1349"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color w:val="auto"/>
        </w:rPr>
        <w:t>Consolidated Leverage Ratio. ($ in 000’s)</w:t>
      </w:r>
    </w:p>
    <w:p>
      <w:pPr>
        <w:spacing w:after="0" w:line="195" w:lineRule="exact"/>
        <w:rPr>
          <w:sz w:val="20"/>
          <w:szCs w:val="20"/>
          <w:color w:val="auto"/>
        </w:rPr>
      </w:pPr>
    </w:p>
    <w:p>
      <w:pPr>
        <w:ind w:left="660"/>
        <w:spacing w:after="0"/>
        <w:tabs>
          <w:tab w:leader="none" w:pos="1180" w:val="left"/>
          <w:tab w:leader="none" w:pos="920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20"/>
          <w:szCs w:val="20"/>
          <w:color w:val="auto"/>
        </w:rPr>
        <w:t>Consolidated Funded Indebtedness at Statement Date</w:t>
      </w:r>
      <w:r>
        <w:rPr>
          <w:sz w:val="20"/>
          <w:szCs w:val="20"/>
          <w:color w:val="auto"/>
        </w:rPr>
        <w:tab/>
      </w:r>
      <w:r>
        <w:rPr>
          <w:rFonts w:ascii="Arial" w:cs="Arial" w:eastAsia="Arial" w:hAnsi="Arial"/>
          <w:sz w:val="16"/>
          <w:szCs w:val="16"/>
          <w:color w:val="auto"/>
        </w:rPr>
        <w:t>$______</w:t>
      </w:r>
    </w:p>
    <w:p>
      <w:pPr>
        <w:spacing w:after="0" w:line="109" w:lineRule="exact"/>
        <w:rPr>
          <w:sz w:val="20"/>
          <w:szCs w:val="20"/>
          <w:color w:val="auto"/>
        </w:rPr>
      </w:pPr>
    </w:p>
    <w:p>
      <w:pPr>
        <w:ind w:left="1300" w:right="20" w:hanging="644"/>
        <w:spacing w:after="0" w:line="260" w:lineRule="auto"/>
        <w:tabs>
          <w:tab w:leader="none" w:pos="13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Consolidated EBITDA of the Borrower and its Subsidiaries for Measurement Period ending on above date (“</w:t>
      </w:r>
      <w:r>
        <w:rPr>
          <w:rFonts w:ascii="Arial" w:cs="Arial" w:eastAsia="Arial" w:hAnsi="Arial"/>
          <w:sz w:val="20"/>
          <w:szCs w:val="20"/>
          <w:u w:val="single" w:color="auto"/>
          <w:color w:val="auto"/>
        </w:rPr>
        <w:t>Subject Period</w:t>
      </w:r>
      <w:r>
        <w:rPr>
          <w:rFonts w:ascii="Arial" w:cs="Arial" w:eastAsia="Arial" w:hAnsi="Arial"/>
          <w:sz w:val="20"/>
          <w:szCs w:val="20"/>
          <w:color w:val="auto"/>
        </w:rPr>
        <w:t>”):</w:t>
      </w:r>
    </w:p>
    <w:p>
      <w:pPr>
        <w:spacing w:after="0" w:line="68" w:lineRule="exact"/>
        <w:rPr>
          <w:sz w:val="20"/>
          <w:szCs w:val="20"/>
          <w:color w:val="auto"/>
        </w:rPr>
      </w:pPr>
    </w:p>
    <w:tbl>
      <w:tblPr>
        <w:tblLayout w:type="fixed"/>
        <w:tblInd w:w="1300" w:type="dxa"/>
        <w:tblCellMar>
          <w:top w:w="0" w:type="dxa"/>
          <w:left w:w="0" w:type="dxa"/>
          <w:bottom w:w="0" w:type="dxa"/>
          <w:right w:w="0" w:type="dxa"/>
        </w:tblCellMar>
      </w:tblPr>
      <w:tr>
        <w:trPr>
          <w:trHeight w:val="252"/>
        </w:trPr>
        <w:tc>
          <w:tcPr>
            <w:tcW w:w="340" w:type="dxa"/>
            <w:vAlign w:val="bottom"/>
          </w:tcPr>
          <w:p>
            <w:pPr>
              <w:jc w:val="right"/>
              <w:ind w:right="81"/>
              <w:spacing w:after="0"/>
              <w:rPr>
                <w:sz w:val="20"/>
                <w:szCs w:val="20"/>
                <w:color w:val="auto"/>
              </w:rPr>
            </w:pPr>
            <w:r>
              <w:rPr>
                <w:rFonts w:ascii="Arial" w:cs="Arial" w:eastAsia="Arial" w:hAnsi="Arial"/>
                <w:sz w:val="20"/>
                <w:szCs w:val="20"/>
                <w:color w:val="auto"/>
                <w:w w:val="83"/>
              </w:rPr>
              <w:t>1.</w:t>
            </w:r>
          </w:p>
        </w:tc>
        <w:tc>
          <w:tcPr>
            <w:tcW w:w="6320" w:type="dxa"/>
            <w:vAlign w:val="bottom"/>
          </w:tcPr>
          <w:p>
            <w:pPr>
              <w:ind w:left="200"/>
              <w:spacing w:after="0"/>
              <w:rPr>
                <w:sz w:val="20"/>
                <w:szCs w:val="20"/>
                <w:color w:val="auto"/>
              </w:rPr>
            </w:pPr>
            <w:r>
              <w:rPr>
                <w:rFonts w:ascii="Arial" w:cs="Arial" w:eastAsia="Arial" w:hAnsi="Arial"/>
                <w:sz w:val="20"/>
                <w:szCs w:val="20"/>
                <w:color w:val="auto"/>
              </w:rPr>
              <w:t>Consolidated Net Income for Subject Period:</w:t>
            </w:r>
          </w:p>
        </w:tc>
        <w:tc>
          <w:tcPr>
            <w:tcW w:w="1960" w:type="dxa"/>
            <w:vAlign w:val="bottom"/>
          </w:tcPr>
          <w:p>
            <w:pPr>
              <w:jc w:val="right"/>
              <w:spacing w:after="0"/>
              <w:rPr>
                <w:sz w:val="20"/>
                <w:szCs w:val="20"/>
                <w:color w:val="auto"/>
              </w:rPr>
            </w:pPr>
            <w:r>
              <w:rPr>
                <w:rFonts w:ascii="Arial" w:cs="Arial" w:eastAsia="Arial" w:hAnsi="Arial"/>
                <w:sz w:val="20"/>
                <w:szCs w:val="20"/>
                <w:color w:val="auto"/>
              </w:rPr>
              <w:t>$______</w:t>
            </w:r>
          </w:p>
        </w:tc>
      </w:tr>
      <w:tr>
        <w:trPr>
          <w:trHeight w:val="338"/>
        </w:trPr>
        <w:tc>
          <w:tcPr>
            <w:tcW w:w="340" w:type="dxa"/>
            <w:vAlign w:val="bottom"/>
          </w:tcPr>
          <w:p>
            <w:pPr>
              <w:jc w:val="right"/>
              <w:ind w:right="81"/>
              <w:spacing w:after="0"/>
              <w:rPr>
                <w:sz w:val="20"/>
                <w:szCs w:val="20"/>
                <w:color w:val="auto"/>
              </w:rPr>
            </w:pPr>
            <w:r>
              <w:rPr>
                <w:rFonts w:ascii="Arial" w:cs="Arial" w:eastAsia="Arial" w:hAnsi="Arial"/>
                <w:sz w:val="20"/>
                <w:szCs w:val="20"/>
                <w:color w:val="auto"/>
                <w:w w:val="83"/>
              </w:rPr>
              <w:t>2.</w:t>
            </w:r>
          </w:p>
        </w:tc>
        <w:tc>
          <w:tcPr>
            <w:tcW w:w="6320" w:type="dxa"/>
            <w:vAlign w:val="bottom"/>
          </w:tcPr>
          <w:p>
            <w:pPr>
              <w:ind w:left="200"/>
              <w:spacing w:after="0"/>
              <w:rPr>
                <w:sz w:val="20"/>
                <w:szCs w:val="20"/>
                <w:color w:val="auto"/>
              </w:rPr>
            </w:pPr>
            <w:r>
              <w:rPr>
                <w:rFonts w:ascii="Arial" w:cs="Arial" w:eastAsia="Arial" w:hAnsi="Arial"/>
                <w:sz w:val="20"/>
                <w:szCs w:val="20"/>
                <w:color w:val="auto"/>
              </w:rPr>
              <w:t>Consolidated Interest Charges for Subject Period:</w:t>
            </w:r>
          </w:p>
        </w:tc>
        <w:tc>
          <w:tcPr>
            <w:tcW w:w="1960" w:type="dxa"/>
            <w:vAlign w:val="bottom"/>
          </w:tcPr>
          <w:p>
            <w:pPr>
              <w:jc w:val="right"/>
              <w:spacing w:after="0"/>
              <w:rPr>
                <w:sz w:val="20"/>
                <w:szCs w:val="20"/>
                <w:color w:val="auto"/>
              </w:rPr>
            </w:pPr>
            <w:r>
              <w:rPr>
                <w:rFonts w:ascii="Arial" w:cs="Arial" w:eastAsia="Arial" w:hAnsi="Arial"/>
                <w:sz w:val="20"/>
                <w:szCs w:val="20"/>
                <w:color w:val="auto"/>
              </w:rPr>
              <w:t>$______</w:t>
            </w:r>
          </w:p>
        </w:tc>
      </w:tr>
      <w:tr>
        <w:trPr>
          <w:trHeight w:val="317"/>
        </w:trPr>
        <w:tc>
          <w:tcPr>
            <w:tcW w:w="340" w:type="dxa"/>
            <w:vAlign w:val="bottom"/>
          </w:tcPr>
          <w:p>
            <w:pPr>
              <w:jc w:val="right"/>
              <w:ind w:right="81"/>
              <w:spacing w:after="0"/>
              <w:rPr>
                <w:sz w:val="20"/>
                <w:szCs w:val="20"/>
                <w:color w:val="auto"/>
              </w:rPr>
            </w:pPr>
            <w:r>
              <w:rPr>
                <w:rFonts w:ascii="Arial" w:cs="Arial" w:eastAsia="Arial" w:hAnsi="Arial"/>
                <w:sz w:val="20"/>
                <w:szCs w:val="20"/>
                <w:color w:val="auto"/>
                <w:w w:val="83"/>
              </w:rPr>
              <w:t>3.</w:t>
            </w:r>
          </w:p>
        </w:tc>
        <w:tc>
          <w:tcPr>
            <w:tcW w:w="6320" w:type="dxa"/>
            <w:vAlign w:val="bottom"/>
          </w:tcPr>
          <w:p>
            <w:pPr>
              <w:ind w:left="200"/>
              <w:spacing w:after="0"/>
              <w:rPr>
                <w:sz w:val="20"/>
                <w:szCs w:val="20"/>
                <w:color w:val="auto"/>
              </w:rPr>
            </w:pPr>
            <w:r>
              <w:rPr>
                <w:rFonts w:ascii="Arial" w:cs="Arial" w:eastAsia="Arial" w:hAnsi="Arial"/>
                <w:sz w:val="20"/>
                <w:szCs w:val="20"/>
                <w:color w:val="auto"/>
              </w:rPr>
              <w:t>provision  for  federal,  state,  local  and  foreign  income  taxes</w:t>
            </w:r>
          </w:p>
        </w:tc>
        <w:tc>
          <w:tcPr>
            <w:tcW w:w="1960" w:type="dxa"/>
            <w:vAlign w:val="bottom"/>
          </w:tcPr>
          <w:p>
            <w:pPr>
              <w:jc w:val="right"/>
              <w:spacing w:after="0"/>
              <w:rPr>
                <w:sz w:val="20"/>
                <w:szCs w:val="20"/>
                <w:color w:val="auto"/>
              </w:rPr>
            </w:pPr>
            <w:r>
              <w:rPr>
                <w:rFonts w:ascii="Arial" w:cs="Arial" w:eastAsia="Arial" w:hAnsi="Arial"/>
                <w:sz w:val="20"/>
                <w:szCs w:val="20"/>
                <w:color w:val="auto"/>
              </w:rPr>
              <w:t>for  Subject  Period:</w:t>
            </w:r>
          </w:p>
        </w:tc>
      </w:tr>
      <w:tr>
        <w:trPr>
          <w:trHeight w:val="250"/>
        </w:trPr>
        <w:tc>
          <w:tcPr>
            <w:tcW w:w="340" w:type="dxa"/>
            <w:vAlign w:val="bottom"/>
          </w:tcPr>
          <w:p>
            <w:pPr>
              <w:spacing w:after="0"/>
              <w:rPr>
                <w:sz w:val="21"/>
                <w:szCs w:val="21"/>
                <w:color w:val="auto"/>
              </w:rPr>
            </w:pPr>
          </w:p>
        </w:tc>
        <w:tc>
          <w:tcPr>
            <w:tcW w:w="632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20"/>
                <w:szCs w:val="20"/>
                <w:color w:val="auto"/>
              </w:rPr>
              <w:t>$______</w:t>
            </w:r>
          </w:p>
        </w:tc>
      </w:tr>
      <w:tr>
        <w:trPr>
          <w:trHeight w:val="337"/>
        </w:trPr>
        <w:tc>
          <w:tcPr>
            <w:tcW w:w="340" w:type="dxa"/>
            <w:vAlign w:val="bottom"/>
          </w:tcPr>
          <w:p>
            <w:pPr>
              <w:jc w:val="right"/>
              <w:ind w:right="81"/>
              <w:spacing w:after="0"/>
              <w:rPr>
                <w:sz w:val="20"/>
                <w:szCs w:val="20"/>
                <w:color w:val="auto"/>
              </w:rPr>
            </w:pPr>
            <w:r>
              <w:rPr>
                <w:rFonts w:ascii="Arial" w:cs="Arial" w:eastAsia="Arial" w:hAnsi="Arial"/>
                <w:sz w:val="20"/>
                <w:szCs w:val="20"/>
                <w:color w:val="auto"/>
                <w:w w:val="83"/>
              </w:rPr>
              <w:t>4.</w:t>
            </w:r>
          </w:p>
        </w:tc>
        <w:tc>
          <w:tcPr>
            <w:tcW w:w="6320" w:type="dxa"/>
            <w:vAlign w:val="bottom"/>
          </w:tcPr>
          <w:p>
            <w:pPr>
              <w:ind w:left="200"/>
              <w:spacing w:after="0"/>
              <w:rPr>
                <w:sz w:val="20"/>
                <w:szCs w:val="20"/>
                <w:color w:val="auto"/>
              </w:rPr>
            </w:pPr>
            <w:r>
              <w:rPr>
                <w:rFonts w:ascii="Arial" w:cs="Arial" w:eastAsia="Arial" w:hAnsi="Arial"/>
                <w:sz w:val="20"/>
                <w:szCs w:val="20"/>
                <w:color w:val="auto"/>
              </w:rPr>
              <w:t>depreciation and amortization expenses for Subject Period:</w:t>
            </w:r>
          </w:p>
        </w:tc>
        <w:tc>
          <w:tcPr>
            <w:tcW w:w="1960" w:type="dxa"/>
            <w:vAlign w:val="bottom"/>
          </w:tcPr>
          <w:p>
            <w:pPr>
              <w:jc w:val="right"/>
              <w:spacing w:after="0"/>
              <w:rPr>
                <w:sz w:val="20"/>
                <w:szCs w:val="20"/>
                <w:color w:val="auto"/>
              </w:rPr>
            </w:pPr>
            <w:r>
              <w:rPr>
                <w:rFonts w:ascii="Arial" w:cs="Arial" w:eastAsia="Arial" w:hAnsi="Arial"/>
                <w:sz w:val="20"/>
                <w:szCs w:val="20"/>
                <w:color w:val="auto"/>
              </w:rPr>
              <w:t>$______</w:t>
            </w:r>
          </w:p>
        </w:tc>
      </w:tr>
    </w:tbl>
    <w:p>
      <w:pPr>
        <w:spacing w:after="0" w:line="86" w:lineRule="exact"/>
        <w:rPr>
          <w:sz w:val="20"/>
          <w:szCs w:val="20"/>
          <w:color w:val="auto"/>
        </w:rPr>
      </w:pPr>
    </w:p>
    <w:p>
      <w:pPr>
        <w:ind w:left="1840" w:hanging="535"/>
        <w:spacing w:after="0"/>
        <w:tabs>
          <w:tab w:leader="none" w:pos="18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non-cash non-recurring charges and losses (excluding any such non-cash charges or losses to the</w:t>
      </w:r>
    </w:p>
    <w:p>
      <w:pPr>
        <w:spacing w:after="0" w:line="23"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340" w:type="dxa"/>
            <w:vAlign w:val="bottom"/>
          </w:tcPr>
          <w:p>
            <w:pPr>
              <w:spacing w:after="0"/>
              <w:rPr>
                <w:sz w:val="19"/>
                <w:szCs w:val="19"/>
                <w:color w:val="auto"/>
              </w:rPr>
            </w:pPr>
          </w:p>
        </w:tc>
        <w:tc>
          <w:tcPr>
            <w:tcW w:w="8280" w:type="dxa"/>
            <w:vAlign w:val="bottom"/>
            <w:gridSpan w:val="2"/>
          </w:tcPr>
          <w:p>
            <w:pPr>
              <w:ind w:left="320"/>
              <w:spacing w:after="0"/>
              <w:rPr>
                <w:sz w:val="20"/>
                <w:szCs w:val="20"/>
                <w:color w:val="auto"/>
              </w:rPr>
            </w:pPr>
            <w:r>
              <w:rPr>
                <w:rFonts w:ascii="Arial" w:cs="Arial" w:eastAsia="Arial" w:hAnsi="Arial"/>
                <w:sz w:val="20"/>
                <w:szCs w:val="20"/>
                <w:color w:val="auto"/>
                <w:w w:val="94"/>
              </w:rPr>
              <w:t>extent (A) there were cash charges with respect to such charges and losses in past accounting</w:t>
            </w:r>
          </w:p>
        </w:tc>
      </w:tr>
      <w:tr>
        <w:trPr>
          <w:trHeight w:val="230"/>
        </w:trPr>
        <w:tc>
          <w:tcPr>
            <w:tcW w:w="340" w:type="dxa"/>
            <w:vAlign w:val="bottom"/>
          </w:tcPr>
          <w:p>
            <w:pPr>
              <w:spacing w:after="0"/>
              <w:rPr>
                <w:sz w:val="19"/>
                <w:szCs w:val="19"/>
                <w:color w:val="auto"/>
              </w:rPr>
            </w:pPr>
          </w:p>
        </w:tc>
        <w:tc>
          <w:tcPr>
            <w:tcW w:w="8280" w:type="dxa"/>
            <w:vAlign w:val="bottom"/>
            <w:gridSpan w:val="2"/>
          </w:tcPr>
          <w:p>
            <w:pPr>
              <w:ind w:left="320"/>
              <w:spacing w:after="0"/>
              <w:rPr>
                <w:sz w:val="20"/>
                <w:szCs w:val="20"/>
                <w:color w:val="auto"/>
              </w:rPr>
            </w:pPr>
            <w:r>
              <w:rPr>
                <w:rFonts w:ascii="Arial" w:cs="Arial" w:eastAsia="Arial" w:hAnsi="Arial"/>
                <w:sz w:val="20"/>
                <w:szCs w:val="20"/>
                <w:color w:val="auto"/>
                <w:w w:val="90"/>
              </w:rPr>
              <w:t>periods or (B) there is a reasonable expectation that there will be cash charges with respect to such</w:t>
            </w:r>
          </w:p>
        </w:tc>
      </w:tr>
      <w:tr>
        <w:trPr>
          <w:trHeight w:val="250"/>
        </w:trPr>
        <w:tc>
          <w:tcPr>
            <w:tcW w:w="340" w:type="dxa"/>
            <w:vAlign w:val="bottom"/>
          </w:tcPr>
          <w:p>
            <w:pPr>
              <w:spacing w:after="0"/>
              <w:rPr>
                <w:sz w:val="21"/>
                <w:szCs w:val="21"/>
                <w:color w:val="auto"/>
              </w:rPr>
            </w:pPr>
          </w:p>
        </w:tc>
        <w:tc>
          <w:tcPr>
            <w:tcW w:w="6760" w:type="dxa"/>
            <w:vAlign w:val="bottom"/>
          </w:tcPr>
          <w:p>
            <w:pPr>
              <w:ind w:left="320"/>
              <w:spacing w:after="0"/>
              <w:rPr>
                <w:sz w:val="20"/>
                <w:szCs w:val="20"/>
                <w:color w:val="auto"/>
              </w:rPr>
            </w:pPr>
            <w:r>
              <w:rPr>
                <w:rFonts w:ascii="Arial" w:cs="Arial" w:eastAsia="Arial" w:hAnsi="Arial"/>
                <w:sz w:val="20"/>
                <w:szCs w:val="20"/>
                <w:color w:val="auto"/>
              </w:rPr>
              <w:t>charges and losses in future accounting periods) for the Subject Period:</w:t>
            </w:r>
          </w:p>
        </w:tc>
        <w:tc>
          <w:tcPr>
            <w:tcW w:w="1520" w:type="dxa"/>
            <w:vAlign w:val="bottom"/>
          </w:tcPr>
          <w:p>
            <w:pPr>
              <w:jc w:val="right"/>
              <w:spacing w:after="0"/>
              <w:rPr>
                <w:sz w:val="20"/>
                <w:szCs w:val="20"/>
                <w:color w:val="auto"/>
              </w:rPr>
            </w:pPr>
            <w:r>
              <w:rPr>
                <w:rFonts w:ascii="Arial" w:cs="Arial" w:eastAsia="Arial" w:hAnsi="Arial"/>
                <w:sz w:val="20"/>
                <w:szCs w:val="20"/>
                <w:color w:val="auto"/>
              </w:rPr>
              <w:t>$______</w:t>
            </w:r>
          </w:p>
        </w:tc>
      </w:tr>
      <w:tr>
        <w:trPr>
          <w:trHeight w:val="338"/>
        </w:trPr>
        <w:tc>
          <w:tcPr>
            <w:tcW w:w="340" w:type="dxa"/>
            <w:vAlign w:val="bottom"/>
          </w:tcPr>
          <w:p>
            <w:pPr>
              <w:jc w:val="right"/>
              <w:ind w:right="81"/>
              <w:spacing w:after="0"/>
              <w:rPr>
                <w:sz w:val="20"/>
                <w:szCs w:val="20"/>
                <w:color w:val="auto"/>
              </w:rPr>
            </w:pPr>
            <w:r>
              <w:rPr>
                <w:rFonts w:ascii="Arial" w:cs="Arial" w:eastAsia="Arial" w:hAnsi="Arial"/>
                <w:sz w:val="20"/>
                <w:szCs w:val="20"/>
                <w:color w:val="auto"/>
                <w:w w:val="83"/>
              </w:rPr>
              <w:t>6.</w:t>
            </w:r>
          </w:p>
        </w:tc>
        <w:tc>
          <w:tcPr>
            <w:tcW w:w="6760" w:type="dxa"/>
            <w:vAlign w:val="bottom"/>
          </w:tcPr>
          <w:p>
            <w:pPr>
              <w:ind w:left="200"/>
              <w:spacing w:after="0"/>
              <w:rPr>
                <w:sz w:val="20"/>
                <w:szCs w:val="20"/>
                <w:color w:val="auto"/>
              </w:rPr>
            </w:pPr>
            <w:r>
              <w:rPr>
                <w:rFonts w:ascii="Arial" w:cs="Arial" w:eastAsia="Arial" w:hAnsi="Arial"/>
                <w:sz w:val="20"/>
                <w:szCs w:val="20"/>
                <w:color w:val="auto"/>
              </w:rPr>
              <w:t>non-cash stock-based compensation expense for Subject Period:</w:t>
            </w:r>
          </w:p>
        </w:tc>
        <w:tc>
          <w:tcPr>
            <w:tcW w:w="1520" w:type="dxa"/>
            <w:vAlign w:val="bottom"/>
          </w:tcPr>
          <w:p>
            <w:pPr>
              <w:jc w:val="right"/>
              <w:spacing w:after="0"/>
              <w:rPr>
                <w:sz w:val="20"/>
                <w:szCs w:val="20"/>
                <w:color w:val="auto"/>
              </w:rPr>
            </w:pPr>
            <w:r>
              <w:rPr>
                <w:rFonts w:ascii="Arial" w:cs="Arial" w:eastAsia="Arial" w:hAnsi="Arial"/>
                <w:sz w:val="20"/>
                <w:szCs w:val="20"/>
                <w:color w:val="auto"/>
              </w:rPr>
              <w:t>$______</w:t>
            </w:r>
          </w:p>
        </w:tc>
      </w:tr>
    </w:tbl>
    <w:p>
      <w:pPr>
        <w:spacing w:after="0" w:line="86" w:lineRule="exact"/>
        <w:rPr>
          <w:sz w:val="20"/>
          <w:szCs w:val="20"/>
          <w:color w:val="auto"/>
        </w:rPr>
      </w:pPr>
    </w:p>
    <w:p>
      <w:pPr>
        <w:jc w:val="right"/>
        <w:ind w:left="1960" w:hanging="655"/>
        <w:spacing w:after="0" w:line="276" w:lineRule="auto"/>
        <w:tabs>
          <w:tab w:leader="none" w:pos="1843"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non-recurring or unusual expenses, losses, write-offs or charges for Subject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thereof at no time shall exceed ten percent (10%) of the Consolidated EBITDA</w:t>
      </w:r>
    </w:p>
    <w:p>
      <w:pPr>
        <w:jc w:val="right"/>
        <w:ind w:left="1960"/>
        <w:spacing w:after="0" w:line="241" w:lineRule="auto"/>
        <w:rPr>
          <w:sz w:val="20"/>
          <w:szCs w:val="20"/>
          <w:color w:val="auto"/>
        </w:rPr>
      </w:pPr>
      <w:r>
        <w:rPr>
          <w:rFonts w:ascii="Arial" w:cs="Arial" w:eastAsia="Arial" w:hAnsi="Arial"/>
          <w:sz w:val="20"/>
          <w:szCs w:val="20"/>
          <w:color w:val="auto"/>
        </w:rPr>
        <w:t>(before giving effect to such expenses, losses, write-offs or charges) during any Subject Period, or such   other   amount   as   agreed   to   by   the   Administrative   Agent   in   writing: $______</w:t>
      </w:r>
    </w:p>
    <w:p>
      <w:pPr>
        <w:spacing w:after="0" w:line="87" w:lineRule="exact"/>
        <w:rPr>
          <w:sz w:val="20"/>
          <w:szCs w:val="20"/>
          <w:color w:val="auto"/>
        </w:rPr>
      </w:pPr>
    </w:p>
    <w:p>
      <w:pPr>
        <w:jc w:val="right"/>
        <w:ind w:left="1960" w:hanging="655"/>
        <w:spacing w:after="0" w:line="276" w:lineRule="auto"/>
        <w:tabs>
          <w:tab w:leader="none" w:pos="1843"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non-cash non-recurring gains (excluding any such non-cash gains to the extent (A) there were cash gains with respect to such gains in past accounting periods or (B) there is a reasonable expectation</w:t>
      </w:r>
    </w:p>
    <w:tbl>
      <w:tblPr>
        <w:tblLayout w:type="fixed"/>
        <w:tblInd w:w="0" w:type="dxa"/>
        <w:tblCellMar>
          <w:top w:w="0" w:type="dxa"/>
          <w:left w:w="0" w:type="dxa"/>
          <w:bottom w:w="0" w:type="dxa"/>
          <w:right w:w="0" w:type="dxa"/>
        </w:tblCellMar>
      </w:tblPr>
      <w:tr>
        <w:trPr>
          <w:trHeight w:val="214"/>
        </w:trPr>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80" w:type="dxa"/>
            <w:vAlign w:val="bottom"/>
            <w:gridSpan w:val="4"/>
          </w:tcPr>
          <w:p>
            <w:pPr>
              <w:jc w:val="right"/>
              <w:spacing w:after="0" w:line="213" w:lineRule="exact"/>
              <w:rPr>
                <w:sz w:val="20"/>
                <w:szCs w:val="20"/>
                <w:color w:val="auto"/>
              </w:rPr>
            </w:pPr>
            <w:r>
              <w:rPr>
                <w:rFonts w:ascii="Arial" w:cs="Arial" w:eastAsia="Arial" w:hAnsi="Arial"/>
                <w:sz w:val="20"/>
                <w:szCs w:val="20"/>
                <w:color w:val="auto"/>
                <w:w w:val="98"/>
              </w:rPr>
              <w:t>that there will be cash gains with respect to such gains in future accounting periods) for Subject</w:t>
            </w:r>
          </w:p>
        </w:tc>
      </w:tr>
      <w:tr>
        <w:trPr>
          <w:trHeight w:val="250"/>
        </w:trPr>
        <w:tc>
          <w:tcPr>
            <w:tcW w:w="10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980" w:type="dxa"/>
            <w:vAlign w:val="bottom"/>
          </w:tcPr>
          <w:p>
            <w:pPr>
              <w:ind w:left="320"/>
              <w:spacing w:after="0"/>
              <w:rPr>
                <w:sz w:val="20"/>
                <w:szCs w:val="20"/>
                <w:color w:val="auto"/>
              </w:rPr>
            </w:pPr>
            <w:r>
              <w:rPr>
                <w:rFonts w:ascii="Arial" w:cs="Arial" w:eastAsia="Arial" w:hAnsi="Arial"/>
                <w:sz w:val="20"/>
                <w:szCs w:val="20"/>
                <w:color w:val="auto"/>
              </w:rPr>
              <w:t>Period:</w:t>
            </w:r>
          </w:p>
        </w:tc>
        <w:tc>
          <w:tcPr>
            <w:tcW w:w="26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$______</w:t>
            </w:r>
          </w:p>
        </w:tc>
      </w:tr>
      <w:tr>
        <w:trPr>
          <w:trHeight w:val="338"/>
        </w:trPr>
        <w:tc>
          <w:tcPr>
            <w:tcW w:w="1080" w:type="dxa"/>
            <w:vAlign w:val="bottom"/>
          </w:tcPr>
          <w:p>
            <w:pPr>
              <w:spacing w:after="0"/>
              <w:rPr>
                <w:sz w:val="24"/>
                <w:szCs w:val="24"/>
                <w:color w:val="auto"/>
              </w:rPr>
            </w:pPr>
          </w:p>
        </w:tc>
        <w:tc>
          <w:tcPr>
            <w:tcW w:w="560" w:type="dxa"/>
            <w:vAlign w:val="bottom"/>
          </w:tcPr>
          <w:p>
            <w:pPr>
              <w:ind w:left="220"/>
              <w:spacing w:after="0"/>
              <w:rPr>
                <w:sz w:val="20"/>
                <w:szCs w:val="20"/>
                <w:color w:val="auto"/>
              </w:rPr>
            </w:pPr>
            <w:r>
              <w:rPr>
                <w:rFonts w:ascii="Arial" w:cs="Arial" w:eastAsia="Arial" w:hAnsi="Arial"/>
                <w:sz w:val="20"/>
                <w:szCs w:val="20"/>
                <w:color w:val="auto"/>
              </w:rPr>
              <w:t>9.</w:t>
            </w:r>
          </w:p>
        </w:tc>
        <w:tc>
          <w:tcPr>
            <w:tcW w:w="6820" w:type="dxa"/>
            <w:vAlign w:val="bottom"/>
            <w:gridSpan w:val="3"/>
          </w:tcPr>
          <w:p>
            <w:pPr>
              <w:ind w:left="200"/>
              <w:spacing w:after="0"/>
              <w:rPr>
                <w:sz w:val="20"/>
                <w:szCs w:val="20"/>
                <w:color w:val="auto"/>
              </w:rPr>
            </w:pPr>
            <w:r>
              <w:rPr>
                <w:rFonts w:ascii="Arial" w:cs="Arial" w:eastAsia="Arial" w:hAnsi="Arial"/>
                <w:sz w:val="20"/>
                <w:szCs w:val="20"/>
                <w:color w:val="auto"/>
              </w:rPr>
              <w:t>Consolidated EBITDA (Lines II.A.1 + 2 + 3 + 4 + 5 + 6 + 7 - 8):</w:t>
            </w:r>
          </w:p>
        </w:tc>
        <w:tc>
          <w:tcPr>
            <w:tcW w:w="1460" w:type="dxa"/>
            <w:vAlign w:val="bottom"/>
          </w:tcPr>
          <w:p>
            <w:pPr>
              <w:jc w:val="right"/>
              <w:spacing w:after="0"/>
              <w:rPr>
                <w:sz w:val="20"/>
                <w:szCs w:val="20"/>
                <w:color w:val="auto"/>
              </w:rPr>
            </w:pPr>
            <w:r>
              <w:rPr>
                <w:rFonts w:ascii="Arial" w:cs="Arial" w:eastAsia="Arial" w:hAnsi="Arial"/>
                <w:sz w:val="20"/>
                <w:szCs w:val="20"/>
                <w:color w:val="auto"/>
              </w:rPr>
              <w:t>$______</w:t>
            </w:r>
          </w:p>
        </w:tc>
      </w:tr>
      <w:tr>
        <w:trPr>
          <w:trHeight w:val="338"/>
        </w:trPr>
        <w:tc>
          <w:tcPr>
            <w:tcW w:w="1080" w:type="dxa"/>
            <w:vAlign w:val="bottom"/>
          </w:tcPr>
          <w:p>
            <w:pPr>
              <w:ind w:left="660"/>
              <w:spacing w:after="0"/>
              <w:rPr>
                <w:sz w:val="20"/>
                <w:szCs w:val="20"/>
                <w:color w:val="auto"/>
              </w:rPr>
            </w:pPr>
            <w:r>
              <w:rPr>
                <w:rFonts w:ascii="Arial" w:cs="Arial" w:eastAsia="Arial" w:hAnsi="Arial"/>
                <w:sz w:val="20"/>
                <w:szCs w:val="20"/>
                <w:color w:val="auto"/>
              </w:rPr>
              <w:t>C.</w:t>
            </w:r>
          </w:p>
        </w:tc>
        <w:tc>
          <w:tcPr>
            <w:tcW w:w="5160" w:type="dxa"/>
            <w:vAlign w:val="bottom"/>
            <w:gridSpan w:val="3"/>
          </w:tcPr>
          <w:p>
            <w:pPr>
              <w:ind w:left="220"/>
              <w:spacing w:after="0"/>
              <w:rPr>
                <w:sz w:val="20"/>
                <w:szCs w:val="20"/>
                <w:color w:val="auto"/>
              </w:rPr>
            </w:pPr>
            <w:r>
              <w:rPr>
                <w:rFonts w:ascii="Arial" w:cs="Arial" w:eastAsia="Arial" w:hAnsi="Arial"/>
                <w:sz w:val="20"/>
                <w:szCs w:val="20"/>
                <w:color w:val="auto"/>
              </w:rPr>
              <w:t>Consolidated Leverage Ratio (Line II.A ÷ Line II.B.9):</w:t>
            </w:r>
          </w:p>
        </w:tc>
        <w:tc>
          <w:tcPr>
            <w:tcW w:w="2220" w:type="dxa"/>
            <w:vAlign w:val="bottom"/>
          </w:tcPr>
          <w:p>
            <w:pPr>
              <w:ind w:left="560"/>
              <w:spacing w:after="0"/>
              <w:rPr>
                <w:sz w:val="20"/>
                <w:szCs w:val="20"/>
                <w:color w:val="auto"/>
              </w:rPr>
            </w:pPr>
            <w:r>
              <w:rPr>
                <w:rFonts w:ascii="Arial" w:cs="Arial" w:eastAsia="Arial" w:hAnsi="Arial"/>
                <w:sz w:val="20"/>
                <w:szCs w:val="20"/>
                <w:color w:val="auto"/>
              </w:rPr>
              <w:t>____ to 1.0</w:t>
            </w:r>
          </w:p>
        </w:tc>
        <w:tc>
          <w:tcPr>
            <w:tcW w:w="1460" w:type="dxa"/>
            <w:vAlign w:val="bottom"/>
          </w:tcPr>
          <w:p>
            <w:pPr>
              <w:spacing w:after="0"/>
              <w:rPr>
                <w:sz w:val="24"/>
                <w:szCs w:val="24"/>
                <w:color w:val="auto"/>
              </w:rPr>
            </w:pPr>
          </w:p>
        </w:tc>
      </w:tr>
      <w:tr>
        <w:trPr>
          <w:trHeight w:val="338"/>
        </w:trPr>
        <w:tc>
          <w:tcPr>
            <w:tcW w:w="1080" w:type="dxa"/>
            <w:vAlign w:val="bottom"/>
          </w:tcPr>
          <w:p>
            <w:pPr>
              <w:spacing w:after="0"/>
              <w:rPr>
                <w:sz w:val="24"/>
                <w:szCs w:val="24"/>
                <w:color w:val="auto"/>
              </w:rPr>
            </w:pPr>
          </w:p>
        </w:tc>
        <w:tc>
          <w:tcPr>
            <w:tcW w:w="2540" w:type="dxa"/>
            <w:vAlign w:val="bottom"/>
            <w:gridSpan w:val="2"/>
          </w:tcPr>
          <w:p>
            <w:pPr>
              <w:ind w:left="220"/>
              <w:spacing w:after="0"/>
              <w:rPr>
                <w:sz w:val="20"/>
                <w:szCs w:val="20"/>
                <w:color w:val="auto"/>
              </w:rPr>
            </w:pPr>
            <w:r>
              <w:rPr>
                <w:rFonts w:ascii="Arial" w:cs="Arial" w:eastAsia="Arial" w:hAnsi="Arial"/>
                <w:sz w:val="20"/>
                <w:szCs w:val="20"/>
                <w:i w:val="1"/>
                <w:iCs w:val="1"/>
                <w:color w:val="auto"/>
              </w:rPr>
              <w:t>Maximum permitted:</w:t>
            </w:r>
          </w:p>
        </w:tc>
        <w:tc>
          <w:tcPr>
            <w:tcW w:w="2620" w:type="dxa"/>
            <w:vAlign w:val="bottom"/>
          </w:tcPr>
          <w:p>
            <w:pPr>
              <w:jc w:val="right"/>
              <w:ind w:right="1321"/>
              <w:spacing w:after="0"/>
              <w:rPr>
                <w:sz w:val="20"/>
                <w:szCs w:val="20"/>
                <w:color w:val="auto"/>
              </w:rPr>
            </w:pPr>
            <w:r>
              <w:rPr>
                <w:rFonts w:ascii="Arial" w:cs="Arial" w:eastAsia="Arial" w:hAnsi="Arial"/>
                <w:sz w:val="20"/>
                <w:szCs w:val="20"/>
                <w:i w:val="1"/>
                <w:iCs w:val="1"/>
                <w:color w:val="auto"/>
              </w:rPr>
              <w:t>2.5:1.0</w:t>
            </w:r>
          </w:p>
        </w:tc>
        <w:tc>
          <w:tcPr>
            <w:tcW w:w="2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448"/>
        </w:trPr>
        <w:tc>
          <w:tcPr>
            <w:tcW w:w="10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0" w:right="99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20" w:type="dxa"/>
            <w:vAlign w:val="bottom"/>
            <w:gridSpan w:val="5"/>
          </w:tcPr>
          <w:p>
            <w:pPr>
              <w:jc w:val="center"/>
              <w:ind w:right="2080"/>
              <w:spacing w:after="0"/>
              <w:rPr>
                <w:sz w:val="20"/>
                <w:szCs w:val="20"/>
                <w:color w:val="auto"/>
              </w:rPr>
            </w:pPr>
            <w:r>
              <w:rPr>
                <w:rFonts w:ascii="Arial" w:cs="Arial" w:eastAsia="Arial" w:hAnsi="Arial"/>
                <w:sz w:val="18"/>
                <w:szCs w:val="18"/>
                <w:b w:val="1"/>
                <w:bCs w:val="1"/>
                <w:color w:val="auto"/>
              </w:rPr>
              <w:t>EXHIBIT N</w:t>
            </w:r>
          </w:p>
        </w:tc>
      </w:tr>
      <w:tr>
        <w:trPr>
          <w:trHeight w:val="434"/>
        </w:trPr>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Form of</w:t>
            </w:r>
          </w:p>
        </w:tc>
        <w:tc>
          <w:tcPr>
            <w:tcW w:w="4480" w:type="dxa"/>
            <w:vAlign w:val="bottom"/>
            <w:gridSpan w:val="3"/>
          </w:tcPr>
          <w:p>
            <w:pPr>
              <w:spacing w:after="0"/>
              <w:rPr>
                <w:sz w:val="24"/>
                <w:szCs w:val="24"/>
                <w:color w:val="auto"/>
              </w:rPr>
            </w:pPr>
          </w:p>
        </w:tc>
      </w:tr>
      <w:tr>
        <w:trPr>
          <w:trHeight w:val="234"/>
        </w:trPr>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20" w:type="dxa"/>
            <w:vAlign w:val="bottom"/>
            <w:gridSpan w:val="5"/>
          </w:tcPr>
          <w:p>
            <w:pPr>
              <w:jc w:val="center"/>
              <w:ind w:right="2100"/>
              <w:spacing w:after="0"/>
              <w:rPr>
                <w:sz w:val="20"/>
                <w:szCs w:val="20"/>
                <w:color w:val="auto"/>
              </w:rPr>
            </w:pPr>
            <w:r>
              <w:rPr>
                <w:rFonts w:ascii="Arial" w:cs="Arial" w:eastAsia="Arial" w:hAnsi="Arial"/>
                <w:sz w:val="18"/>
                <w:szCs w:val="18"/>
                <w:b w:val="1"/>
                <w:bCs w:val="1"/>
                <w:color w:val="auto"/>
                <w:w w:val="92"/>
              </w:rPr>
              <w:t>Financial Condition Certificate</w:t>
            </w:r>
          </w:p>
        </w:tc>
      </w:tr>
      <w:tr>
        <w:trPr>
          <w:trHeight w:val="432"/>
        </w:trPr>
        <w:tc>
          <w:tcPr>
            <w:tcW w:w="1300" w:type="dxa"/>
            <w:vAlign w:val="bottom"/>
          </w:tcPr>
          <w:p>
            <w:pPr>
              <w:spacing w:after="0"/>
              <w:rPr>
                <w:sz w:val="20"/>
                <w:szCs w:val="20"/>
                <w:color w:val="auto"/>
              </w:rPr>
            </w:pPr>
            <w:r>
              <w:rPr>
                <w:rFonts w:ascii="Arial" w:cs="Arial" w:eastAsia="Arial" w:hAnsi="Arial"/>
                <w:sz w:val="18"/>
                <w:szCs w:val="18"/>
                <w:color w:val="auto"/>
              </w:rPr>
              <w:t>TO:</w:t>
            </w:r>
          </w:p>
        </w:tc>
        <w:tc>
          <w:tcPr>
            <w:tcW w:w="8620" w:type="dxa"/>
            <w:vAlign w:val="bottom"/>
            <w:gridSpan w:val="8"/>
          </w:tcPr>
          <w:p>
            <w:pPr>
              <w:spacing w:after="0"/>
              <w:rPr>
                <w:sz w:val="20"/>
                <w:szCs w:val="20"/>
                <w:color w:val="auto"/>
              </w:rPr>
            </w:pPr>
            <w:r>
              <w:rPr>
                <w:rFonts w:ascii="Arial" w:cs="Arial" w:eastAsia="Arial" w:hAnsi="Arial"/>
                <w:sz w:val="18"/>
                <w:szCs w:val="18"/>
                <w:color w:val="auto"/>
              </w:rPr>
              <w:t>Bank of America, N.A., as Administrative Agent</w:t>
            </w:r>
          </w:p>
        </w:tc>
      </w:tr>
      <w:tr>
        <w:trPr>
          <w:trHeight w:val="418"/>
        </w:trPr>
        <w:tc>
          <w:tcPr>
            <w:tcW w:w="1300" w:type="dxa"/>
            <w:vAlign w:val="bottom"/>
          </w:tcPr>
          <w:p>
            <w:pPr>
              <w:spacing w:after="0"/>
              <w:rPr>
                <w:sz w:val="20"/>
                <w:szCs w:val="20"/>
                <w:color w:val="auto"/>
              </w:rPr>
            </w:pPr>
            <w:r>
              <w:rPr>
                <w:rFonts w:ascii="Arial" w:cs="Arial" w:eastAsia="Arial" w:hAnsi="Arial"/>
                <w:sz w:val="18"/>
                <w:szCs w:val="18"/>
                <w:color w:val="auto"/>
              </w:rPr>
              <w:t>RE:</w:t>
            </w:r>
          </w:p>
        </w:tc>
        <w:tc>
          <w:tcPr>
            <w:tcW w:w="8620" w:type="dxa"/>
            <w:vAlign w:val="bottom"/>
            <w:gridSpan w:val="8"/>
          </w:tcPr>
          <w:p>
            <w:pPr>
              <w:spacing w:after="0"/>
              <w:rPr>
                <w:sz w:val="20"/>
                <w:szCs w:val="20"/>
                <w:color w:val="auto"/>
              </w:rPr>
            </w:pPr>
            <w:r>
              <w:rPr>
                <w:rFonts w:ascii="Arial" w:cs="Arial" w:eastAsia="Arial" w:hAnsi="Arial"/>
                <w:sz w:val="18"/>
                <w:szCs w:val="18"/>
                <w:color w:val="auto"/>
                <w:w w:val="96"/>
              </w:rPr>
              <w:t>Credit Agreement, dated as of June 14, 2016, by and among Calavo Growers, Inc., a California corporation (the</w:t>
            </w:r>
          </w:p>
        </w:tc>
      </w:tr>
      <w:tr>
        <w:trPr>
          <w:trHeight w:val="190"/>
        </w:trPr>
        <w:tc>
          <w:tcPr>
            <w:tcW w:w="1300" w:type="dxa"/>
            <w:vAlign w:val="bottom"/>
          </w:tcPr>
          <w:p>
            <w:pPr>
              <w:spacing w:after="0"/>
              <w:rPr>
                <w:sz w:val="16"/>
                <w:szCs w:val="16"/>
                <w:color w:val="auto"/>
              </w:rPr>
            </w:pPr>
          </w:p>
        </w:tc>
        <w:tc>
          <w:tcPr>
            <w:tcW w:w="8620" w:type="dxa"/>
            <w:vAlign w:val="bottom"/>
            <w:gridSpan w:val="8"/>
          </w:tcPr>
          <w:p>
            <w:pPr>
              <w:spacing w:after="0" w:line="190" w:lineRule="exact"/>
              <w:rPr>
                <w:sz w:val="20"/>
                <w:szCs w:val="20"/>
                <w:color w:val="auto"/>
              </w:rPr>
            </w:pPr>
            <w:r>
              <w:rPr>
                <w:rFonts w:ascii="Arial" w:cs="Arial" w:eastAsia="Arial" w:hAnsi="Arial"/>
                <w:sz w:val="18"/>
                <w:szCs w:val="18"/>
                <w:color w:val="auto"/>
                <w:w w:val="98"/>
              </w:rPr>
              <w:t>“Borrower”), the Guarantors, the Lenders and Bank of America, N.A., as Administrative Agent, L/C Issuer and</w:t>
            </w:r>
          </w:p>
        </w:tc>
      </w:tr>
      <w:tr>
        <w:trPr>
          <w:trHeight w:val="20"/>
        </w:trPr>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8620" w:type="dxa"/>
            <w:vAlign w:val="bottom"/>
            <w:gridSpan w:val="8"/>
          </w:tcPr>
          <w:p>
            <w:pPr>
              <w:spacing w:after="0" w:line="196" w:lineRule="exact"/>
              <w:rPr>
                <w:sz w:val="20"/>
                <w:szCs w:val="20"/>
                <w:color w:val="auto"/>
              </w:rPr>
            </w:pPr>
            <w:r>
              <w:rPr>
                <w:rFonts w:ascii="Arial" w:cs="Arial" w:eastAsia="Arial" w:hAnsi="Arial"/>
                <w:sz w:val="18"/>
                <w:szCs w:val="18"/>
                <w:color w:val="auto"/>
                <w:w w:val="91"/>
              </w:rPr>
              <w:t>Swingline Lender (as amended, modified, extended, restated, replaced, or supplemented from time to time, the “Credit</w:t>
            </w:r>
          </w:p>
        </w:tc>
      </w:tr>
      <w:tr>
        <w:trPr>
          <w:trHeight w:val="20"/>
        </w:trPr>
        <w:tc>
          <w:tcPr>
            <w:tcW w:w="130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8620" w:type="dxa"/>
            <w:vAlign w:val="bottom"/>
            <w:gridSpan w:val="8"/>
          </w:tcPr>
          <w:p>
            <w:pPr>
              <w:spacing w:after="0" w:line="196" w:lineRule="exact"/>
              <w:rPr>
                <w:sz w:val="20"/>
                <w:szCs w:val="20"/>
                <w:color w:val="auto"/>
              </w:rPr>
            </w:pPr>
            <w:r>
              <w:rPr>
                <w:rFonts w:ascii="Arial" w:cs="Arial" w:eastAsia="Arial" w:hAnsi="Arial"/>
                <w:sz w:val="18"/>
                <w:szCs w:val="18"/>
                <w:color w:val="auto"/>
                <w:w w:val="93"/>
              </w:rPr>
              <w:t>Agreement”; capitalized terms used herein and not otherwise defined shall have the meanings set forth in the Credit</w:t>
            </w:r>
          </w:p>
        </w:tc>
      </w:tr>
      <w:tr>
        <w:trPr>
          <w:trHeight w:val="20"/>
        </w:trPr>
        <w:tc>
          <w:tcPr>
            <w:tcW w:w="1300" w:type="dxa"/>
            <w:vAlign w:val="bottom"/>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8620" w:type="dxa"/>
            <w:vAlign w:val="bottom"/>
            <w:gridSpan w:val="8"/>
          </w:tcPr>
          <w:p>
            <w:pPr>
              <w:spacing w:after="0"/>
              <w:rPr>
                <w:sz w:val="20"/>
                <w:szCs w:val="20"/>
                <w:color w:val="auto"/>
              </w:rPr>
            </w:pPr>
            <w:r>
              <w:rPr>
                <w:rFonts w:ascii="Arial" w:cs="Arial" w:eastAsia="Arial" w:hAnsi="Arial"/>
                <w:sz w:val="18"/>
                <w:szCs w:val="18"/>
                <w:color w:val="auto"/>
              </w:rPr>
              <w:t>Agreement)</w:t>
            </w:r>
          </w:p>
        </w:tc>
      </w:tr>
      <w:tr>
        <w:trPr>
          <w:trHeight w:val="432"/>
        </w:trPr>
        <w:tc>
          <w:tcPr>
            <w:tcW w:w="1300" w:type="dxa"/>
            <w:vAlign w:val="bottom"/>
          </w:tcPr>
          <w:p>
            <w:pPr>
              <w:spacing w:after="0"/>
              <w:rPr>
                <w:sz w:val="20"/>
                <w:szCs w:val="20"/>
                <w:color w:val="auto"/>
              </w:rPr>
            </w:pPr>
            <w:r>
              <w:rPr>
                <w:rFonts w:ascii="Arial" w:cs="Arial" w:eastAsia="Arial" w:hAnsi="Arial"/>
                <w:sz w:val="18"/>
                <w:szCs w:val="18"/>
                <w:color w:val="auto"/>
              </w:rPr>
              <w:t>DATE:</w:t>
            </w:r>
          </w:p>
        </w:tc>
        <w:tc>
          <w:tcPr>
            <w:tcW w:w="8620" w:type="dxa"/>
            <w:vAlign w:val="bottom"/>
            <w:gridSpan w:val="8"/>
          </w:tcPr>
          <w:p>
            <w:pPr>
              <w:spacing w:after="0"/>
              <w:rPr>
                <w:sz w:val="20"/>
                <w:szCs w:val="20"/>
                <w:color w:val="auto"/>
              </w:rPr>
            </w:pPr>
            <w:r>
              <w:rPr>
                <w:rFonts w:ascii="Arial" w:cs="Arial" w:eastAsia="Arial" w:hAnsi="Arial"/>
                <w:sz w:val="18"/>
                <w:szCs w:val="18"/>
                <w:color w:val="auto"/>
              </w:rPr>
              <w:t>[Date]</w:t>
            </w:r>
          </w:p>
        </w:tc>
      </w:tr>
      <w:tr>
        <w:trPr>
          <w:trHeight w:val="175"/>
        </w:trPr>
        <w:tc>
          <w:tcPr>
            <w:tcW w:w="1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r>
    </w:tbl>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terms of Section 4.01 of the Credit Agreement, a Responsible Officer of the Borrower hereby certifies on behalf of the Loan Parties and not in any individual capacity that, as of the date hereof, the statements below are accurate and complete in all respects:</w:t>
      </w:r>
    </w:p>
    <w:p>
      <w:pPr>
        <w:spacing w:after="0" w:line="184" w:lineRule="exact"/>
        <w:rPr>
          <w:sz w:val="20"/>
          <w:szCs w:val="20"/>
          <w:color w:val="auto"/>
        </w:rPr>
      </w:pPr>
    </w:p>
    <w:p>
      <w:pPr>
        <w:jc w:val="both"/>
        <w:ind w:left="660" w:firstLine="644"/>
        <w:spacing w:after="0" w:line="273" w:lineRule="auto"/>
        <w:tabs>
          <w:tab w:leader="none" w:pos="1956" w:val="left"/>
        </w:tabs>
        <w:numPr>
          <w:ilvl w:val="1"/>
          <w:numId w:val="36"/>
        </w:numPr>
        <w:rPr>
          <w:rFonts w:ascii="Arial" w:cs="Arial" w:eastAsia="Arial" w:hAnsi="Arial"/>
          <w:sz w:val="17"/>
          <w:szCs w:val="17"/>
          <w:color w:val="auto"/>
        </w:rPr>
      </w:pPr>
      <w:r>
        <w:rPr>
          <w:rFonts w:ascii="Arial" w:cs="Arial" w:eastAsia="Arial" w:hAnsi="Arial"/>
          <w:sz w:val="17"/>
          <w:szCs w:val="17"/>
          <w:color w:val="auto"/>
        </w:rPr>
        <w:t>There does not exist any pending or ongoing, action, suit, investigation, litigation or proceeding in any court or before any other Governmental Authority (i) affecting the Loan Agreement or the other Loan Documents, that has not been settled, dismissed, vacated, discharged or terminated prior to the Closing Date or (ii) that purports to affect any Loan Party or any of its Subsidiaries, or any transaction contemplated by the Loan Documents, which action, suit, investigation, litigation or proceeding would reasonably be expected to have a Material Adverse Effect, that has not been settled, dismissed, vacated, discharged or terminated prior to the Closing Date.</w:t>
      </w:r>
    </w:p>
    <w:p>
      <w:pPr>
        <w:spacing w:after="0" w:line="177" w:lineRule="exact"/>
        <w:rPr>
          <w:rFonts w:ascii="Arial" w:cs="Arial" w:eastAsia="Arial" w:hAnsi="Arial"/>
          <w:sz w:val="17"/>
          <w:szCs w:val="17"/>
          <w:color w:val="auto"/>
        </w:rPr>
      </w:pPr>
    </w:p>
    <w:p>
      <w:pPr>
        <w:jc w:val="both"/>
        <w:ind w:left="660" w:firstLine="644"/>
        <w:spacing w:after="0" w:line="287" w:lineRule="auto"/>
        <w:tabs>
          <w:tab w:leader="none" w:pos="1956" w:val="left"/>
        </w:tabs>
        <w:numPr>
          <w:ilvl w:val="1"/>
          <w:numId w:val="36"/>
        </w:numPr>
        <w:rPr>
          <w:rFonts w:ascii="Arial" w:cs="Arial" w:eastAsia="Arial" w:hAnsi="Arial"/>
          <w:sz w:val="16"/>
          <w:szCs w:val="16"/>
          <w:color w:val="auto"/>
        </w:rPr>
      </w:pPr>
      <w:r>
        <w:rPr>
          <w:rFonts w:ascii="Arial" w:cs="Arial" w:eastAsia="Arial" w:hAnsi="Arial"/>
          <w:sz w:val="16"/>
          <w:szCs w:val="16"/>
          <w:color w:val="auto"/>
        </w:rPr>
        <w:t>Immediately after giving effect to the Credit Agreement, the other Loan Documents and all transactions contemplated by the Credit Agreement to occur on the Closing Date, (i) no Default or Event of Default exists, (ii) all representations and warranties contained in the Credit Agreement and in the other Loan Documents are true and correct, and</w:t>
      </w:r>
    </w:p>
    <w:p>
      <w:pPr>
        <w:spacing w:after="0" w:line="2" w:lineRule="exact"/>
        <w:rPr>
          <w:rFonts w:ascii="Arial" w:cs="Arial" w:eastAsia="Arial" w:hAnsi="Arial"/>
          <w:sz w:val="16"/>
          <w:szCs w:val="16"/>
          <w:color w:val="auto"/>
        </w:rPr>
      </w:pPr>
    </w:p>
    <w:p>
      <w:pPr>
        <w:jc w:val="both"/>
        <w:ind w:left="660" w:hanging="4"/>
        <w:spacing w:after="0" w:line="255" w:lineRule="auto"/>
        <w:tabs>
          <w:tab w:leader="none" w:pos="991"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the Loan Parties are in pro forma compliance with each of the initial financial covenants set forth in Section 7.11 of the Credit Agreement, as demonstrated by the financial covenant calculations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as of the last day of the quarter ending at least twenty (20) days preceding the Closing Date.</w:t>
      </w:r>
    </w:p>
    <w:p>
      <w:pPr>
        <w:spacing w:after="0" w:line="189" w:lineRule="exact"/>
        <w:rPr>
          <w:rFonts w:ascii="Arial" w:cs="Arial" w:eastAsia="Arial" w:hAnsi="Arial"/>
          <w:sz w:val="18"/>
          <w:szCs w:val="18"/>
          <w:color w:val="auto"/>
        </w:rPr>
      </w:pPr>
    </w:p>
    <w:p>
      <w:pPr>
        <w:jc w:val="both"/>
        <w:ind w:left="660" w:firstLine="644"/>
        <w:spacing w:after="0" w:line="263" w:lineRule="auto"/>
        <w:tabs>
          <w:tab w:leader="none" w:pos="1956" w:val="left"/>
        </w:tabs>
        <w:numPr>
          <w:ilvl w:val="1"/>
          <w:numId w:val="37"/>
        </w:numPr>
        <w:rPr>
          <w:rFonts w:ascii="Arial" w:cs="Arial" w:eastAsia="Arial" w:hAnsi="Arial"/>
          <w:sz w:val="18"/>
          <w:szCs w:val="18"/>
          <w:color w:val="auto"/>
        </w:rPr>
      </w:pPr>
      <w:r>
        <w:rPr>
          <w:rFonts w:ascii="Arial" w:cs="Arial" w:eastAsia="Arial" w:hAnsi="Arial"/>
          <w:sz w:val="18"/>
          <w:szCs w:val="18"/>
          <w:color w:val="auto"/>
        </w:rPr>
        <w:t>Immediately after giving effect to the Credit Agreement, the other Loan Documents and all transactions contemplated by the Credit Agreement to occur on the Closing Date, each of the conditions precedent in Section 4.01 have been satisfied.</w:t>
      </w:r>
    </w:p>
    <w:p>
      <w:pPr>
        <w:spacing w:after="0" w:line="183" w:lineRule="exact"/>
        <w:rPr>
          <w:rFonts w:ascii="Arial" w:cs="Arial" w:eastAsia="Arial" w:hAnsi="Arial"/>
          <w:sz w:val="18"/>
          <w:szCs w:val="18"/>
          <w:color w:val="auto"/>
        </w:rPr>
      </w:pPr>
    </w:p>
    <w:p>
      <w:pPr>
        <w:ind w:left="660" w:firstLine="644"/>
        <w:spacing w:after="0" w:line="277" w:lineRule="auto"/>
        <w:tabs>
          <w:tab w:leader="none" w:pos="1956"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Attached hereto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are true and complete copies of each Material Contract, together with all exhibits and schedules thereto.</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Delivery of an executed counterpart of a signature page of this Certificate by fax transmission or other electronic mail transmission (e.g. “pdf” or “tif”) shall be effective as delivery of a manually executed counterpart of this Certificate.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863600</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28" w:name="page29"/>
    <w:bookmarkEnd w:id="28"/>
    <w:p>
      <w:pPr>
        <w:ind w:left="3440"/>
        <w:spacing w:after="0"/>
        <w:rPr>
          <w:sz w:val="20"/>
          <w:szCs w:val="20"/>
          <w:color w:val="auto"/>
        </w:rPr>
      </w:pPr>
      <w:r>
        <w:rPr>
          <w:rFonts w:ascii="Arial" w:cs="Arial" w:eastAsia="Arial" w:hAnsi="Arial"/>
          <w:sz w:val="17"/>
          <w:szCs w:val="17"/>
          <w:b w:val="1"/>
          <w:bCs w:val="1"/>
          <w:color w:val="auto"/>
        </w:rPr>
        <w:t>CALAVO GROWERS, INC.</w:t>
      </w:r>
      <w:r>
        <w:rPr>
          <w:rFonts w:ascii="Arial" w:cs="Arial" w:eastAsia="Arial" w:hAnsi="Arial"/>
          <w:sz w:val="17"/>
          <w:szCs w:val="17"/>
          <w:color w:val="auto"/>
        </w:rPr>
        <w:t>,</w:t>
      </w:r>
    </w:p>
    <w:p>
      <w:pPr>
        <w:spacing w:after="0" w:line="3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a California corporation</w:t>
      </w:r>
    </w:p>
    <w:p>
      <w:pPr>
        <w:spacing w:after="0" w:line="211"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2346960</wp:posOffset>
            </wp:positionH>
            <wp:positionV relativeFrom="paragraph">
              <wp:posOffset>-10160</wp:posOffset>
            </wp:positionV>
            <wp:extent cx="22980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298065" cy="8255"/>
                    </a:xfrm>
                    <a:prstGeom prst="rect">
                      <a:avLst/>
                    </a:prstGeom>
                    <a:noFill/>
                  </pic:spPr>
                </pic:pic>
              </a:graphicData>
            </a:graphic>
          </wp:anchor>
        </w:drawing>
      </w:r>
    </w:p>
    <w:p>
      <w:pPr>
        <w:spacing w:after="0" w:line="3"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2486660</wp:posOffset>
            </wp:positionH>
            <wp:positionV relativeFrom="paragraph">
              <wp:posOffset>-19050</wp:posOffset>
            </wp:positionV>
            <wp:extent cx="21583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8365" cy="8255"/>
                    </a:xfrm>
                    <a:prstGeom prst="rect">
                      <a:avLst/>
                    </a:prstGeom>
                    <a:noFill/>
                  </pic:spPr>
                </pic:pic>
              </a:graphicData>
            </a:graphic>
          </wp:anchor>
        </w:drawing>
      </w:r>
    </w:p>
    <w:p>
      <w:pPr>
        <w:ind w:left="34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854710</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2425700</wp:posOffset>
            </wp:positionH>
            <wp:positionV relativeFrom="paragraph">
              <wp:posOffset>-19050</wp:posOffset>
            </wp:positionV>
            <wp:extent cx="22155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215515"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9" w:name="page30"/>
    <w:bookmarkEnd w:id="29"/>
    <w:p>
      <w:pPr>
        <w:jc w:val="center"/>
        <w:ind w:right="20"/>
        <w:spacing w:after="0"/>
        <w:rPr>
          <w:sz w:val="20"/>
          <w:szCs w:val="20"/>
          <w:color w:val="auto"/>
        </w:rPr>
      </w:pPr>
      <w:r>
        <w:rPr>
          <w:rFonts w:ascii="Arial" w:cs="Arial" w:eastAsia="Arial" w:hAnsi="Arial"/>
          <w:sz w:val="18"/>
          <w:szCs w:val="18"/>
          <w:b w:val="1"/>
          <w:bCs w:val="1"/>
          <w:color w:val="auto"/>
        </w:rPr>
        <w:t>Schedule A</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Financial Covenant Calculations</w:t>
      </w:r>
    </w:p>
    <w:p>
      <w:pPr>
        <w:spacing w:after="0" w:line="212" w:lineRule="exact"/>
        <w:rPr>
          <w:sz w:val="20"/>
          <w:szCs w:val="20"/>
          <w:color w:val="auto"/>
        </w:rPr>
      </w:pPr>
    </w:p>
    <w:p>
      <w:pPr>
        <w:ind w:left="1300" w:right="4620" w:hanging="644"/>
        <w:spacing w:after="0" w:line="256" w:lineRule="auto"/>
        <w:tabs>
          <w:tab w:leader="none" w:pos="1300"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color w:val="auto"/>
        </w:rPr>
        <w:t>Consolidated Fixed Charge Coverage Ratio ($ in 000’s)</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760" w:type="dxa"/>
            <w:vAlign w:val="bottom"/>
            <w:tcBorders>
              <w:top w:val="single" w:sz="8" w:color="auto"/>
              <w:left w:val="single" w:sz="8" w:color="auto"/>
              <w:right w:val="single" w:sz="8" w:color="auto"/>
            </w:tcBorders>
          </w:tcPr>
          <w:p>
            <w:pPr>
              <w:spacing w:after="0"/>
              <w:rPr>
                <w:sz w:val="18"/>
                <w:szCs w:val="18"/>
                <w:color w:val="auto"/>
              </w:rPr>
            </w:pPr>
          </w:p>
        </w:tc>
        <w:tc>
          <w:tcPr>
            <w:tcW w:w="7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w:t>
            </w:r>
          </w:p>
        </w:tc>
        <w:tc>
          <w:tcPr>
            <w:tcW w:w="7040" w:type="dxa"/>
            <w:vAlign w:val="bottom"/>
            <w:tcBorders>
              <w:top w:val="single" w:sz="8" w:color="auto"/>
              <w:right w:val="single" w:sz="8" w:color="auto"/>
            </w:tcBorders>
            <w:gridSpan w:val="6"/>
          </w:tcPr>
          <w:p>
            <w:pPr>
              <w:ind w:left="100"/>
              <w:spacing w:after="0"/>
              <w:rPr>
                <w:sz w:val="20"/>
                <w:szCs w:val="20"/>
                <w:color w:val="auto"/>
              </w:rPr>
            </w:pPr>
            <w:r>
              <w:rPr>
                <w:rFonts w:ascii="Arial" w:cs="Arial" w:eastAsia="Arial" w:hAnsi="Arial"/>
                <w:sz w:val="18"/>
                <w:szCs w:val="18"/>
                <w:color w:val="auto"/>
              </w:rPr>
              <w:t>Consolidated EBITDA of the Borrower and its Subsidiaries for the Measurement</w:t>
            </w:r>
          </w:p>
        </w:tc>
        <w:tc>
          <w:tcPr>
            <w:tcW w:w="1420" w:type="dxa"/>
            <w:vAlign w:val="bottom"/>
            <w:tcBorders>
              <w:top w:val="single" w:sz="8" w:color="auto"/>
              <w:right w:val="single" w:sz="8" w:color="auto"/>
            </w:tcBorders>
          </w:tcPr>
          <w:p>
            <w:pPr>
              <w:spacing w:after="0"/>
              <w:rPr>
                <w:sz w:val="18"/>
                <w:szCs w:val="18"/>
                <w:color w:val="auto"/>
              </w:rPr>
            </w:pPr>
          </w:p>
        </w:tc>
      </w:tr>
      <w:tr>
        <w:trPr>
          <w:trHeight w:val="190"/>
        </w:trPr>
        <w:tc>
          <w:tcPr>
            <w:tcW w:w="760" w:type="dxa"/>
            <w:vAlign w:val="bottom"/>
            <w:tcBorders>
              <w:left w:val="single" w:sz="8" w:color="auto"/>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7040" w:type="dxa"/>
            <w:vAlign w:val="bottom"/>
            <w:tcBorders>
              <w:right w:val="single" w:sz="8" w:color="auto"/>
            </w:tcBorders>
            <w:gridSpan w:val="6"/>
          </w:tcPr>
          <w:p>
            <w:pPr>
              <w:ind w:left="100"/>
              <w:spacing w:after="0" w:line="190" w:lineRule="exact"/>
              <w:rPr>
                <w:sz w:val="20"/>
                <w:szCs w:val="20"/>
                <w:color w:val="auto"/>
              </w:rPr>
            </w:pPr>
            <w:r>
              <w:rPr>
                <w:rFonts w:ascii="Arial" w:cs="Arial" w:eastAsia="Arial" w:hAnsi="Arial"/>
                <w:sz w:val="18"/>
                <w:szCs w:val="18"/>
                <w:color w:val="auto"/>
              </w:rPr>
              <w:t>Period ending on above date (“Subject Period”):</w:t>
            </w:r>
          </w:p>
        </w:tc>
        <w:tc>
          <w:tcPr>
            <w:tcW w:w="1420" w:type="dxa"/>
            <w:vAlign w:val="bottom"/>
            <w:tcBorders>
              <w:right w:val="single" w:sz="8" w:color="auto"/>
            </w:tcBorders>
          </w:tcPr>
          <w:p>
            <w:pPr>
              <w:spacing w:after="0"/>
              <w:rPr>
                <w:sz w:val="16"/>
                <w:szCs w:val="16"/>
                <w:color w:val="auto"/>
              </w:rPr>
            </w:pPr>
          </w:p>
        </w:tc>
      </w:tr>
      <w:tr>
        <w:trPr>
          <w:trHeight w:val="20"/>
        </w:trPr>
        <w:tc>
          <w:tcPr>
            <w:tcW w:w="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6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760" w:type="dxa"/>
            <w:vAlign w:val="bottom"/>
            <w:tcBorders>
              <w:left w:val="single" w:sz="8" w:color="auto"/>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auto"/>
            </w:tcBorders>
          </w:tcPr>
          <w:p>
            <w:pPr>
              <w:spacing w:after="0"/>
              <w:rPr>
                <w:sz w:val="18"/>
                <w:szCs w:val="18"/>
                <w:color w:val="auto"/>
              </w:rPr>
            </w:pPr>
          </w:p>
        </w:tc>
        <w:tc>
          <w:tcPr>
            <w:tcW w:w="622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Consolidated Net Income for Subject Period:</w:t>
            </w:r>
          </w:p>
        </w:tc>
        <w:tc>
          <w:tcPr>
            <w:tcW w:w="14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$___________</w:t>
            </w:r>
          </w:p>
        </w:tc>
      </w:tr>
      <w:tr>
        <w:trPr>
          <w:trHeight w:val="209"/>
        </w:trPr>
        <w:tc>
          <w:tcPr>
            <w:tcW w:w="760" w:type="dxa"/>
            <w:vAlign w:val="bottom"/>
            <w:tcBorders>
              <w:left w:val="single" w:sz="8" w:color="auto"/>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auto"/>
            </w:tcBorders>
          </w:tcPr>
          <w:p>
            <w:pPr>
              <w:spacing w:after="0"/>
              <w:rPr>
                <w:sz w:val="18"/>
                <w:szCs w:val="18"/>
                <w:color w:val="auto"/>
              </w:rPr>
            </w:pPr>
          </w:p>
        </w:tc>
        <w:tc>
          <w:tcPr>
            <w:tcW w:w="622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Consolidated Interest Charges for Subject Period:</w:t>
            </w:r>
          </w:p>
        </w:tc>
        <w:tc>
          <w:tcPr>
            <w:tcW w:w="14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$___________</w:t>
            </w:r>
          </w:p>
        </w:tc>
      </w:tr>
      <w:tr>
        <w:trPr>
          <w:trHeight w:val="209"/>
        </w:trPr>
        <w:tc>
          <w:tcPr>
            <w:tcW w:w="760" w:type="dxa"/>
            <w:vAlign w:val="bottom"/>
            <w:tcBorders>
              <w:left w:val="single" w:sz="8" w:color="auto"/>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auto"/>
            </w:tcBorders>
          </w:tcPr>
          <w:p>
            <w:pPr>
              <w:spacing w:after="0"/>
              <w:rPr>
                <w:sz w:val="18"/>
                <w:szCs w:val="18"/>
                <w:color w:val="auto"/>
              </w:rPr>
            </w:pPr>
          </w:p>
        </w:tc>
        <w:tc>
          <w:tcPr>
            <w:tcW w:w="622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provision for federal, state, local and foreign income taxes for Subject Period:</w:t>
            </w:r>
          </w:p>
        </w:tc>
        <w:tc>
          <w:tcPr>
            <w:tcW w:w="14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$___________</w:t>
            </w:r>
          </w:p>
        </w:tc>
      </w:tr>
      <w:tr>
        <w:trPr>
          <w:trHeight w:val="210"/>
        </w:trPr>
        <w:tc>
          <w:tcPr>
            <w:tcW w:w="760" w:type="dxa"/>
            <w:vAlign w:val="bottom"/>
            <w:tcBorders>
              <w:left w:val="single" w:sz="8" w:color="auto"/>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auto"/>
            </w:tcBorders>
          </w:tcPr>
          <w:p>
            <w:pPr>
              <w:spacing w:after="0"/>
              <w:rPr>
                <w:sz w:val="18"/>
                <w:szCs w:val="18"/>
                <w:color w:val="auto"/>
              </w:rPr>
            </w:pPr>
          </w:p>
        </w:tc>
        <w:tc>
          <w:tcPr>
            <w:tcW w:w="622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depreciation and amortization expenses for Subject Period:</w:t>
            </w:r>
          </w:p>
        </w:tc>
        <w:tc>
          <w:tcPr>
            <w:tcW w:w="14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$___________</w:t>
            </w:r>
          </w:p>
        </w:tc>
      </w:tr>
      <w:tr>
        <w:trPr>
          <w:trHeight w:val="195"/>
        </w:trPr>
        <w:tc>
          <w:tcPr>
            <w:tcW w:w="760" w:type="dxa"/>
            <w:vAlign w:val="bottom"/>
            <w:tcBorders>
              <w:left w:val="single" w:sz="8" w:color="auto"/>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5.</w:t>
            </w:r>
          </w:p>
        </w:tc>
        <w:tc>
          <w:tcPr>
            <w:tcW w:w="80" w:type="dxa"/>
            <w:vAlign w:val="bottom"/>
          </w:tcPr>
          <w:p>
            <w:pPr>
              <w:spacing w:after="0"/>
              <w:rPr>
                <w:sz w:val="16"/>
                <w:szCs w:val="16"/>
                <w:color w:val="auto"/>
              </w:rPr>
            </w:pPr>
          </w:p>
        </w:tc>
        <w:tc>
          <w:tcPr>
            <w:tcW w:w="6220" w:type="dxa"/>
            <w:vAlign w:val="bottom"/>
            <w:tcBorders>
              <w:right w:val="single" w:sz="8" w:color="auto"/>
            </w:tcBorders>
            <w:gridSpan w:val="4"/>
          </w:tcPr>
          <w:p>
            <w:pPr>
              <w:spacing w:after="0" w:line="195" w:lineRule="exact"/>
              <w:rPr>
                <w:sz w:val="20"/>
                <w:szCs w:val="20"/>
                <w:color w:val="auto"/>
              </w:rPr>
            </w:pPr>
            <w:r>
              <w:rPr>
                <w:rFonts w:ascii="Arial" w:cs="Arial" w:eastAsia="Arial" w:hAnsi="Arial"/>
                <w:sz w:val="18"/>
                <w:szCs w:val="18"/>
                <w:color w:val="auto"/>
                <w:w w:val="90"/>
              </w:rPr>
              <w:t>non-cash non-recurring charges and losses (excluding any such non-cash charges or</w:t>
            </w:r>
          </w:p>
        </w:tc>
        <w:tc>
          <w:tcPr>
            <w:tcW w:w="1420" w:type="dxa"/>
            <w:vAlign w:val="bottom"/>
            <w:tcBorders>
              <w:right w:val="single" w:sz="8" w:color="auto"/>
            </w:tcBorders>
          </w:tcPr>
          <w:p>
            <w:pPr>
              <w:spacing w:after="0"/>
              <w:rPr>
                <w:sz w:val="16"/>
                <w:szCs w:val="16"/>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4"/>
              </w:rPr>
              <w:t>losses to the extent (A) there were cash charges with respect to such charges and</w:t>
            </w:r>
          </w:p>
        </w:tc>
        <w:tc>
          <w:tcPr>
            <w:tcW w:w="1420" w:type="dxa"/>
            <w:vAlign w:val="bottom"/>
            <w:tcBorders>
              <w:right w:val="single" w:sz="8" w:color="auto"/>
            </w:tcBorders>
          </w:tcPr>
          <w:p>
            <w:pPr>
              <w:spacing w:after="0"/>
              <w:rPr>
                <w:sz w:val="18"/>
                <w:szCs w:val="18"/>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2"/>
              </w:rPr>
              <w:t>losses in past accounting periods or (B) there is a reasonable expectation that there</w:t>
            </w:r>
          </w:p>
        </w:tc>
        <w:tc>
          <w:tcPr>
            <w:tcW w:w="1420" w:type="dxa"/>
            <w:vAlign w:val="bottom"/>
            <w:tcBorders>
              <w:right w:val="single" w:sz="8" w:color="auto"/>
            </w:tcBorders>
          </w:tcPr>
          <w:p>
            <w:pPr>
              <w:spacing w:after="0"/>
              <w:rPr>
                <w:sz w:val="18"/>
                <w:szCs w:val="18"/>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5"/>
              </w:rPr>
              <w:t>will be cash charges with respect to such charges and losses in future accounting</w:t>
            </w:r>
          </w:p>
        </w:tc>
        <w:tc>
          <w:tcPr>
            <w:tcW w:w="1420" w:type="dxa"/>
            <w:vAlign w:val="bottom"/>
            <w:tcBorders>
              <w:right w:val="single" w:sz="8" w:color="auto"/>
            </w:tcBorders>
          </w:tcPr>
          <w:p>
            <w:pPr>
              <w:spacing w:after="0"/>
              <w:rPr>
                <w:sz w:val="18"/>
                <w:szCs w:val="18"/>
                <w:color w:val="auto"/>
              </w:rPr>
            </w:pPr>
          </w:p>
        </w:tc>
      </w:tr>
      <w:tr>
        <w:trPr>
          <w:trHeight w:val="230"/>
        </w:trPr>
        <w:tc>
          <w:tcPr>
            <w:tcW w:w="760" w:type="dxa"/>
            <w:vAlign w:val="bottom"/>
            <w:tcBorders>
              <w:left w:val="single" w:sz="8" w:color="auto"/>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2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periods) for Subject Period:</w:t>
            </w:r>
          </w:p>
        </w:tc>
        <w:tc>
          <w:tcPr>
            <w:tcW w:w="14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$___________</w:t>
            </w:r>
          </w:p>
        </w:tc>
      </w:tr>
      <w:tr>
        <w:trPr>
          <w:trHeight w:val="209"/>
        </w:trPr>
        <w:tc>
          <w:tcPr>
            <w:tcW w:w="760" w:type="dxa"/>
            <w:vAlign w:val="bottom"/>
            <w:tcBorders>
              <w:left w:val="single" w:sz="8" w:color="auto"/>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auto"/>
            </w:tcBorders>
          </w:tcPr>
          <w:p>
            <w:pPr>
              <w:spacing w:after="0"/>
              <w:rPr>
                <w:sz w:val="18"/>
                <w:szCs w:val="18"/>
                <w:color w:val="auto"/>
              </w:rPr>
            </w:pPr>
          </w:p>
        </w:tc>
        <w:tc>
          <w:tcPr>
            <w:tcW w:w="622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non-cash stock-based compensation expense for Subject Period:</w:t>
            </w:r>
          </w:p>
        </w:tc>
        <w:tc>
          <w:tcPr>
            <w:tcW w:w="14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$___________</w:t>
            </w:r>
          </w:p>
        </w:tc>
      </w:tr>
      <w:tr>
        <w:trPr>
          <w:trHeight w:val="195"/>
        </w:trPr>
        <w:tc>
          <w:tcPr>
            <w:tcW w:w="760" w:type="dxa"/>
            <w:vAlign w:val="bottom"/>
            <w:tcBorders>
              <w:left w:val="single" w:sz="8" w:color="auto"/>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7.</w:t>
            </w:r>
          </w:p>
        </w:tc>
        <w:tc>
          <w:tcPr>
            <w:tcW w:w="80" w:type="dxa"/>
            <w:vAlign w:val="bottom"/>
          </w:tcPr>
          <w:p>
            <w:pPr>
              <w:spacing w:after="0"/>
              <w:rPr>
                <w:sz w:val="16"/>
                <w:szCs w:val="16"/>
                <w:color w:val="auto"/>
              </w:rPr>
            </w:pPr>
          </w:p>
        </w:tc>
        <w:tc>
          <w:tcPr>
            <w:tcW w:w="6220" w:type="dxa"/>
            <w:vAlign w:val="bottom"/>
            <w:tcBorders>
              <w:right w:val="single" w:sz="8" w:color="auto"/>
            </w:tcBorders>
            <w:gridSpan w:val="4"/>
          </w:tcPr>
          <w:p>
            <w:pPr>
              <w:spacing w:after="0" w:line="195" w:lineRule="exact"/>
              <w:rPr>
                <w:sz w:val="20"/>
                <w:szCs w:val="20"/>
                <w:color w:val="auto"/>
              </w:rPr>
            </w:pPr>
            <w:r>
              <w:rPr>
                <w:rFonts w:ascii="Arial" w:cs="Arial" w:eastAsia="Arial" w:hAnsi="Arial"/>
                <w:sz w:val="18"/>
                <w:szCs w:val="18"/>
                <w:color w:val="auto"/>
                <w:w w:val="92"/>
              </w:rPr>
              <w:t>non-recurring or unusual expenses, losses, write-offs or charges for Subject Period;</w:t>
            </w:r>
          </w:p>
        </w:tc>
        <w:tc>
          <w:tcPr>
            <w:tcW w:w="1420" w:type="dxa"/>
            <w:vAlign w:val="bottom"/>
            <w:tcBorders>
              <w:right w:val="single" w:sz="8" w:color="auto"/>
            </w:tcBorders>
          </w:tcPr>
          <w:p>
            <w:pPr>
              <w:spacing w:after="0"/>
              <w:rPr>
                <w:sz w:val="16"/>
                <w:szCs w:val="16"/>
                <w:color w:val="auto"/>
              </w:rPr>
            </w:pPr>
          </w:p>
        </w:tc>
      </w:tr>
      <w:tr>
        <w:trPr>
          <w:trHeight w:val="190"/>
        </w:trPr>
        <w:tc>
          <w:tcPr>
            <w:tcW w:w="760" w:type="dxa"/>
            <w:vAlign w:val="bottom"/>
            <w:tcBorders>
              <w:left w:val="single" w:sz="8" w:color="auto"/>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220" w:type="dxa"/>
            <w:vAlign w:val="bottom"/>
            <w:tcBorders>
              <w:right w:val="single" w:sz="8" w:color="auto"/>
            </w:tcBorders>
            <w:gridSpan w:val="4"/>
          </w:tcPr>
          <w:p>
            <w:pPr>
              <w:spacing w:after="0" w:line="190" w:lineRule="exact"/>
              <w:rPr>
                <w:sz w:val="20"/>
                <w:szCs w:val="20"/>
                <w:color w:val="auto"/>
              </w:rPr>
            </w:pPr>
            <w:r>
              <w:rPr>
                <w:rFonts w:ascii="Arial" w:cs="Arial" w:eastAsia="Arial" w:hAnsi="Arial"/>
                <w:sz w:val="18"/>
                <w:szCs w:val="18"/>
                <w:color w:val="auto"/>
                <w:w w:val="97"/>
              </w:rPr>
              <w:t>provided that the aggregate amount thereof at no time shall exceed ten  percent</w:t>
            </w:r>
          </w:p>
        </w:tc>
        <w:tc>
          <w:tcPr>
            <w:tcW w:w="1420" w:type="dxa"/>
            <w:vAlign w:val="bottom"/>
            <w:tcBorders>
              <w:right w:val="single" w:sz="8" w:color="auto"/>
            </w:tcBorders>
          </w:tcPr>
          <w:p>
            <w:pPr>
              <w:spacing w:after="0"/>
              <w:rPr>
                <w:sz w:val="16"/>
                <w:szCs w:val="16"/>
                <w:color w:val="auto"/>
              </w:rPr>
            </w:pPr>
          </w:p>
        </w:tc>
      </w:tr>
      <w:tr>
        <w:trPr>
          <w:trHeight w:val="20"/>
        </w:trPr>
        <w:tc>
          <w:tcPr>
            <w:tcW w:w="760" w:type="dxa"/>
            <w:vAlign w:val="bottom"/>
            <w:tcBorders>
              <w:left w:val="single" w:sz="8" w:color="auto"/>
              <w:right w:val="single" w:sz="8" w:color="auto"/>
            </w:tcBorders>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580" w:type="dxa"/>
            <w:vAlign w:val="bottom"/>
            <w:tcBorders>
              <w:right w:val="single" w:sz="8" w:color="auto"/>
            </w:tcBorders>
            <w:gridSpan w:val="3"/>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r>
      <w:tr>
        <w:trPr>
          <w:trHeight w:val="222"/>
        </w:trPr>
        <w:tc>
          <w:tcPr>
            <w:tcW w:w="760" w:type="dxa"/>
            <w:vAlign w:val="bottom"/>
            <w:tcBorders>
              <w:left w:val="single" w:sz="8" w:color="auto"/>
              <w:right w:val="single" w:sz="8" w:color="auto"/>
            </w:tcBorders>
          </w:tcPr>
          <w:p>
            <w:pPr>
              <w:spacing w:after="0"/>
              <w:rPr>
                <w:sz w:val="19"/>
                <w:szCs w:val="19"/>
                <w:color w:val="auto"/>
              </w:rPr>
            </w:pPr>
          </w:p>
        </w:tc>
        <w:tc>
          <w:tcPr>
            <w:tcW w:w="720" w:type="dxa"/>
            <w:vAlign w:val="bottom"/>
            <w:tcBorders>
              <w:right w:val="single" w:sz="8" w:color="auto"/>
            </w:tcBorders>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2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4"/>
              </w:rPr>
              <w:t>(10%) of the Consolidated EBITDA (before giving effect to such expenses, losses,</w:t>
            </w:r>
          </w:p>
        </w:tc>
        <w:tc>
          <w:tcPr>
            <w:tcW w:w="1420" w:type="dxa"/>
            <w:vAlign w:val="bottom"/>
            <w:tcBorders>
              <w:right w:val="single" w:sz="8" w:color="auto"/>
            </w:tcBorders>
          </w:tcPr>
          <w:p>
            <w:pPr>
              <w:spacing w:after="0"/>
              <w:rPr>
                <w:sz w:val="19"/>
                <w:szCs w:val="19"/>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2"/>
              </w:rPr>
              <w:t>write-offs or charges) during any Subject Period, or such other amount as agreed to</w:t>
            </w:r>
          </w:p>
        </w:tc>
        <w:tc>
          <w:tcPr>
            <w:tcW w:w="1420" w:type="dxa"/>
            <w:vAlign w:val="bottom"/>
            <w:tcBorders>
              <w:right w:val="single" w:sz="8" w:color="auto"/>
            </w:tcBorders>
          </w:tcPr>
          <w:p>
            <w:pPr>
              <w:spacing w:after="0"/>
              <w:rPr>
                <w:sz w:val="18"/>
                <w:szCs w:val="18"/>
                <w:color w:val="auto"/>
              </w:rPr>
            </w:pPr>
          </w:p>
        </w:tc>
      </w:tr>
      <w:tr>
        <w:trPr>
          <w:trHeight w:val="230"/>
        </w:trPr>
        <w:tc>
          <w:tcPr>
            <w:tcW w:w="760" w:type="dxa"/>
            <w:vAlign w:val="bottom"/>
            <w:tcBorders>
              <w:left w:val="single" w:sz="8" w:color="auto"/>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2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by the Administrative Agent in writing:</w:t>
            </w:r>
          </w:p>
        </w:tc>
        <w:tc>
          <w:tcPr>
            <w:tcW w:w="14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$___________</w:t>
            </w:r>
          </w:p>
        </w:tc>
      </w:tr>
      <w:tr>
        <w:trPr>
          <w:trHeight w:val="195"/>
        </w:trPr>
        <w:tc>
          <w:tcPr>
            <w:tcW w:w="760" w:type="dxa"/>
            <w:vAlign w:val="bottom"/>
            <w:tcBorders>
              <w:left w:val="single" w:sz="8" w:color="auto"/>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8.</w:t>
            </w:r>
          </w:p>
        </w:tc>
        <w:tc>
          <w:tcPr>
            <w:tcW w:w="80" w:type="dxa"/>
            <w:vAlign w:val="bottom"/>
          </w:tcPr>
          <w:p>
            <w:pPr>
              <w:spacing w:after="0"/>
              <w:rPr>
                <w:sz w:val="16"/>
                <w:szCs w:val="16"/>
                <w:color w:val="auto"/>
              </w:rPr>
            </w:pPr>
          </w:p>
        </w:tc>
        <w:tc>
          <w:tcPr>
            <w:tcW w:w="6220" w:type="dxa"/>
            <w:vAlign w:val="bottom"/>
            <w:tcBorders>
              <w:right w:val="single" w:sz="8" w:color="auto"/>
            </w:tcBorders>
            <w:gridSpan w:val="4"/>
          </w:tcPr>
          <w:p>
            <w:pPr>
              <w:spacing w:after="0" w:line="195" w:lineRule="exact"/>
              <w:rPr>
                <w:sz w:val="20"/>
                <w:szCs w:val="20"/>
                <w:color w:val="auto"/>
              </w:rPr>
            </w:pPr>
            <w:r>
              <w:rPr>
                <w:rFonts w:ascii="Arial" w:cs="Arial" w:eastAsia="Arial" w:hAnsi="Arial"/>
                <w:sz w:val="18"/>
                <w:szCs w:val="18"/>
                <w:color w:val="auto"/>
                <w:w w:val="93"/>
              </w:rPr>
              <w:t>non-cash non-recurring gains (excluding any such non-cash gains to the extent (A)</w:t>
            </w:r>
          </w:p>
        </w:tc>
        <w:tc>
          <w:tcPr>
            <w:tcW w:w="1420" w:type="dxa"/>
            <w:vAlign w:val="bottom"/>
            <w:tcBorders>
              <w:right w:val="single" w:sz="8" w:color="auto"/>
            </w:tcBorders>
          </w:tcPr>
          <w:p>
            <w:pPr>
              <w:spacing w:after="0"/>
              <w:rPr>
                <w:sz w:val="16"/>
                <w:szCs w:val="16"/>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4"/>
              </w:rPr>
              <w:t>there were cash gains with respect to such gains in past accounting periods or (B)</w:t>
            </w:r>
          </w:p>
        </w:tc>
        <w:tc>
          <w:tcPr>
            <w:tcW w:w="1420" w:type="dxa"/>
            <w:vAlign w:val="bottom"/>
            <w:tcBorders>
              <w:right w:val="single" w:sz="8" w:color="auto"/>
            </w:tcBorders>
          </w:tcPr>
          <w:p>
            <w:pPr>
              <w:spacing w:after="0"/>
              <w:rPr>
                <w:sz w:val="18"/>
                <w:szCs w:val="18"/>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4"/>
              </w:rPr>
              <w:t>there is a reasonable expectation that there will be cash gains with respect to such</w:t>
            </w:r>
          </w:p>
        </w:tc>
        <w:tc>
          <w:tcPr>
            <w:tcW w:w="1420" w:type="dxa"/>
            <w:vAlign w:val="bottom"/>
            <w:tcBorders>
              <w:right w:val="single" w:sz="8" w:color="auto"/>
            </w:tcBorders>
          </w:tcPr>
          <w:p>
            <w:pPr>
              <w:spacing w:after="0"/>
              <w:rPr>
                <w:sz w:val="18"/>
                <w:szCs w:val="18"/>
                <w:color w:val="auto"/>
              </w:rPr>
            </w:pPr>
          </w:p>
        </w:tc>
      </w:tr>
      <w:tr>
        <w:trPr>
          <w:trHeight w:val="230"/>
        </w:trPr>
        <w:tc>
          <w:tcPr>
            <w:tcW w:w="760" w:type="dxa"/>
            <w:vAlign w:val="bottom"/>
            <w:tcBorders>
              <w:left w:val="single" w:sz="8" w:color="auto"/>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2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gains in future accounting periods) for Subject Period:</w:t>
            </w:r>
          </w:p>
        </w:tc>
        <w:tc>
          <w:tcPr>
            <w:tcW w:w="14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$___________</w:t>
            </w:r>
          </w:p>
        </w:tc>
      </w:tr>
      <w:tr>
        <w:trPr>
          <w:trHeight w:val="210"/>
        </w:trPr>
        <w:tc>
          <w:tcPr>
            <w:tcW w:w="760" w:type="dxa"/>
            <w:vAlign w:val="bottom"/>
            <w:tcBorders>
              <w:left w:val="single" w:sz="8" w:color="auto"/>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auto"/>
            </w:tcBorders>
          </w:tcPr>
          <w:p>
            <w:pPr>
              <w:spacing w:after="0"/>
              <w:rPr>
                <w:sz w:val="18"/>
                <w:szCs w:val="18"/>
                <w:color w:val="auto"/>
              </w:rPr>
            </w:pPr>
          </w:p>
        </w:tc>
        <w:tc>
          <w:tcPr>
            <w:tcW w:w="622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EBITDA (Lines I.A.1 + 2 + 3 + 4 + 5 + 6 +7-8:</w:t>
            </w:r>
          </w:p>
        </w:tc>
        <w:tc>
          <w:tcPr>
            <w:tcW w:w="14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$___________</w:t>
            </w:r>
          </w:p>
        </w:tc>
      </w:tr>
      <w:tr>
        <w:trPr>
          <w:trHeight w:val="210"/>
        </w:trPr>
        <w:tc>
          <w:tcPr>
            <w:tcW w:w="760" w:type="dxa"/>
            <w:vAlign w:val="bottom"/>
            <w:tcBorders>
              <w:left w:val="single" w:sz="8" w:color="auto"/>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66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r>
      <w:tr>
        <w:trPr>
          <w:trHeight w:val="210"/>
        </w:trPr>
        <w:tc>
          <w:tcPr>
            <w:tcW w:w="760" w:type="dxa"/>
            <w:vAlign w:val="bottom"/>
            <w:tcBorders>
              <w:left w:val="single" w:sz="8" w:color="auto"/>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w:t>
            </w:r>
          </w:p>
        </w:tc>
        <w:tc>
          <w:tcPr>
            <w:tcW w:w="7040" w:type="dxa"/>
            <w:vAlign w:val="bottom"/>
            <w:tcBorders>
              <w:bottom w:val="single" w:sz="8" w:color="auto"/>
              <w:right w:val="single" w:sz="8" w:color="auto"/>
            </w:tcBorders>
            <w:gridSpan w:val="6"/>
          </w:tcPr>
          <w:p>
            <w:pPr>
              <w:ind w:left="100"/>
              <w:spacing w:after="0"/>
              <w:rPr>
                <w:sz w:val="20"/>
                <w:szCs w:val="20"/>
                <w:color w:val="auto"/>
              </w:rPr>
            </w:pPr>
            <w:r>
              <w:rPr>
                <w:rFonts w:ascii="Arial" w:cs="Arial" w:eastAsia="Arial" w:hAnsi="Arial"/>
                <w:sz w:val="18"/>
                <w:szCs w:val="18"/>
                <w:color w:val="auto"/>
              </w:rPr>
              <w:t>maintenance Consolidated Capital Expenditures for Subject Period:</w:t>
            </w:r>
          </w:p>
        </w:tc>
        <w:tc>
          <w:tcPr>
            <w:tcW w:w="14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$___________</w:t>
            </w:r>
          </w:p>
        </w:tc>
      </w:tr>
      <w:tr>
        <w:trPr>
          <w:trHeight w:val="209"/>
        </w:trPr>
        <w:tc>
          <w:tcPr>
            <w:tcW w:w="760" w:type="dxa"/>
            <w:vAlign w:val="bottom"/>
            <w:tcBorders>
              <w:left w:val="single" w:sz="8" w:color="auto"/>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66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r>
      <w:tr>
        <w:trPr>
          <w:trHeight w:val="210"/>
        </w:trPr>
        <w:tc>
          <w:tcPr>
            <w:tcW w:w="760" w:type="dxa"/>
            <w:vAlign w:val="bottom"/>
            <w:tcBorders>
              <w:left w:val="single" w:sz="8" w:color="auto"/>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w:t>
            </w:r>
          </w:p>
        </w:tc>
        <w:tc>
          <w:tcPr>
            <w:tcW w:w="7040" w:type="dxa"/>
            <w:vAlign w:val="bottom"/>
            <w:tcBorders>
              <w:bottom w:val="single" w:sz="8" w:color="auto"/>
              <w:right w:val="single" w:sz="8" w:color="auto"/>
            </w:tcBorders>
            <w:gridSpan w:val="6"/>
          </w:tcPr>
          <w:p>
            <w:pPr>
              <w:ind w:left="100"/>
              <w:spacing w:after="0"/>
              <w:rPr>
                <w:sz w:val="20"/>
                <w:szCs w:val="20"/>
                <w:color w:val="auto"/>
              </w:rPr>
            </w:pPr>
            <w:r>
              <w:rPr>
                <w:rFonts w:ascii="Arial" w:cs="Arial" w:eastAsia="Arial" w:hAnsi="Arial"/>
                <w:sz w:val="18"/>
                <w:szCs w:val="18"/>
                <w:color w:val="auto"/>
              </w:rPr>
              <w:t>Fixed Charges for Subject Period:</w:t>
            </w:r>
          </w:p>
        </w:tc>
        <w:tc>
          <w:tcPr>
            <w:tcW w:w="1420" w:type="dxa"/>
            <w:vAlign w:val="bottom"/>
            <w:tcBorders>
              <w:bottom w:val="single" w:sz="8" w:color="auto"/>
              <w:right w:val="single" w:sz="8" w:color="auto"/>
            </w:tcBorders>
          </w:tcPr>
          <w:p>
            <w:pPr>
              <w:spacing w:after="0"/>
              <w:rPr>
                <w:sz w:val="18"/>
                <w:szCs w:val="18"/>
                <w:color w:val="auto"/>
              </w:rPr>
            </w:pPr>
          </w:p>
        </w:tc>
      </w:tr>
      <w:tr>
        <w:trPr>
          <w:trHeight w:val="210"/>
        </w:trPr>
        <w:tc>
          <w:tcPr>
            <w:tcW w:w="760" w:type="dxa"/>
            <w:vAlign w:val="bottom"/>
            <w:tcBorders>
              <w:left w:val="single" w:sz="8" w:color="auto"/>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auto"/>
            </w:tcBorders>
          </w:tcPr>
          <w:p>
            <w:pPr>
              <w:spacing w:after="0"/>
              <w:rPr>
                <w:sz w:val="18"/>
                <w:szCs w:val="18"/>
                <w:color w:val="auto"/>
              </w:rPr>
            </w:pPr>
          </w:p>
        </w:tc>
        <w:tc>
          <w:tcPr>
            <w:tcW w:w="622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w w:val="93"/>
              </w:rPr>
              <w:t>Consolidated Interest Charges to the extent paid in cash during the Subject Period:</w:t>
            </w:r>
          </w:p>
        </w:tc>
        <w:tc>
          <w:tcPr>
            <w:tcW w:w="14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$___________</w:t>
            </w:r>
          </w:p>
        </w:tc>
      </w:tr>
      <w:tr>
        <w:trPr>
          <w:trHeight w:val="195"/>
        </w:trPr>
        <w:tc>
          <w:tcPr>
            <w:tcW w:w="760" w:type="dxa"/>
            <w:vAlign w:val="bottom"/>
            <w:tcBorders>
              <w:left w:val="single" w:sz="8" w:color="auto"/>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6"/>
                <w:szCs w:val="16"/>
                <w:color w:val="auto"/>
              </w:rPr>
            </w:pPr>
          </w:p>
        </w:tc>
        <w:tc>
          <w:tcPr>
            <w:tcW w:w="6220" w:type="dxa"/>
            <w:vAlign w:val="bottom"/>
            <w:tcBorders>
              <w:right w:val="single" w:sz="8" w:color="auto"/>
            </w:tcBorders>
            <w:gridSpan w:val="4"/>
          </w:tcPr>
          <w:p>
            <w:pPr>
              <w:spacing w:after="0" w:line="195" w:lineRule="exact"/>
              <w:rPr>
                <w:sz w:val="20"/>
                <w:szCs w:val="20"/>
                <w:color w:val="auto"/>
              </w:rPr>
            </w:pPr>
            <w:r>
              <w:rPr>
                <w:rFonts w:ascii="Arial" w:cs="Arial" w:eastAsia="Arial" w:hAnsi="Arial"/>
                <w:sz w:val="18"/>
                <w:szCs w:val="18"/>
                <w:color w:val="auto"/>
                <w:w w:val="95"/>
              </w:rPr>
              <w:t>the aggregate principal amount of all redemptions or similar acquisitions for value</w:t>
            </w:r>
          </w:p>
        </w:tc>
        <w:tc>
          <w:tcPr>
            <w:tcW w:w="1420" w:type="dxa"/>
            <w:vAlign w:val="bottom"/>
            <w:tcBorders>
              <w:right w:val="single" w:sz="8" w:color="auto"/>
            </w:tcBorders>
          </w:tcPr>
          <w:p>
            <w:pPr>
              <w:spacing w:after="0"/>
              <w:rPr>
                <w:sz w:val="16"/>
                <w:szCs w:val="16"/>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3"/>
              </w:rPr>
              <w:t>of outstanding debt or regularly scheduled principal payments on debt for borrowed</w:t>
            </w:r>
          </w:p>
        </w:tc>
        <w:tc>
          <w:tcPr>
            <w:tcW w:w="1420" w:type="dxa"/>
            <w:vAlign w:val="bottom"/>
            <w:tcBorders>
              <w:right w:val="single" w:sz="8" w:color="auto"/>
            </w:tcBorders>
          </w:tcPr>
          <w:p>
            <w:pPr>
              <w:spacing w:after="0"/>
              <w:rPr>
                <w:sz w:val="18"/>
                <w:szCs w:val="18"/>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money or Capitalized Leases, but excluding any such payments to the extent</w:t>
            </w:r>
          </w:p>
        </w:tc>
        <w:tc>
          <w:tcPr>
            <w:tcW w:w="1420" w:type="dxa"/>
            <w:vAlign w:val="bottom"/>
            <w:tcBorders>
              <w:right w:val="single" w:sz="8" w:color="auto"/>
            </w:tcBorders>
          </w:tcPr>
          <w:p>
            <w:pPr>
              <w:spacing w:after="0"/>
              <w:rPr>
                <w:sz w:val="18"/>
                <w:szCs w:val="18"/>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5"/>
              </w:rPr>
              <w:t>refinanced through the incurrence of additional Indebtedness otherwise expressly</w:t>
            </w:r>
          </w:p>
        </w:tc>
        <w:tc>
          <w:tcPr>
            <w:tcW w:w="1420" w:type="dxa"/>
            <w:vAlign w:val="bottom"/>
            <w:tcBorders>
              <w:right w:val="single" w:sz="8" w:color="auto"/>
            </w:tcBorders>
          </w:tcPr>
          <w:p>
            <w:pPr>
              <w:spacing w:after="0"/>
              <w:rPr>
                <w:sz w:val="18"/>
                <w:szCs w:val="18"/>
                <w:color w:val="auto"/>
              </w:rPr>
            </w:pPr>
          </w:p>
        </w:tc>
      </w:tr>
      <w:tr>
        <w:trPr>
          <w:trHeight w:val="216"/>
        </w:trPr>
        <w:tc>
          <w:tcPr>
            <w:tcW w:w="760" w:type="dxa"/>
            <w:vAlign w:val="bottom"/>
            <w:tcBorders>
              <w:left w:val="single" w:sz="8" w:color="auto"/>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8"/>
              </w:rPr>
              <w:t>permitted under Section 7.02 of the Credit Agreement made during the Subject</w:t>
            </w:r>
          </w:p>
        </w:tc>
        <w:tc>
          <w:tcPr>
            <w:tcW w:w="1420" w:type="dxa"/>
            <w:vAlign w:val="bottom"/>
            <w:tcBorders>
              <w:right w:val="single" w:sz="8" w:color="auto"/>
            </w:tcBorders>
          </w:tcPr>
          <w:p>
            <w:pPr>
              <w:spacing w:after="0"/>
              <w:rPr>
                <w:sz w:val="18"/>
                <w:szCs w:val="18"/>
                <w:color w:val="auto"/>
              </w:rPr>
            </w:pPr>
          </w:p>
        </w:tc>
      </w:tr>
      <w:tr>
        <w:trPr>
          <w:trHeight w:val="230"/>
        </w:trPr>
        <w:tc>
          <w:tcPr>
            <w:tcW w:w="760" w:type="dxa"/>
            <w:vAlign w:val="bottom"/>
            <w:tcBorders>
              <w:left w:val="single" w:sz="8" w:color="auto"/>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2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Period:</w:t>
            </w:r>
          </w:p>
        </w:tc>
        <w:tc>
          <w:tcPr>
            <w:tcW w:w="14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$___________</w:t>
            </w:r>
          </w:p>
        </w:tc>
      </w:tr>
      <w:tr>
        <w:trPr>
          <w:trHeight w:val="195"/>
        </w:trPr>
        <w:tc>
          <w:tcPr>
            <w:tcW w:w="760" w:type="dxa"/>
            <w:vAlign w:val="bottom"/>
            <w:tcBorders>
              <w:left w:val="single" w:sz="8" w:color="auto"/>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3.</w:t>
            </w:r>
          </w:p>
        </w:tc>
        <w:tc>
          <w:tcPr>
            <w:tcW w:w="80" w:type="dxa"/>
            <w:vAlign w:val="bottom"/>
          </w:tcPr>
          <w:p>
            <w:pPr>
              <w:spacing w:after="0"/>
              <w:rPr>
                <w:sz w:val="16"/>
                <w:szCs w:val="16"/>
                <w:color w:val="auto"/>
              </w:rPr>
            </w:pPr>
          </w:p>
        </w:tc>
        <w:tc>
          <w:tcPr>
            <w:tcW w:w="6220" w:type="dxa"/>
            <w:vAlign w:val="bottom"/>
            <w:tcBorders>
              <w:right w:val="single" w:sz="8" w:color="auto"/>
            </w:tcBorders>
            <w:gridSpan w:val="4"/>
          </w:tcPr>
          <w:p>
            <w:pPr>
              <w:spacing w:after="0" w:line="195" w:lineRule="exact"/>
              <w:rPr>
                <w:sz w:val="20"/>
                <w:szCs w:val="20"/>
                <w:color w:val="auto"/>
              </w:rPr>
            </w:pPr>
            <w:r>
              <w:rPr>
                <w:rFonts w:ascii="Arial" w:cs="Arial" w:eastAsia="Arial" w:hAnsi="Arial"/>
                <w:sz w:val="18"/>
                <w:szCs w:val="18"/>
                <w:color w:val="auto"/>
                <w:w w:val="96"/>
              </w:rPr>
              <w:t>the aggregate amount of all Restricted Payments paid in cash during the Subject</w:t>
            </w:r>
          </w:p>
        </w:tc>
        <w:tc>
          <w:tcPr>
            <w:tcW w:w="1420" w:type="dxa"/>
            <w:vAlign w:val="bottom"/>
            <w:tcBorders>
              <w:right w:val="single" w:sz="8" w:color="auto"/>
            </w:tcBorders>
          </w:tcPr>
          <w:p>
            <w:pPr>
              <w:spacing w:after="0"/>
              <w:rPr>
                <w:sz w:val="16"/>
                <w:szCs w:val="16"/>
                <w:color w:val="auto"/>
              </w:rPr>
            </w:pPr>
          </w:p>
        </w:tc>
      </w:tr>
      <w:tr>
        <w:trPr>
          <w:trHeight w:val="230"/>
        </w:trPr>
        <w:tc>
          <w:tcPr>
            <w:tcW w:w="760" w:type="dxa"/>
            <w:vAlign w:val="bottom"/>
            <w:tcBorders>
              <w:left w:val="single" w:sz="8" w:color="auto"/>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2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Period:</w:t>
            </w:r>
          </w:p>
        </w:tc>
        <w:tc>
          <w:tcPr>
            <w:tcW w:w="14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$___________</w:t>
            </w:r>
          </w:p>
        </w:tc>
      </w:tr>
      <w:tr>
        <w:trPr>
          <w:trHeight w:val="195"/>
        </w:trPr>
        <w:tc>
          <w:tcPr>
            <w:tcW w:w="760" w:type="dxa"/>
            <w:vAlign w:val="bottom"/>
            <w:tcBorders>
              <w:left w:val="single" w:sz="8" w:color="auto"/>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4.</w:t>
            </w:r>
          </w:p>
        </w:tc>
        <w:tc>
          <w:tcPr>
            <w:tcW w:w="80" w:type="dxa"/>
            <w:vAlign w:val="bottom"/>
          </w:tcPr>
          <w:p>
            <w:pPr>
              <w:spacing w:after="0"/>
              <w:rPr>
                <w:sz w:val="16"/>
                <w:szCs w:val="16"/>
                <w:color w:val="auto"/>
              </w:rPr>
            </w:pPr>
          </w:p>
        </w:tc>
        <w:tc>
          <w:tcPr>
            <w:tcW w:w="6220" w:type="dxa"/>
            <w:vAlign w:val="bottom"/>
            <w:tcBorders>
              <w:right w:val="single" w:sz="8" w:color="auto"/>
            </w:tcBorders>
            <w:gridSpan w:val="4"/>
          </w:tcPr>
          <w:p>
            <w:pPr>
              <w:spacing w:after="0" w:line="195" w:lineRule="exact"/>
              <w:rPr>
                <w:sz w:val="20"/>
                <w:szCs w:val="20"/>
                <w:color w:val="auto"/>
              </w:rPr>
            </w:pPr>
            <w:r>
              <w:rPr>
                <w:rFonts w:ascii="Arial" w:cs="Arial" w:eastAsia="Arial" w:hAnsi="Arial"/>
                <w:sz w:val="18"/>
                <w:szCs w:val="18"/>
                <w:color w:val="auto"/>
                <w:w w:val="92"/>
              </w:rPr>
              <w:t>the aggregate amount of federal, state, local and foreign income Taxes paid in cash,</w:t>
            </w:r>
          </w:p>
        </w:tc>
        <w:tc>
          <w:tcPr>
            <w:tcW w:w="1420" w:type="dxa"/>
            <w:vAlign w:val="bottom"/>
            <w:tcBorders>
              <w:right w:val="single" w:sz="8" w:color="auto"/>
            </w:tcBorders>
          </w:tcPr>
          <w:p>
            <w:pPr>
              <w:spacing w:after="0"/>
              <w:rPr>
                <w:sz w:val="16"/>
                <w:szCs w:val="16"/>
                <w:color w:val="auto"/>
              </w:rPr>
            </w:pPr>
          </w:p>
        </w:tc>
      </w:tr>
      <w:tr>
        <w:trPr>
          <w:trHeight w:val="230"/>
        </w:trPr>
        <w:tc>
          <w:tcPr>
            <w:tcW w:w="760" w:type="dxa"/>
            <w:vAlign w:val="bottom"/>
            <w:tcBorders>
              <w:left w:val="single" w:sz="8" w:color="auto"/>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2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w w:val="95"/>
              </w:rPr>
              <w:t>in each case, of or by the Borrower and its Subsidiaries during the Subject Period</w:t>
            </w:r>
          </w:p>
        </w:tc>
        <w:tc>
          <w:tcPr>
            <w:tcW w:w="1420" w:type="dxa"/>
            <w:vAlign w:val="bottom"/>
            <w:tcBorders>
              <w:bottom w:val="single" w:sz="8" w:color="auto"/>
              <w:right w:val="single" w:sz="8" w:color="auto"/>
            </w:tcBorders>
          </w:tcPr>
          <w:p>
            <w:pPr>
              <w:spacing w:after="0"/>
              <w:rPr>
                <w:sz w:val="20"/>
                <w:szCs w:val="20"/>
                <w:color w:val="auto"/>
              </w:rPr>
            </w:pPr>
          </w:p>
        </w:tc>
      </w:tr>
      <w:tr>
        <w:trPr>
          <w:trHeight w:val="210"/>
        </w:trPr>
        <w:tc>
          <w:tcPr>
            <w:tcW w:w="760" w:type="dxa"/>
            <w:vAlign w:val="bottom"/>
            <w:tcBorders>
              <w:left w:val="single" w:sz="8" w:color="auto"/>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auto"/>
            </w:tcBorders>
          </w:tcPr>
          <w:p>
            <w:pPr>
              <w:spacing w:after="0"/>
              <w:rPr>
                <w:sz w:val="18"/>
                <w:szCs w:val="18"/>
                <w:color w:val="auto"/>
              </w:rPr>
            </w:pPr>
          </w:p>
        </w:tc>
        <w:tc>
          <w:tcPr>
            <w:tcW w:w="622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Fixed Charges (Lines I.C.1 + 2 + 3 + 4):</w:t>
            </w:r>
          </w:p>
        </w:tc>
        <w:tc>
          <w:tcPr>
            <w:tcW w:w="14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$___________</w:t>
            </w:r>
          </w:p>
        </w:tc>
      </w:tr>
      <w:tr>
        <w:trPr>
          <w:trHeight w:val="209"/>
        </w:trPr>
        <w:tc>
          <w:tcPr>
            <w:tcW w:w="760" w:type="dxa"/>
            <w:vAlign w:val="bottom"/>
            <w:tcBorders>
              <w:left w:val="single" w:sz="8" w:color="auto"/>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66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r>
      <w:tr>
        <w:trPr>
          <w:trHeight w:val="210"/>
        </w:trPr>
        <w:tc>
          <w:tcPr>
            <w:tcW w:w="760" w:type="dxa"/>
            <w:vAlign w:val="bottom"/>
            <w:tcBorders>
              <w:left w:val="single" w:sz="8" w:color="auto"/>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w:t>
            </w:r>
          </w:p>
        </w:tc>
        <w:tc>
          <w:tcPr>
            <w:tcW w:w="7040" w:type="dxa"/>
            <w:vAlign w:val="bottom"/>
            <w:tcBorders>
              <w:bottom w:val="single" w:sz="8" w:color="auto"/>
              <w:right w:val="single" w:sz="8" w:color="auto"/>
            </w:tcBorders>
            <w:gridSpan w:val="6"/>
          </w:tcPr>
          <w:p>
            <w:pPr>
              <w:ind w:left="100"/>
              <w:spacing w:after="0"/>
              <w:rPr>
                <w:sz w:val="20"/>
                <w:szCs w:val="20"/>
                <w:color w:val="auto"/>
              </w:rPr>
            </w:pPr>
            <w:r>
              <w:rPr>
                <w:rFonts w:ascii="Arial" w:cs="Arial" w:eastAsia="Arial" w:hAnsi="Arial"/>
                <w:sz w:val="18"/>
                <w:szCs w:val="18"/>
                <w:color w:val="auto"/>
              </w:rPr>
              <w:t>Fixed Charge Coverage Ratio ((Line I.A.9 – Line I.B) ÷ ( Line I.C.5))</w:t>
            </w:r>
          </w:p>
        </w:tc>
        <w:tc>
          <w:tcPr>
            <w:tcW w:w="14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w w:val="98"/>
              </w:rPr>
              <w:t>_______ to 1.00</w:t>
            </w:r>
          </w:p>
        </w:tc>
      </w:tr>
      <w:tr>
        <w:trPr>
          <w:trHeight w:val="210"/>
        </w:trPr>
        <w:tc>
          <w:tcPr>
            <w:tcW w:w="760" w:type="dxa"/>
            <w:vAlign w:val="bottom"/>
            <w:tcBorders>
              <w:left w:val="single" w:sz="8" w:color="auto"/>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7040" w:type="dxa"/>
            <w:vAlign w:val="bottom"/>
            <w:tcBorders>
              <w:bottom w:val="single" w:sz="8" w:color="auto"/>
              <w:right w:val="single" w:sz="8" w:color="auto"/>
            </w:tcBorders>
            <w:gridSpan w:val="6"/>
          </w:tcPr>
          <w:p>
            <w:pPr>
              <w:ind w:left="100"/>
              <w:spacing w:after="0"/>
              <w:rPr>
                <w:sz w:val="20"/>
                <w:szCs w:val="20"/>
                <w:color w:val="auto"/>
              </w:rPr>
            </w:pPr>
            <w:r>
              <w:rPr>
                <w:rFonts w:ascii="Arial" w:cs="Arial" w:eastAsia="Arial" w:hAnsi="Arial"/>
                <w:sz w:val="18"/>
                <w:szCs w:val="18"/>
                <w:i w:val="1"/>
                <w:iCs w:val="1"/>
                <w:color w:val="auto"/>
              </w:rPr>
              <w:t>Minimum Permitted</w:t>
            </w:r>
          </w:p>
        </w:tc>
        <w:tc>
          <w:tcPr>
            <w:tcW w:w="14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1.15 to 1.00</w:t>
            </w:r>
          </w:p>
        </w:tc>
      </w:tr>
      <w:tr>
        <w:trPr>
          <w:trHeight w:val="1458"/>
        </w:trPr>
        <w:tc>
          <w:tcPr>
            <w:tcW w:w="7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21" w:right="979" w:bottom="1440" w:gutter="0" w:footer="0" w:header="0"/>
        </w:sectPr>
      </w:pPr>
    </w:p>
    <w:bookmarkStart w:id="30" w:name="page31"/>
    <w:bookmarkEnd w:id="30"/>
    <w:p>
      <w:pPr>
        <w:ind w:left="1300" w:right="6060" w:hanging="644"/>
        <w:spacing w:after="0" w:line="268" w:lineRule="auto"/>
        <w:tabs>
          <w:tab w:leader="none" w:pos="1349" w:val="left"/>
        </w:tabs>
        <w:numPr>
          <w:ilvl w:val="0"/>
          <w:numId w:val="39"/>
        </w:numPr>
        <w:rPr>
          <w:rFonts w:ascii="Arial" w:cs="Arial" w:eastAsia="Arial" w:hAnsi="Arial"/>
          <w:sz w:val="20"/>
          <w:szCs w:val="20"/>
          <w:b w:val="1"/>
          <w:bCs w:val="1"/>
          <w:color w:val="auto"/>
        </w:rPr>
      </w:pPr>
      <w:r>
        <w:rPr>
          <w:rFonts w:ascii="Arial" w:cs="Arial" w:eastAsia="Arial" w:hAnsi="Arial"/>
          <w:sz w:val="20"/>
          <w:szCs w:val="20"/>
          <w:b w:val="1"/>
          <w:bCs w:val="1"/>
          <w:color w:val="auto"/>
        </w:rPr>
        <w:t>Consolidated Leverage Ratio. ($ in 000’s)</w:t>
      </w:r>
    </w:p>
    <w:p>
      <w:pPr>
        <w:spacing w:after="0" w:line="198" w:lineRule="exact"/>
        <w:rPr>
          <w:sz w:val="20"/>
          <w:szCs w:val="20"/>
          <w:color w:val="auto"/>
        </w:rPr>
      </w:pPr>
    </w:p>
    <w:p>
      <w:pPr>
        <w:spacing w:after="0"/>
        <w:tabs>
          <w:tab w:leader="none" w:pos="560" w:val="left"/>
          <w:tab w:leader="none" w:pos="91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Consolidated Funded Indebtedness at Statement Date</w:t>
      </w:r>
      <w:r>
        <w:rPr>
          <w:sz w:val="20"/>
          <w:szCs w:val="20"/>
          <w:color w:val="auto"/>
        </w:rPr>
        <w:tab/>
      </w:r>
      <w:r>
        <w:rPr>
          <w:rFonts w:ascii="Arial" w:cs="Arial" w:eastAsia="Arial" w:hAnsi="Arial"/>
          <w:sz w:val="16"/>
          <w:szCs w:val="16"/>
          <w:color w:val="auto"/>
        </w:rPr>
        <w:t>$_______</w:t>
      </w:r>
    </w:p>
    <w:p>
      <w:pPr>
        <w:spacing w:after="0" w:line="225" w:lineRule="exact"/>
        <w:rPr>
          <w:sz w:val="20"/>
          <w:szCs w:val="20"/>
          <w:color w:val="auto"/>
        </w:rPr>
      </w:pPr>
    </w:p>
    <w:p>
      <w:pPr>
        <w:ind w:left="580" w:right="1240" w:hanging="571"/>
        <w:spacing w:after="0" w:line="277" w:lineRule="auto"/>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Consolidated EBITDA of the Borrower and its Subsidiaries for Measurement Period ending on above date (“</w:t>
      </w:r>
      <w:r>
        <w:rPr>
          <w:rFonts w:ascii="Arial" w:cs="Arial" w:eastAsia="Arial" w:hAnsi="Arial"/>
          <w:sz w:val="18"/>
          <w:szCs w:val="18"/>
          <w:u w:val="single" w:color="auto"/>
          <w:color w:val="auto"/>
        </w:rPr>
        <w:t>Subject Period</w:t>
      </w:r>
      <w:r>
        <w:rPr>
          <w:rFonts w:ascii="Arial" w:cs="Arial" w:eastAsia="Arial" w:hAnsi="Arial"/>
          <w:sz w:val="18"/>
          <w:szCs w:val="18"/>
          <w:color w:val="auto"/>
        </w:rPr>
        <w:t>”):</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1.</w:t>
            </w:r>
          </w:p>
        </w:tc>
        <w:tc>
          <w:tcPr>
            <w:tcW w:w="7060" w:type="dxa"/>
            <w:vAlign w:val="bottom"/>
          </w:tcPr>
          <w:p>
            <w:pPr>
              <w:ind w:left="180"/>
              <w:spacing w:after="0"/>
              <w:rPr>
                <w:sz w:val="20"/>
                <w:szCs w:val="20"/>
                <w:color w:val="auto"/>
              </w:rPr>
            </w:pPr>
            <w:r>
              <w:rPr>
                <w:rFonts w:ascii="Arial" w:cs="Arial" w:eastAsia="Arial" w:hAnsi="Arial"/>
                <w:sz w:val="18"/>
                <w:szCs w:val="18"/>
                <w:color w:val="auto"/>
              </w:rPr>
              <w:t>Consolidated Net Income for Subject Period:</w:t>
            </w:r>
          </w:p>
        </w:tc>
        <w:tc>
          <w:tcPr>
            <w:tcW w:w="1980" w:type="dxa"/>
            <w:vAlign w:val="bottom"/>
          </w:tcPr>
          <w:p>
            <w:pPr>
              <w:jc w:val="right"/>
              <w:spacing w:after="0"/>
              <w:rPr>
                <w:sz w:val="20"/>
                <w:szCs w:val="20"/>
                <w:color w:val="auto"/>
              </w:rPr>
            </w:pPr>
            <w:r>
              <w:rPr>
                <w:rFonts w:ascii="Arial" w:cs="Arial" w:eastAsia="Arial" w:hAnsi="Arial"/>
                <w:sz w:val="18"/>
                <w:szCs w:val="18"/>
                <w:color w:val="auto"/>
              </w:rPr>
              <w:t>$_______</w:t>
            </w:r>
          </w:p>
        </w:tc>
      </w:tr>
      <w:tr>
        <w:trPr>
          <w:trHeight w:val="432"/>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2.</w:t>
            </w:r>
          </w:p>
        </w:tc>
        <w:tc>
          <w:tcPr>
            <w:tcW w:w="7060" w:type="dxa"/>
            <w:vAlign w:val="bottom"/>
          </w:tcPr>
          <w:p>
            <w:pPr>
              <w:ind w:left="180"/>
              <w:spacing w:after="0"/>
              <w:rPr>
                <w:sz w:val="20"/>
                <w:szCs w:val="20"/>
                <w:color w:val="auto"/>
              </w:rPr>
            </w:pPr>
            <w:r>
              <w:rPr>
                <w:rFonts w:ascii="Arial" w:cs="Arial" w:eastAsia="Arial" w:hAnsi="Arial"/>
                <w:sz w:val="18"/>
                <w:szCs w:val="18"/>
                <w:color w:val="auto"/>
              </w:rPr>
              <w:t>Consolidated Interest Charges for Subject Period:</w:t>
            </w:r>
          </w:p>
        </w:tc>
        <w:tc>
          <w:tcPr>
            <w:tcW w:w="1980" w:type="dxa"/>
            <w:vAlign w:val="bottom"/>
          </w:tcPr>
          <w:p>
            <w:pPr>
              <w:jc w:val="right"/>
              <w:spacing w:after="0"/>
              <w:rPr>
                <w:sz w:val="20"/>
                <w:szCs w:val="20"/>
                <w:color w:val="auto"/>
              </w:rPr>
            </w:pPr>
            <w:r>
              <w:rPr>
                <w:rFonts w:ascii="Arial" w:cs="Arial" w:eastAsia="Arial" w:hAnsi="Arial"/>
                <w:sz w:val="18"/>
                <w:szCs w:val="18"/>
                <w:color w:val="auto"/>
              </w:rPr>
              <w:t>$_______</w:t>
            </w:r>
          </w:p>
        </w:tc>
      </w:tr>
      <w:tr>
        <w:trPr>
          <w:trHeight w:val="432"/>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3.</w:t>
            </w:r>
          </w:p>
        </w:tc>
        <w:tc>
          <w:tcPr>
            <w:tcW w:w="7060" w:type="dxa"/>
            <w:vAlign w:val="bottom"/>
          </w:tcPr>
          <w:p>
            <w:pPr>
              <w:ind w:left="180"/>
              <w:spacing w:after="0"/>
              <w:rPr>
                <w:sz w:val="20"/>
                <w:szCs w:val="20"/>
                <w:color w:val="auto"/>
              </w:rPr>
            </w:pPr>
            <w:r>
              <w:rPr>
                <w:rFonts w:ascii="Arial" w:cs="Arial" w:eastAsia="Arial" w:hAnsi="Arial"/>
                <w:sz w:val="18"/>
                <w:szCs w:val="18"/>
                <w:color w:val="auto"/>
              </w:rPr>
              <w:t>provision for federal, state, local and foreign income taxes for Subject Period:</w:t>
            </w:r>
          </w:p>
        </w:tc>
        <w:tc>
          <w:tcPr>
            <w:tcW w:w="1980" w:type="dxa"/>
            <w:vAlign w:val="bottom"/>
          </w:tcPr>
          <w:p>
            <w:pPr>
              <w:jc w:val="right"/>
              <w:spacing w:after="0"/>
              <w:rPr>
                <w:sz w:val="20"/>
                <w:szCs w:val="20"/>
                <w:color w:val="auto"/>
              </w:rPr>
            </w:pPr>
            <w:r>
              <w:rPr>
                <w:rFonts w:ascii="Arial" w:cs="Arial" w:eastAsia="Arial" w:hAnsi="Arial"/>
                <w:sz w:val="18"/>
                <w:szCs w:val="18"/>
                <w:color w:val="auto"/>
              </w:rPr>
              <w:t>$_______</w:t>
            </w:r>
          </w:p>
        </w:tc>
      </w:tr>
      <w:tr>
        <w:trPr>
          <w:trHeight w:val="432"/>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4.</w:t>
            </w:r>
          </w:p>
        </w:tc>
        <w:tc>
          <w:tcPr>
            <w:tcW w:w="7060" w:type="dxa"/>
            <w:vAlign w:val="bottom"/>
          </w:tcPr>
          <w:p>
            <w:pPr>
              <w:ind w:left="180"/>
              <w:spacing w:after="0"/>
              <w:rPr>
                <w:sz w:val="20"/>
                <w:szCs w:val="20"/>
                <w:color w:val="auto"/>
              </w:rPr>
            </w:pPr>
            <w:r>
              <w:rPr>
                <w:rFonts w:ascii="Arial" w:cs="Arial" w:eastAsia="Arial" w:hAnsi="Arial"/>
                <w:sz w:val="18"/>
                <w:szCs w:val="18"/>
                <w:color w:val="auto"/>
              </w:rPr>
              <w:t>depreciation and amortization expenses for Subject Period:</w:t>
            </w:r>
          </w:p>
        </w:tc>
        <w:tc>
          <w:tcPr>
            <w:tcW w:w="1980" w:type="dxa"/>
            <w:vAlign w:val="bottom"/>
          </w:tcPr>
          <w:p>
            <w:pPr>
              <w:jc w:val="right"/>
              <w:spacing w:after="0"/>
              <w:rPr>
                <w:sz w:val="20"/>
                <w:szCs w:val="20"/>
                <w:color w:val="auto"/>
              </w:rPr>
            </w:pPr>
            <w:r>
              <w:rPr>
                <w:rFonts w:ascii="Arial" w:cs="Arial" w:eastAsia="Arial" w:hAnsi="Arial"/>
                <w:sz w:val="18"/>
                <w:szCs w:val="18"/>
                <w:color w:val="auto"/>
              </w:rPr>
              <w:t>$_______</w:t>
            </w:r>
          </w:p>
        </w:tc>
      </w:tr>
    </w:tbl>
    <w:p>
      <w:pPr>
        <w:spacing w:after="0" w:line="202" w:lineRule="exact"/>
        <w:rPr>
          <w:sz w:val="20"/>
          <w:szCs w:val="20"/>
          <w:color w:val="auto"/>
        </w:rPr>
      </w:pPr>
    </w:p>
    <w:p>
      <w:pPr>
        <w:ind w:left="1060" w:hanging="484"/>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non-cash non-recurring charges and losses (excluding any such non-cash charges or losses to the extent</w:t>
      </w:r>
    </w:p>
    <w:p>
      <w:pPr>
        <w:spacing w:after="0" w:line="23" w:lineRule="exact"/>
        <w:rPr>
          <w:rFonts w:ascii="Arial" w:cs="Arial" w:eastAsia="Arial" w:hAnsi="Arial"/>
          <w:sz w:val="18"/>
          <w:szCs w:val="18"/>
          <w:color w:val="auto"/>
        </w:rPr>
      </w:pPr>
    </w:p>
    <w:p>
      <w:pPr>
        <w:jc w:val="both"/>
        <w:ind w:left="1060" w:right="1240" w:firstLine="2"/>
        <w:spacing w:after="0" w:line="281" w:lineRule="auto"/>
        <w:tabs>
          <w:tab w:leader="none" w:pos="1376"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there were cash charges with respect to such charges and losses in past accounting periods or (B) there is a reasonable expectation that there will be cash charges with respect to such charges and losses in</w:t>
      </w:r>
    </w:p>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rPr>
              <w:t>future accounting periods) for the Subject Period:</w:t>
            </w:r>
          </w:p>
        </w:tc>
        <w:tc>
          <w:tcPr>
            <w:tcW w:w="2480" w:type="dxa"/>
            <w:vAlign w:val="bottom"/>
          </w:tcPr>
          <w:p>
            <w:pPr>
              <w:jc w:val="right"/>
              <w:spacing w:after="0"/>
              <w:rPr>
                <w:sz w:val="20"/>
                <w:szCs w:val="20"/>
                <w:color w:val="auto"/>
              </w:rPr>
            </w:pPr>
            <w:r>
              <w:rPr>
                <w:rFonts w:ascii="Arial" w:cs="Arial" w:eastAsia="Arial" w:hAnsi="Arial"/>
                <w:sz w:val="18"/>
                <w:szCs w:val="18"/>
                <w:color w:val="auto"/>
              </w:rPr>
              <w:t>$_______</w:t>
            </w:r>
          </w:p>
        </w:tc>
      </w:tr>
      <w:tr>
        <w:trPr>
          <w:trHeight w:val="418"/>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6.</w:t>
            </w:r>
          </w:p>
        </w:tc>
        <w:tc>
          <w:tcPr>
            <w:tcW w:w="6560" w:type="dxa"/>
            <w:vAlign w:val="bottom"/>
          </w:tcPr>
          <w:p>
            <w:pPr>
              <w:ind w:left="180"/>
              <w:spacing w:after="0"/>
              <w:rPr>
                <w:sz w:val="20"/>
                <w:szCs w:val="20"/>
                <w:color w:val="auto"/>
              </w:rPr>
            </w:pPr>
            <w:r>
              <w:rPr>
                <w:rFonts w:ascii="Arial" w:cs="Arial" w:eastAsia="Arial" w:hAnsi="Arial"/>
                <w:sz w:val="18"/>
                <w:szCs w:val="18"/>
                <w:color w:val="auto"/>
              </w:rPr>
              <w:t>non-cash stock-based compensation expense for Subject Period:</w:t>
            </w:r>
          </w:p>
        </w:tc>
        <w:tc>
          <w:tcPr>
            <w:tcW w:w="2480" w:type="dxa"/>
            <w:vAlign w:val="bottom"/>
          </w:tcPr>
          <w:p>
            <w:pPr>
              <w:jc w:val="right"/>
              <w:spacing w:after="0"/>
              <w:rPr>
                <w:sz w:val="20"/>
                <w:szCs w:val="20"/>
                <w:color w:val="auto"/>
              </w:rPr>
            </w:pPr>
            <w:r>
              <w:rPr>
                <w:rFonts w:ascii="Arial" w:cs="Arial" w:eastAsia="Arial" w:hAnsi="Arial"/>
                <w:sz w:val="18"/>
                <w:szCs w:val="18"/>
                <w:color w:val="auto"/>
              </w:rPr>
              <w:t>$_______</w:t>
            </w:r>
          </w:p>
        </w:tc>
      </w:tr>
    </w:tbl>
    <w:p>
      <w:pPr>
        <w:spacing w:after="0" w:line="202" w:lineRule="exact"/>
        <w:rPr>
          <w:sz w:val="20"/>
          <w:szCs w:val="20"/>
          <w:color w:val="auto"/>
        </w:rPr>
      </w:pPr>
    </w:p>
    <w:p>
      <w:pPr>
        <w:ind w:left="1060" w:hanging="484"/>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non-recurring or unusual expenses, losses, write-offs or charges for Subject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w:t>
      </w:r>
    </w:p>
    <w:p>
      <w:pPr>
        <w:sectPr>
          <w:pgSz w:w="11900" w:h="16838" w:orient="portrait"/>
          <w:cols w:equalWidth="0" w:num="1">
            <w:col w:w="9920"/>
          </w:cols>
          <w:pgMar w:left="980" w:top="115" w:right="999" w:bottom="1440" w:gutter="0" w:footer="0" w:header="0"/>
        </w:sectPr>
      </w:pPr>
    </w:p>
    <w:p>
      <w:pPr>
        <w:spacing w:after="0" w:line="23" w:lineRule="exact"/>
        <w:rPr>
          <w:sz w:val="20"/>
          <w:szCs w:val="20"/>
          <w:color w:val="auto"/>
        </w:rPr>
      </w:pPr>
    </w:p>
    <w:p>
      <w:pPr>
        <w:jc w:val="both"/>
        <w:ind w:left="1060"/>
        <w:spacing w:after="0" w:line="255" w:lineRule="auto"/>
        <w:rPr>
          <w:sz w:val="20"/>
          <w:szCs w:val="20"/>
          <w:color w:val="auto"/>
        </w:rPr>
      </w:pPr>
      <w:r>
        <w:rPr>
          <w:rFonts w:ascii="Arial" w:cs="Arial" w:eastAsia="Arial" w:hAnsi="Arial"/>
          <w:sz w:val="18"/>
          <w:szCs w:val="18"/>
          <w:color w:val="auto"/>
        </w:rPr>
        <w:t>aggregate amount thereof at no time shall exceed ten percent (10%) of the Consolidated EBITDA (before giving effect to such expenses, losses, write-offs or charges) during any Subject Period, or such other amount as agreed to by the Administrative Agent in writing: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$_______</w:t>
      </w:r>
    </w:p>
    <w:p>
      <w:pPr>
        <w:spacing w:after="0" w:line="248" w:lineRule="exact"/>
        <w:rPr>
          <w:sz w:val="20"/>
          <w:szCs w:val="20"/>
          <w:color w:val="auto"/>
        </w:rPr>
      </w:pPr>
    </w:p>
    <w:p>
      <w:pPr>
        <w:sectPr>
          <w:pgSz w:w="11900" w:h="16838" w:orient="portrait"/>
          <w:cols w:equalWidth="0" w:num="2">
            <w:col w:w="8680" w:space="520"/>
            <w:col w:w="720"/>
          </w:cols>
          <w:pgMar w:left="980" w:top="115" w:right="999" w:bottom="1440" w:gutter="0" w:footer="0" w:header="0"/>
          <w:type w:val="continuous"/>
        </w:sectPr>
      </w:pPr>
    </w:p>
    <w:p>
      <w:pPr>
        <w:ind w:left="1060" w:hanging="484"/>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non-cash non-recurring gains (excluding any such non-cash gains to the extent (A) there were cash gains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0" w:type="dxa"/>
            <w:vAlign w:val="bottom"/>
            <w:gridSpan w:val="2"/>
          </w:tcPr>
          <w:p>
            <w:pPr>
              <w:ind w:left="180"/>
              <w:spacing w:after="0"/>
              <w:rPr>
                <w:sz w:val="20"/>
                <w:szCs w:val="20"/>
                <w:color w:val="auto"/>
              </w:rPr>
            </w:pPr>
            <w:r>
              <w:rPr>
                <w:rFonts w:ascii="Arial" w:cs="Arial" w:eastAsia="Arial" w:hAnsi="Arial"/>
                <w:sz w:val="18"/>
                <w:szCs w:val="18"/>
                <w:color w:val="auto"/>
                <w:w w:val="94"/>
              </w:rPr>
              <w:t>with respect to such gains in past accounting periods or (B) there is a reasonable expectation that there</w:t>
            </w:r>
          </w:p>
        </w:tc>
        <w:tc>
          <w:tcPr>
            <w:tcW w:w="1040" w:type="dxa"/>
            <w:vAlign w:val="bottom"/>
          </w:tcPr>
          <w:p>
            <w:pPr>
              <w:spacing w:after="0"/>
              <w:rPr>
                <w:sz w:val="17"/>
                <w:szCs w:val="17"/>
                <w:color w:val="auto"/>
              </w:rPr>
            </w:pPr>
          </w:p>
        </w:tc>
      </w:tr>
      <w:tr>
        <w:trPr>
          <w:trHeight w:val="230"/>
        </w:trPr>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0" w:type="dxa"/>
            <w:vAlign w:val="bottom"/>
            <w:gridSpan w:val="2"/>
          </w:tcPr>
          <w:p>
            <w:pPr>
              <w:ind w:left="180"/>
              <w:spacing w:after="0"/>
              <w:rPr>
                <w:sz w:val="20"/>
                <w:szCs w:val="20"/>
                <w:color w:val="auto"/>
              </w:rPr>
            </w:pPr>
            <w:r>
              <w:rPr>
                <w:rFonts w:ascii="Arial" w:cs="Arial" w:eastAsia="Arial" w:hAnsi="Arial"/>
                <w:sz w:val="18"/>
                <w:szCs w:val="18"/>
                <w:color w:val="auto"/>
              </w:rPr>
              <w:t>will be cash gains with respect to such gains in future accounting periods) for Subject Period:</w:t>
            </w:r>
          </w:p>
        </w:tc>
        <w:tc>
          <w:tcPr>
            <w:tcW w:w="1040" w:type="dxa"/>
            <w:vAlign w:val="bottom"/>
          </w:tcPr>
          <w:p>
            <w:pPr>
              <w:jc w:val="right"/>
              <w:spacing w:after="0"/>
              <w:rPr>
                <w:sz w:val="20"/>
                <w:szCs w:val="20"/>
                <w:color w:val="auto"/>
              </w:rPr>
            </w:pPr>
            <w:r>
              <w:rPr>
                <w:rFonts w:ascii="Arial" w:cs="Arial" w:eastAsia="Arial" w:hAnsi="Arial"/>
                <w:sz w:val="18"/>
                <w:szCs w:val="18"/>
                <w:color w:val="auto"/>
              </w:rPr>
              <w:t>$_______</w:t>
            </w:r>
          </w:p>
        </w:tc>
      </w:tr>
      <w:tr>
        <w:trPr>
          <w:trHeight w:val="432"/>
        </w:trPr>
        <w:tc>
          <w:tcPr>
            <w:tcW w:w="380" w:type="dxa"/>
            <w:vAlign w:val="bottom"/>
          </w:tcPr>
          <w:p>
            <w:pPr>
              <w:spacing w:after="0"/>
              <w:rPr>
                <w:sz w:val="24"/>
                <w:szCs w:val="24"/>
                <w:color w:val="auto"/>
              </w:rPr>
            </w:pPr>
          </w:p>
        </w:tc>
        <w:tc>
          <w:tcPr>
            <w:tcW w:w="500" w:type="dxa"/>
            <w:vAlign w:val="bottom"/>
          </w:tcPr>
          <w:p>
            <w:pPr>
              <w:ind w:left="200"/>
              <w:spacing w:after="0"/>
              <w:rPr>
                <w:sz w:val="20"/>
                <w:szCs w:val="20"/>
                <w:color w:val="auto"/>
              </w:rPr>
            </w:pPr>
            <w:r>
              <w:rPr>
                <w:rFonts w:ascii="Arial" w:cs="Arial" w:eastAsia="Arial" w:hAnsi="Arial"/>
                <w:sz w:val="18"/>
                <w:szCs w:val="18"/>
                <w:color w:val="auto"/>
              </w:rPr>
              <w:t>9.</w:t>
            </w:r>
          </w:p>
        </w:tc>
        <w:tc>
          <w:tcPr>
            <w:tcW w:w="8000" w:type="dxa"/>
            <w:vAlign w:val="bottom"/>
            <w:gridSpan w:val="2"/>
          </w:tcPr>
          <w:p>
            <w:pPr>
              <w:ind w:left="180"/>
              <w:spacing w:after="0"/>
              <w:rPr>
                <w:sz w:val="20"/>
                <w:szCs w:val="20"/>
                <w:color w:val="auto"/>
              </w:rPr>
            </w:pPr>
            <w:r>
              <w:rPr>
                <w:rFonts w:ascii="Arial" w:cs="Arial" w:eastAsia="Arial" w:hAnsi="Arial"/>
                <w:sz w:val="18"/>
                <w:szCs w:val="18"/>
                <w:color w:val="auto"/>
              </w:rPr>
              <w:t>Consolidated EBITDA (Lines II.A.1 + 2 + 3 + 4 + 5 + 6 + 7 - 8):</w:t>
            </w:r>
          </w:p>
        </w:tc>
        <w:tc>
          <w:tcPr>
            <w:tcW w:w="1040" w:type="dxa"/>
            <w:vAlign w:val="bottom"/>
          </w:tcPr>
          <w:p>
            <w:pPr>
              <w:jc w:val="right"/>
              <w:spacing w:after="0"/>
              <w:rPr>
                <w:sz w:val="20"/>
                <w:szCs w:val="20"/>
                <w:color w:val="auto"/>
              </w:rPr>
            </w:pPr>
            <w:r>
              <w:rPr>
                <w:rFonts w:ascii="Arial" w:cs="Arial" w:eastAsia="Arial" w:hAnsi="Arial"/>
                <w:sz w:val="18"/>
                <w:szCs w:val="18"/>
                <w:color w:val="auto"/>
              </w:rPr>
              <w:t>$_______</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C.</w:t>
            </w:r>
          </w:p>
        </w:tc>
        <w:tc>
          <w:tcPr>
            <w:tcW w:w="8500" w:type="dxa"/>
            <w:vAlign w:val="bottom"/>
            <w:gridSpan w:val="3"/>
          </w:tcPr>
          <w:p>
            <w:pPr>
              <w:ind w:left="200"/>
              <w:spacing w:after="0"/>
              <w:rPr>
                <w:sz w:val="20"/>
                <w:szCs w:val="20"/>
                <w:color w:val="auto"/>
              </w:rPr>
            </w:pPr>
            <w:r>
              <w:rPr>
                <w:rFonts w:ascii="Arial" w:cs="Arial" w:eastAsia="Arial" w:hAnsi="Arial"/>
                <w:sz w:val="18"/>
                <w:szCs w:val="18"/>
                <w:color w:val="auto"/>
              </w:rPr>
              <w:t>Consolidated Leverage Ratio (Line II.A ÷ Line II.B.9):</w:t>
            </w:r>
          </w:p>
        </w:tc>
        <w:tc>
          <w:tcPr>
            <w:tcW w:w="1040" w:type="dxa"/>
            <w:vAlign w:val="bottom"/>
          </w:tcPr>
          <w:p>
            <w:pPr>
              <w:jc w:val="right"/>
              <w:spacing w:after="0"/>
              <w:rPr>
                <w:sz w:val="20"/>
                <w:szCs w:val="20"/>
                <w:color w:val="auto"/>
              </w:rPr>
            </w:pPr>
            <w:r>
              <w:rPr>
                <w:rFonts w:ascii="Arial" w:cs="Arial" w:eastAsia="Arial" w:hAnsi="Arial"/>
                <w:sz w:val="18"/>
                <w:szCs w:val="18"/>
                <w:color w:val="auto"/>
              </w:rPr>
              <w:t>____ to 1.0</w:t>
            </w:r>
          </w:p>
        </w:tc>
      </w:tr>
      <w:tr>
        <w:trPr>
          <w:trHeight w:val="432"/>
        </w:trPr>
        <w:tc>
          <w:tcPr>
            <w:tcW w:w="380" w:type="dxa"/>
            <w:vAlign w:val="bottom"/>
          </w:tcPr>
          <w:p>
            <w:pPr>
              <w:spacing w:after="0"/>
              <w:rPr>
                <w:sz w:val="24"/>
                <w:szCs w:val="24"/>
                <w:color w:val="auto"/>
              </w:rPr>
            </w:pPr>
          </w:p>
        </w:tc>
        <w:tc>
          <w:tcPr>
            <w:tcW w:w="2260" w:type="dxa"/>
            <w:vAlign w:val="bottom"/>
            <w:gridSpan w:val="2"/>
          </w:tcPr>
          <w:p>
            <w:pPr>
              <w:ind w:left="200"/>
              <w:spacing w:after="0"/>
              <w:rPr>
                <w:sz w:val="20"/>
                <w:szCs w:val="20"/>
                <w:color w:val="auto"/>
              </w:rPr>
            </w:pPr>
            <w:r>
              <w:rPr>
                <w:rFonts w:ascii="Arial" w:cs="Arial" w:eastAsia="Arial" w:hAnsi="Arial"/>
                <w:sz w:val="18"/>
                <w:szCs w:val="18"/>
                <w:i w:val="1"/>
                <w:iCs w:val="1"/>
                <w:color w:val="auto"/>
              </w:rPr>
              <w:t>Maximum permitted:</w:t>
            </w:r>
          </w:p>
        </w:tc>
        <w:tc>
          <w:tcPr>
            <w:tcW w:w="6240" w:type="dxa"/>
            <w:vAlign w:val="bottom"/>
          </w:tcPr>
          <w:p>
            <w:pPr>
              <w:jc w:val="right"/>
              <w:ind w:right="5110"/>
              <w:spacing w:after="0"/>
              <w:rPr>
                <w:sz w:val="20"/>
                <w:szCs w:val="20"/>
                <w:color w:val="auto"/>
              </w:rPr>
            </w:pPr>
            <w:r>
              <w:rPr>
                <w:rFonts w:ascii="Arial" w:cs="Arial" w:eastAsia="Arial" w:hAnsi="Arial"/>
                <w:sz w:val="18"/>
                <w:szCs w:val="18"/>
                <w:i w:val="1"/>
                <w:iCs w:val="1"/>
                <w:color w:val="auto"/>
              </w:rPr>
              <w:t>2.5:1.0</w:t>
            </w:r>
          </w:p>
        </w:tc>
        <w:tc>
          <w:tcPr>
            <w:tcW w:w="1040" w:type="dxa"/>
            <w:vAlign w:val="bottom"/>
          </w:tcPr>
          <w:p>
            <w:pPr>
              <w:spacing w:after="0"/>
              <w:rPr>
                <w:sz w:val="24"/>
                <w:szCs w:val="24"/>
                <w:color w:val="auto"/>
              </w:rPr>
            </w:pPr>
          </w:p>
        </w:tc>
      </w:tr>
      <w:tr>
        <w:trPr>
          <w:trHeight w:val="1938"/>
        </w:trPr>
        <w:tc>
          <w:tcPr>
            <w:tcW w:w="3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6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5" w:right="999" w:bottom="1440" w:gutter="0" w:footer="0" w:header="0"/>
          <w:type w:val="continuous"/>
        </w:sectPr>
      </w:pPr>
    </w:p>
    <w:bookmarkStart w:id="31" w:name="page32"/>
    <w:bookmarkEnd w:id="31"/>
    <w:p>
      <w:pPr>
        <w:jc w:val="center"/>
        <w:ind w:right="19"/>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Material Contracts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[TO BE COMPLETED BY BORROWER]</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494665</wp:posOffset>
            </wp:positionV>
            <wp:extent cx="62922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1"/>
      <w:numFmt w:val="decimal"/>
      <w:start w:val="104"/>
    </w:lvl>
  </w:abstractNum>
  <w:abstractNum w:abstractNumId="2">
    <w:nsid w:val="2D1D5AE9"/>
    <w:multiLevelType w:val="hybridMultilevel"/>
    <w:lvl w:ilvl="0">
      <w:lvlJc w:val="left"/>
      <w:lvlText w:val="%1."/>
      <w:numFmt w:val="decimal"/>
      <w:start w:val="2"/>
    </w:lvl>
    <w:lvl w:ilvl="1">
      <w:lvlJc w:val="left"/>
      <w:lvlText w:val="(%2)"/>
      <w:numFmt w:val="lowerLetter"/>
      <w:start w:val="1"/>
    </w:lvl>
  </w:abstractNum>
  <w:abstractNum w:abstractNumId="3">
    <w:nsid w:val="6763845E"/>
    <w:multiLevelType w:val="hybridMultilevel"/>
    <w:lvl w:ilvl="0">
      <w:lvlJc w:val="left"/>
      <w:lvlText w:val="%1"/>
      <w:numFmt w:val="lowerRoman"/>
      <w:start w:val="1"/>
    </w:lvl>
    <w:lvl w:ilvl="1">
      <w:lvlJc w:val="left"/>
      <w:lvlText w:val="(%2)"/>
      <w:numFmt w:val="upperLetter"/>
      <w:start w:val="1"/>
    </w:lvl>
  </w:abstractNum>
  <w:abstractNum w:abstractNumId="4">
    <w:nsid w:val="75A2A8D4"/>
    <w:multiLevelType w:val="hybridMultilevel"/>
    <w:lvl w:ilvl="0">
      <w:lvlJc w:val="left"/>
      <w:lvlText w:val="(%1)"/>
      <w:numFmt w:val="lowerRoman"/>
      <w:start w:val="10"/>
    </w:lvl>
    <w:lvl w:ilvl="1">
      <w:lvlJc w:val="left"/>
      <w:lvlText w:val="(%2)"/>
      <w:numFmt w:val="upperLetter"/>
      <w:start w:val="2"/>
    </w:lvl>
  </w:abstractNum>
  <w:abstractNum w:abstractNumId="5">
    <w:nsid w:val="8EDBDAB"/>
    <w:multiLevelType w:val="hybridMultilevel"/>
    <w:lvl w:ilvl="0">
      <w:lvlJc w:val="left"/>
      <w:lvlText w:val="(%1)"/>
      <w:numFmt w:val="lowerLetter"/>
      <w:start w:val="2"/>
    </w:lvl>
  </w:abstractNum>
  <w:abstractNum w:abstractNumId="6">
    <w:nsid w:val="79838CB2"/>
    <w:multiLevelType w:val="hybridMultilevel"/>
    <w:lvl w:ilvl="0">
      <w:lvlJc w:val="left"/>
      <w:lvlText w:val="(%1)"/>
      <w:numFmt w:val="lowerRoman"/>
      <w:start w:val="1"/>
    </w:lvl>
  </w:abstractNum>
  <w:abstractNum w:abstractNumId="7">
    <w:nsid w:val="4353D0CD"/>
    <w:multiLevelType w:val="hybridMultilevel"/>
    <w:lvl w:ilvl="0">
      <w:lvlJc w:val="left"/>
      <w:lvlText w:val="(%1)"/>
      <w:numFmt w:val="lowerLetter"/>
      <w:start w:val="3"/>
    </w:lvl>
  </w:abstractNum>
  <w:abstractNum w:abstractNumId="8">
    <w:nsid w:val="B03E0C6"/>
    <w:multiLevelType w:val="hybridMultilevel"/>
    <w:lvl w:ilvl="0">
      <w:lvlJc w:val="left"/>
      <w:lvlText w:val="(%1)"/>
      <w:numFmt w:val="lowerLetter"/>
      <w:start w:val="4"/>
    </w:lvl>
  </w:abstractNum>
  <w:abstractNum w:abstractNumId="9">
    <w:nsid w:val="189A769B"/>
    <w:multiLevelType w:val="hybridMultilevel"/>
    <w:lvl w:ilvl="0">
      <w:lvlJc w:val="left"/>
      <w:lvlText w:val="(%1)"/>
      <w:numFmt w:val="lowerLetter"/>
      <w:start w:val="1"/>
    </w:lvl>
  </w:abstractNum>
  <w:abstractNum w:abstractNumId="10">
    <w:nsid w:val="54E49EB4"/>
    <w:multiLevelType w:val="hybridMultilevel"/>
    <w:lvl w:ilvl="0">
      <w:lvlJc w:val="left"/>
      <w:lvlText w:val="(%1)"/>
      <w:numFmt w:val="lowerLetter"/>
      <w:start w:val="2"/>
    </w:lvl>
  </w:abstractNum>
  <w:abstractNum w:abstractNumId="11">
    <w:nsid w:val="71F32454"/>
    <w:multiLevelType w:val="hybridMultilevel"/>
    <w:lvl w:ilvl="0">
      <w:lvlJc w:val="left"/>
      <w:lvlText w:val="(%1)"/>
      <w:numFmt w:val="lowerLetter"/>
      <w:start w:val="1"/>
    </w:lvl>
  </w:abstractNum>
  <w:abstractNum w:abstractNumId="12">
    <w:nsid w:val="2CA88611"/>
    <w:multiLevelType w:val="hybridMultilevel"/>
    <w:lvl w:ilvl="0">
      <w:lvlJc w:val="left"/>
      <w:lvlText w:val="(%1)"/>
      <w:numFmt w:val="lowerLetter"/>
      <w:start w:val="5"/>
    </w:lvl>
  </w:abstractNum>
  <w:abstractNum w:abstractNumId="13">
    <w:nsid w:val="836C40E"/>
    <w:multiLevelType w:val="hybridMultilevel"/>
    <w:lvl w:ilvl="0">
      <w:lvlJc w:val="left"/>
      <w:lvlText w:val="(%1)"/>
      <w:numFmt w:val="lowerLetter"/>
      <w:start w:val="1"/>
    </w:lvl>
  </w:abstractNum>
  <w:abstractNum w:abstractNumId="14">
    <w:nsid w:val="2901D82"/>
    <w:multiLevelType w:val="hybridMultilevel"/>
    <w:lvl w:ilvl="0">
      <w:lvlJc w:val="left"/>
      <w:lvlText w:val="(%1)"/>
      <w:numFmt w:val="lowerRoman"/>
      <w:start w:val="1"/>
    </w:lvl>
  </w:abstractNum>
  <w:abstractNum w:abstractNumId="15">
    <w:nsid w:val="3A95F874"/>
    <w:multiLevelType w:val="hybridMultilevel"/>
    <w:lvl w:ilvl="0">
      <w:lvlJc w:val="left"/>
      <w:lvlText w:val="(%1)"/>
      <w:numFmt w:val="lowerLetter"/>
      <w:start w:val="24"/>
    </w:lvl>
  </w:abstractNum>
  <w:abstractNum w:abstractNumId="16">
    <w:nsid w:val="8138641"/>
    <w:multiLevelType w:val="hybridMultilevel"/>
    <w:lvl w:ilvl="0">
      <w:lvlJc w:val="left"/>
      <w:lvlText w:val="(%1)"/>
      <w:numFmt w:val="lowerRoman"/>
      <w:start w:val="10"/>
    </w:lvl>
  </w:abstractNum>
  <w:abstractNum w:abstractNumId="17">
    <w:nsid w:val="1E7FF521"/>
    <w:multiLevelType w:val="hybridMultilevel"/>
    <w:lvl w:ilvl="0">
      <w:lvlJc w:val="left"/>
      <w:lvlText w:val="(%1)"/>
      <w:numFmt w:val="lowerLetter"/>
      <w:start w:val="2"/>
    </w:lvl>
  </w:abstractNum>
  <w:abstractNum w:abstractNumId="18">
    <w:nsid w:val="7C3DBD3D"/>
    <w:multiLevelType w:val="hybridMultilevel"/>
    <w:lvl w:ilvl="0">
      <w:lvlJc w:val="left"/>
      <w:lvlText w:val="(%1)"/>
      <w:numFmt w:val="lowerLetter"/>
      <w:start w:val="3"/>
    </w:lvl>
  </w:abstractNum>
  <w:abstractNum w:abstractNumId="19">
    <w:nsid w:val="737B8DDC"/>
    <w:multiLevelType w:val="hybridMultilevel"/>
    <w:lvl w:ilvl="0">
      <w:lvlJc w:val="left"/>
      <w:lvlText w:val="(%1)"/>
      <w:numFmt w:val="lowerLetter"/>
      <w:start w:val="6"/>
    </w:lvl>
  </w:abstractNum>
  <w:abstractNum w:abstractNumId="20">
    <w:nsid w:val="6CEAF087"/>
    <w:multiLevelType w:val="hybridMultilevel"/>
    <w:lvl w:ilvl="0">
      <w:lvlJc w:val="left"/>
      <w:lvlText w:val="(%1)"/>
      <w:numFmt w:val="lowerLetter"/>
      <w:start w:val="7"/>
    </w:lvl>
  </w:abstractNum>
  <w:abstractNum w:abstractNumId="21">
    <w:nsid w:val="22221A70"/>
    <w:multiLevelType w:val="hybridMultilevel"/>
    <w:lvl w:ilvl="0">
      <w:lvlJc w:val="left"/>
      <w:lvlText w:val="(%1)"/>
      <w:numFmt w:val="lowerLetter"/>
      <w:start w:val="2"/>
    </w:lvl>
  </w:abstractNum>
  <w:abstractNum w:abstractNumId="22">
    <w:nsid w:val="4516DDE9"/>
    <w:multiLevelType w:val="hybridMultilevel"/>
    <w:lvl w:ilvl="0">
      <w:lvlJc w:val="left"/>
      <w:lvlText w:val="%1."/>
      <w:numFmt w:val="decimal"/>
      <w:start w:val="3"/>
    </w:lvl>
  </w:abstractNum>
  <w:abstractNum w:abstractNumId="23">
    <w:nsid w:val="3006C83E"/>
    <w:multiLevelType w:val="hybridMultilevel"/>
    <w:lvl w:ilvl="0">
      <w:lvlJc w:val="left"/>
      <w:lvlText w:val="%1."/>
      <w:numFmt w:val="decimal"/>
      <w:start w:val="4"/>
    </w:lvl>
    <w:lvl w:ilvl="1">
      <w:lvlJc w:val="left"/>
      <w:lvlText w:val="(%2)"/>
      <w:numFmt w:val="lowerLetter"/>
      <w:start w:val="1"/>
    </w:lvl>
  </w:abstractNum>
  <w:abstractNum w:abstractNumId="24">
    <w:nsid w:val="614FD4A1"/>
    <w:multiLevelType w:val="hybridMultilevel"/>
    <w:lvl w:ilvl="0">
      <w:lvlJc w:val="left"/>
      <w:lvlText w:val="%1."/>
      <w:numFmt w:val="decimal"/>
      <w:start w:val="12"/>
    </w:lvl>
  </w:abstractNum>
  <w:abstractNum w:abstractNumId="25">
    <w:nsid w:val="419AC241"/>
    <w:multiLevelType w:val="hybridMultilevel"/>
    <w:lvl w:ilvl="0">
      <w:lvlJc w:val="left"/>
      <w:lvlText w:val="%1."/>
      <w:numFmt w:val="decimal"/>
      <w:start w:val="1"/>
    </w:lvl>
  </w:abstractNum>
  <w:abstractNum w:abstractNumId="26">
    <w:nsid w:val="5577F8E1"/>
    <w:multiLevelType w:val="hybridMultilevel"/>
    <w:lvl w:ilvl="0">
      <w:lvlJc w:val="left"/>
      <w:lvlText w:val="%1."/>
      <w:numFmt w:val="decimal"/>
      <w:start w:val="1"/>
    </w:lvl>
  </w:abstractNum>
  <w:abstractNum w:abstractNumId="27">
    <w:nsid w:val="440BADFC"/>
    <w:multiLevelType w:val="hybridMultilevel"/>
    <w:lvl w:ilvl="0">
      <w:lvlJc w:val="left"/>
      <w:lvlText w:val="1"/>
      <w:numFmt w:val="bullet"/>
      <w:start w:val="1"/>
    </w:lvl>
  </w:abstractNum>
  <w:abstractNum w:abstractNumId="28">
    <w:nsid w:val="5072367"/>
    <w:multiLevelType w:val="hybridMultilevel"/>
    <w:lvl w:ilvl="0">
      <w:lvlJc w:val="left"/>
      <w:lvlText w:val="%1."/>
      <w:numFmt w:val="decimal"/>
      <w:start w:val="4"/>
    </w:lvl>
  </w:abstractNum>
  <w:abstractNum w:abstractNumId="29">
    <w:nsid w:val="3804823E"/>
    <w:multiLevelType w:val="hybridMultilevel"/>
    <w:lvl w:ilvl="0">
      <w:lvlJc w:val="left"/>
      <w:lvlText w:val="%1."/>
      <w:numFmt w:val="upperLetter"/>
      <w:start w:val="9"/>
    </w:lvl>
  </w:abstractNum>
  <w:abstractNum w:abstractNumId="30">
    <w:nsid w:val="77465F01"/>
    <w:multiLevelType w:val="hybridMultilevel"/>
    <w:lvl w:ilvl="0">
      <w:lvlJc w:val="left"/>
      <w:lvlText w:val="%1."/>
      <w:numFmt w:val="upperLetter"/>
      <w:start w:val="35"/>
    </w:lvl>
  </w:abstractNum>
  <w:abstractNum w:abstractNumId="31">
    <w:nsid w:val="7724C67E"/>
    <w:multiLevelType w:val="hybridMultilevel"/>
    <w:lvl w:ilvl="0">
      <w:lvlJc w:val="left"/>
      <w:lvlText w:val="%1."/>
      <w:numFmt w:val="upperLetter"/>
      <w:start w:val="2"/>
    </w:lvl>
  </w:abstractNum>
  <w:abstractNum w:abstractNumId="32">
    <w:nsid w:val="5C482A97"/>
    <w:multiLevelType w:val="hybridMultilevel"/>
    <w:lvl w:ilvl="0">
      <w:lvlJc w:val="left"/>
      <w:lvlText w:val="%1."/>
      <w:numFmt w:val="decimal"/>
      <w:start w:val="5"/>
    </w:lvl>
  </w:abstractNum>
  <w:abstractNum w:abstractNumId="33">
    <w:nsid w:val="2463B9EA"/>
    <w:multiLevelType w:val="hybridMultilevel"/>
    <w:lvl w:ilvl="0">
      <w:lvlJc w:val="left"/>
      <w:lvlText w:val="%1."/>
      <w:numFmt w:val="decimal"/>
      <w:start w:val="7"/>
    </w:lvl>
  </w:abstractNum>
  <w:abstractNum w:abstractNumId="34">
    <w:nsid w:val="5E884ADC"/>
    <w:multiLevelType w:val="hybridMultilevel"/>
    <w:lvl w:ilvl="0">
      <w:lvlJc w:val="left"/>
      <w:lvlText w:val="%1."/>
      <w:numFmt w:val="decimal"/>
      <w:start w:val="8"/>
    </w:lvl>
  </w:abstractNum>
  <w:abstractNum w:abstractNumId="35">
    <w:nsid w:val="51EAD36B"/>
    <w:multiLevelType w:val="hybridMultilevel"/>
    <w:lvl w:ilvl="0">
      <w:lvlJc w:val="left"/>
      <w:lvlText w:val="%1"/>
      <w:numFmt w:val="lowerLetter"/>
      <w:start w:val="1"/>
    </w:lvl>
    <w:lvl w:ilvl="1">
      <w:lvlJc w:val="left"/>
      <w:lvlText w:val="(%2)"/>
      <w:numFmt w:val="lowerLetter"/>
      <w:start w:val="1"/>
    </w:lvl>
  </w:abstractNum>
  <w:abstractNum w:abstractNumId="36">
    <w:nsid w:val="2D517796"/>
    <w:multiLevelType w:val="hybridMultilevel"/>
    <w:lvl w:ilvl="0">
      <w:lvlJc w:val="left"/>
      <w:lvlText w:val="(%1)"/>
      <w:numFmt w:val="lowerLetter"/>
      <w:start w:val="61"/>
    </w:lvl>
    <w:lvl w:ilvl="1">
      <w:lvlJc w:val="left"/>
      <w:lvlText w:val="(%2)"/>
      <w:numFmt w:val="lowerLetter"/>
      <w:start w:val="3"/>
    </w:lvl>
  </w:abstractNum>
  <w:abstractNum w:abstractNumId="37">
    <w:nsid w:val="580BD78F"/>
    <w:multiLevelType w:val="hybridMultilevel"/>
    <w:lvl w:ilvl="0">
      <w:lvlJc w:val="left"/>
      <w:lvlText w:val="%1."/>
      <w:numFmt w:val="upperLetter"/>
      <w:start w:val="9"/>
    </w:lvl>
  </w:abstractNum>
  <w:abstractNum w:abstractNumId="38">
    <w:nsid w:val="153EA438"/>
    <w:multiLevelType w:val="hybridMultilevel"/>
    <w:lvl w:ilvl="0">
      <w:lvlJc w:val="left"/>
      <w:lvlText w:val="%1."/>
      <w:numFmt w:val="upperLetter"/>
      <w:start w:val="35"/>
    </w:lvl>
  </w:abstractNum>
  <w:abstractNum w:abstractNumId="39">
    <w:nsid w:val="3855585C"/>
    <w:multiLevelType w:val="hybridMultilevel"/>
    <w:lvl w:ilvl="0">
      <w:lvlJc w:val="left"/>
      <w:lvlText w:val="%1."/>
      <w:numFmt w:val="upperLetter"/>
      <w:start w:val="2"/>
    </w:lvl>
  </w:abstractNum>
  <w:abstractNum w:abstractNumId="40">
    <w:nsid w:val="70A64E2A"/>
    <w:multiLevelType w:val="hybridMultilevel"/>
    <w:lvl w:ilvl="0">
      <w:lvlJc w:val="left"/>
      <w:lvlText w:val="%1."/>
      <w:numFmt w:val="decimal"/>
      <w:start w:val="5"/>
    </w:lvl>
    <w:lvl w:ilvl="1">
      <w:lvlJc w:val="left"/>
      <w:lvlText w:val="(%2)"/>
      <w:numFmt w:val="upperLetter"/>
      <w:start w:val="1"/>
    </w:lvl>
  </w:abstractNum>
  <w:abstractNum w:abstractNumId="41">
    <w:nsid w:val="6A2342EC"/>
    <w:multiLevelType w:val="hybridMultilevel"/>
    <w:lvl w:ilvl="0">
      <w:lvlJc w:val="left"/>
      <w:lvlText w:val="%1."/>
      <w:numFmt w:val="decimal"/>
      <w:start w:val="7"/>
    </w:lvl>
  </w:abstractNum>
  <w:abstractNum w:abstractNumId="42">
    <w:nsid w:val="2A487CB0"/>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2021-02-02T15:33:16Z</dcterms:created>
  <dcterms:modified xsi:type="dcterms:W3CDTF">2021-02-02T15:33:16Z</dcterms:modified>
</cp:coreProperties>
</file>