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ind w:left="4640"/>
        <w:spacing w:after="0"/>
        <w:rPr>
          <w:sz w:val="20"/>
          <w:szCs w:val="20"/>
          <w:color w:val="auto"/>
        </w:rPr>
      </w:pPr>
      <w:r>
        <w:rPr>
          <w:rFonts w:ascii="Arial" w:cs="Arial" w:eastAsia="Arial" w:hAnsi="Arial"/>
          <w:sz w:val="25"/>
          <w:szCs w:val="25"/>
          <w:b w:val="1"/>
          <w:bCs w:val="1"/>
          <w:color w:val="auto"/>
        </w:rPr>
        <w:t>SCHEDULE 13G/A</w:t>
      </w:r>
    </w:p>
    <w:p>
      <w:pPr>
        <w:spacing w:after="0" w:line="38" w:lineRule="exact"/>
        <w:rPr>
          <w:sz w:val="24"/>
          <w:szCs w:val="24"/>
          <w:color w:val="auto"/>
        </w:rPr>
      </w:pPr>
    </w:p>
    <w:p>
      <w:pPr>
        <w:ind w:left="4660"/>
        <w:spacing w:after="0"/>
        <w:rPr>
          <w:sz w:val="20"/>
          <w:szCs w:val="20"/>
          <w:color w:val="auto"/>
        </w:rPr>
      </w:pPr>
      <w:r>
        <w:rPr>
          <w:rFonts w:ascii="Arial" w:cs="Arial" w:eastAsia="Arial" w:hAnsi="Arial"/>
          <w:sz w:val="25"/>
          <w:szCs w:val="25"/>
          <w:b w:val="1"/>
          <w:bCs w:val="1"/>
          <w:color w:val="auto"/>
        </w:rPr>
        <w:t>(Amendment No. 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Under the Securities Exchange Act of 1934</w:t>
      </w:r>
    </w:p>
    <w:p>
      <w:pPr>
        <w:spacing w:after="0" w:line="221" w:lineRule="exact"/>
        <w:rPr>
          <w:sz w:val="24"/>
          <w:szCs w:val="24"/>
          <w:color w:val="auto"/>
        </w:rPr>
      </w:pPr>
    </w:p>
    <w:p>
      <w:pPr>
        <w:jc w:val="center"/>
        <w:ind w:left="280" w:right="2120"/>
        <w:spacing w:after="0" w:line="243" w:lineRule="auto"/>
        <w:rPr>
          <w:sz w:val="20"/>
          <w:szCs w:val="20"/>
          <w:color w:val="auto"/>
        </w:rPr>
      </w:pPr>
      <w:r>
        <w:rPr>
          <w:rFonts w:ascii="Arial" w:cs="Arial" w:eastAsia="Arial" w:hAnsi="Arial"/>
          <w:sz w:val="22"/>
          <w:szCs w:val="22"/>
          <w:b w:val="1"/>
          <w:bCs w:val="1"/>
          <w:color w:val="auto"/>
        </w:rPr>
        <w:t>INFORMATION TO BE INCLUDED IN STATEMENT FILED PURSUANT TO RULES 13d-1(b), (c), AND (d) AND AMENDMENTS THERETO FILED PURSUANT TO RULE 13d-2</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LIMONERIA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532746104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not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532746104</w:t>
      </w:r>
    </w:p>
    <w:p>
      <w:pPr>
        <w:spacing w:after="0" w:line="239" w:lineRule="exact"/>
        <w:rPr>
          <w:sz w:val="20"/>
          <w:szCs w:val="20"/>
          <w:color w:val="auto"/>
        </w:rPr>
      </w:pPr>
    </w:p>
    <w:p>
      <w:pPr>
        <w:ind w:left="1040" w:right="7560" w:hanging="584"/>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0" w:type="dxa"/>
            <w:vAlign w:val="bottom"/>
            <w:tcBorders>
              <w:top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rPr>
              <w:t>2.</w:t>
            </w:r>
          </w:p>
        </w:tc>
        <w:tc>
          <w:tcPr>
            <w:tcW w:w="7500" w:type="dxa"/>
            <w:vAlign w:val="bottom"/>
            <w:tcBorders>
              <w:top w:val="single" w:sz="8" w:color="auto"/>
            </w:tcBorders>
          </w:tcPr>
          <w:p>
            <w:pPr>
              <w:ind w:left="22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3100" w:type="dxa"/>
            <w:vAlign w:val="bottom"/>
            <w:tcBorders>
              <w:top w:val="single" w:sz="8" w:color="auto"/>
            </w:tcBorders>
          </w:tcPr>
          <w:p>
            <w:pPr>
              <w:ind w:left="230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8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100" w:type="dxa"/>
            <w:vAlign w:val="bottom"/>
          </w:tcPr>
          <w:p>
            <w:pPr>
              <w:ind w:left="23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040" w:hanging="584"/>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6720" w:hanging="584"/>
        <w:spacing w:after="0" w:line="528"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4380" w:type="dxa"/>
            <w:vAlign w:val="bottom"/>
            <w:tcBorders>
              <w:bottom w:val="single" w:sz="8" w:color="auto"/>
            </w:tcBorders>
          </w:tcPr>
          <w:p>
            <w:pPr>
              <w:jc w:val="right"/>
              <w:ind w:right="2150"/>
              <w:spacing w:after="0"/>
              <w:rPr>
                <w:sz w:val="20"/>
                <w:szCs w:val="20"/>
                <w:color w:val="auto"/>
              </w:rPr>
            </w:pPr>
            <w:r>
              <w:rPr>
                <w:rFonts w:ascii="Arial" w:cs="Arial" w:eastAsia="Arial" w:hAnsi="Arial"/>
                <w:sz w:val="18"/>
                <w:szCs w:val="18"/>
                <w:color w:val="auto"/>
              </w:rPr>
              <w:t>1,719,185</w:t>
            </w:r>
          </w:p>
        </w:tc>
        <w:tc>
          <w:tcPr>
            <w:tcW w:w="0" w:type="dxa"/>
            <w:vAlign w:val="bottom"/>
          </w:tcPr>
          <w:p>
            <w:pPr>
              <w:spacing w:after="0"/>
              <w:rPr>
                <w:sz w:val="1"/>
                <w:szCs w:val="1"/>
                <w:color w:val="auto"/>
              </w:rPr>
            </w:pPr>
          </w:p>
        </w:tc>
      </w:tr>
      <w:tr>
        <w:trPr>
          <w:trHeight w:val="195"/>
        </w:trPr>
        <w:tc>
          <w:tcPr>
            <w:tcW w:w="2660" w:type="dxa"/>
            <w:vAlign w:val="bottom"/>
          </w:tcPr>
          <w:p>
            <w:pPr>
              <w:jc w:val="center"/>
              <w:spacing w:after="0" w:line="195" w:lineRule="exact"/>
              <w:rPr>
                <w:sz w:val="20"/>
                <w:szCs w:val="20"/>
                <w:color w:val="auto"/>
              </w:rPr>
            </w:pPr>
            <w:r>
              <w:rPr>
                <w:rFonts w:ascii="Arial" w:cs="Arial" w:eastAsia="Arial" w:hAnsi="Arial"/>
                <w:sz w:val="18"/>
                <w:szCs w:val="18"/>
                <w:color w:val="auto"/>
                <w:w w:val="94"/>
              </w:rPr>
              <w:t>SHARES</w:t>
            </w:r>
          </w:p>
        </w:tc>
        <w:tc>
          <w:tcPr>
            <w:tcW w:w="3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4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60" w:type="dxa"/>
            <w:vAlign w:val="bottom"/>
          </w:tcPr>
          <w:p>
            <w:pPr>
              <w:jc w:val="center"/>
              <w:spacing w:after="0" w:line="182" w:lineRule="exact"/>
              <w:rPr>
                <w:sz w:val="20"/>
                <w:szCs w:val="20"/>
                <w:color w:val="auto"/>
              </w:rPr>
            </w:pPr>
            <w:r>
              <w:rPr>
                <w:rFonts w:ascii="Arial" w:cs="Arial" w:eastAsia="Arial" w:hAnsi="Arial"/>
                <w:sz w:val="18"/>
                <w:szCs w:val="18"/>
                <w:color w:val="auto"/>
                <w:w w:val="99"/>
              </w:rPr>
              <w:t>OWNED BY</w:t>
            </w:r>
          </w:p>
        </w:tc>
        <w:tc>
          <w:tcPr>
            <w:tcW w:w="3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tcPr>
          <w:p>
            <w:pPr>
              <w:jc w:val="center"/>
              <w:spacing w:after="0"/>
              <w:rPr>
                <w:sz w:val="20"/>
                <w:szCs w:val="20"/>
                <w:color w:val="auto"/>
              </w:rPr>
            </w:pPr>
            <w:r>
              <w:rPr>
                <w:rFonts w:ascii="Arial" w:cs="Arial" w:eastAsia="Arial" w:hAnsi="Arial"/>
                <w:sz w:val="18"/>
                <w:szCs w:val="18"/>
                <w:color w:val="auto"/>
                <w:w w:val="95"/>
              </w:rPr>
              <w:t>EACH REPORTING</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40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4380" w:type="dxa"/>
            <w:vAlign w:val="bottom"/>
          </w:tcPr>
          <w:p>
            <w:pPr>
              <w:jc w:val="right"/>
              <w:ind w:right="2150"/>
              <w:spacing w:after="0"/>
              <w:rPr>
                <w:sz w:val="20"/>
                <w:szCs w:val="20"/>
                <w:color w:val="auto"/>
              </w:rPr>
            </w:pPr>
            <w:r>
              <w:rPr>
                <w:rFonts w:ascii="Arial" w:cs="Arial" w:eastAsia="Arial" w:hAnsi="Arial"/>
                <w:sz w:val="18"/>
                <w:szCs w:val="18"/>
                <w:color w:val="auto"/>
              </w:rPr>
              <w:t>1,719,185</w:t>
            </w:r>
          </w:p>
        </w:tc>
        <w:tc>
          <w:tcPr>
            <w:tcW w:w="0" w:type="dxa"/>
            <w:vAlign w:val="bottom"/>
          </w:tcPr>
          <w:p>
            <w:pPr>
              <w:spacing w:after="0"/>
              <w:rPr>
                <w:sz w:val="1"/>
                <w:szCs w:val="1"/>
                <w:color w:val="auto"/>
              </w:rPr>
            </w:pPr>
          </w:p>
        </w:tc>
      </w:tr>
      <w:tr>
        <w:trPr>
          <w:trHeight w:val="28"/>
        </w:trPr>
        <w:tc>
          <w:tcPr>
            <w:tcW w:w="2660" w:type="dxa"/>
            <w:vAlign w:val="bottom"/>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3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40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4060" w:type="dxa"/>
            <w:vAlign w:val="bottom"/>
            <w:tcBorders>
              <w:bottom w:val="single" w:sz="8" w:color="auto"/>
            </w:tcBorders>
            <w:vMerge w:val="continue"/>
          </w:tcPr>
          <w:p>
            <w:pPr>
              <w:spacing w:after="0"/>
              <w:rPr>
                <w:sz w:val="21"/>
                <w:szCs w:val="21"/>
                <w:color w:val="auto"/>
              </w:rPr>
            </w:pPr>
          </w:p>
        </w:tc>
        <w:tc>
          <w:tcPr>
            <w:tcW w:w="4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40" w:right="3780" w:hanging="584"/>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1,719,185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ind w:left="460"/>
        <w:spacing w:after="0" w:line="207" w:lineRule="exact"/>
        <w:tabs>
          <w:tab w:leader="none" w:pos="1020" w:val="left"/>
          <w:tab w:leader="none" w:pos="106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040" w:right="5320" w:hanging="584"/>
        <w:spacing w:after="0" w:line="508"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9.68%</w:t>
      </w:r>
    </w:p>
    <w:p>
      <w:pPr>
        <w:spacing w:after="0" w:line="1" w:lineRule="exact"/>
        <w:rPr>
          <w:rFonts w:ascii="Arial" w:cs="Arial" w:eastAsia="Arial" w:hAnsi="Arial"/>
          <w:sz w:val="18"/>
          <w:szCs w:val="18"/>
          <w:color w:val="auto"/>
        </w:rPr>
      </w:pPr>
    </w:p>
    <w:p>
      <w:pPr>
        <w:ind w:left="1040" w:right="7880" w:hanging="584"/>
        <w:spacing w:after="0" w:line="528"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issuer is Limoneira Company (the “Issuer”).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the Issuer’s principal executive office is 1141 Cummings Road, Santa Paula, CA 93060.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Calavo Growers, Inc. (“Calavo” or the “Reporting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business address of Calavo is 1141-A Cummings Road, Santa Paula, CA 93060.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Calavo is a California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title of the class of securities to which this statement relates is the common stock of the Issuer, $0.01 par value per share (the “Common Stock”).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CUSIP number is 532746104.</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Items 4(a) – (c) is set forth in rows 5 – 11 of the cover page and is incorporated herein by reference.</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As of December 31, 2018, Calavo was the beneficial owner of 1,719,185 shares of Common Stock, which represents approximately 9.68% of the 17,764,801 shares of Common Stock outstanding as reported in the Issuer’s Form 10-K for the fiscal year ended October 31, 2018, filed with the Securities and Exchange Commission on January 14, 2019. Calavo has the sole power to vote, or to direct the vote of, and to dispose of, or to direct the disposition of, these shares.</w:t>
      </w:r>
    </w:p>
    <w:p>
      <w:pPr>
        <w:spacing w:after="0" w:line="18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Schedule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532403201</w:t>
      </w:r>
    </w:p>
    <w:p>
      <w:pPr>
        <w:spacing w:after="0" w:line="248" w:lineRule="exact"/>
        <w:rPr>
          <w:sz w:val="20"/>
          <w:szCs w:val="20"/>
          <w:color w:val="auto"/>
        </w:rPr>
      </w:pPr>
    </w:p>
    <w:p>
      <w:pPr>
        <w:ind w:left="760" w:hanging="755"/>
        <w:spacing w:after="0" w:line="282" w:lineRule="auto"/>
        <w:tabs>
          <w:tab w:leader="none" w:pos="74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00"/>
          </w:cols>
          <w:pgMar w:left="240" w:top="800" w:right="55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14,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CALAVO GROWERS, INC.</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Snyder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Corporate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120"/>
      </w:cols>
      <w:pgMar w:left="240" w:top="79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9"/>
    </w:lvl>
  </w:abstractNum>
  <w:abstractNum w:abstractNumId="5">
    <w:nsid w:val="507ED7A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2019-12-21T04:51:22Z</dcterms:created>
  <dcterms:modified xsi:type="dcterms:W3CDTF">2019-12-21T04:51:22Z</dcterms:modified>
</cp:coreProperties>
</file>