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center"/>
        <w:rPr/>
      </w:pPr>
      <w:bookmarkStart w:id="0" w:name="tmb-20240410xdefa14a.htm"/>
      <w:bookmarkStart w:id="1" w:name="kstmb20240410xdefa14a"/>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 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Proxy Statement Pursuant to Section 14(a) of the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(Amendment No.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by the Registrant  ☒                             Filed by a Party other than the Registrant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Check the appropriate box:</w:t>
      </w:r>
    </w:p>
    <w:p>
      <w:pPr>
        <w:pStyle w:val="TextBody"/>
        <w:bidi w:val="0"/>
        <w:spacing w:before="0" w:after="0"/>
        <w:ind w:left="0" w:right="0" w:hanging="0"/>
        <w:jc w:val="left"/>
        <w:rPr/>
      </w:pPr>
      <w:r>
        <w:rPr/>
        <w:t>​</w:t>
      </w:r>
    </w:p>
    <w:tbl>
      <w:tblPr>
        <w:tblW w:w="7157" w:type="dxa"/>
        <w:jc w:val="center"/>
        <w:tblInd w:w="0" w:type="dxa"/>
        <w:tblLayout w:type="fixed"/>
        <w:tblCellMar>
          <w:top w:w="0" w:type="dxa"/>
          <w:left w:w="0" w:type="dxa"/>
          <w:bottom w:w="0" w:type="dxa"/>
          <w:right w:w="0" w:type="dxa"/>
        </w:tblCellMar>
      </w:tblPr>
      <w:tblGrid>
        <w:gridCol w:w="331"/>
        <w:gridCol w:w="6826"/>
      </w:tblGrid>
      <w:tr>
        <w:trPr/>
        <w:tc>
          <w:tcPr>
            <w:tcW w:w="331" w:type="dxa"/>
            <w:tcBorders/>
            <w:vAlign w:val="center"/>
          </w:tcPr>
          <w:p>
            <w:pPr>
              <w:pStyle w:val="TableContents"/>
              <w:bidi w:val="0"/>
              <w:spacing w:before="0" w:after="0"/>
              <w:ind w:left="0" w:right="0" w:hanging="0"/>
              <w:jc w:val="left"/>
              <w:rPr/>
            </w:pPr>
            <w:r>
              <w:rPr/>
              <w:t>☐</w:t>
            </w:r>
          </w:p>
        </w:tc>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331" w:type="dxa"/>
            <w:tcBorders/>
            <w:vAlign w:val="center"/>
          </w:tcPr>
          <w:p>
            <w:pPr>
              <w:pStyle w:val="TableContents"/>
              <w:bidi w:val="0"/>
              <w:spacing w:before="0" w:after="0"/>
              <w:ind w:left="0" w:right="0" w:hanging="0"/>
              <w:jc w:val="left"/>
              <w:rPr/>
            </w:pPr>
            <w:r>
              <w:rPr/>
              <w:t>☐</w:t>
            </w:r>
          </w:p>
        </w:tc>
        <w:tc>
          <w:tcPr>
            <w:tcW w:w="68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331" w:type="dxa"/>
            <w:tcBorders/>
            <w:vAlign w:val="center"/>
          </w:tcPr>
          <w:p>
            <w:pPr>
              <w:pStyle w:val="TableContents"/>
              <w:bidi w:val="0"/>
              <w:spacing w:before="0" w:after="0"/>
              <w:ind w:left="0" w:right="0" w:hanging="0"/>
              <w:jc w:val="left"/>
              <w:rPr/>
            </w:pPr>
            <w:r>
              <w:rPr/>
              <w:t>☐</w:t>
            </w:r>
          </w:p>
        </w:tc>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331" w:type="dxa"/>
            <w:tcBorders/>
            <w:vAlign w:val="center"/>
          </w:tcPr>
          <w:p>
            <w:pPr>
              <w:pStyle w:val="TableContents"/>
              <w:bidi w:val="0"/>
              <w:spacing w:before="0" w:after="0"/>
              <w:ind w:left="0" w:right="0" w:hanging="0"/>
              <w:jc w:val="left"/>
              <w:rPr/>
            </w:pPr>
            <w:r>
              <w:rPr/>
              <w:t>☒</w:t>
            </w:r>
          </w:p>
        </w:tc>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331" w:type="dxa"/>
            <w:tcBorders/>
            <w:vAlign w:val="center"/>
          </w:tcPr>
          <w:p>
            <w:pPr>
              <w:pStyle w:val="TableContents"/>
              <w:bidi w:val="0"/>
              <w:spacing w:before="0" w:after="0"/>
              <w:ind w:left="0" w:right="0" w:hanging="0"/>
              <w:jc w:val="left"/>
              <w:rPr/>
            </w:pPr>
            <w:r>
              <w:rPr/>
              <w:t>☐</w:t>
            </w:r>
          </w:p>
        </w:tc>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Section 240.14a-12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Calavo Growers,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Registrant as Specified in Its Charter)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(Name of Person(s) Filing Proxy Statement, if other than the Registrant)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Filing Fee (Check the appropriate box):</w:t>
      </w:r>
    </w:p>
    <w:p>
      <w:pPr>
        <w:pStyle w:val="TextBody"/>
        <w:bidi w:val="0"/>
        <w:spacing w:before="0" w:after="0"/>
        <w:ind w:left="0" w:right="0" w:hanging="0"/>
        <w:jc w:val="left"/>
        <w:rPr/>
      </w:pPr>
      <w:r>
        <w:rPr/>
        <w:t>​</w:t>
      </w:r>
    </w:p>
    <w:tbl>
      <w:tblPr>
        <w:tblW w:w="6178" w:type="dxa"/>
        <w:jc w:val="center"/>
        <w:tblInd w:w="0" w:type="dxa"/>
        <w:tblLayout w:type="fixed"/>
        <w:tblCellMar>
          <w:top w:w="0" w:type="dxa"/>
          <w:left w:w="0" w:type="dxa"/>
          <w:bottom w:w="0" w:type="dxa"/>
          <w:right w:w="0" w:type="dxa"/>
        </w:tblCellMar>
      </w:tblPr>
      <w:tblGrid>
        <w:gridCol w:w="331"/>
        <w:gridCol w:w="326"/>
        <w:gridCol w:w="5521"/>
      </w:tblGrid>
      <w:tr>
        <w:trPr/>
        <w:tc>
          <w:tcPr>
            <w:tcW w:w="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5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 fee required</w:t>
            </w:r>
          </w:p>
        </w:tc>
      </w:tr>
      <w:tr>
        <w:trPr/>
        <w:tc>
          <w:tcPr>
            <w:tcW w:w="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5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Fee computed on table below per Exchange Act Rules 14a-6(i)(1) and 0-11.</w:t>
            </w:r>
          </w:p>
        </w:tc>
      </w:tr>
      <w:tr>
        <w:trPr/>
        <w:tc>
          <w:tcPr>
            <w:tcW w:w="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5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Fee paid previously with preliminary materials.</w:t>
            </w:r>
          </w:p>
        </w:tc>
      </w:tr>
    </w:tbl>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1047750" cy="1019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0" cy="101917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center"/>
        <w:rPr>
          <w:rFonts w:ascii="Calibri;Helvetica;sans-serif" w:hAnsi="Calibri;Helvetica;sans-serif"/>
          <w:b/>
          <w:sz w:val="28"/>
        </w:rPr>
      </w:pPr>
      <w:r>
        <w:rPr>
          <w:rFonts w:ascii="Calibri;Helvetica;sans-serif" w:hAnsi="Calibri;Helvetica;sans-serif"/>
          <w:b/>
          <w:sz w:val="28"/>
        </w:rPr>
        <w:t>Calavo Growers, Inc. Announces Virtual Access for its</w:t>
      </w:r>
    </w:p>
    <w:p>
      <w:pPr>
        <w:pStyle w:val="TextBody"/>
        <w:bidi w:val="0"/>
        <w:spacing w:before="0" w:after="0"/>
        <w:ind w:left="0" w:right="0" w:hanging="0"/>
        <w:jc w:val="center"/>
        <w:rPr>
          <w:rFonts w:ascii="Calibri;Helvetica;sans-serif" w:hAnsi="Calibri;Helvetica;sans-serif"/>
          <w:b/>
          <w:sz w:val="28"/>
        </w:rPr>
      </w:pPr>
      <w:r>
        <w:rPr>
          <w:rFonts w:ascii="Calibri;Helvetica;sans-serif" w:hAnsi="Calibri;Helvetica;sans-serif"/>
          <w:b/>
          <w:sz w:val="28"/>
        </w:rPr>
        <w:t>2024 Annual Meeting of Shareholders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Calibri;Helvetica;sans-serif" w:hAnsi="Calibri;Helvetica;sans-serif"/>
          <w:b/>
          <w:sz w:val="22"/>
        </w:rPr>
        <w:t>SANTA PAULA, Calif., April 10, 2024</w:t>
      </w:r>
      <w:r>
        <w:rPr>
          <w:rFonts w:ascii="Times New Roman;Times;serif" w:hAnsi="Times New Roman;Times;serif"/>
          <w:sz w:val="20"/>
        </w:rPr>
        <w:t>—</w:t>
      </w:r>
      <w:r>
        <w:rPr>
          <w:rFonts w:ascii="Calibri;Helvetica;sans-serif" w:hAnsi="Calibri;Helvetica;sans-serif"/>
          <w:b/>
          <w:sz w:val="22"/>
        </w:rPr>
        <w:t xml:space="preserve">Calavo Growers, Inc. (Nasdaq: CVGW) </w:t>
      </w:r>
      <w:r>
        <w:rPr>
          <w:rFonts w:ascii="Calibri;Helvetica;sans-serif" w:hAnsi="Calibri;Helvetica;sans-serif"/>
          <w:sz w:val="22"/>
        </w:rPr>
        <w:t>(“Calavo” or the “Company”), a global avocado-industry leader and provider of convenient, ready-to-eat fresh food, today reminded shareholders that the Company will provide its shareholders with the capability to attend its 2024 annual shareholder meeting (the “Annual Meeting”) virtually. The Annual Meeting will consist of a formal business meeting only. The Company is offering the virtual alternative as a way for shareholders to have essentially the same meeting experience without attending in person.</w:t>
      </w:r>
    </w:p>
    <w:p>
      <w:pPr>
        <w:pStyle w:val="TextBody"/>
        <w:bidi w:val="0"/>
        <w:spacing w:before="0" w:after="0"/>
        <w:ind w:left="0" w:right="0" w:hanging="0"/>
        <w:jc w:val="left"/>
        <w:rPr/>
      </w:pPr>
      <w:r>
        <w:rPr/>
        <w:t>​</w:t>
      </w:r>
    </w:p>
    <w:p>
      <w:pPr>
        <w:pStyle w:val="TextBody"/>
        <w:bidi w:val="0"/>
        <w:spacing w:before="0" w:after="160"/>
        <w:ind w:left="0" w:right="0" w:hanging="0"/>
        <w:jc w:val="left"/>
        <w:rPr>
          <w:rFonts w:ascii="Calibri;Helvetica;sans-serif" w:hAnsi="Calibri;Helvetica;sans-serif"/>
          <w:sz w:val="22"/>
        </w:rPr>
      </w:pPr>
      <w:r>
        <w:rPr>
          <w:rFonts w:ascii="Calibri;Helvetica;sans-serif" w:hAnsi="Calibri;Helvetica;sans-serif"/>
          <w:sz w:val="22"/>
        </w:rPr>
        <w:t>The Annual Meeting will be held at 1:00 p.m. Pacific Time on Wednesday, April 24, 2024. Holders of record at the close of business on February 26, 2024, will be entitled to participate, submit questions and vote at the Annual Meeting by following the instructions available on the virtual meeting website at www.virtualshareholdermeeting.com/CVGW2024 and using the 16-digit control number included in their proxy materials.</w:t>
      </w:r>
    </w:p>
    <w:p>
      <w:pPr>
        <w:pStyle w:val="TextBody"/>
        <w:bidi w:val="0"/>
        <w:spacing w:before="0" w:after="0"/>
        <w:ind w:left="0" w:right="0" w:hanging="0"/>
        <w:jc w:val="left"/>
        <w:rPr>
          <w:rFonts w:ascii="Calibri;Helvetica;sans-serif" w:hAnsi="Calibri;Helvetica;sans-serif"/>
          <w:sz w:val="22"/>
        </w:rPr>
      </w:pPr>
      <w:r>
        <w:rPr>
          <w:rFonts w:ascii="Calibri;Helvetica;sans-serif" w:hAnsi="Calibri;Helvetica;sans-serif"/>
          <w:sz w:val="22"/>
        </w:rPr>
        <w:t>Non-shareholders may attend the Annual Meeting as a guest but will not have the option to vote any shares or ask questions during the virtual meeting.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Cumulative Voting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Calibri;Helvetica;sans-serif" w:hAnsi="Calibri;Helvetica;sans-serif"/>
          <w:sz w:val="22"/>
        </w:rPr>
      </w:pPr>
      <w:r>
        <w:rPr>
          <w:rFonts w:ascii="Calibri;Helvetica;sans-serif" w:hAnsi="Calibri;Helvetica;sans-serif"/>
          <w:sz w:val="22"/>
        </w:rPr>
        <w:t>Note that cumulative voting for directors will not be allowed via the live webcast. Shareholders who wish to vote cumulatively for directors should provide proxy instructions before the Annual Meeting at www.proxyvote.com. Shareholders will be able to vote cumulatively for directors in person at the Annual Meeting, but there will be no difference in the tallying of cumulative votes for directors provided through instructing a proxy in advance at www.proxyvote.com compared to voting in person at the Annual Meeting. Shareholders need not attend the Annual Meeting in person simply to vote cumulatively for directors.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Calibri;Helvetica;sans-serif" w:hAnsi="Calibri;Helvetica;sans-serif"/>
          <w:sz w:val="22"/>
        </w:rPr>
      </w:pPr>
      <w:r>
        <w:rPr>
          <w:rFonts w:ascii="Calibri;Helvetica;sans-serif" w:hAnsi="Calibri;Helvetica;sans-serif"/>
          <w:sz w:val="22"/>
        </w:rPr>
        <w:t>Whether or not a shareholder plans to access the live call or webcast of the Annual Meeting, the Company urges all shareholders to vote and submit their proxies in advance of the Annual Meeting using one of the methods described in its proxy materials.</w:t>
      </w:r>
    </w:p>
    <w:p>
      <w:pPr>
        <w:pStyle w:val="TextBody"/>
        <w:bidi w:val="0"/>
        <w:spacing w:before="0" w:after="0"/>
        <w:ind w:left="0" w:right="0" w:hanging="0"/>
        <w:jc w:val="left"/>
        <w:rPr/>
      </w:pPr>
      <w:r>
        <w:rPr/>
        <w:t>​</w:t>
      </w:r>
    </w:p>
    <w:p>
      <w:pPr>
        <w:pStyle w:val="TextBody"/>
        <w:bidi w:val="0"/>
        <w:spacing w:before="0" w:after="0"/>
        <w:ind w:left="0" w:right="0" w:hanging="0"/>
        <w:jc w:val="left"/>
        <w:rPr>
          <w:rFonts w:ascii="Calibri;Helvetica;sans-serif" w:hAnsi="Calibri;Helvetica;sans-serif"/>
          <w:sz w:val="22"/>
        </w:rPr>
      </w:pPr>
      <w:r>
        <w:rPr>
          <w:rFonts w:ascii="Calibri;Helvetica;sans-serif" w:hAnsi="Calibri;Helvetica;sans-serif"/>
          <w:sz w:val="22"/>
        </w:rPr>
        <w:t>Shareholders are encouraged to read the Company’s proxy statement carefully. All information included in the proxy statement remains unchanged except with respect to the matters set forth herein.</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About Calavo Growers, Inc.</w:t>
      </w:r>
    </w:p>
    <w:p>
      <w:pPr>
        <w:pStyle w:val="TextBody"/>
        <w:bidi w:val="0"/>
        <w:spacing w:before="0" w:after="0"/>
        <w:ind w:left="0" w:right="0" w:hanging="0"/>
        <w:jc w:val="left"/>
        <w:rPr>
          <w:rFonts w:ascii="Times New Roman;Times;serif" w:hAnsi="Times New Roman;Times;serif"/>
          <w:sz w:val="20"/>
        </w:rPr>
      </w:pPr>
      <w:r>
        <w:rPr>
          <w:rFonts w:ascii="Calibri;Helvetica;sans-serif" w:hAnsi="Calibri;Helvetica;sans-serif"/>
          <w:sz w:val="22"/>
        </w:rPr>
        <w:t>Calavo Growers, Inc. (Nasdaq: CVGW) is a global leader in high quality produce, including avocados, tomatoes and papayas, and a pioneer of healthy fresh-cut fruit, vegetables and prepared foods. Calavo products are sold under the trusted Calavo brand name, proprietary sub-brands, private label and store brands. Founded in 1924, Calavo has a rich culture of innovation, sustainable practices and market growth. The Company serves retail grocery, foodservice, club stores, mass merchandisers, food distributors and wholesalers worldwide. Calavo is headquartered in Santa Paula, California, with processing plants and packing facilities throughout the U.S. and Mexico. Learn more about </w:t>
      </w:r>
      <w:r>
        <w:rPr>
          <w:rFonts w:ascii="Calibri;Helvetica;sans-serif" w:hAnsi="Calibri;Helvetica;sans-serif"/>
          <w:i/>
          <w:sz w:val="22"/>
        </w:rPr>
        <w:t>The Family of Fresh™ </w:t>
      </w:r>
      <w:r>
        <w:rPr>
          <w:rFonts w:ascii="Calibri;Helvetica;sans-serif" w:hAnsi="Calibri;Helvetica;sans-serif"/>
          <w:sz w:val="22"/>
        </w:rPr>
        <w:t>at </w:t>
      </w:r>
      <w:r>
        <w:rPr>
          <w:rFonts w:ascii="Calibri;Helvetica;sans-serif" w:hAnsi="Calibri;Helvetica;sans-serif"/>
          <w:b/>
          <w:sz w:val="22"/>
        </w:rPr>
        <w:t>calavo.com</w:t>
      </w:r>
      <w:r>
        <w:rPr>
          <w:rFonts w:ascii="Calibri;Helvetica;sans-serif" w:hAnsi="Calibri;Helvetica;sans-serif"/>
          <w:sz w:val="22"/>
        </w:rPr>
        <w:t>.</w:t>
      </w:r>
    </w:p>
    <w:p>
      <w:pPr>
        <w:pStyle w:val="TextBody"/>
        <w:bidi w:val="0"/>
        <w:spacing w:before="0" w:after="0"/>
        <w:ind w:left="0" w:right="0" w:hanging="0"/>
        <w:jc w:val="left"/>
        <w:rPr/>
      </w:pPr>
      <w:r>
        <w:rPr/>
        <w:t>​</w:t>
      </w:r>
    </w:p>
    <w:tbl>
      <w:tblPr>
        <w:tblW w:w="3181" w:type="dxa"/>
        <w:jc w:val="center"/>
        <w:tblInd w:w="0" w:type="dxa"/>
        <w:tblLayout w:type="fixed"/>
        <w:tblCellMar>
          <w:top w:w="0" w:type="dxa"/>
          <w:left w:w="0" w:type="dxa"/>
          <w:bottom w:w="0" w:type="dxa"/>
          <w:right w:w="0" w:type="dxa"/>
        </w:tblCellMar>
      </w:tblPr>
      <w:tblGrid>
        <w:gridCol w:w="3181"/>
      </w:tblGrid>
      <w:tr>
        <w:trPr/>
        <w:tc>
          <w:tcPr>
            <w:tcW w:w="3181" w:type="dxa"/>
            <w:tcBorders/>
            <w:vAlign w:val="center"/>
          </w:tcPr>
          <w:p>
            <w:pPr>
              <w:pStyle w:val="TableContents"/>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Investor Contact</w:t>
            </w:r>
          </w:p>
        </w:tc>
      </w:tr>
      <w:tr>
        <w:trPr/>
        <w:tc>
          <w:tcPr>
            <w:tcW w:w="3181"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Julie Kegley, Senior Vice President</w:t>
            </w:r>
          </w:p>
        </w:tc>
      </w:tr>
      <w:tr>
        <w:trPr/>
        <w:tc>
          <w:tcPr>
            <w:tcW w:w="3181"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Financial Profiles, Inc.</w:t>
            </w:r>
          </w:p>
        </w:tc>
      </w:tr>
      <w:tr>
        <w:trPr/>
        <w:tc>
          <w:tcPr>
            <w:tcW w:w="3181" w:type="dxa"/>
            <w:tcBorders/>
            <w:vAlign w:val="center"/>
          </w:tcPr>
          <w:p>
            <w:pPr>
              <w:pStyle w:val="TableContents"/>
              <w:bidi w:val="0"/>
              <w:spacing w:before="0" w:after="0"/>
              <w:ind w:left="0" w:right="0" w:hanging="0"/>
              <w:jc w:val="left"/>
              <w:rPr>
                <w:rFonts w:ascii="Calibri;Helvetica;sans-serif" w:hAnsi="Calibri;Helvetica;sans-serif"/>
                <w:sz w:val="22"/>
                <w:u w:val="single"/>
              </w:rPr>
            </w:pPr>
            <w:r>
              <w:rPr>
                <w:rFonts w:ascii="Calibri;Helvetica;sans-serif" w:hAnsi="Calibri;Helvetica;sans-serif"/>
                <w:sz w:val="22"/>
                <w:u w:val="single"/>
              </w:rPr>
              <w:t>calavo@finprofiles.com</w:t>
            </w:r>
          </w:p>
        </w:tc>
      </w:tr>
      <w:tr>
        <w:trPr/>
        <w:tc>
          <w:tcPr>
            <w:tcW w:w="3181"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310-622-8246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This communication may be deemed to be solicitation material in respect of the Annual Meeting of the Company. On February 28, 2024, the Company filed a definitive proxy statement with the Securities and Exchange Commission (the “Commission”) in connection with the Annual Meeting. SHAREHOLDERS ARE URGED TO READ CAREFULLY AND IN THEIR ENTIRETY THE PROXY STATEMENT AND ANY OTHER SOLICITING MATERIALS THAT ARE FILED WITH THE COMMISSION WHEN THEY BECOME AVAILABLE BECAUSE THESE DOCUMENTS CONTAIN IMPORTANT INFORMATION ABOUT THE COMPANY AND THE PROPOSALS TO BE VOTED UPON. The Company’s proxy statement and any other solicitation materials filed by the Company with the Commission can be obtained free of charge at the Commission’s website at www.sec.gov and at the investor relations section of the Company’s website at ir.calavo.com. Shareholders may also write to the Company at the following email address to request copies of these materials: 2024proxy@calavo.com. The Company, its directors and certain of its officers will be participants in the solicitation of proxies from shareholders in respect of the Annual Meeting. Detailed information regarding the identity of participants, and their respective interests in the Company by security holdings or otherwise, is set forth in the definitive proxy statement for the Annual Meeting. The contents of the websites referenced above are not deemed to be incorporated by reference into the proxy statement.</w:t>
      </w:r>
    </w:p>
    <w:p>
      <w:pPr>
        <w:pStyle w:val="TextBody"/>
        <w:bidi w:val="0"/>
        <w:spacing w:before="0" w:after="0"/>
        <w:ind w:left="0" w:right="0" w:hanging="0"/>
        <w:jc w:val="left"/>
        <w:rPr/>
      </w:pPr>
      <w:r>
        <w:rPr/>
        <w:t>​</w:t>
      </w:r>
    </w:p>
    <w:p>
      <w:pPr>
        <w:pStyle w:val="TextBody"/>
        <w:bidi w:val="0"/>
        <w:spacing w:before="0" w:after="160"/>
        <w:ind w:left="0" w:right="0" w:hanging="0"/>
        <w:jc w:val="center"/>
        <w:rPr>
          <w:rFonts w:ascii="Calibri;Helvetica;sans-serif" w:hAnsi="Calibri;Helvetica;sans-serif"/>
          <w:sz w:val="22"/>
        </w:rPr>
      </w:pPr>
      <w:r>
        <w:rPr>
          <w:rFonts w:ascii="Calibri;Helvetica;sans-serif" w:hAnsi="Calibri;Helvetica;sans-serif"/>
          <w:sz w:val="22"/>
        </w:rPr>
        <w:t># #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829</Words>
  <Characters>4676</Characters>
  <CharactersWithSpaces>5514</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