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 PURSUANT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6, 2023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CALAVO GROWERS,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Charter)</w:t>
      </w:r>
    </w:p>
    <w:p>
      <w:pPr>
        <w:spacing w:after="0" w:line="205"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California</w:t>
            </w:r>
          </w:p>
        </w:tc>
        <w:tc>
          <w:tcPr>
            <w:tcW w:w="2700" w:type="dxa"/>
            <w:vAlign w:val="bottom"/>
          </w:tcPr>
          <w:p>
            <w:pPr>
              <w:jc w:val="right"/>
              <w:ind w:right="870"/>
              <w:spacing w:after="0"/>
              <w:rPr>
                <w:sz w:val="20"/>
                <w:szCs w:val="20"/>
                <w:color w:val="auto"/>
              </w:rPr>
            </w:pPr>
            <w:r>
              <w:rPr>
                <w:rFonts w:ascii="Arial" w:cs="Arial" w:eastAsia="Arial" w:hAnsi="Arial"/>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9"/>
              </w:rPr>
              <w:t>33-0945304</w:t>
            </w:r>
          </w:p>
        </w:tc>
      </w:tr>
      <w:tr>
        <w:trPr>
          <w:trHeight w:val="195"/>
        </w:trPr>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85725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83185</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189" w:lineRule="exact"/>
        <w:rPr>
          <w:sz w:val="24"/>
          <w:szCs w:val="24"/>
          <w:color w:val="auto"/>
        </w:rPr>
      </w:pPr>
    </w:p>
    <w:p>
      <w:pPr>
        <w:ind w:left="60" w:right="3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96" w:lineRule="exact"/>
        <w:rPr>
          <w:rFonts w:ascii="MS PGothic" w:cs="MS PGothic" w:eastAsia="MS PGothic" w:hAnsi="MS PGothic"/>
          <w:sz w:val="17"/>
          <w:szCs w:val="17"/>
          <w:color w:val="auto"/>
        </w:rPr>
      </w:pPr>
    </w:p>
    <w:p>
      <w:pPr>
        <w:ind w:left="520" w:hanging="245"/>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14" w:lineRule="exact"/>
        <w:rPr>
          <w:rFonts w:ascii="MS PGothic" w:cs="MS PGothic" w:eastAsia="MS PGothic" w:hAnsi="MS PGothic"/>
          <w:sz w:val="17"/>
          <w:szCs w:val="17"/>
          <w:color w:val="auto"/>
        </w:rPr>
      </w:pPr>
    </w:p>
    <w:p>
      <w:pPr>
        <w:ind w:left="2640"/>
        <w:spacing w:after="0"/>
        <w:rPr>
          <w:rFonts w:ascii="MS PGothic" w:cs="MS PGothic" w:eastAsia="MS PGothic" w:hAnsi="MS PGothic"/>
          <w:sz w:val="17"/>
          <w:szCs w:val="17"/>
          <w:color w:val="auto"/>
        </w:rPr>
      </w:pPr>
      <w:r>
        <w:rPr>
          <w:rFonts w:ascii="Arial" w:cs="Arial" w:eastAsia="Arial" w:hAnsi="Arial"/>
          <w:sz w:val="16"/>
          <w:szCs w:val="16"/>
          <w:color w:val="auto"/>
        </w:rPr>
        <w:t>Securities registered pursuant to Section 12(b) of the Act:</w:t>
      </w:r>
    </w:p>
    <w:p>
      <w:pPr>
        <w:spacing w:after="0" w:line="257"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29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Title of each class</w:t>
            </w:r>
          </w:p>
        </w:tc>
        <w:tc>
          <w:tcPr>
            <w:tcW w:w="26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Trading Symbol(s)</w:t>
            </w:r>
          </w:p>
        </w:tc>
        <w:tc>
          <w:tcPr>
            <w:tcW w:w="32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40" w:type="dxa"/>
            <w:vAlign w:val="bottom"/>
          </w:tcPr>
          <w:p>
            <w:pPr>
              <w:spacing w:after="0"/>
              <w:rPr>
                <w:sz w:val="19"/>
                <w:szCs w:val="19"/>
                <w:color w:val="auto"/>
              </w:rPr>
            </w:pPr>
          </w:p>
        </w:tc>
        <w:tc>
          <w:tcPr>
            <w:tcW w:w="2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187" w:lineRule="exact"/>
        <w:rPr>
          <w:sz w:val="24"/>
          <w:szCs w:val="24"/>
          <w:color w:val="auto"/>
        </w:rPr>
      </w:pPr>
    </w:p>
    <w:p>
      <w:pPr>
        <w:jc w:val="both"/>
        <w:ind w:left="60" w:right="99" w:firstLine="324"/>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8" w:lineRule="exact"/>
        <w:rPr>
          <w:sz w:val="24"/>
          <w:szCs w:val="24"/>
          <w:color w:val="auto"/>
        </w:rPr>
      </w:pPr>
    </w:p>
    <w:p>
      <w:pPr>
        <w:ind w:left="3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29" w:lineRule="exact"/>
        <w:rPr>
          <w:sz w:val="24"/>
          <w:szCs w:val="24"/>
          <w:color w:val="auto"/>
        </w:rPr>
      </w:pPr>
    </w:p>
    <w:p>
      <w:pPr>
        <w:ind w:left="60" w:right="159" w:firstLine="324"/>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600710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103505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146685</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76"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89" w:lineRule="exact"/>
        <w:rPr>
          <w:sz w:val="20"/>
          <w:szCs w:val="20"/>
          <w:color w:val="auto"/>
        </w:rPr>
      </w:pPr>
    </w:p>
    <w:p>
      <w:pPr>
        <w:jc w:val="both"/>
        <w:ind w:left="60" w:right="339" w:firstLine="324"/>
        <w:spacing w:after="0" w:line="263" w:lineRule="auto"/>
        <w:rPr>
          <w:sz w:val="20"/>
          <w:szCs w:val="20"/>
          <w:color w:val="auto"/>
        </w:rPr>
      </w:pPr>
      <w:r>
        <w:rPr>
          <w:rFonts w:ascii="Arial" w:cs="Arial" w:eastAsia="Arial" w:hAnsi="Arial"/>
          <w:sz w:val="18"/>
          <w:szCs w:val="18"/>
          <w:color w:val="auto"/>
        </w:rPr>
        <w:t>On September 6, 2023, Calavo Growers, Inc. (Calavo) issued a press release containing our financial results for the three- and nine-month periods ended July 31, 2023. A copy of our press release is attached hereto as Exhibit 99.1 and is incorporated by reference herein.</w:t>
      </w:r>
    </w:p>
    <w:p>
      <w:pPr>
        <w:spacing w:after="0" w:line="157" w:lineRule="exact"/>
        <w:rPr>
          <w:sz w:val="20"/>
          <w:szCs w:val="20"/>
          <w:color w:val="auto"/>
        </w:rPr>
      </w:pPr>
    </w:p>
    <w:p>
      <w:pPr>
        <w:ind w:left="60" w:right="199" w:firstLine="324"/>
        <w:spacing w:after="0" w:line="275" w:lineRule="auto"/>
        <w:rPr>
          <w:sz w:val="20"/>
          <w:szCs w:val="20"/>
          <w:color w:val="auto"/>
        </w:rPr>
      </w:pPr>
      <w:r>
        <w:rPr>
          <w:rFonts w:ascii="Arial" w:cs="Arial" w:eastAsia="Arial" w:hAnsi="Arial"/>
          <w:sz w:val="17"/>
          <w:szCs w:val="17"/>
          <w:color w:val="auto"/>
        </w:rPr>
        <w:t>In accordance with General Instruction B.2 of Form 8-K, the information contained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by Calavo under the Securities Act of 1933, as amended, or the Exchange Act, except as shall be expressly set forth by specific reference in such filing.</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6" w:lineRule="exact"/>
        <w:rPr>
          <w:sz w:val="20"/>
          <w:szCs w:val="20"/>
          <w:color w:val="auto"/>
        </w:rPr>
      </w:pPr>
    </w:p>
    <w:p>
      <w:pPr>
        <w:ind w:left="380" w:hanging="324"/>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 xml:space="preserve">99.1  </w:t>
      </w:r>
      <w:r>
        <w:rPr>
          <w:rFonts w:ascii="Arial" w:cs="Arial" w:eastAsia="Arial" w:hAnsi="Arial"/>
          <w:sz w:val="18"/>
          <w:szCs w:val="18"/>
          <w:u w:val="single" w:color="auto"/>
          <w:color w:val="0000EE"/>
        </w:rPr>
        <w:t>Press release dated September 6, 2023 of the Registrant.</w:t>
      </w:r>
    </w:p>
    <w:p>
      <w:pPr>
        <w:spacing w:after="0" w:line="9"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104   Cover Page Interactive Data File (formatted as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6, 2023</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By: /s/ Lecil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5715</wp:posOffset>
            </wp:positionV>
            <wp:extent cx="25628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ind w:left="4600"/>
        <w:spacing w:after="0"/>
        <w:rPr>
          <w:sz w:val="20"/>
          <w:szCs w:val="20"/>
          <w:color w:val="auto"/>
        </w:rPr>
      </w:pPr>
      <w:r>
        <w:rPr>
          <w:rFonts w:ascii="Arial" w:cs="Arial" w:eastAsia="Arial" w:hAnsi="Arial"/>
          <w:sz w:val="18"/>
          <w:szCs w:val="18"/>
          <w:color w:val="auto"/>
        </w:rPr>
        <w:t>Lecil Cole</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right"/>
        <w:ind w:right="59"/>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32385</wp:posOffset>
            </wp:positionV>
            <wp:extent cx="1337310" cy="130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3731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Calavo Growers, Inc. Announces Third Quarter 2023 Financial Results</w:t>
      </w:r>
    </w:p>
    <w:p>
      <w:pPr>
        <w:spacing w:after="0" w:line="242" w:lineRule="exact"/>
        <w:rPr>
          <w:sz w:val="20"/>
          <w:szCs w:val="20"/>
          <w:color w:val="auto"/>
        </w:rPr>
      </w:pPr>
    </w:p>
    <w:p>
      <w:pPr>
        <w:jc w:val="both"/>
        <w:ind w:left="60" w:right="419"/>
        <w:spacing w:after="0" w:line="264" w:lineRule="auto"/>
        <w:rPr>
          <w:sz w:val="20"/>
          <w:szCs w:val="20"/>
          <w:color w:val="auto"/>
        </w:rPr>
      </w:pPr>
      <w:r>
        <w:rPr>
          <w:rFonts w:ascii="Arial" w:cs="Arial" w:eastAsia="Arial" w:hAnsi="Arial"/>
          <w:sz w:val="20"/>
          <w:szCs w:val="20"/>
          <w:b w:val="1"/>
          <w:bCs w:val="1"/>
          <w:color w:val="auto"/>
        </w:rPr>
        <w:t xml:space="preserve">SANTA PAULA, Calif., Sept. 6, 2023—Calavo Growers, Inc. (Nasdaq-GS: CVGW), </w:t>
      </w:r>
      <w:r>
        <w:rPr>
          <w:rFonts w:ascii="Arial" w:cs="Arial" w:eastAsia="Arial" w:hAnsi="Arial"/>
          <w:sz w:val="20"/>
          <w:szCs w:val="20"/>
          <w:color w:val="auto"/>
        </w:rPr>
        <w:t>a global avocado-industry</w:t>
      </w:r>
      <w:r>
        <w:rPr>
          <w:rFonts w:ascii="Arial" w:cs="Arial" w:eastAsia="Arial" w:hAnsi="Arial"/>
          <w:sz w:val="20"/>
          <w:szCs w:val="20"/>
          <w:b w:val="1"/>
          <w:bCs w:val="1"/>
          <w:color w:val="auto"/>
        </w:rPr>
        <w:t xml:space="preserve"> </w:t>
      </w:r>
      <w:r>
        <w:rPr>
          <w:rFonts w:ascii="Arial" w:cs="Arial" w:eastAsia="Arial" w:hAnsi="Arial"/>
          <w:sz w:val="20"/>
          <w:szCs w:val="20"/>
          <w:color w:val="auto"/>
        </w:rPr>
        <w:t>leader and provider of convenient, ready-to-eat fresh food, today reported its fnancial results for the fscal third quarter ended July 31, 2023.</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Third Quarter Financial Overview</w:t>
      </w:r>
    </w:p>
    <w:p>
      <w:pPr>
        <w:spacing w:after="0" w:line="22" w:lineRule="exact"/>
        <w:rPr>
          <w:sz w:val="20"/>
          <w:szCs w:val="20"/>
          <w:color w:val="auto"/>
        </w:rPr>
      </w:pPr>
    </w:p>
    <w:p>
      <w:pPr>
        <w:ind w:left="700" w:right="2539" w:hanging="650"/>
        <w:spacing w:after="0" w:line="274" w:lineRule="auto"/>
        <w:tabs>
          <w:tab w:leader="none" w:pos="376"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Total net sales of $259.9 million, a 24% decrease from the prior year quarter </w:t>
      </w:r>
      <w:r>
        <w:rPr>
          <w:rFonts w:ascii="Courier New" w:cs="Courier New" w:eastAsia="Courier New" w:hAnsi="Courier New"/>
          <w:sz w:val="18"/>
          <w:szCs w:val="18"/>
          <w:color w:val="auto"/>
        </w:rPr>
        <w:t xml:space="preserve">o </w:t>
      </w:r>
      <w:r>
        <w:rPr>
          <w:rFonts w:ascii="Arial" w:cs="Arial" w:eastAsia="Arial" w:hAnsi="Arial"/>
          <w:sz w:val="18"/>
          <w:szCs w:val="18"/>
          <w:color w:val="auto"/>
        </w:rPr>
        <w:t>Grown segment net sales decreased 30% to $144.5 million</w:t>
      </w:r>
    </w:p>
    <w:p>
      <w:pPr>
        <w:spacing w:after="0" w:line="1" w:lineRule="exact"/>
        <w:rPr>
          <w:rFonts w:ascii="Arial" w:cs="Arial" w:eastAsia="Arial" w:hAnsi="Arial"/>
          <w:sz w:val="18"/>
          <w:szCs w:val="18"/>
          <w:color w:val="auto"/>
        </w:rPr>
      </w:pPr>
    </w:p>
    <w:p>
      <w:pPr>
        <w:ind w:left="700"/>
        <w:spacing w:after="0" w:line="235" w:lineRule="auto"/>
        <w:rPr>
          <w:rFonts w:ascii="Arial" w:cs="Arial" w:eastAsia="Arial" w:hAnsi="Arial"/>
          <w:sz w:val="18"/>
          <w:szCs w:val="18"/>
          <w:color w:val="auto"/>
        </w:rPr>
      </w:pPr>
      <w:r>
        <w:rPr>
          <w:rFonts w:ascii="Courier New" w:cs="Courier New" w:eastAsia="Courier New" w:hAnsi="Courier New"/>
          <w:sz w:val="20"/>
          <w:szCs w:val="20"/>
          <w:color w:val="auto"/>
        </w:rPr>
        <w:t xml:space="preserve">o  </w:t>
      </w:r>
      <w:r>
        <w:rPr>
          <w:rFonts w:ascii="Arial" w:cs="Arial" w:eastAsia="Arial" w:hAnsi="Arial"/>
          <w:sz w:val="20"/>
          <w:szCs w:val="20"/>
          <w:color w:val="auto"/>
        </w:rPr>
        <w:t>Prepared segment net sales decreased 14% to $115.8 million</w:t>
      </w:r>
    </w:p>
    <w:p>
      <w:pPr>
        <w:ind w:left="700" w:right="2139" w:hanging="650"/>
        <w:spacing w:after="0" w:line="261" w:lineRule="auto"/>
        <w:tabs>
          <w:tab w:leader="none" w:pos="376"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Gross proft of $25.0 million, compared to $18.5 million for the prior year quarter </w:t>
      </w:r>
      <w:r>
        <w:rPr>
          <w:rFonts w:ascii="Courier New" w:cs="Courier New" w:eastAsia="Courier New" w:hAnsi="Courier New"/>
          <w:sz w:val="18"/>
          <w:szCs w:val="18"/>
          <w:color w:val="auto"/>
        </w:rPr>
        <w:t xml:space="preserve">o </w:t>
      </w:r>
      <w:r>
        <w:rPr>
          <w:rFonts w:ascii="Arial" w:cs="Arial" w:eastAsia="Arial" w:hAnsi="Arial"/>
          <w:sz w:val="18"/>
          <w:szCs w:val="18"/>
          <w:color w:val="auto"/>
        </w:rPr>
        <w:t>Grown segment gross proft increased $9.6 million to $21.4 million</w:t>
      </w:r>
    </w:p>
    <w:p>
      <w:pPr>
        <w:spacing w:after="0" w:line="1" w:lineRule="exact"/>
        <w:rPr>
          <w:rFonts w:ascii="Arial" w:cs="Arial" w:eastAsia="Arial" w:hAnsi="Arial"/>
          <w:sz w:val="18"/>
          <w:szCs w:val="18"/>
          <w:color w:val="auto"/>
        </w:rPr>
      </w:pPr>
    </w:p>
    <w:p>
      <w:pPr>
        <w:ind w:left="700"/>
        <w:spacing w:after="0" w:line="235" w:lineRule="auto"/>
        <w:rPr>
          <w:rFonts w:ascii="Arial" w:cs="Arial" w:eastAsia="Arial" w:hAnsi="Arial"/>
          <w:sz w:val="18"/>
          <w:szCs w:val="18"/>
          <w:color w:val="auto"/>
        </w:rPr>
      </w:pPr>
      <w:r>
        <w:rPr>
          <w:rFonts w:ascii="Courier New" w:cs="Courier New" w:eastAsia="Courier New" w:hAnsi="Courier New"/>
          <w:sz w:val="20"/>
          <w:szCs w:val="20"/>
          <w:color w:val="auto"/>
        </w:rPr>
        <w:t xml:space="preserve">o  </w:t>
      </w:r>
      <w:r>
        <w:rPr>
          <w:rFonts w:ascii="Arial" w:cs="Arial" w:eastAsia="Arial" w:hAnsi="Arial"/>
          <w:sz w:val="20"/>
          <w:szCs w:val="20"/>
          <w:color w:val="auto"/>
        </w:rPr>
        <w:t>Prepared segment gross proft decreased $3.1 million to $3.7 million</w:t>
      </w:r>
    </w:p>
    <w:p>
      <w:pPr>
        <w:ind w:left="380" w:right="539" w:hanging="330"/>
        <w:spacing w:after="0" w:line="249" w:lineRule="auto"/>
        <w:tabs>
          <w:tab w:leader="none" w:pos="380" w:val="left"/>
        </w:tabs>
        <w:numPr>
          <w:ilvl w:val="0"/>
          <w:numId w:val="3"/>
        </w:numPr>
        <w:rPr>
          <w:rFonts w:ascii="Arial" w:cs="Arial" w:eastAsia="Arial" w:hAnsi="Arial"/>
          <w:sz w:val="20"/>
          <w:szCs w:val="20"/>
          <w:color w:val="auto"/>
        </w:rPr>
      </w:pPr>
      <w:r>
        <w:rPr>
          <w:rFonts w:ascii="Arial" w:cs="Arial" w:eastAsia="Arial" w:hAnsi="Arial"/>
          <w:sz w:val="20"/>
          <w:szCs w:val="20"/>
          <w:color w:val="auto"/>
        </w:rPr>
        <w:t>Net income of $6.6 million, or $0.37 per diluted share, compared to $1.3 million, or $0.07 per diluted share, for the same period last year</w:t>
      </w:r>
    </w:p>
    <w:p>
      <w:pPr>
        <w:ind w:left="380" w:right="199" w:hanging="330"/>
        <w:spacing w:after="0" w:line="253" w:lineRule="auto"/>
        <w:tabs>
          <w:tab w:leader="none" w:pos="38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net income of $7.2 million, or $0.41 per diluted share, compared to adjusted net income of $2.9 million, or $0.16 per diluted share for the prior year quarter</w:t>
      </w:r>
    </w:p>
    <w:p>
      <w:pPr>
        <w:spacing w:after="0" w:line="1" w:lineRule="exact"/>
        <w:rPr>
          <w:rFonts w:ascii="Arial" w:cs="Arial" w:eastAsia="Arial" w:hAnsi="Arial"/>
          <w:sz w:val="20"/>
          <w:szCs w:val="20"/>
          <w:color w:val="auto"/>
        </w:rPr>
      </w:pPr>
    </w:p>
    <w:p>
      <w:pPr>
        <w:ind w:left="380" w:hanging="330"/>
        <w:spacing w:after="0"/>
        <w:tabs>
          <w:tab w:leader="none" w:pos="38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EBITDA of $13.8 million compared to $8.1 million for the same period last year</w:t>
      </w:r>
    </w:p>
    <w:p>
      <w:pPr>
        <w:spacing w:after="0" w:line="222" w:lineRule="exact"/>
        <w:rPr>
          <w:sz w:val="20"/>
          <w:szCs w:val="20"/>
          <w:color w:val="auto"/>
        </w:rPr>
      </w:pPr>
    </w:p>
    <w:p>
      <w:pPr>
        <w:ind w:left="60" w:right="159"/>
        <w:spacing w:after="0" w:line="274" w:lineRule="auto"/>
        <w:rPr>
          <w:sz w:val="20"/>
          <w:szCs w:val="20"/>
          <w:color w:val="auto"/>
        </w:rPr>
      </w:pPr>
      <w:r>
        <w:rPr>
          <w:rFonts w:ascii="Arial" w:cs="Arial" w:eastAsia="Arial" w:hAnsi="Arial"/>
          <w:sz w:val="20"/>
          <w:szCs w:val="20"/>
          <w:i w:val="1"/>
          <w:iCs w:val="1"/>
          <w:color w:val="auto"/>
        </w:rPr>
        <w:t>Adjusted net income loss), adjusted net income per diluted share, and adjusted EBITDA are non-GAAP fnancial measures. See “Non-GAAP Financial Measures” below.</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Third Quarter Highlights</w:t>
      </w:r>
    </w:p>
    <w:p>
      <w:pPr>
        <w:spacing w:after="0" w:line="22" w:lineRule="exact"/>
        <w:rPr>
          <w:sz w:val="20"/>
          <w:szCs w:val="20"/>
          <w:color w:val="auto"/>
        </w:rPr>
      </w:pPr>
    </w:p>
    <w:p>
      <w:pPr>
        <w:ind w:left="380" w:hanging="330"/>
        <w:spacing w:after="0"/>
        <w:tabs>
          <w:tab w:leader="none" w:pos="380" w:val="left"/>
        </w:tabs>
        <w:numPr>
          <w:ilvl w:val="0"/>
          <w:numId w:val="4"/>
        </w:numPr>
        <w:rPr>
          <w:rFonts w:ascii="Arial" w:cs="Arial" w:eastAsia="Arial" w:hAnsi="Arial"/>
          <w:sz w:val="20"/>
          <w:szCs w:val="20"/>
          <w:color w:val="auto"/>
        </w:rPr>
      </w:pPr>
      <w:r>
        <w:rPr>
          <w:rFonts w:ascii="Arial" w:cs="Arial" w:eastAsia="Arial" w:hAnsi="Arial"/>
          <w:sz w:val="20"/>
          <w:szCs w:val="20"/>
          <w:color w:val="auto"/>
        </w:rPr>
        <w:t>Avocado margins meaningfully improved sequentally and versus the prior year quarter</w:t>
      </w:r>
    </w:p>
    <w:p>
      <w:pPr>
        <w:spacing w:after="0" w:line="32" w:lineRule="exact"/>
        <w:rPr>
          <w:rFonts w:ascii="Arial" w:cs="Arial" w:eastAsia="Arial" w:hAnsi="Arial"/>
          <w:sz w:val="20"/>
          <w:szCs w:val="20"/>
          <w:color w:val="auto"/>
        </w:rPr>
      </w:pPr>
    </w:p>
    <w:p>
      <w:pPr>
        <w:ind w:left="380" w:right="599" w:hanging="330"/>
        <w:spacing w:after="0" w:line="242" w:lineRule="auto"/>
        <w:tabs>
          <w:tab w:leader="none" w:pos="380" w:val="left"/>
        </w:tabs>
        <w:numPr>
          <w:ilvl w:val="0"/>
          <w:numId w:val="4"/>
        </w:numPr>
        <w:rPr>
          <w:rFonts w:ascii="Arial" w:cs="Arial" w:eastAsia="Arial" w:hAnsi="Arial"/>
          <w:sz w:val="20"/>
          <w:szCs w:val="20"/>
          <w:color w:val="auto"/>
        </w:rPr>
      </w:pPr>
      <w:r>
        <w:rPr>
          <w:rFonts w:ascii="Arial" w:cs="Arial" w:eastAsia="Arial" w:hAnsi="Arial"/>
          <w:sz w:val="20"/>
          <w:szCs w:val="20"/>
          <w:color w:val="auto"/>
        </w:rPr>
        <w:t>Established new credit facility with borrowing capacity of up to $100 million to improve liquidity and fnancial fexibility</w:t>
      </w:r>
    </w:p>
    <w:p>
      <w:pPr>
        <w:ind w:left="380" w:right="499" w:hanging="330"/>
        <w:spacing w:after="0" w:line="253" w:lineRule="auto"/>
        <w:tabs>
          <w:tab w:leader="none" w:pos="380" w:val="left"/>
        </w:tabs>
        <w:numPr>
          <w:ilvl w:val="0"/>
          <w:numId w:val="4"/>
        </w:numPr>
        <w:rPr>
          <w:rFonts w:ascii="Arial" w:cs="Arial" w:eastAsia="Arial" w:hAnsi="Arial"/>
          <w:sz w:val="20"/>
          <w:szCs w:val="20"/>
          <w:color w:val="auto"/>
        </w:rPr>
      </w:pPr>
      <w:r>
        <w:rPr>
          <w:rFonts w:ascii="Arial" w:cs="Arial" w:eastAsia="Arial" w:hAnsi="Arial"/>
          <w:sz w:val="20"/>
          <w:szCs w:val="20"/>
          <w:color w:val="auto"/>
        </w:rPr>
        <w:t>Onboarded new customer volume in Prepared with approximately $0.7 million of start-up costs in the quarter; expect sequental improvement in Prepared in fourth quarter</w:t>
      </w:r>
    </w:p>
    <w:p>
      <w:pPr>
        <w:spacing w:after="0" w:line="1" w:lineRule="exact"/>
        <w:rPr>
          <w:rFonts w:ascii="Arial" w:cs="Arial" w:eastAsia="Arial" w:hAnsi="Arial"/>
          <w:sz w:val="20"/>
          <w:szCs w:val="20"/>
          <w:color w:val="auto"/>
        </w:rPr>
      </w:pPr>
    </w:p>
    <w:p>
      <w:pPr>
        <w:ind w:left="380" w:right="99" w:hanging="330"/>
        <w:spacing w:after="0" w:line="267" w:lineRule="auto"/>
        <w:tabs>
          <w:tab w:leader="none" w:pos="38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Board of Directors declared a quarterly cash dividend of $0.10 per share to be paid on Oct. 11, 2023 to investors of record on Sept. 27, 2023</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Management Commentary</w:t>
      </w:r>
    </w:p>
    <w:p>
      <w:pPr>
        <w:spacing w:after="0" w:line="22" w:lineRule="exact"/>
        <w:rPr>
          <w:sz w:val="20"/>
          <w:szCs w:val="20"/>
          <w:color w:val="auto"/>
        </w:rPr>
      </w:pPr>
    </w:p>
    <w:p>
      <w:pPr>
        <w:ind w:left="60" w:right="399"/>
        <w:spacing w:after="0" w:line="259" w:lineRule="auto"/>
        <w:rPr>
          <w:sz w:val="20"/>
          <w:szCs w:val="20"/>
          <w:color w:val="auto"/>
        </w:rPr>
      </w:pPr>
      <w:r>
        <w:rPr>
          <w:rFonts w:ascii="Arial" w:cs="Arial" w:eastAsia="Arial" w:hAnsi="Arial"/>
          <w:sz w:val="20"/>
          <w:szCs w:val="20"/>
          <w:color w:val="auto"/>
        </w:rPr>
        <w:t>“I am pleased with our performance in the third quarter. We achieved strong avocado margins as we concentrated our eforts on the fundamentals of our fagship avocado business,” said Lee E. Cole, President and Chief Executve Ofcer of Calavo Growers,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351155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20"/>
          <w:szCs w:val="20"/>
          <w:i w:val="1"/>
          <w:iCs w:val="1"/>
          <w:color w:val="auto"/>
        </w:rPr>
        <w:t>Calavo Growers, Inc.</w:t>
      </w:r>
    </w:p>
    <w:p>
      <w:pPr>
        <w:spacing w:after="0" w:line="20" w:lineRule="exact"/>
        <w:rPr>
          <w:sz w:val="20"/>
          <w:szCs w:val="20"/>
          <w:color w:val="auto"/>
        </w:rPr>
      </w:pPr>
    </w:p>
    <w:p>
      <w:pPr>
        <w:ind w:left="60"/>
        <w:spacing w:after="0"/>
        <w:rPr>
          <w:sz w:val="20"/>
          <w:szCs w:val="20"/>
          <w:color w:val="auto"/>
        </w:rPr>
      </w:pPr>
      <w:r>
        <w:rPr>
          <w:rFonts w:ascii="Arial" w:cs="Arial" w:eastAsia="Arial" w:hAnsi="Arial"/>
          <w:sz w:val="20"/>
          <w:szCs w:val="20"/>
          <w:i w:val="1"/>
          <w:iCs w:val="1"/>
          <w:color w:val="auto"/>
        </w:rPr>
        <w:t xml:space="preserve">Page </w:t>
      </w:r>
      <w:r>
        <w:rPr>
          <w:rFonts w:ascii="Arial" w:cs="Arial" w:eastAsia="Arial" w:hAnsi="Arial"/>
          <w:sz w:val="20"/>
          <w:szCs w:val="20"/>
          <w:b w:val="1"/>
          <w:bCs w:val="1"/>
          <w:i w:val="1"/>
          <w:iCs w:val="1"/>
          <w:color w:val="auto"/>
        </w:rPr>
        <w:t>2</w:t>
      </w:r>
      <w:r>
        <w:rPr>
          <w:rFonts w:ascii="Arial" w:cs="Arial" w:eastAsia="Arial" w:hAnsi="Arial"/>
          <w:sz w:val="20"/>
          <w:szCs w:val="20"/>
          <w:i w:val="1"/>
          <w:iCs w:val="1"/>
          <w:color w:val="auto"/>
        </w:rPr>
        <w:t xml:space="preserve"> of </w:t>
      </w:r>
      <w:r>
        <w:rPr>
          <w:rFonts w:ascii="Arial" w:cs="Arial" w:eastAsia="Arial" w:hAnsi="Arial"/>
          <w:sz w:val="20"/>
          <w:szCs w:val="20"/>
          <w:b w:val="1"/>
          <w:bCs w:val="1"/>
          <w:i w:val="1"/>
          <w:iCs w:val="1"/>
          <w:color w:val="auto"/>
        </w:rPr>
        <w:t>11</w:t>
      </w:r>
    </w:p>
    <w:p>
      <w:pPr>
        <w:spacing w:after="0" w:line="200" w:lineRule="exact"/>
        <w:rPr>
          <w:sz w:val="20"/>
          <w:szCs w:val="20"/>
          <w:color w:val="auto"/>
        </w:rPr>
      </w:pPr>
    </w:p>
    <w:p>
      <w:pPr>
        <w:spacing w:after="0" w:line="278" w:lineRule="exact"/>
        <w:rPr>
          <w:sz w:val="20"/>
          <w:szCs w:val="20"/>
          <w:color w:val="auto"/>
        </w:rPr>
      </w:pPr>
    </w:p>
    <w:p>
      <w:pPr>
        <w:ind w:left="60" w:right="79"/>
        <w:spacing w:after="0" w:line="258" w:lineRule="auto"/>
        <w:rPr>
          <w:sz w:val="20"/>
          <w:szCs w:val="20"/>
          <w:color w:val="auto"/>
        </w:rPr>
      </w:pPr>
      <w:r>
        <w:rPr>
          <w:rFonts w:ascii="Arial" w:cs="Arial" w:eastAsia="Arial" w:hAnsi="Arial"/>
          <w:sz w:val="20"/>
          <w:szCs w:val="20"/>
          <w:color w:val="auto"/>
        </w:rPr>
        <w:t>“Our Prepared segment earnings improved sequentally versus the second quarter as we onboarded new customer volume in Fresh Cut, despite some start-up costs. Our Guacamole business contnues to perform well with lower fruit input costs and improved manufacturing efciency. We expect earnings in Prepared to contnue improving in the fourth quarter as we focus on adding volume and making our operatons more efcient,” said Cole.</w:t>
      </w:r>
    </w:p>
    <w:p>
      <w:pPr>
        <w:spacing w:after="0" w:line="195" w:lineRule="exact"/>
        <w:rPr>
          <w:sz w:val="20"/>
          <w:szCs w:val="20"/>
          <w:color w:val="auto"/>
        </w:rPr>
      </w:pPr>
    </w:p>
    <w:p>
      <w:pPr>
        <w:ind w:left="60" w:right="199"/>
        <w:spacing w:after="0" w:line="264" w:lineRule="auto"/>
        <w:rPr>
          <w:sz w:val="20"/>
          <w:szCs w:val="20"/>
          <w:color w:val="auto"/>
        </w:rPr>
      </w:pPr>
      <w:r>
        <w:rPr>
          <w:rFonts w:ascii="Arial" w:cs="Arial" w:eastAsia="Arial" w:hAnsi="Arial"/>
          <w:sz w:val="20"/>
          <w:szCs w:val="20"/>
          <w:color w:val="auto"/>
        </w:rPr>
        <w:t>“I am happy to be back at Calavo, leading the company that I helped to build. Going forward, we will remain focused on executon across the portolio, and we remain confdent in the long-term earnings potental of the company.”</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Third Quarter 2023 Consolidated Financial Review</w:t>
      </w:r>
    </w:p>
    <w:p>
      <w:pPr>
        <w:spacing w:after="0" w:line="22" w:lineRule="exact"/>
        <w:rPr>
          <w:sz w:val="20"/>
          <w:szCs w:val="20"/>
          <w:color w:val="auto"/>
        </w:rPr>
      </w:pPr>
    </w:p>
    <w:p>
      <w:pPr>
        <w:ind w:left="60" w:right="199"/>
        <w:spacing w:after="0" w:line="275" w:lineRule="auto"/>
        <w:rPr>
          <w:sz w:val="20"/>
          <w:szCs w:val="20"/>
          <w:color w:val="auto"/>
        </w:rPr>
      </w:pPr>
      <w:r>
        <w:rPr>
          <w:rFonts w:ascii="Arial" w:cs="Arial" w:eastAsia="Arial" w:hAnsi="Arial"/>
          <w:sz w:val="19"/>
          <w:szCs w:val="19"/>
          <w:color w:val="auto"/>
        </w:rPr>
        <w:t>Total net sales for the third quarter 2023 was $259.9 million, compared to $342.0 million for the third quarter 2022, a decline of 24%. Grown segment sales decreased 30% and Prepared segment sales decreased 14%. Total company avocado volumes rose approximately 5% versus the prior year period while the average selling price of avocados in the Grown segment decreased by approximately 38%.</w:t>
      </w:r>
    </w:p>
    <w:p>
      <w:pPr>
        <w:spacing w:after="0" w:line="177" w:lineRule="exact"/>
        <w:rPr>
          <w:sz w:val="20"/>
          <w:szCs w:val="20"/>
          <w:color w:val="auto"/>
        </w:rPr>
      </w:pPr>
    </w:p>
    <w:p>
      <w:pPr>
        <w:ind w:left="60" w:right="219"/>
        <w:spacing w:after="0" w:line="274" w:lineRule="auto"/>
        <w:rPr>
          <w:sz w:val="20"/>
          <w:szCs w:val="20"/>
          <w:color w:val="auto"/>
        </w:rPr>
      </w:pPr>
      <w:r>
        <w:rPr>
          <w:rFonts w:ascii="Arial" w:cs="Arial" w:eastAsia="Arial" w:hAnsi="Arial"/>
          <w:sz w:val="20"/>
          <w:szCs w:val="20"/>
          <w:color w:val="auto"/>
        </w:rPr>
        <w:t>Gross proft for the third quarter was $25.0 million, or 9.6% of net sales, compared to $18.5 million and 5.4%, respectvely, for the same period last year.</w:t>
      </w:r>
    </w:p>
    <w:p>
      <w:pPr>
        <w:spacing w:after="0" w:line="177" w:lineRule="exact"/>
        <w:rPr>
          <w:sz w:val="20"/>
          <w:szCs w:val="20"/>
          <w:color w:val="auto"/>
        </w:rPr>
      </w:pPr>
    </w:p>
    <w:p>
      <w:pPr>
        <w:ind w:left="60" w:right="139"/>
        <w:spacing w:after="0" w:line="260" w:lineRule="auto"/>
        <w:rPr>
          <w:sz w:val="20"/>
          <w:szCs w:val="20"/>
          <w:color w:val="auto"/>
        </w:rPr>
      </w:pPr>
      <w:r>
        <w:rPr>
          <w:rFonts w:ascii="Arial" w:cs="Arial" w:eastAsia="Arial" w:hAnsi="Arial"/>
          <w:sz w:val="20"/>
          <w:szCs w:val="20"/>
          <w:color w:val="auto"/>
        </w:rPr>
        <w:t>Selling, general and administratve (SG&amp;A) expenses for the third quarter totaled $17.8 million, or 6.9% of net sales, compared to $16.7 million and 4.9% of net sales for the same period last year. The increase from the prior year quarter was related to higher incentve compensaton accruals and management restructuring costs ofset by lower outside service expenses.</w:t>
      </w:r>
    </w:p>
    <w:p>
      <w:pPr>
        <w:spacing w:after="0" w:line="191" w:lineRule="exact"/>
        <w:rPr>
          <w:sz w:val="20"/>
          <w:szCs w:val="20"/>
          <w:color w:val="auto"/>
        </w:rPr>
      </w:pPr>
    </w:p>
    <w:p>
      <w:pPr>
        <w:ind w:left="60" w:right="419"/>
        <w:spacing w:after="0" w:line="274" w:lineRule="auto"/>
        <w:rPr>
          <w:sz w:val="20"/>
          <w:szCs w:val="20"/>
          <w:color w:val="auto"/>
        </w:rPr>
      </w:pPr>
      <w:r>
        <w:rPr>
          <w:rFonts w:ascii="Arial" w:cs="Arial" w:eastAsia="Arial" w:hAnsi="Arial"/>
          <w:sz w:val="20"/>
          <w:szCs w:val="20"/>
          <w:color w:val="auto"/>
        </w:rPr>
        <w:t>Net proft for the third quarter was $6.6 million, or $0.37 per share. This compares with a net proft of $1.3 million, or $0.07 per diluted share, for the same period last year.</w:t>
      </w:r>
    </w:p>
    <w:p>
      <w:pPr>
        <w:spacing w:after="0" w:line="177" w:lineRule="exact"/>
        <w:rPr>
          <w:sz w:val="20"/>
          <w:szCs w:val="20"/>
          <w:color w:val="auto"/>
        </w:rPr>
      </w:pPr>
    </w:p>
    <w:p>
      <w:pPr>
        <w:ind w:left="60" w:right="379"/>
        <w:spacing w:after="0" w:line="274" w:lineRule="auto"/>
        <w:rPr>
          <w:sz w:val="20"/>
          <w:szCs w:val="20"/>
          <w:color w:val="auto"/>
        </w:rPr>
      </w:pPr>
      <w:r>
        <w:rPr>
          <w:rFonts w:ascii="Arial" w:cs="Arial" w:eastAsia="Arial" w:hAnsi="Arial"/>
          <w:sz w:val="20"/>
          <w:szCs w:val="20"/>
          <w:color w:val="auto"/>
        </w:rPr>
        <w:t>Adjusted net income was $7.2 million, or $0.41 per diluted share, compared to adjusted net income of $2.9 million, or $0.16 per diluted share last year.</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20"/>
          <w:szCs w:val="20"/>
          <w:color w:val="auto"/>
        </w:rPr>
        <w:t>Adjusted EBITDA was $13.8 million compared to $8.1 million for the same period last year.</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Balance Sheet and Liquidity</w:t>
      </w:r>
    </w:p>
    <w:p>
      <w:pPr>
        <w:spacing w:after="0" w:line="22" w:lineRule="exact"/>
        <w:rPr>
          <w:sz w:val="20"/>
          <w:szCs w:val="20"/>
          <w:color w:val="auto"/>
        </w:rPr>
      </w:pPr>
    </w:p>
    <w:p>
      <w:pPr>
        <w:ind w:left="60" w:right="279"/>
        <w:spacing w:after="0" w:line="257" w:lineRule="auto"/>
        <w:rPr>
          <w:sz w:val="20"/>
          <w:szCs w:val="20"/>
          <w:color w:val="auto"/>
        </w:rPr>
      </w:pPr>
      <w:r>
        <w:rPr>
          <w:rFonts w:ascii="Arial" w:cs="Arial" w:eastAsia="Arial" w:hAnsi="Arial"/>
          <w:sz w:val="20"/>
          <w:szCs w:val="20"/>
          <w:color w:val="auto"/>
        </w:rPr>
        <w:t>The company ended the quarter with $47.1 million of total debt, which included $40.2 million of borrowings under its credit facility and $6.9 million of other long-term obligatons and fnance leases. Cash and cash equivalents, including restricted cash, totaled $2.2 million, and the company had $43.1 million of available liquidity as of July 31, 2023.</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Segment Performance</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20"/>
          <w:szCs w:val="20"/>
          <w:i w:val="1"/>
          <w:iCs w:val="1"/>
          <w:color w:val="auto"/>
        </w:rPr>
        <w:t>Grown</w:t>
      </w:r>
    </w:p>
    <w:p>
      <w:pPr>
        <w:spacing w:after="0" w:line="11" w:lineRule="exact"/>
        <w:rPr>
          <w:sz w:val="20"/>
          <w:szCs w:val="20"/>
          <w:color w:val="auto"/>
        </w:rPr>
      </w:pPr>
    </w:p>
    <w:p>
      <w:pPr>
        <w:ind w:left="60" w:right="319"/>
        <w:spacing w:after="0" w:line="287" w:lineRule="auto"/>
        <w:rPr>
          <w:sz w:val="20"/>
          <w:szCs w:val="20"/>
          <w:color w:val="auto"/>
        </w:rPr>
      </w:pPr>
      <w:r>
        <w:rPr>
          <w:rFonts w:ascii="Arial" w:cs="Arial" w:eastAsia="Arial" w:hAnsi="Arial"/>
          <w:sz w:val="18"/>
          <w:szCs w:val="18"/>
          <w:color w:val="auto"/>
        </w:rPr>
        <w:t>Grown segment gross proft improved $9.6 million from the prior year quarter to $21.4 million. The improvement was driven primarily by strong avocado margins, which improved through enhanced focus on operatonal executon and customer service. Margins improved compared to the prior year quarter despite avocado sales prices that were approximately 38% below the prior year quarter. Although avocado prices declined in the quarter compared to the prior year, prices increased sequentally compared to the second quarter and rose progressively during the third quarter. Calavo’s third quarter avocado volume increased 5% versus the prior year, led by increased volumes from Mexico. According to industry data, industry avocado volume in the U.S. was up 11% in the quarter compared to the prior year. The increase was driven by a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339725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20"/>
          <w:szCs w:val="20"/>
          <w:i w:val="1"/>
          <w:iCs w:val="1"/>
          <w:color w:val="auto"/>
        </w:rPr>
        <w:t>Calavo Growers, Inc.</w:t>
      </w:r>
    </w:p>
    <w:p>
      <w:pPr>
        <w:spacing w:after="0" w:line="20" w:lineRule="exact"/>
        <w:rPr>
          <w:sz w:val="20"/>
          <w:szCs w:val="20"/>
          <w:color w:val="auto"/>
        </w:rPr>
      </w:pPr>
    </w:p>
    <w:p>
      <w:pPr>
        <w:ind w:left="60"/>
        <w:spacing w:after="0"/>
        <w:rPr>
          <w:sz w:val="20"/>
          <w:szCs w:val="20"/>
          <w:color w:val="auto"/>
        </w:rPr>
      </w:pPr>
      <w:r>
        <w:rPr>
          <w:rFonts w:ascii="Arial" w:cs="Arial" w:eastAsia="Arial" w:hAnsi="Arial"/>
          <w:sz w:val="20"/>
          <w:szCs w:val="20"/>
          <w:i w:val="1"/>
          <w:iCs w:val="1"/>
          <w:color w:val="auto"/>
        </w:rPr>
        <w:t xml:space="preserve">Page </w:t>
      </w:r>
      <w:r>
        <w:rPr>
          <w:rFonts w:ascii="Arial" w:cs="Arial" w:eastAsia="Arial" w:hAnsi="Arial"/>
          <w:sz w:val="20"/>
          <w:szCs w:val="20"/>
          <w:b w:val="1"/>
          <w:bCs w:val="1"/>
          <w:i w:val="1"/>
          <w:iCs w:val="1"/>
          <w:color w:val="auto"/>
        </w:rPr>
        <w:t>3</w:t>
      </w:r>
      <w:r>
        <w:rPr>
          <w:rFonts w:ascii="Arial" w:cs="Arial" w:eastAsia="Arial" w:hAnsi="Arial"/>
          <w:sz w:val="20"/>
          <w:szCs w:val="20"/>
          <w:i w:val="1"/>
          <w:iCs w:val="1"/>
          <w:color w:val="auto"/>
        </w:rPr>
        <w:t xml:space="preserve"> of </w:t>
      </w:r>
      <w:r>
        <w:rPr>
          <w:rFonts w:ascii="Arial" w:cs="Arial" w:eastAsia="Arial" w:hAnsi="Arial"/>
          <w:sz w:val="20"/>
          <w:szCs w:val="20"/>
          <w:b w:val="1"/>
          <w:bCs w:val="1"/>
          <w:i w:val="1"/>
          <w:iCs w:val="1"/>
          <w:color w:val="auto"/>
        </w:rPr>
        <w:t>11</w:t>
      </w:r>
    </w:p>
    <w:p>
      <w:pPr>
        <w:spacing w:after="0" w:line="200" w:lineRule="exact"/>
        <w:rPr>
          <w:sz w:val="20"/>
          <w:szCs w:val="20"/>
          <w:color w:val="auto"/>
        </w:rPr>
      </w:pPr>
    </w:p>
    <w:p>
      <w:pPr>
        <w:spacing w:after="0" w:line="278" w:lineRule="exact"/>
        <w:rPr>
          <w:sz w:val="20"/>
          <w:szCs w:val="20"/>
          <w:color w:val="auto"/>
        </w:rPr>
      </w:pPr>
    </w:p>
    <w:p>
      <w:pPr>
        <w:jc w:val="both"/>
        <w:ind w:left="60" w:right="319"/>
        <w:spacing w:after="0" w:line="264" w:lineRule="auto"/>
        <w:rPr>
          <w:sz w:val="20"/>
          <w:szCs w:val="20"/>
          <w:color w:val="auto"/>
        </w:rPr>
      </w:pPr>
      <w:r>
        <w:rPr>
          <w:rFonts w:ascii="Arial" w:cs="Arial" w:eastAsia="Arial" w:hAnsi="Arial"/>
          <w:sz w:val="20"/>
          <w:szCs w:val="20"/>
          <w:color w:val="auto"/>
        </w:rPr>
        <w:t>increase in Mexico volume, given low fruit supply in the prior year, that was partally ofset by lower imports from Peru. Looking ahead, we will maintain our sharp focus on avocado margin management and customer service.</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20"/>
          <w:szCs w:val="20"/>
          <w:i w:val="1"/>
          <w:iCs w:val="1"/>
          <w:color w:val="auto"/>
        </w:rPr>
        <w:t>Prepared</w:t>
      </w:r>
    </w:p>
    <w:p>
      <w:pPr>
        <w:spacing w:after="0" w:line="20" w:lineRule="exact"/>
        <w:rPr>
          <w:sz w:val="20"/>
          <w:szCs w:val="20"/>
          <w:color w:val="auto"/>
        </w:rPr>
      </w:pPr>
    </w:p>
    <w:p>
      <w:pPr>
        <w:ind w:left="60" w:right="79"/>
        <w:spacing w:after="0" w:line="285" w:lineRule="auto"/>
        <w:rPr>
          <w:sz w:val="20"/>
          <w:szCs w:val="20"/>
          <w:color w:val="auto"/>
        </w:rPr>
      </w:pPr>
      <w:r>
        <w:rPr>
          <w:rFonts w:ascii="Arial" w:cs="Arial" w:eastAsia="Arial" w:hAnsi="Arial"/>
          <w:sz w:val="18"/>
          <w:szCs w:val="18"/>
          <w:color w:val="auto"/>
        </w:rPr>
        <w:t>Prepared segment gross proft declined $3.1 million from the prior year to $3.7 million, consistng of an $8.1 million gross proft decline in the Fresh Cut division, partally ofset by a $5.0 million increase in the Guacamole division. Fresh Cut gross proft declined primarily due to sofer volume and higher input costs. Syndicated retail data indicates that fscal year-to-date unit sales remain down for produce categories while dollar sales are up. Unit sales for the deli category are about fat while dollar sales are up. Fresh Cut gross proft was down on a year ago basis but improved sequentally versus the second quarter. The quarter included about $0.7 million of start-up expenses associated with the onboarding of a large natonal account customer. Although there is stll work to do to increase volume and stabilize margins, Fresh Cut margins are expected to improve in the fourth quarter as we realize performance approximately in line with that achieved toward the end of the third quarter. Gross proft in the Guacamole division improved compared to the prior year due to signifcantly lower fruit input costs and improved manufacturing efciencies.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Outlook</w:t>
      </w:r>
    </w:p>
    <w:p>
      <w:pPr>
        <w:spacing w:after="0" w:line="22" w:lineRule="exact"/>
        <w:rPr>
          <w:sz w:val="20"/>
          <w:szCs w:val="20"/>
          <w:color w:val="auto"/>
        </w:rPr>
      </w:pPr>
    </w:p>
    <w:p>
      <w:pPr>
        <w:ind w:left="60" w:right="459"/>
        <w:spacing w:after="0" w:line="265" w:lineRule="auto"/>
        <w:rPr>
          <w:sz w:val="20"/>
          <w:szCs w:val="20"/>
          <w:color w:val="auto"/>
        </w:rPr>
      </w:pPr>
      <w:r>
        <w:rPr>
          <w:rFonts w:ascii="Arial" w:cs="Arial" w:eastAsia="Arial" w:hAnsi="Arial"/>
          <w:sz w:val="20"/>
          <w:szCs w:val="20"/>
          <w:color w:val="auto"/>
        </w:rPr>
        <w:t>We expect fourth quarter gross proft in Grown to exceed prior year levels. We expect fourth quarter gross proft in Prepared to increase sequentally led by improvements in Fresh Cut.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Non-GAAP Financial Measures</w:t>
      </w:r>
    </w:p>
    <w:p>
      <w:pPr>
        <w:spacing w:after="0" w:line="22" w:lineRule="exact"/>
        <w:rPr>
          <w:sz w:val="20"/>
          <w:szCs w:val="20"/>
          <w:color w:val="auto"/>
        </w:rPr>
      </w:pPr>
    </w:p>
    <w:p>
      <w:pPr>
        <w:ind w:left="60" w:right="559"/>
        <w:spacing w:after="0" w:line="259" w:lineRule="auto"/>
        <w:rPr>
          <w:sz w:val="20"/>
          <w:szCs w:val="20"/>
          <w:color w:val="auto"/>
        </w:rPr>
      </w:pPr>
      <w:r>
        <w:rPr>
          <w:rFonts w:ascii="Arial" w:cs="Arial" w:eastAsia="Arial" w:hAnsi="Arial"/>
          <w:sz w:val="20"/>
          <w:szCs w:val="20"/>
          <w:color w:val="auto"/>
        </w:rPr>
        <w:t>This press release includes non-GAAP measures EBITDA, adjusted EBITDA, adjusted net income (loss) and adjusted net income (loss) per diluted share, which are not prepared in accordance with U.S. generally accepted accountng principles, or “GAAP.”</w:t>
      </w:r>
    </w:p>
    <w:p>
      <w:pPr>
        <w:spacing w:after="0" w:line="191" w:lineRule="exact"/>
        <w:rPr>
          <w:sz w:val="20"/>
          <w:szCs w:val="20"/>
          <w:color w:val="auto"/>
        </w:rPr>
      </w:pPr>
    </w:p>
    <w:p>
      <w:pPr>
        <w:ind w:left="60" w:right="279"/>
        <w:spacing w:after="0" w:line="283" w:lineRule="auto"/>
        <w:rPr>
          <w:sz w:val="20"/>
          <w:szCs w:val="20"/>
          <w:color w:val="auto"/>
        </w:rPr>
      </w:pPr>
      <w:r>
        <w:rPr>
          <w:rFonts w:ascii="Arial" w:cs="Arial" w:eastAsia="Arial" w:hAnsi="Arial"/>
          <w:sz w:val="18"/>
          <w:szCs w:val="18"/>
          <w:color w:val="auto"/>
        </w:rPr>
        <w:t>EBITDA is defned as net income (loss) atributable to Calavo Growers, Inc. excluding (1) interest income and expense, (2) income tax (beneft) provision, (3) depreciaton and amortzaton and (4) stock-based compensaton expense. Adjusted EBITDA is EBITDA with further adjustments for (1) non-cash net losses (income) recognized from unconsolidated enttes, (2) goodwill impairment, (3) write-of of long-lived assets,</w:t>
      </w:r>
    </w:p>
    <w:p>
      <w:pPr>
        <w:spacing w:after="0" w:line="3" w:lineRule="exact"/>
        <w:rPr>
          <w:sz w:val="20"/>
          <w:szCs w:val="20"/>
          <w:color w:val="auto"/>
        </w:rPr>
      </w:pPr>
    </w:p>
    <w:p>
      <w:pPr>
        <w:ind w:left="60" w:right="219" w:hanging="10"/>
        <w:spacing w:after="0" w:line="288" w:lineRule="auto"/>
        <w:tabs>
          <w:tab w:leader="none" w:pos="325"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acquisiton-related costs, (5) restructuring-related costs, including certain severance costs, (6) certain litgaton and other related costs, and (7) one-tme items. Adjusted EBITDA is a primary metric by which management evaluates the operatng performance of the business, on which certain operatng expenditures and internal budgets are based. Additonally, the Company’s senior management is compensated in part on the basis of Adjusted EBITDA. The adjustments to calculate EBITDA and adjusted EBITDA are items recognized and recorded under GAAP in partcular periods but might be viewed as not necessarily coinciding with the underlying business operatons for the periods in which they are so recognized and recorded.</w:t>
      </w:r>
    </w:p>
    <w:p>
      <w:pPr>
        <w:spacing w:after="0" w:line="171" w:lineRule="exact"/>
        <w:rPr>
          <w:sz w:val="20"/>
          <w:szCs w:val="20"/>
          <w:color w:val="auto"/>
        </w:rPr>
      </w:pPr>
    </w:p>
    <w:p>
      <w:pPr>
        <w:ind w:left="60" w:right="119"/>
        <w:spacing w:after="0" w:line="286" w:lineRule="auto"/>
        <w:rPr>
          <w:sz w:val="20"/>
          <w:szCs w:val="20"/>
          <w:color w:val="auto"/>
        </w:rPr>
      </w:pPr>
      <w:r>
        <w:rPr>
          <w:rFonts w:ascii="Arial" w:cs="Arial" w:eastAsia="Arial" w:hAnsi="Arial"/>
          <w:sz w:val="18"/>
          <w:szCs w:val="18"/>
          <w:color w:val="auto"/>
        </w:rPr>
        <w:t>Adjusted net income is defned as net income (loss) atributable to Calavo Growers, Inc. excluding (1) non-cash net losses recognized from unconsolidated enttes, (2) goodwill impairment, (3) write-of of long-lived assets,</w:t>
      </w:r>
    </w:p>
    <w:p>
      <w:pPr>
        <w:ind w:left="60" w:right="199" w:hanging="10"/>
        <w:spacing w:after="0" w:line="258" w:lineRule="auto"/>
        <w:tabs>
          <w:tab w:leader="none" w:pos="325" w:val="left"/>
        </w:tabs>
        <w:numPr>
          <w:ilvl w:val="0"/>
          <w:numId w:val="6"/>
        </w:numPr>
        <w:rPr>
          <w:rFonts w:ascii="Arial" w:cs="Arial" w:eastAsia="Arial" w:hAnsi="Arial"/>
          <w:sz w:val="20"/>
          <w:szCs w:val="20"/>
          <w:color w:val="auto"/>
        </w:rPr>
      </w:pPr>
      <w:r>
        <w:rPr>
          <w:rFonts w:ascii="Arial" w:cs="Arial" w:eastAsia="Arial" w:hAnsi="Arial"/>
          <w:sz w:val="20"/>
          <w:szCs w:val="20"/>
          <w:color w:val="auto"/>
        </w:rPr>
        <w:t>acquisiton-related costs, (5) restructuring-related costs, including certain severance costs, (6) certain litgaton and other related costs, and (7) one-tme items. Adjusted net income (loss) and the related measure of adjusted net income (loss) per diluted share exclude certain items that are recognized and recorded under GAAP in partcular periods but might be viewed as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20"/>
          <w:szCs w:val="20"/>
          <w:i w:val="1"/>
          <w:iCs w:val="1"/>
          <w:color w:val="auto"/>
        </w:rPr>
        <w:t>Calavo Growers, Inc.</w:t>
      </w:r>
    </w:p>
    <w:p>
      <w:pPr>
        <w:spacing w:after="0" w:line="20" w:lineRule="exact"/>
        <w:rPr>
          <w:sz w:val="20"/>
          <w:szCs w:val="20"/>
          <w:color w:val="auto"/>
        </w:rPr>
      </w:pPr>
    </w:p>
    <w:p>
      <w:pPr>
        <w:ind w:left="60"/>
        <w:spacing w:after="0"/>
        <w:rPr>
          <w:sz w:val="20"/>
          <w:szCs w:val="20"/>
          <w:color w:val="auto"/>
        </w:rPr>
      </w:pPr>
      <w:r>
        <w:rPr>
          <w:rFonts w:ascii="Arial" w:cs="Arial" w:eastAsia="Arial" w:hAnsi="Arial"/>
          <w:sz w:val="20"/>
          <w:szCs w:val="20"/>
          <w:i w:val="1"/>
          <w:iCs w:val="1"/>
          <w:color w:val="auto"/>
        </w:rPr>
        <w:t xml:space="preserve">Page </w:t>
      </w:r>
      <w:r>
        <w:rPr>
          <w:rFonts w:ascii="Arial" w:cs="Arial" w:eastAsia="Arial" w:hAnsi="Arial"/>
          <w:sz w:val="20"/>
          <w:szCs w:val="20"/>
          <w:b w:val="1"/>
          <w:bCs w:val="1"/>
          <w:i w:val="1"/>
          <w:iCs w:val="1"/>
          <w:color w:val="auto"/>
        </w:rPr>
        <w:t>4</w:t>
      </w:r>
      <w:r>
        <w:rPr>
          <w:rFonts w:ascii="Arial" w:cs="Arial" w:eastAsia="Arial" w:hAnsi="Arial"/>
          <w:sz w:val="20"/>
          <w:szCs w:val="20"/>
          <w:i w:val="1"/>
          <w:iCs w:val="1"/>
          <w:color w:val="auto"/>
        </w:rPr>
        <w:t xml:space="preserve"> of </w:t>
      </w:r>
      <w:r>
        <w:rPr>
          <w:rFonts w:ascii="Arial" w:cs="Arial" w:eastAsia="Arial" w:hAnsi="Arial"/>
          <w:sz w:val="20"/>
          <w:szCs w:val="20"/>
          <w:b w:val="1"/>
          <w:bCs w:val="1"/>
          <w:i w:val="1"/>
          <w:iCs w:val="1"/>
          <w:color w:val="auto"/>
        </w:rPr>
        <w:t>11</w:t>
      </w:r>
    </w:p>
    <w:p>
      <w:pPr>
        <w:spacing w:after="0" w:line="200" w:lineRule="exact"/>
        <w:rPr>
          <w:sz w:val="20"/>
          <w:szCs w:val="20"/>
          <w:color w:val="auto"/>
        </w:rPr>
      </w:pPr>
    </w:p>
    <w:p>
      <w:pPr>
        <w:spacing w:after="0" w:line="278" w:lineRule="exact"/>
        <w:rPr>
          <w:sz w:val="20"/>
          <w:szCs w:val="20"/>
          <w:color w:val="auto"/>
        </w:rPr>
      </w:pPr>
    </w:p>
    <w:p>
      <w:pPr>
        <w:ind w:left="60" w:right="79"/>
        <w:spacing w:after="0" w:line="260" w:lineRule="auto"/>
        <w:rPr>
          <w:sz w:val="20"/>
          <w:szCs w:val="20"/>
          <w:color w:val="auto"/>
        </w:rPr>
      </w:pPr>
      <w:r>
        <w:rPr>
          <w:rFonts w:ascii="Arial" w:cs="Arial" w:eastAsia="Arial" w:hAnsi="Arial"/>
          <w:sz w:val="20"/>
          <w:szCs w:val="20"/>
          <w:color w:val="auto"/>
        </w:rPr>
        <w:t>necessarily coinciding with the underlying business operatons for the periods in which they are so recognized and recorded. We believe adjusted net income (loss) afords investors a diferent view of the overall fnancial performance of the Company than adjusted EBITDA and the GAAP measure of net income (loss) atributable to Calavo Growers, Inc.</w:t>
      </w:r>
    </w:p>
    <w:p>
      <w:pPr>
        <w:spacing w:after="0" w:line="191" w:lineRule="exact"/>
        <w:rPr>
          <w:sz w:val="20"/>
          <w:szCs w:val="20"/>
          <w:color w:val="auto"/>
        </w:rPr>
      </w:pPr>
    </w:p>
    <w:p>
      <w:pPr>
        <w:ind w:left="60" w:right="179"/>
        <w:spacing w:after="0" w:line="274" w:lineRule="auto"/>
        <w:rPr>
          <w:sz w:val="20"/>
          <w:szCs w:val="20"/>
          <w:color w:val="auto"/>
        </w:rPr>
      </w:pPr>
      <w:r>
        <w:rPr>
          <w:rFonts w:ascii="Arial" w:cs="Arial" w:eastAsia="Arial" w:hAnsi="Arial"/>
          <w:sz w:val="20"/>
          <w:szCs w:val="20"/>
          <w:color w:val="auto"/>
        </w:rPr>
        <w:t>Reconciliatons of non-GAAP fnancial measures to the most directly comparable GAAP fnancial measures are provided in the fnancial tables below.</w:t>
      </w:r>
    </w:p>
    <w:p>
      <w:pPr>
        <w:spacing w:after="0" w:line="177" w:lineRule="exact"/>
        <w:rPr>
          <w:sz w:val="20"/>
          <w:szCs w:val="20"/>
          <w:color w:val="auto"/>
        </w:rPr>
      </w:pPr>
    </w:p>
    <w:p>
      <w:pPr>
        <w:ind w:left="60" w:right="79"/>
        <w:spacing w:after="0" w:line="257" w:lineRule="auto"/>
        <w:rPr>
          <w:sz w:val="20"/>
          <w:szCs w:val="20"/>
          <w:color w:val="auto"/>
        </w:rPr>
      </w:pPr>
      <w:r>
        <w:rPr>
          <w:rFonts w:ascii="Arial" w:cs="Arial" w:eastAsia="Arial" w:hAnsi="Arial"/>
          <w:sz w:val="20"/>
          <w:szCs w:val="20"/>
          <w:color w:val="auto"/>
        </w:rPr>
        <w:t>Items are considered one-tme in nature if they are non-recurring, infrequent or unusual and have not occurred in the past two years or are not expected to recur in the next two years, in accordance with SEC rules. Non-GAAP informaton should be considered as supplemental in nature and not as a substtute for, or superior to, any measure of performance prepared in accordance with GAAP. None of these metrics are presented as measures of liquidity. The way the Company measures EBITDA and adjusted EBITDA may not be comparable to similarly ttled measures presented by other companies and may not be identcal to corresponding measures used in Company agreements.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About Calavo Growers, Inc.</w:t>
      </w:r>
    </w:p>
    <w:p>
      <w:pPr>
        <w:spacing w:after="0" w:line="22" w:lineRule="exact"/>
        <w:rPr>
          <w:sz w:val="20"/>
          <w:szCs w:val="20"/>
          <w:color w:val="auto"/>
        </w:rPr>
      </w:pPr>
    </w:p>
    <w:p>
      <w:pPr>
        <w:ind w:left="60" w:right="239"/>
        <w:spacing w:after="0" w:line="301" w:lineRule="auto"/>
        <w:rPr>
          <w:sz w:val="20"/>
          <w:szCs w:val="20"/>
          <w:color w:val="auto"/>
        </w:rPr>
      </w:pPr>
      <w:r>
        <w:rPr>
          <w:rFonts w:ascii="Arial" w:cs="Arial" w:eastAsia="Arial" w:hAnsi="Arial"/>
          <w:sz w:val="18"/>
          <w:szCs w:val="18"/>
          <w:color w:val="auto"/>
        </w:rPr>
        <w:t>Calavo Growers, Inc. (Nasdaq: CVGW) is a global leader in quality produce, including avocados, tomatoes and papayas, and a pioneer of healthy fresh-cut fruit, vegetables and prepared foods. Calavo products are sold under the trusted Calavo brand name, proprietary sub-brands, private label and store brands.</w:t>
      </w:r>
    </w:p>
    <w:p>
      <w:pPr>
        <w:spacing w:after="0" w:line="157" w:lineRule="exact"/>
        <w:rPr>
          <w:sz w:val="20"/>
          <w:szCs w:val="20"/>
          <w:color w:val="auto"/>
        </w:rPr>
      </w:pPr>
    </w:p>
    <w:p>
      <w:pPr>
        <w:ind w:left="60" w:right="99"/>
        <w:spacing w:after="0" w:line="298" w:lineRule="auto"/>
        <w:rPr>
          <w:sz w:val="20"/>
          <w:szCs w:val="20"/>
          <w:color w:val="auto"/>
        </w:rPr>
      </w:pPr>
      <w:r>
        <w:rPr>
          <w:rFonts w:ascii="Arial" w:cs="Arial" w:eastAsia="Arial" w:hAnsi="Arial"/>
          <w:sz w:val="18"/>
          <w:szCs w:val="18"/>
          <w:color w:val="auto"/>
        </w:rPr>
        <w:t xml:space="preserve">Founded in 1924, Calavo has a rich culture of innovaton, sustainable practces and market growth. The company serves retail grocery, foodservice, club stores, mass merchandisers, food distributors and wholesalers worldwide. Calavo is headquartered in Santa Paula, California, with processing plants and packing facilites throughout the U.S. and Mexico. Learn more about </w:t>
      </w:r>
      <w:r>
        <w:rPr>
          <w:rFonts w:ascii="Arial" w:cs="Arial" w:eastAsia="Arial" w:hAnsi="Arial"/>
          <w:sz w:val="18"/>
          <w:szCs w:val="18"/>
          <w:i w:val="1"/>
          <w:iCs w:val="1"/>
          <w:color w:val="auto"/>
        </w:rPr>
        <w:t>The Family of Fresh™</w:t>
      </w:r>
      <w:r>
        <w:rPr>
          <w:rFonts w:ascii="Arial" w:cs="Arial" w:eastAsia="Arial" w:hAnsi="Arial"/>
          <w:sz w:val="18"/>
          <w:szCs w:val="18"/>
          <w:color w:val="auto"/>
        </w:rPr>
        <w:t xml:space="preserve"> at </w:t>
      </w:r>
      <w:r>
        <w:rPr>
          <w:rFonts w:ascii="Arial" w:cs="Arial" w:eastAsia="Arial" w:hAnsi="Arial"/>
          <w:sz w:val="18"/>
          <w:szCs w:val="18"/>
          <w:u w:val="single" w:color="auto"/>
          <w:color w:val="auto"/>
        </w:rPr>
        <w:t>calavo.com</w:t>
      </w:r>
      <w:r>
        <w:rPr>
          <w:rFonts w:ascii="Arial" w:cs="Arial" w:eastAsia="Arial" w:hAnsi="Arial"/>
          <w:sz w:val="18"/>
          <w:szCs w:val="18"/>
          <w:color w:val="auto"/>
        </w:rPr>
        <w:t>.</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20"/>
          <w:szCs w:val="20"/>
          <w:color w:val="auto"/>
        </w:rPr>
        <w:t>Safe Harbor Statement</w:t>
      </w:r>
    </w:p>
    <w:p>
      <w:pPr>
        <w:spacing w:after="0" w:line="20" w:lineRule="exact"/>
        <w:rPr>
          <w:sz w:val="20"/>
          <w:szCs w:val="20"/>
          <w:color w:val="auto"/>
        </w:rPr>
      </w:pPr>
    </w:p>
    <w:p>
      <w:pPr>
        <w:ind w:left="60" w:right="99"/>
        <w:spacing w:after="0" w:line="268" w:lineRule="auto"/>
        <w:rPr>
          <w:sz w:val="20"/>
          <w:szCs w:val="20"/>
          <w:color w:val="auto"/>
        </w:rPr>
      </w:pPr>
      <w:r>
        <w:rPr>
          <w:rFonts w:ascii="Arial" w:cs="Arial" w:eastAsia="Arial" w:hAnsi="Arial"/>
          <w:sz w:val="19"/>
          <w:szCs w:val="19"/>
          <w:color w:val="auto"/>
        </w:rPr>
        <w:t>This press release contains statements relatng to future events and results of Calavo (including fnancial projectons and business trends) that are “forward-looking statements,” as defned in the Private Securites Litgaton Reform Act of 1995, that involve risks, uncertaintes and assumptons. These statements are based on our current expectatons and are not promises or guarantees. If any of the risks or uncertaintes ever materialize or the assumptons prove incorrect, the results of Calavo may difer materially from those expressed or implied by such forward-looking statements and assumptons. The use of words such as “antcipates,” “estmates,” “expects,” “projects,” “intends,” “plans” and “believes,” among others, generally identfy forward-looking statements. Risks and uncertaintes that may cause our actual results to be materially diferent from any future results expressed or implied by the forward-looking statements include, but are not limited to, the following: the ability of our new management team to work together successfully; the impact of operatonal and restructuring initatves on our business, results of operatons, and fnancial conditon, including uncertainty as to whether the desired efects will be achieved and potental long-term adverse efects from reducing capital expenditures; the impact of weather on market prices and operatonal costs; seasonality of our business; sensitvity of our business to changes in market prices of avocados and other agricultural products and other raw materials including fuel, packaging and paper; potental disruptons to our supply chain; risks associated with potental future acquisitons, including integraton; potental exposure to data breaches and other cyber-atacks on our systems or those of our suppliers or customers; dependence on large customers; dependence on key personnel and access to labor necessary for us to render services; susceptbility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20"/>
          <w:szCs w:val="20"/>
          <w:i w:val="1"/>
          <w:iCs w:val="1"/>
          <w:color w:val="auto"/>
        </w:rPr>
        <w:t>Calavo Growers, Inc.</w:t>
      </w:r>
    </w:p>
    <w:p>
      <w:pPr>
        <w:spacing w:after="0" w:line="20" w:lineRule="exact"/>
        <w:rPr>
          <w:sz w:val="20"/>
          <w:szCs w:val="20"/>
          <w:color w:val="auto"/>
        </w:rPr>
      </w:pPr>
    </w:p>
    <w:p>
      <w:pPr>
        <w:ind w:left="60"/>
        <w:spacing w:after="0"/>
        <w:rPr>
          <w:sz w:val="20"/>
          <w:szCs w:val="20"/>
          <w:color w:val="auto"/>
        </w:rPr>
      </w:pPr>
      <w:r>
        <w:rPr>
          <w:rFonts w:ascii="Arial" w:cs="Arial" w:eastAsia="Arial" w:hAnsi="Arial"/>
          <w:sz w:val="20"/>
          <w:szCs w:val="20"/>
          <w:i w:val="1"/>
          <w:iCs w:val="1"/>
          <w:color w:val="auto"/>
        </w:rPr>
        <w:t xml:space="preserve">Page </w:t>
      </w:r>
      <w:r>
        <w:rPr>
          <w:rFonts w:ascii="Arial" w:cs="Arial" w:eastAsia="Arial" w:hAnsi="Arial"/>
          <w:sz w:val="20"/>
          <w:szCs w:val="20"/>
          <w:b w:val="1"/>
          <w:bCs w:val="1"/>
          <w:i w:val="1"/>
          <w:iCs w:val="1"/>
          <w:color w:val="auto"/>
        </w:rPr>
        <w:t>5</w:t>
      </w:r>
      <w:r>
        <w:rPr>
          <w:rFonts w:ascii="Arial" w:cs="Arial" w:eastAsia="Arial" w:hAnsi="Arial"/>
          <w:sz w:val="20"/>
          <w:szCs w:val="20"/>
          <w:i w:val="1"/>
          <w:iCs w:val="1"/>
          <w:color w:val="auto"/>
        </w:rPr>
        <w:t xml:space="preserve"> of </w:t>
      </w:r>
      <w:r>
        <w:rPr>
          <w:rFonts w:ascii="Arial" w:cs="Arial" w:eastAsia="Arial" w:hAnsi="Arial"/>
          <w:sz w:val="20"/>
          <w:szCs w:val="20"/>
          <w:b w:val="1"/>
          <w:bCs w:val="1"/>
          <w:i w:val="1"/>
          <w:iCs w:val="1"/>
          <w:color w:val="auto"/>
        </w:rPr>
        <w:t>11</w:t>
      </w:r>
    </w:p>
    <w:p>
      <w:pPr>
        <w:spacing w:after="0" w:line="200" w:lineRule="exact"/>
        <w:rPr>
          <w:sz w:val="20"/>
          <w:szCs w:val="20"/>
          <w:color w:val="auto"/>
        </w:rPr>
      </w:pPr>
    </w:p>
    <w:p>
      <w:pPr>
        <w:spacing w:after="0" w:line="278" w:lineRule="exact"/>
        <w:rPr>
          <w:sz w:val="20"/>
          <w:szCs w:val="20"/>
          <w:color w:val="auto"/>
        </w:rPr>
      </w:pPr>
    </w:p>
    <w:p>
      <w:pPr>
        <w:ind w:left="60" w:right="119"/>
        <w:spacing w:after="0" w:line="269" w:lineRule="auto"/>
        <w:rPr>
          <w:sz w:val="20"/>
          <w:szCs w:val="20"/>
          <w:color w:val="auto"/>
        </w:rPr>
      </w:pPr>
      <w:r>
        <w:rPr>
          <w:rFonts w:ascii="Arial" w:cs="Arial" w:eastAsia="Arial" w:hAnsi="Arial"/>
          <w:sz w:val="19"/>
          <w:szCs w:val="19"/>
          <w:color w:val="auto"/>
        </w:rPr>
        <w:t>wage infaton; potental for labor disputes; reliance on co-packers for a porton of our producton needs; compettve pressures, including from foreign growers; risks of recalls and food-related injuries to our customers; changing consumer preferences; the impact of environmental regulatons, including those related to climate change; risks associated with the environment and climate change, especially as they may afect our sources of supply; our ability to develop and transiton new products and services and enhance existng products and services to meet customer needs; risks associated with doing business internatonally (including possible restrictve U.S. and foreign governmental actons, such as restrictons on transfers of funds and restrictons as a result of COVID-19 and trade protecton measures such as import/export/customs dutes, tarifs and/or quotas and currency fuctuatons); risks associated with receivables from, loans to and/or equity investments in unconsolidated enttes; volatlity in the value of our common stock; the impact of macroeconomic trends and events; and the resoluton of pending investgatons, legal claims and tax disputes, including an assessment imposed by the Mexican Tax Administratve Service (the “SAT”) and our defenses against collecton actvites commenced by the SAT.</w:t>
      </w:r>
    </w:p>
    <w:p>
      <w:pPr>
        <w:spacing w:after="0" w:line="191" w:lineRule="exact"/>
        <w:rPr>
          <w:sz w:val="20"/>
          <w:szCs w:val="20"/>
          <w:color w:val="auto"/>
        </w:rPr>
      </w:pPr>
    </w:p>
    <w:p>
      <w:pPr>
        <w:ind w:left="60" w:right="139"/>
        <w:spacing w:after="0" w:line="291" w:lineRule="auto"/>
        <w:rPr>
          <w:sz w:val="20"/>
          <w:szCs w:val="20"/>
          <w:color w:val="auto"/>
        </w:rPr>
      </w:pPr>
      <w:r>
        <w:rPr>
          <w:rFonts w:ascii="Arial" w:cs="Arial" w:eastAsia="Arial" w:hAnsi="Arial"/>
          <w:sz w:val="18"/>
          <w:szCs w:val="18"/>
          <w:color w:val="auto"/>
        </w:rPr>
        <w:t>For a further discussion of these risks and uncertaintes and other risks and uncertaintes that we face, please see the risk factors described in our most recent Annual Report on Form 10-K fled with the Securites and Exchange Commission and any subsequent updates that may be contained in our Quarterly Reports on Form 10-Q and other flings with the Securites and Exchange Commission. Forward-looking statements contained in this press release are made only as of the date of this press release, and we undertake no obligaton to update or revise the forward-looking statements, whether as a result of new informaton, future events or otherwise.</w:t>
      </w:r>
    </w:p>
    <w:p>
      <w:pPr>
        <w:spacing w:after="0" w:line="384"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Investor Contact</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20"/>
          <w:szCs w:val="20"/>
          <w:color w:val="auto"/>
        </w:rPr>
        <w:t>Julie Kegley, Senior Vice President</w:t>
      </w:r>
    </w:p>
    <w:p>
      <w:pPr>
        <w:spacing w:after="0" w:line="11" w:lineRule="exact"/>
        <w:rPr>
          <w:sz w:val="20"/>
          <w:szCs w:val="20"/>
          <w:color w:val="auto"/>
        </w:rPr>
      </w:pPr>
    </w:p>
    <w:p>
      <w:pPr>
        <w:ind w:left="60"/>
        <w:spacing w:after="0"/>
        <w:rPr>
          <w:sz w:val="20"/>
          <w:szCs w:val="20"/>
          <w:color w:val="auto"/>
        </w:rPr>
      </w:pPr>
      <w:r>
        <w:rPr>
          <w:rFonts w:ascii="Arial" w:cs="Arial" w:eastAsia="Arial" w:hAnsi="Arial"/>
          <w:sz w:val="20"/>
          <w:szCs w:val="20"/>
          <w:color w:val="auto"/>
        </w:rPr>
        <w:t>Financial Profles, Inc.</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20"/>
          <w:szCs w:val="20"/>
          <w:u w:val="single" w:color="auto"/>
          <w:color w:val="auto"/>
        </w:rPr>
        <w:t>calavo@fnprofles.com</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20"/>
          <w:szCs w:val="20"/>
          <w:color w:val="auto"/>
        </w:rPr>
        <w:t>310-622-8246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525145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20"/>
          <w:szCs w:val="20"/>
          <w:i w:val="1"/>
          <w:iCs w:val="1"/>
          <w:color w:val="auto"/>
        </w:rPr>
        <w:t>Calavo Growers, Inc.</w:t>
      </w:r>
    </w:p>
    <w:p>
      <w:pPr>
        <w:spacing w:after="0" w:line="20" w:lineRule="exact"/>
        <w:rPr>
          <w:sz w:val="20"/>
          <w:szCs w:val="20"/>
          <w:color w:val="auto"/>
        </w:rPr>
      </w:pPr>
    </w:p>
    <w:p>
      <w:pPr>
        <w:ind w:left="60"/>
        <w:spacing w:after="0"/>
        <w:rPr>
          <w:sz w:val="20"/>
          <w:szCs w:val="20"/>
          <w:color w:val="auto"/>
        </w:rPr>
      </w:pPr>
      <w:r>
        <w:rPr>
          <w:rFonts w:ascii="Arial" w:cs="Arial" w:eastAsia="Arial" w:hAnsi="Arial"/>
          <w:sz w:val="20"/>
          <w:szCs w:val="20"/>
          <w:i w:val="1"/>
          <w:iCs w:val="1"/>
          <w:color w:val="auto"/>
        </w:rPr>
        <w:t xml:space="preserve">Page </w:t>
      </w:r>
      <w:r>
        <w:rPr>
          <w:rFonts w:ascii="Arial" w:cs="Arial" w:eastAsia="Arial" w:hAnsi="Arial"/>
          <w:sz w:val="20"/>
          <w:szCs w:val="20"/>
          <w:b w:val="1"/>
          <w:bCs w:val="1"/>
          <w:i w:val="1"/>
          <w:iCs w:val="1"/>
          <w:color w:val="auto"/>
        </w:rPr>
        <w:t>6</w:t>
      </w:r>
      <w:r>
        <w:rPr>
          <w:rFonts w:ascii="Arial" w:cs="Arial" w:eastAsia="Arial" w:hAnsi="Arial"/>
          <w:sz w:val="20"/>
          <w:szCs w:val="20"/>
          <w:i w:val="1"/>
          <w:iCs w:val="1"/>
          <w:color w:val="auto"/>
        </w:rPr>
        <w:t xml:space="preserve"> of </w:t>
      </w:r>
      <w:r>
        <w:rPr>
          <w:rFonts w:ascii="Arial" w:cs="Arial" w:eastAsia="Arial" w:hAnsi="Arial"/>
          <w:sz w:val="20"/>
          <w:szCs w:val="20"/>
          <w:b w:val="1"/>
          <w:bCs w:val="1"/>
          <w:i w:val="1"/>
          <w:iCs w:val="1"/>
          <w:color w:val="auto"/>
        </w:rPr>
        <w:t>11</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51"/>
              <w:spacing w:after="0"/>
              <w:rPr>
                <w:sz w:val="20"/>
                <w:szCs w:val="20"/>
                <w:color w:val="auto"/>
              </w:rPr>
            </w:pPr>
            <w:r>
              <w:rPr>
                <w:rFonts w:ascii="Arial" w:cs="Arial" w:eastAsia="Arial" w:hAnsi="Arial"/>
                <w:sz w:val="14"/>
                <w:szCs w:val="14"/>
                <w:b w:val="1"/>
                <w:bCs w:val="1"/>
                <w:color w:val="auto"/>
                <w:w w:val="97"/>
              </w:rPr>
              <w:t>July 31,</w:t>
            </w:r>
          </w:p>
        </w:tc>
        <w:tc>
          <w:tcPr>
            <w:tcW w:w="180" w:type="dxa"/>
            <w:vAlign w:val="bottom"/>
          </w:tcPr>
          <w:p>
            <w:pPr>
              <w:spacing w:after="0"/>
              <w:rPr>
                <w:sz w:val="14"/>
                <w:szCs w:val="14"/>
                <w:color w:val="auto"/>
              </w:rPr>
            </w:pPr>
          </w:p>
        </w:tc>
        <w:tc>
          <w:tcPr>
            <w:tcW w:w="90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w w:val="98"/>
              </w:rPr>
              <w:t>October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Current assets: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 of allowances of $4,020 (2023) and $4,199 (2022)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76,417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38,878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20"/>
              <w:spacing w:after="0"/>
              <w:rPr>
                <w:sz w:val="20"/>
                <w:szCs w:val="20"/>
                <w:color w:val="auto"/>
              </w:rPr>
            </w:pPr>
            <w:r>
              <w:rPr>
                <w:rFonts w:ascii="Arial" w:cs="Arial" w:eastAsia="Arial" w:hAnsi="Arial"/>
                <w:sz w:val="18"/>
                <w:szCs w:val="18"/>
                <w:color w:val="auto"/>
              </w:rPr>
              <w:t>Advances to suppliers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15,839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receivable</w:t>
            </w: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150,360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114,224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49,744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Deferred income taxes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5,776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Intangibles, net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6,074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56,726</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47,170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8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414,940</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385,746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8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Liabilities and shareholders’ equity</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Current liabilities: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Payable to growers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22,712</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20"/>
              <w:spacing w:after="0"/>
              <w:rPr>
                <w:sz w:val="20"/>
                <w:szCs w:val="20"/>
                <w:color w:val="auto"/>
              </w:rPr>
            </w:pPr>
            <w:r>
              <w:rPr>
                <w:rFonts w:ascii="Arial" w:cs="Arial" w:eastAsia="Arial" w:hAnsi="Arial"/>
                <w:sz w:val="18"/>
                <w:szCs w:val="18"/>
                <w:color w:val="auto"/>
              </w:rPr>
              <w:t>Trade accounts payable</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20"/>
              <w:spacing w:after="0"/>
              <w:rPr>
                <w:sz w:val="20"/>
                <w:szCs w:val="20"/>
                <w:color w:val="auto"/>
              </w:rPr>
            </w:pPr>
            <w:r>
              <w:rPr>
                <w:rFonts w:ascii="Arial" w:cs="Arial" w:eastAsia="Arial" w:hAnsi="Arial"/>
                <w:sz w:val="18"/>
                <w:szCs w:val="18"/>
                <w:color w:val="auto"/>
              </w:rPr>
              <w:t>Other current liabilities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term loan</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20"/>
              <w:spacing w:after="0"/>
              <w:rPr>
                <w:sz w:val="20"/>
                <w:szCs w:val="20"/>
                <w:color w:val="auto"/>
              </w:rPr>
            </w:pPr>
            <w:r>
              <w:rPr>
                <w:rFonts w:ascii="Arial" w:cs="Arial" w:eastAsia="Arial" w:hAnsi="Arial"/>
                <w:sz w:val="18"/>
                <w:szCs w:val="18"/>
                <w:color w:val="auto"/>
              </w:rPr>
              <w:t>Current portion of operating leases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long-term obligations and finance leases</w:t>
            </w: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101,309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20"/>
              <w:spacing w:after="0"/>
              <w:rPr>
                <w:sz w:val="20"/>
                <w:szCs w:val="20"/>
                <w:color w:val="auto"/>
              </w:rPr>
            </w:pPr>
            <w:r>
              <w:rPr>
                <w:rFonts w:ascii="Arial" w:cs="Arial" w:eastAsia="Arial" w:hAnsi="Arial"/>
                <w:sz w:val="18"/>
                <w:szCs w:val="18"/>
                <w:color w:val="auto"/>
              </w:rPr>
              <w:t>Borrowings pursuant to line of credit, long-term</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36,768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portion of term loan</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20"/>
              <w:spacing w:after="0"/>
              <w:rPr>
                <w:sz w:val="20"/>
                <w:szCs w:val="20"/>
                <w:color w:val="auto"/>
              </w:rPr>
            </w:pPr>
            <w:r>
              <w:rPr>
                <w:rFonts w:ascii="Arial" w:cs="Arial" w:eastAsia="Arial" w:hAnsi="Arial"/>
                <w:sz w:val="18"/>
                <w:szCs w:val="18"/>
                <w:color w:val="auto"/>
              </w:rPr>
              <w:t>Long-term portion of operating leases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47,281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portion of obligations and finance leases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long-term liabilities</w:t>
            </w:r>
          </w:p>
        </w:tc>
        <w:tc>
          <w:tcPr>
            <w:tcW w:w="6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long-term liabilities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94,531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shareholders’ equity</w:t>
            </w:r>
          </w:p>
        </w:tc>
        <w:tc>
          <w:tcPr>
            <w:tcW w:w="6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219,100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414,940</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385,746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7"/>
        </w:trPr>
        <w:tc>
          <w:tcPr>
            <w:tcW w:w="2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93"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20"/>
          <w:szCs w:val="20"/>
          <w:i w:val="1"/>
          <w:iCs w:val="1"/>
          <w:color w:val="auto"/>
        </w:rPr>
        <w:t>Calavo Growers, Inc.</w:t>
      </w:r>
    </w:p>
    <w:p>
      <w:pPr>
        <w:spacing w:after="0" w:line="20" w:lineRule="exact"/>
        <w:rPr>
          <w:sz w:val="20"/>
          <w:szCs w:val="20"/>
          <w:color w:val="auto"/>
        </w:rPr>
      </w:pPr>
    </w:p>
    <w:p>
      <w:pPr>
        <w:ind w:left="60"/>
        <w:spacing w:after="0"/>
        <w:rPr>
          <w:sz w:val="20"/>
          <w:szCs w:val="20"/>
          <w:color w:val="auto"/>
        </w:rPr>
      </w:pPr>
      <w:r>
        <w:rPr>
          <w:rFonts w:ascii="Arial" w:cs="Arial" w:eastAsia="Arial" w:hAnsi="Arial"/>
          <w:sz w:val="20"/>
          <w:szCs w:val="20"/>
          <w:i w:val="1"/>
          <w:iCs w:val="1"/>
          <w:color w:val="auto"/>
        </w:rPr>
        <w:t xml:space="preserve">Page </w:t>
      </w:r>
      <w:r>
        <w:rPr>
          <w:rFonts w:ascii="Arial" w:cs="Arial" w:eastAsia="Arial" w:hAnsi="Arial"/>
          <w:sz w:val="20"/>
          <w:szCs w:val="20"/>
          <w:b w:val="1"/>
          <w:bCs w:val="1"/>
          <w:i w:val="1"/>
          <w:iCs w:val="1"/>
          <w:color w:val="auto"/>
        </w:rPr>
        <w:t>7</w:t>
      </w:r>
      <w:r>
        <w:rPr>
          <w:rFonts w:ascii="Arial" w:cs="Arial" w:eastAsia="Arial" w:hAnsi="Arial"/>
          <w:sz w:val="20"/>
          <w:szCs w:val="20"/>
          <w:i w:val="1"/>
          <w:iCs w:val="1"/>
          <w:color w:val="auto"/>
        </w:rPr>
        <w:t xml:space="preserve"> of </w:t>
      </w:r>
      <w:r>
        <w:rPr>
          <w:rFonts w:ascii="Arial" w:cs="Arial" w:eastAsia="Arial" w:hAnsi="Arial"/>
          <w:sz w:val="20"/>
          <w:szCs w:val="20"/>
          <w:b w:val="1"/>
          <w:bCs w:val="1"/>
          <w:i w:val="1"/>
          <w:iCs w:val="1"/>
          <w:color w:val="auto"/>
        </w:rPr>
        <w:t>11</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31,</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31,</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259,875</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341,991</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730,768</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947,501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234,850</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323,477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676,274</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894,017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17,842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16,659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52,271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Expenses (recovery) related to Mexican tax matters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Impairment and charges related to Florida facility closure</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Unrealized net income (loss) on Limoneira shares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7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(loss) before income taxes and loss from</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unconsolidated entities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7,823</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loss from unconsolidated entities</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6,708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Add: Net loss (income) attributable to noncontrolling interest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 attributable to Calavo Growers, Inc.</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6,626</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Calavo Growers, Inc.’s net income (loss) per share: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7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0.37</w:t>
            </w:r>
          </w:p>
        </w:tc>
        <w:tc>
          <w:tcPr>
            <w:tcW w:w="16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0.07</w:t>
            </w:r>
          </w:p>
        </w:tc>
        <w:tc>
          <w:tcPr>
            <w:tcW w:w="1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(0.02)</w:t>
            </w:r>
          </w:p>
        </w:tc>
        <w:tc>
          <w:tcPr>
            <w:tcW w:w="18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Number of shares used in per share computation: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17,756</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17,746</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17,856</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17,769</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17,746</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7"/>
        </w:trPr>
        <w:tc>
          <w:tcPr>
            <w:tcW w:w="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93"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20"/>
          <w:szCs w:val="20"/>
          <w:i w:val="1"/>
          <w:iCs w:val="1"/>
          <w:color w:val="auto"/>
        </w:rPr>
        <w:t>Calavo Growers, Inc.</w:t>
      </w:r>
    </w:p>
    <w:p>
      <w:pPr>
        <w:spacing w:after="0" w:line="20" w:lineRule="exact"/>
        <w:rPr>
          <w:sz w:val="20"/>
          <w:szCs w:val="20"/>
          <w:color w:val="auto"/>
        </w:rPr>
      </w:pPr>
    </w:p>
    <w:p>
      <w:pPr>
        <w:ind w:left="60"/>
        <w:spacing w:after="0"/>
        <w:rPr>
          <w:sz w:val="20"/>
          <w:szCs w:val="20"/>
          <w:color w:val="auto"/>
        </w:rPr>
      </w:pPr>
      <w:r>
        <w:rPr>
          <w:rFonts w:ascii="Arial" w:cs="Arial" w:eastAsia="Arial" w:hAnsi="Arial"/>
          <w:sz w:val="20"/>
          <w:szCs w:val="20"/>
          <w:i w:val="1"/>
          <w:iCs w:val="1"/>
          <w:color w:val="auto"/>
        </w:rPr>
        <w:t xml:space="preserve">Page </w:t>
      </w:r>
      <w:r>
        <w:rPr>
          <w:rFonts w:ascii="Arial" w:cs="Arial" w:eastAsia="Arial" w:hAnsi="Arial"/>
          <w:sz w:val="20"/>
          <w:szCs w:val="20"/>
          <w:b w:val="1"/>
          <w:bCs w:val="1"/>
          <w:i w:val="1"/>
          <w:iCs w:val="1"/>
          <w:color w:val="auto"/>
        </w:rPr>
        <w:t>8</w:t>
      </w:r>
      <w:r>
        <w:rPr>
          <w:rFonts w:ascii="Arial" w:cs="Arial" w:eastAsia="Arial" w:hAnsi="Arial"/>
          <w:sz w:val="20"/>
          <w:szCs w:val="20"/>
          <w:i w:val="1"/>
          <w:iCs w:val="1"/>
          <w:color w:val="auto"/>
        </w:rPr>
        <w:t xml:space="preserve"> of </w:t>
      </w:r>
      <w:r>
        <w:rPr>
          <w:rFonts w:ascii="Arial" w:cs="Arial" w:eastAsia="Arial" w:hAnsi="Arial"/>
          <w:sz w:val="20"/>
          <w:szCs w:val="20"/>
          <w:b w:val="1"/>
          <w:bCs w:val="1"/>
          <w:i w:val="1"/>
          <w:iCs w:val="1"/>
          <w:color w:val="auto"/>
        </w:rPr>
        <w:t>11</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NET SALES AND GROSS PROFIT BY BUSINESS SEGMENT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Grown</w:t>
            </w:r>
          </w:p>
        </w:tc>
        <w:tc>
          <w:tcPr>
            <w:tcW w:w="16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5"/>
              </w:rPr>
              <w:t>Prepared</w:t>
            </w:r>
          </w:p>
        </w:tc>
        <w:tc>
          <w:tcPr>
            <w:tcW w:w="1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Interco.</w:t>
            </w:r>
          </w:p>
        </w:tc>
        <w:tc>
          <w:tcPr>
            <w:tcW w:w="22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Elimins.</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20" w:type="dxa"/>
            <w:vAlign w:val="bottom"/>
            <w:gridSpan w:val="8"/>
          </w:tcPr>
          <w:p>
            <w:pPr>
              <w:ind w:left="640"/>
              <w:spacing w:after="0" w:line="129" w:lineRule="exact"/>
              <w:rPr>
                <w:sz w:val="20"/>
                <w:szCs w:val="20"/>
                <w:color w:val="auto"/>
              </w:rPr>
            </w:pPr>
            <w:r>
              <w:rPr>
                <w:rFonts w:ascii="Arial" w:cs="Arial" w:eastAsia="Arial" w:hAnsi="Arial"/>
                <w:sz w:val="14"/>
                <w:szCs w:val="14"/>
                <w:b w:val="1"/>
                <w:bCs w:val="1"/>
                <w:color w:val="auto"/>
                <w:w w:val="85"/>
              </w:rPr>
              <w:t>(All amounts are presented in thousands)</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July 31, 2023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144,543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115,806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(474)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259,875</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(474)</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234,850</w:t>
            </w:r>
          </w:p>
        </w:tc>
        <w:tc>
          <w:tcPr>
            <w:tcW w:w="0" w:type="dxa"/>
            <w:vAlign w:val="bottom"/>
          </w:tcPr>
          <w:p>
            <w:pPr>
              <w:spacing w:after="0"/>
              <w:rPr>
                <w:sz w:val="1"/>
                <w:szCs w:val="1"/>
                <w:color w:val="auto"/>
              </w:rPr>
            </w:pPr>
          </w:p>
        </w:tc>
      </w:tr>
      <w:tr>
        <w:trPr>
          <w:trHeight w:val="210"/>
        </w:trPr>
        <w:tc>
          <w:tcPr>
            <w:tcW w:w="48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21,353</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3,672</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25,025</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July 31, 2022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207,589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134,872</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(470)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341,991</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(470)</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323,477</w:t>
            </w:r>
          </w:p>
        </w:tc>
        <w:tc>
          <w:tcPr>
            <w:tcW w:w="0" w:type="dxa"/>
            <w:vAlign w:val="bottom"/>
          </w:tcPr>
          <w:p>
            <w:pPr>
              <w:spacing w:after="0"/>
              <w:rPr>
                <w:sz w:val="1"/>
                <w:szCs w:val="1"/>
                <w:color w:val="auto"/>
              </w:rPr>
            </w:pPr>
          </w:p>
        </w:tc>
      </w:tr>
      <w:tr>
        <w:trPr>
          <w:trHeight w:val="209"/>
        </w:trPr>
        <w:tc>
          <w:tcPr>
            <w:tcW w:w="48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11,771</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6,743</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18,514</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4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Grown</w:t>
            </w:r>
          </w:p>
        </w:tc>
        <w:tc>
          <w:tcPr>
            <w:tcW w:w="16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5"/>
              </w:rPr>
              <w:t>Prepared</w:t>
            </w:r>
          </w:p>
        </w:tc>
        <w:tc>
          <w:tcPr>
            <w:tcW w:w="18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Interco.</w:t>
            </w:r>
          </w:p>
        </w:tc>
        <w:tc>
          <w:tcPr>
            <w:tcW w:w="220" w:type="dxa"/>
            <w:vAlign w:val="bottom"/>
          </w:tcPr>
          <w:p>
            <w:pPr>
              <w:spacing w:after="0"/>
              <w:rPr>
                <w:sz w:val="24"/>
                <w:szCs w:val="2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Elimins.</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20" w:type="dxa"/>
            <w:vAlign w:val="bottom"/>
            <w:gridSpan w:val="8"/>
          </w:tcPr>
          <w:p>
            <w:pPr>
              <w:ind w:left="640"/>
              <w:spacing w:after="0" w:line="129" w:lineRule="exact"/>
              <w:rPr>
                <w:sz w:val="20"/>
                <w:szCs w:val="20"/>
                <w:color w:val="auto"/>
              </w:rPr>
            </w:pPr>
            <w:r>
              <w:rPr>
                <w:rFonts w:ascii="Arial" w:cs="Arial" w:eastAsia="Arial" w:hAnsi="Arial"/>
                <w:sz w:val="14"/>
                <w:szCs w:val="14"/>
                <w:b w:val="1"/>
                <w:bCs w:val="1"/>
                <w:color w:val="auto"/>
                <w:w w:val="85"/>
              </w:rPr>
              <w:t>(All amounts are presented in thousands)</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Nine months ended July 31, 2023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403,285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328,649</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(1,166)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730,768</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(1,166)</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676,274</w:t>
            </w:r>
          </w:p>
        </w:tc>
        <w:tc>
          <w:tcPr>
            <w:tcW w:w="0" w:type="dxa"/>
            <w:vAlign w:val="bottom"/>
          </w:tcPr>
          <w:p>
            <w:pPr>
              <w:spacing w:after="0"/>
              <w:rPr>
                <w:sz w:val="1"/>
                <w:szCs w:val="1"/>
                <w:color w:val="auto"/>
              </w:rPr>
            </w:pPr>
          </w:p>
        </w:tc>
      </w:tr>
      <w:tr>
        <w:trPr>
          <w:trHeight w:val="209"/>
        </w:trPr>
        <w:tc>
          <w:tcPr>
            <w:tcW w:w="48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43,433</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11,061</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54,494</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Nine months ended July 31, 2022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581,171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367,889</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(1,559)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947,501</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539,577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(1,559)</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894,017</w:t>
            </w:r>
          </w:p>
        </w:tc>
        <w:tc>
          <w:tcPr>
            <w:tcW w:w="0" w:type="dxa"/>
            <w:vAlign w:val="bottom"/>
          </w:tcPr>
          <w:p>
            <w:pPr>
              <w:spacing w:after="0"/>
              <w:rPr>
                <w:sz w:val="1"/>
                <w:szCs w:val="1"/>
                <w:color w:val="auto"/>
              </w:rPr>
            </w:pPr>
          </w:p>
        </w:tc>
      </w:tr>
      <w:tr>
        <w:trPr>
          <w:trHeight w:val="209"/>
        </w:trPr>
        <w:tc>
          <w:tcPr>
            <w:tcW w:w="48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41,594</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11,890</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53,484</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259"/>
        <w:spacing w:after="0" w:line="311" w:lineRule="auto"/>
        <w:rPr>
          <w:sz w:val="20"/>
          <w:szCs w:val="20"/>
          <w:color w:val="auto"/>
        </w:rPr>
      </w:pPr>
      <w:r>
        <w:rPr>
          <w:rFonts w:ascii="Arial" w:cs="Arial" w:eastAsia="Arial" w:hAnsi="Arial"/>
          <w:sz w:val="16"/>
          <w:szCs w:val="16"/>
          <w:color w:val="auto"/>
        </w:rPr>
        <w:t>For the three months ended July 31, 2023 and 2022, intercompany sales and cost of sales of $0.5 million between Grown products and Prepared products were eliminated. For the nine months ended July 31, 2023 and 2022, intercompany sales and cost of sales of $1.2 million and $1.6 million between Grown products and Prepared products were eliminated.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600710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20"/>
          <w:szCs w:val="20"/>
          <w:i w:val="1"/>
          <w:iCs w:val="1"/>
          <w:color w:val="auto"/>
        </w:rPr>
        <w:t>Calavo Growers, Inc.</w:t>
      </w:r>
    </w:p>
    <w:p>
      <w:pPr>
        <w:spacing w:after="0" w:line="20" w:lineRule="exact"/>
        <w:rPr>
          <w:sz w:val="20"/>
          <w:szCs w:val="20"/>
          <w:color w:val="auto"/>
        </w:rPr>
      </w:pPr>
    </w:p>
    <w:p>
      <w:pPr>
        <w:ind w:left="60"/>
        <w:spacing w:after="0"/>
        <w:rPr>
          <w:sz w:val="20"/>
          <w:szCs w:val="20"/>
          <w:color w:val="auto"/>
        </w:rPr>
      </w:pPr>
      <w:r>
        <w:rPr>
          <w:rFonts w:ascii="Arial" w:cs="Arial" w:eastAsia="Arial" w:hAnsi="Arial"/>
          <w:sz w:val="20"/>
          <w:szCs w:val="20"/>
          <w:i w:val="1"/>
          <w:iCs w:val="1"/>
          <w:color w:val="auto"/>
        </w:rPr>
        <w:t xml:space="preserve">Page </w:t>
      </w:r>
      <w:r>
        <w:rPr>
          <w:rFonts w:ascii="Arial" w:cs="Arial" w:eastAsia="Arial" w:hAnsi="Arial"/>
          <w:sz w:val="20"/>
          <w:szCs w:val="20"/>
          <w:b w:val="1"/>
          <w:bCs w:val="1"/>
          <w:i w:val="1"/>
          <w:iCs w:val="1"/>
          <w:color w:val="auto"/>
        </w:rPr>
        <w:t>9</w:t>
      </w:r>
      <w:r>
        <w:rPr>
          <w:rFonts w:ascii="Arial" w:cs="Arial" w:eastAsia="Arial" w:hAnsi="Arial"/>
          <w:sz w:val="20"/>
          <w:szCs w:val="20"/>
          <w:i w:val="1"/>
          <w:iCs w:val="1"/>
          <w:color w:val="auto"/>
        </w:rPr>
        <w:t xml:space="preserve"> of </w:t>
      </w:r>
      <w:r>
        <w:rPr>
          <w:rFonts w:ascii="Arial" w:cs="Arial" w:eastAsia="Arial" w:hAnsi="Arial"/>
          <w:sz w:val="20"/>
          <w:szCs w:val="20"/>
          <w:b w:val="1"/>
          <w:bCs w:val="1"/>
          <w:i w:val="1"/>
          <w:iCs w:val="1"/>
          <w:color w:val="auto"/>
        </w:rPr>
        <w:t>11</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ADJUSTED NET INCOME AND EPS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color w:val="auto"/>
        </w:rPr>
        <w:t>The following table presents adjusted net income and adjusted diluted EPS, each a non-GAAP measure, and reconciles them to net income (loss) attributable to Calavo Growers, Inc., and Diluted EPS, which are the most directly comparable GAAP measures. See “Non-GAAP Financial Measures” earlier in this release.</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4"/>
          </w:tcPr>
          <w:p>
            <w:pPr>
              <w:jc w:val="right"/>
              <w:ind w:right="171"/>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31,</w:t>
            </w: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31,</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28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Calavo Growers, Inc.</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Non-GAAP adjustments: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losses recognized from unconsolidated entities (a)</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Loss from FreshRealm and other related expenses (b)</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 on Limoneira shares (c)</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Rent expense add back (d)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Restructure costs - consulting, management recruiting and severance</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Expenses (recovery) related to Mexican tax matters (f)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Impairment, losses and charges related to property, plant and</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 (g)</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Legal settlement and related expenses (h)</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impact of adjustments (i)</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Adjusted net income attributed to Calavo Growers, Inc.</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7,247</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5,618</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Calavo Growers, Inc.’s net income (loss) per share: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EPS (GAAP)</w:t>
            </w: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02)</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Adjusted net income per diluted share</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40" w:type="dxa"/>
            <w:vAlign w:val="bottom"/>
            <w:tcBorders>
              <w:bottom w:val="single" w:sz="8" w:color="CCEEFF"/>
            </w:tcBorders>
            <w:gridSpan w:val="2"/>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0.41</w:t>
            </w:r>
          </w:p>
        </w:tc>
        <w:tc>
          <w:tcPr>
            <w:tcW w:w="2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16</w:t>
            </w:r>
          </w:p>
        </w:tc>
        <w:tc>
          <w:tcPr>
            <w:tcW w:w="1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0.32</w:t>
            </w:r>
          </w:p>
        </w:tc>
        <w:tc>
          <w:tcPr>
            <w:tcW w:w="2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Number of shares used in per share computation: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17,856</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17,769</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17,746</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17,726</w:t>
            </w:r>
          </w:p>
        </w:tc>
        <w:tc>
          <w:tcPr>
            <w:tcW w:w="0" w:type="dxa"/>
            <w:vAlign w:val="bottom"/>
          </w:tcPr>
          <w:p>
            <w:pPr>
              <w:spacing w:after="0"/>
              <w:rPr>
                <w:sz w:val="1"/>
                <w:szCs w:val="1"/>
                <w:color w:val="auto"/>
              </w:rPr>
            </w:pPr>
          </w:p>
        </w:tc>
      </w:tr>
      <w:tr>
        <w:trPr>
          <w:trHeight w:val="122"/>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40" w:right="239" w:hanging="328"/>
        <w:spacing w:after="0" w:line="263"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three months ended July 31, 2023 and 2022, we realized losses of $0.5 million and losses of $0.3 million from Agricola Don Memo. For the nine months ended July 31, 2023 and 2022, we realized income of $0.4 million and losses of $0.8 million from Agricola Don Memo.</w:t>
      </w:r>
    </w:p>
    <w:p>
      <w:pPr>
        <w:spacing w:after="0" w:line="75" w:lineRule="exact"/>
        <w:rPr>
          <w:rFonts w:ascii="Arial" w:cs="Arial" w:eastAsia="Arial" w:hAnsi="Arial"/>
          <w:sz w:val="18"/>
          <w:szCs w:val="18"/>
          <w:color w:val="auto"/>
        </w:rPr>
      </w:pPr>
    </w:p>
    <w:p>
      <w:pPr>
        <w:ind w:left="540" w:right="139" w:hanging="328"/>
        <w:spacing w:after="0" w:line="263"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three and nine months ended July 31, 2022, we recognized a return to provision discrete tax expense of $0.6 million due to the finalization of the tax treatment of the loss related to the previously recorded impairment of the investment in FreshRealm.</w:t>
      </w:r>
    </w:p>
    <w:p>
      <w:pPr>
        <w:spacing w:after="0" w:line="75" w:lineRule="exact"/>
        <w:rPr>
          <w:rFonts w:ascii="Arial" w:cs="Arial" w:eastAsia="Arial" w:hAnsi="Arial"/>
          <w:sz w:val="18"/>
          <w:szCs w:val="18"/>
          <w:color w:val="auto"/>
        </w:rPr>
      </w:pPr>
    </w:p>
    <w:p>
      <w:pPr>
        <w:ind w:left="540" w:right="159" w:hanging="328"/>
        <w:spacing w:after="0" w:line="342"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the three and nine months ended July 31, 2022, we recorded $1.2 million in unrealized income and $5.8 million in unrealized losses related to mark-to-market adjustments of our previously held investment in Limoniera stock.</w:t>
      </w:r>
    </w:p>
    <w:p>
      <w:pPr>
        <w:spacing w:after="0" w:line="15" w:lineRule="exact"/>
        <w:rPr>
          <w:rFonts w:ascii="Arial" w:cs="Arial" w:eastAsia="Arial" w:hAnsi="Arial"/>
          <w:sz w:val="16"/>
          <w:szCs w:val="16"/>
          <w:color w:val="auto"/>
        </w:rPr>
      </w:pPr>
    </w:p>
    <w:p>
      <w:pPr>
        <w:ind w:left="540" w:right="279" w:hanging="328"/>
        <w:spacing w:after="0" w:line="259"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three months ended July 31, 2023 and 2022, we incurred $0.1 million related to rent paid for Prepared’s former corporate office space that we have vacated and plan to sublease. For the nine months ended July 31, 2023 and 2022, we incurred $0.3 million related to rent paid for Prepared’s former corporate office space that we have vacated and plan to sublease.</w:t>
      </w:r>
    </w:p>
    <w:p>
      <w:pPr>
        <w:spacing w:after="0" w:line="78" w:lineRule="exact"/>
        <w:rPr>
          <w:rFonts w:ascii="Arial" w:cs="Arial" w:eastAsia="Arial" w:hAnsi="Arial"/>
          <w:sz w:val="18"/>
          <w:szCs w:val="18"/>
          <w:color w:val="auto"/>
        </w:rPr>
      </w:pPr>
    </w:p>
    <w:p>
      <w:pPr>
        <w:ind w:left="540" w:right="99" w:hanging="328"/>
        <w:spacing w:after="0" w:line="254"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three and nine months ended July 31, 2023, we recorded $0.1 million and $0.8 million in severance costs as part of U.S. restructuring efforts, respectively. For the three and nine months ended July 31, 2023, we incurred $0.9 million in severance and other costs and $0.3 million in stock-based compensation related to the departure of certain members of management. In addition, for the nine months ended July 31, 2023, we incurred $1.2 million in severance and other costs and $1.2 million in stock-based compensation related to the departure of our former Chief Executive Officer. Additionally, for the nine months ended July 31, 2023, we incurred $0.6 million related to the divesture of Salsa Lisa.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544195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20"/>
          <w:szCs w:val="20"/>
          <w:i w:val="1"/>
          <w:iCs w:val="1"/>
          <w:color w:val="auto"/>
        </w:rPr>
        <w:t>Calavo Growers, Inc.</w:t>
      </w:r>
    </w:p>
    <w:p>
      <w:pPr>
        <w:spacing w:after="0" w:line="20" w:lineRule="exact"/>
        <w:rPr>
          <w:sz w:val="20"/>
          <w:szCs w:val="20"/>
          <w:color w:val="auto"/>
        </w:rPr>
      </w:pPr>
    </w:p>
    <w:p>
      <w:pPr>
        <w:ind w:left="60"/>
        <w:spacing w:after="0"/>
        <w:rPr>
          <w:sz w:val="20"/>
          <w:szCs w:val="20"/>
          <w:color w:val="auto"/>
        </w:rPr>
      </w:pPr>
      <w:r>
        <w:rPr>
          <w:rFonts w:ascii="Arial" w:cs="Arial" w:eastAsia="Arial" w:hAnsi="Arial"/>
          <w:sz w:val="20"/>
          <w:szCs w:val="20"/>
          <w:i w:val="1"/>
          <w:iCs w:val="1"/>
          <w:color w:val="auto"/>
        </w:rPr>
        <w:t xml:space="preserve">Page </w:t>
      </w:r>
      <w:r>
        <w:rPr>
          <w:rFonts w:ascii="Arial" w:cs="Arial" w:eastAsia="Arial" w:hAnsi="Arial"/>
          <w:sz w:val="20"/>
          <w:szCs w:val="20"/>
          <w:b w:val="1"/>
          <w:bCs w:val="1"/>
          <w:i w:val="1"/>
          <w:iCs w:val="1"/>
          <w:color w:val="auto"/>
        </w:rPr>
        <w:t>10</w:t>
      </w:r>
      <w:r>
        <w:rPr>
          <w:rFonts w:ascii="Arial" w:cs="Arial" w:eastAsia="Arial" w:hAnsi="Arial"/>
          <w:sz w:val="20"/>
          <w:szCs w:val="20"/>
          <w:i w:val="1"/>
          <w:iCs w:val="1"/>
          <w:color w:val="auto"/>
        </w:rPr>
        <w:t xml:space="preserve"> of </w:t>
      </w:r>
      <w:r>
        <w:rPr>
          <w:rFonts w:ascii="Arial" w:cs="Arial" w:eastAsia="Arial" w:hAnsi="Arial"/>
          <w:sz w:val="20"/>
          <w:szCs w:val="20"/>
          <w:b w:val="1"/>
          <w:bCs w:val="1"/>
          <w:i w:val="1"/>
          <w:iCs w:val="1"/>
          <w:color w:val="auto"/>
        </w:rPr>
        <w:t>11</w:t>
      </w:r>
    </w:p>
    <w:p>
      <w:pPr>
        <w:spacing w:after="0" w:line="200" w:lineRule="exact"/>
        <w:rPr>
          <w:sz w:val="20"/>
          <w:szCs w:val="20"/>
          <w:color w:val="auto"/>
        </w:rPr>
      </w:pPr>
    </w:p>
    <w:p>
      <w:pPr>
        <w:spacing w:after="0" w:line="302" w:lineRule="exact"/>
        <w:rPr>
          <w:sz w:val="20"/>
          <w:szCs w:val="20"/>
          <w:color w:val="auto"/>
        </w:rPr>
      </w:pPr>
    </w:p>
    <w:p>
      <w:pPr>
        <w:ind w:left="540" w:right="279"/>
        <w:spacing w:after="0" w:line="257" w:lineRule="auto"/>
        <w:rPr>
          <w:sz w:val="20"/>
          <w:szCs w:val="20"/>
          <w:color w:val="auto"/>
        </w:rPr>
      </w:pPr>
      <w:r>
        <w:rPr>
          <w:rFonts w:ascii="Arial" w:cs="Arial" w:eastAsia="Arial" w:hAnsi="Arial"/>
          <w:sz w:val="18"/>
          <w:szCs w:val="18"/>
          <w:color w:val="auto"/>
        </w:rPr>
        <w:t>For the three and nine months ended July 31, 2022, we recorded $1.2 million and $4.5 million of consulting expenses related to an enterprise-wide strategic business operations study conducted by a third-party management consulting organization for the purpose of restructuring to improve the profitability of the organization and efficiency of our operations. In addition, for the nine months ended July 31, 2022, we recorded $1.4 million of severance accrual related to the Project Uno restructuring.</w:t>
      </w:r>
    </w:p>
    <w:p>
      <w:pPr>
        <w:spacing w:after="0" w:line="80" w:lineRule="exact"/>
        <w:rPr>
          <w:sz w:val="20"/>
          <w:szCs w:val="20"/>
          <w:color w:val="auto"/>
        </w:rPr>
      </w:pPr>
    </w:p>
    <w:p>
      <w:pPr>
        <w:ind w:left="540" w:right="239" w:hanging="328"/>
        <w:spacing w:after="0" w:line="286" w:lineRule="auto"/>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For the three months ended July 31, 2023 and 2022, we incurred $0.5 million and $0.3 million of professional fees related to the Mexican tax matters, respectively. For the nine months ended July 31, 2023 and 2022, we incurred $1.6 million and $1.1 million of professional fees related to the Mexican tax matters, respectively.</w:t>
      </w:r>
    </w:p>
    <w:p>
      <w:pPr>
        <w:spacing w:after="0" w:line="57" w:lineRule="exact"/>
        <w:rPr>
          <w:rFonts w:ascii="Arial" w:cs="Arial" w:eastAsia="Arial" w:hAnsi="Arial"/>
          <w:sz w:val="17"/>
          <w:szCs w:val="17"/>
          <w:color w:val="auto"/>
        </w:rPr>
      </w:pPr>
    </w:p>
    <w:p>
      <w:pPr>
        <w:ind w:left="540" w:right="199"/>
        <w:spacing w:after="0" w:line="286" w:lineRule="auto"/>
        <w:rPr>
          <w:rFonts w:ascii="Arial" w:cs="Arial" w:eastAsia="Arial" w:hAnsi="Arial"/>
          <w:sz w:val="17"/>
          <w:szCs w:val="17"/>
          <w:color w:val="auto"/>
        </w:rPr>
      </w:pPr>
      <w:r>
        <w:rPr>
          <w:rFonts w:ascii="Arial" w:cs="Arial" w:eastAsia="Arial" w:hAnsi="Arial"/>
          <w:sz w:val="17"/>
          <w:szCs w:val="17"/>
          <w:color w:val="auto"/>
        </w:rPr>
        <w:t>For the three and nine months ended July 31,2023, we recorded a gain of $1.7 million related to the interest and inflationary adjustments related to an IVA repayment from Mexican Tax Authority. For the nine months ended July 31, 2023, we recognized a reserve of $1.4 million related to the collectability of IVA receivables.</w:t>
      </w:r>
    </w:p>
    <w:p>
      <w:pPr>
        <w:spacing w:after="0" w:line="57" w:lineRule="exact"/>
        <w:rPr>
          <w:rFonts w:ascii="Arial" w:cs="Arial" w:eastAsia="Arial" w:hAnsi="Arial"/>
          <w:sz w:val="17"/>
          <w:szCs w:val="17"/>
          <w:color w:val="auto"/>
        </w:rPr>
      </w:pPr>
    </w:p>
    <w:p>
      <w:pPr>
        <w:ind w:left="540" w:right="139"/>
        <w:spacing w:after="0" w:line="308" w:lineRule="auto"/>
        <w:rPr>
          <w:rFonts w:ascii="Arial" w:cs="Arial" w:eastAsia="Arial" w:hAnsi="Arial"/>
          <w:sz w:val="17"/>
          <w:szCs w:val="17"/>
          <w:color w:val="auto"/>
        </w:rPr>
      </w:pPr>
      <w:r>
        <w:rPr>
          <w:rFonts w:ascii="Arial" w:cs="Arial" w:eastAsia="Arial" w:hAnsi="Arial"/>
          <w:sz w:val="17"/>
          <w:szCs w:val="17"/>
          <w:color w:val="auto"/>
        </w:rPr>
        <w:t>For the three and nine months ended July 31, 2022, we recognized a return to provision discrete tax expense of $0.5 million due to the finalization of the tax treatment for the final settlement of the 2011 Assessment.</w:t>
      </w:r>
    </w:p>
    <w:p>
      <w:pPr>
        <w:spacing w:after="0" w:line="38" w:lineRule="exact"/>
        <w:rPr>
          <w:rFonts w:ascii="Arial" w:cs="Arial" w:eastAsia="Arial" w:hAnsi="Arial"/>
          <w:sz w:val="17"/>
          <w:szCs w:val="17"/>
          <w:color w:val="auto"/>
        </w:rPr>
      </w:pPr>
    </w:p>
    <w:p>
      <w:pPr>
        <w:ind w:left="540" w:right="559" w:hanging="328"/>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April 1, 2023, we completed the divesture of our salsa business in our Prepared segment and incurred $0.2 million in losses related to the disposal of property, plant and equipment.</w:t>
      </w:r>
    </w:p>
    <w:p>
      <w:pPr>
        <w:spacing w:after="0" w:line="62" w:lineRule="exact"/>
        <w:rPr>
          <w:rFonts w:ascii="Arial" w:cs="Arial" w:eastAsia="Arial" w:hAnsi="Arial"/>
          <w:sz w:val="18"/>
          <w:szCs w:val="18"/>
          <w:color w:val="auto"/>
        </w:rPr>
      </w:pPr>
    </w:p>
    <w:p>
      <w:pPr>
        <w:ind w:left="540" w:right="159"/>
        <w:spacing w:after="0" w:line="259" w:lineRule="auto"/>
        <w:rPr>
          <w:rFonts w:ascii="Arial" w:cs="Arial" w:eastAsia="Arial" w:hAnsi="Arial"/>
          <w:sz w:val="18"/>
          <w:szCs w:val="18"/>
          <w:color w:val="auto"/>
        </w:rPr>
      </w:pPr>
      <w:r>
        <w:rPr>
          <w:rFonts w:ascii="Arial" w:cs="Arial" w:eastAsia="Arial" w:hAnsi="Arial"/>
          <w:sz w:val="18"/>
          <w:szCs w:val="18"/>
          <w:color w:val="auto"/>
        </w:rPr>
        <w:t>On October 18, 2021, we announced the closure of RFG’s food processing operations in Green Cove Springs (near Jacksonville), Florida as part of our Project Uno profit improvement program. As of November 15, 2021, the Green Cove Springs facility of RFG ceased operations. We incurred $0.9 million of expenses for the nine months ended July 31, 2022, related to the closure of this facility.</w:t>
      </w:r>
    </w:p>
    <w:p>
      <w:pPr>
        <w:spacing w:after="0" w:line="78" w:lineRule="exact"/>
        <w:rPr>
          <w:rFonts w:ascii="Arial" w:cs="Arial" w:eastAsia="Arial" w:hAnsi="Arial"/>
          <w:sz w:val="18"/>
          <w:szCs w:val="18"/>
          <w:color w:val="auto"/>
        </w:rPr>
      </w:pPr>
    </w:p>
    <w:p>
      <w:pPr>
        <w:ind w:left="540" w:right="159" w:hanging="328"/>
        <w:spacing w:after="0" w:line="25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nine months ended July 31, 2023, we accrued $0.6 million in a legal settlement from a dispute from over 5 years ago connected to an old unused distribution agreement that was entered into over a decade ago. This legal settlement was considered out of the ordinary due to the length it took to settle and since we have not done business with this party for many years. There are no other similar matters outstanding. In addition, we incurred $0.1 million in associated legal fees.</w:t>
      </w:r>
    </w:p>
    <w:p>
      <w:pPr>
        <w:spacing w:after="0" w:line="79" w:lineRule="exact"/>
        <w:rPr>
          <w:rFonts w:ascii="Arial" w:cs="Arial" w:eastAsia="Arial" w:hAnsi="Arial"/>
          <w:sz w:val="18"/>
          <w:szCs w:val="18"/>
          <w:color w:val="auto"/>
        </w:rPr>
      </w:pPr>
    </w:p>
    <w:p>
      <w:pPr>
        <w:ind w:left="540" w:hanging="328"/>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Tax impact of non-GAAP adjustments is based on effective year-to-date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20"/>
          <w:szCs w:val="20"/>
          <w:i w:val="1"/>
          <w:iCs w:val="1"/>
          <w:color w:val="auto"/>
        </w:rPr>
        <w:t>Calavo Growers, Inc.</w:t>
      </w:r>
    </w:p>
    <w:p>
      <w:pPr>
        <w:spacing w:after="0" w:line="20" w:lineRule="exact"/>
        <w:rPr>
          <w:sz w:val="20"/>
          <w:szCs w:val="20"/>
          <w:color w:val="auto"/>
        </w:rPr>
      </w:pPr>
    </w:p>
    <w:p>
      <w:pPr>
        <w:ind w:left="60"/>
        <w:spacing w:after="0"/>
        <w:rPr>
          <w:sz w:val="20"/>
          <w:szCs w:val="20"/>
          <w:color w:val="auto"/>
        </w:rPr>
      </w:pPr>
      <w:r>
        <w:rPr>
          <w:rFonts w:ascii="Arial" w:cs="Arial" w:eastAsia="Arial" w:hAnsi="Arial"/>
          <w:sz w:val="20"/>
          <w:szCs w:val="20"/>
          <w:i w:val="1"/>
          <w:iCs w:val="1"/>
          <w:color w:val="auto"/>
        </w:rPr>
        <w:t xml:space="preserve">Page </w:t>
      </w:r>
      <w:r>
        <w:rPr>
          <w:rFonts w:ascii="Arial" w:cs="Arial" w:eastAsia="Arial" w:hAnsi="Arial"/>
          <w:sz w:val="20"/>
          <w:szCs w:val="20"/>
          <w:b w:val="1"/>
          <w:bCs w:val="1"/>
          <w:i w:val="1"/>
          <w:iCs w:val="1"/>
          <w:color w:val="auto"/>
        </w:rPr>
        <w:t>11</w:t>
      </w:r>
      <w:r>
        <w:rPr>
          <w:rFonts w:ascii="Arial" w:cs="Arial" w:eastAsia="Arial" w:hAnsi="Arial"/>
          <w:sz w:val="20"/>
          <w:szCs w:val="20"/>
          <w:i w:val="1"/>
          <w:iCs w:val="1"/>
          <w:color w:val="auto"/>
        </w:rPr>
        <w:t xml:space="preserve"> of </w:t>
      </w:r>
      <w:r>
        <w:rPr>
          <w:rFonts w:ascii="Arial" w:cs="Arial" w:eastAsia="Arial" w:hAnsi="Arial"/>
          <w:sz w:val="20"/>
          <w:szCs w:val="20"/>
          <w:b w:val="1"/>
          <w:bCs w:val="1"/>
          <w:i w:val="1"/>
          <w:iCs w:val="1"/>
          <w:color w:val="auto"/>
        </w:rPr>
        <w:t>11</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EBITDA AND ADJUSTED EBITDA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jc w:val="both"/>
        <w:ind w:left="60" w:right="499"/>
        <w:spacing w:after="0" w:line="263" w:lineRule="auto"/>
        <w:rPr>
          <w:sz w:val="20"/>
          <w:szCs w:val="20"/>
          <w:color w:val="auto"/>
        </w:rPr>
      </w:pPr>
      <w:r>
        <w:rPr>
          <w:rFonts w:ascii="Arial" w:cs="Arial" w:eastAsia="Arial" w:hAnsi="Arial"/>
          <w:sz w:val="18"/>
          <w:szCs w:val="18"/>
          <w:color w:val="auto"/>
        </w:rPr>
        <w:t>The following table presents EBITDA and adjusted EBITDA, each a non-GAAP measure, and reconciles them to net income (loss) attributable to Calavo Growers, Inc., which is the most directly comparable GAAP measure. See “Non-GAAP Financial Measures” earlier in this release.</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500" w:type="dxa"/>
            <w:vAlign w:val="bottom"/>
            <w:gridSpan w:val="4"/>
          </w:tcPr>
          <w:p>
            <w:pPr>
              <w:jc w:val="right"/>
              <w:ind w:right="151"/>
              <w:spacing w:after="0"/>
              <w:rPr>
                <w:sz w:val="20"/>
                <w:szCs w:val="20"/>
                <w:color w:val="auto"/>
              </w:rPr>
            </w:pPr>
            <w:r>
              <w:rPr>
                <w:rFonts w:ascii="Arial" w:cs="Arial" w:eastAsia="Arial" w:hAnsi="Arial"/>
                <w:sz w:val="14"/>
                <w:szCs w:val="14"/>
                <w:b w:val="1"/>
                <w:bCs w:val="1"/>
                <w:color w:val="auto"/>
                <w:w w:val="95"/>
              </w:rPr>
              <w:t>Nine months ended</w:t>
            </w:r>
          </w:p>
        </w:tc>
      </w:tr>
      <w:tr>
        <w:trPr>
          <w:trHeight w:val="171"/>
        </w:trPr>
        <w:tc>
          <w:tcPr>
            <w:tcW w:w="22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31,</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31,</w:t>
            </w:r>
          </w:p>
        </w:tc>
        <w:tc>
          <w:tcPr>
            <w:tcW w:w="560" w:type="dxa"/>
            <w:vAlign w:val="bottom"/>
            <w:tcBorders>
              <w:bottom w:val="single" w:sz="8" w:color="auto"/>
            </w:tcBorders>
          </w:tcPr>
          <w:p>
            <w:pPr>
              <w:spacing w:after="0"/>
              <w:rPr>
                <w:sz w:val="14"/>
                <w:szCs w:val="14"/>
                <w:color w:val="auto"/>
              </w:rPr>
            </w:pPr>
          </w:p>
        </w:tc>
      </w:tr>
      <w:tr>
        <w:trPr>
          <w:trHeight w:val="142"/>
        </w:trPr>
        <w:tc>
          <w:tcPr>
            <w:tcW w:w="2240" w:type="dxa"/>
            <w:vAlign w:val="bottom"/>
            <w:tcBorders>
              <w:bottom w:val="single" w:sz="8" w:color="CCEEFF"/>
            </w:tcBorders>
          </w:tcPr>
          <w:p>
            <w:pPr>
              <w:spacing w:after="0"/>
              <w:rPr>
                <w:sz w:val="12"/>
                <w:szCs w:val="12"/>
                <w:color w:val="auto"/>
              </w:rPr>
            </w:pPr>
          </w:p>
        </w:tc>
        <w:tc>
          <w:tcPr>
            <w:tcW w:w="3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w w:val="96"/>
              </w:rPr>
              <w:t>2022</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2022</w:t>
            </w:r>
          </w:p>
        </w:tc>
      </w:tr>
      <w:tr>
        <w:trPr>
          <w:trHeight w:val="20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Calavo Growers, Inc.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(2,933)</w:t>
            </w:r>
          </w:p>
        </w:tc>
      </w:tr>
      <w:tr>
        <w:trPr>
          <w:trHeight w:val="216"/>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(480)</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(402)</w:t>
            </w:r>
          </w:p>
        </w:tc>
      </w:tr>
      <w:tr>
        <w:trPr>
          <w:trHeight w:val="216"/>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r>
      <w:tr>
        <w:trPr>
          <w:trHeight w:val="216"/>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Provision (benefit) for Income Taxes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984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16"/>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12,815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12,472</w:t>
            </w:r>
          </w:p>
        </w:tc>
      </w:tr>
      <w:tr>
        <w:trPr>
          <w:trHeight w:val="216"/>
        </w:trPr>
        <w:tc>
          <w:tcPr>
            <w:tcW w:w="54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4,382</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w:t>
            </w:r>
          </w:p>
        </w:tc>
      </w:tr>
      <w:tr>
        <w:trPr>
          <w:trHeight w:val="20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13,260</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7,454</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17,783</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12,169</w:t>
            </w:r>
          </w:p>
        </w:tc>
      </w:tr>
      <w:tr>
        <w:trPr>
          <w:trHeight w:val="210"/>
        </w:trPr>
        <w:tc>
          <w:tcPr>
            <w:tcW w:w="22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Non-cash losses recognized from unconsolidated entities (a)</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812</w:t>
            </w:r>
          </w:p>
        </w:tc>
      </w:tr>
      <w:tr>
        <w:trPr>
          <w:trHeight w:val="216"/>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(income) on Limoneira shares (c)</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(1,225)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w:t>
            </w:r>
          </w:p>
        </w:tc>
      </w:tr>
      <w:tr>
        <w:trPr>
          <w:trHeight w:val="216"/>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Rent expense add back (d)</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324</w:t>
            </w:r>
          </w:p>
        </w:tc>
      </w:tr>
      <w:tr>
        <w:trPr>
          <w:trHeight w:val="202"/>
        </w:trPr>
        <w:tc>
          <w:tcPr>
            <w:tcW w:w="548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w w:val="93"/>
              </w:rPr>
              <w:t>Restructure costs - consulting and management recruiting and severance</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w:t>
            </w:r>
          </w:p>
        </w:tc>
      </w:tr>
      <w:tr>
        <w:trPr>
          <w:trHeight w:val="216"/>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Expenses (recovery) related to Mexican tax matters (f)</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(1,203)</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1,148</w:t>
            </w:r>
          </w:p>
        </w:tc>
      </w:tr>
      <w:tr>
        <w:trPr>
          <w:trHeight w:val="202"/>
        </w:trPr>
        <w:tc>
          <w:tcPr>
            <w:tcW w:w="548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w w:val="93"/>
              </w:rPr>
              <w:t>Impairment, losses and charges related to property, plant and equipment</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r>
      <w:tr>
        <w:trPr>
          <w:trHeight w:val="216"/>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Legal settlement and related expenses (h)</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4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13,759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24,297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25,520</w:t>
            </w:r>
          </w:p>
        </w:tc>
      </w:tr>
      <w:tr>
        <w:trPr>
          <w:trHeight w:val="20"/>
        </w:trPr>
        <w:tc>
          <w:tcPr>
            <w:tcW w:w="22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09"/>
        </w:trPr>
        <w:tc>
          <w:tcPr>
            <w:tcW w:w="2240" w:type="dxa"/>
            <w:vAlign w:val="bottom"/>
            <w:tcBorders>
              <w:bottom w:val="single" w:sz="8" w:color="auto"/>
            </w:tcBorders>
          </w:tcPr>
          <w:p>
            <w:pPr>
              <w:spacing w:after="0"/>
              <w:rPr>
                <w:sz w:val="9"/>
                <w:szCs w:val="9"/>
                <w:color w:val="auto"/>
              </w:rPr>
            </w:pPr>
          </w:p>
        </w:tc>
        <w:tc>
          <w:tcPr>
            <w:tcW w:w="3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prior page for footnote 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4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4"/>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2023-09-06T15:33:23Z</dcterms:created>
  <dcterms:modified xsi:type="dcterms:W3CDTF">2023-09-06T15:33:23Z</dcterms:modified>
</cp:coreProperties>
</file>