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408940</wp:posOffset>
            </wp:positionV>
            <wp:extent cx="649795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jc w:val="center"/>
        <w:spacing w:after="0" w:line="225" w:lineRule="auto"/>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67310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84"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w:t>
      </w:r>
    </w:p>
    <w:p>
      <w:pPr>
        <w:spacing w:after="0" w:line="21"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January 31,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26"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w:t>
      </w:r>
    </w:p>
    <w:p>
      <w:pPr>
        <w:spacing w:after="0" w:line="21"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000-33385</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CALAVO GROWERS,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920" w:type="dxa"/>
            <w:vAlign w:val="bottom"/>
          </w:tcPr>
          <w:p>
            <w:pPr>
              <w:spacing w:after="0"/>
              <w:rPr>
                <w:sz w:val="18"/>
                <w:szCs w:val="18"/>
                <w:color w:val="auto"/>
              </w:rPr>
            </w:pPr>
          </w:p>
        </w:tc>
        <w:tc>
          <w:tcPr>
            <w:tcW w:w="3800" w:type="dxa"/>
            <w:vAlign w:val="bottom"/>
            <w:gridSpan w:val="3"/>
          </w:tcPr>
          <w:p>
            <w:pPr>
              <w:jc w:val="center"/>
              <w:ind w:right="2464"/>
              <w:spacing w:after="0"/>
              <w:rPr>
                <w:sz w:val="20"/>
                <w:szCs w:val="20"/>
                <w:color w:val="auto"/>
              </w:rPr>
            </w:pPr>
            <w:r>
              <w:rPr>
                <w:rFonts w:ascii="Arial" w:cs="Arial" w:eastAsia="Arial" w:hAnsi="Arial"/>
                <w:sz w:val="16"/>
                <w:szCs w:val="16"/>
                <w:b w:val="1"/>
                <w:bCs w:val="1"/>
                <w:color w:val="auto"/>
                <w:w w:val="94"/>
              </w:rPr>
              <w:t>California</w:t>
            </w:r>
          </w:p>
        </w:tc>
        <w:tc>
          <w:tcPr>
            <w:tcW w:w="4500" w:type="dxa"/>
            <w:vAlign w:val="bottom"/>
            <w:gridSpan w:val="3"/>
          </w:tcPr>
          <w:p>
            <w:pPr>
              <w:jc w:val="right"/>
              <w:ind w:right="2105"/>
              <w:spacing w:after="0"/>
              <w:rPr>
                <w:sz w:val="20"/>
                <w:szCs w:val="20"/>
                <w:color w:val="auto"/>
              </w:rPr>
            </w:pPr>
            <w:r>
              <w:rPr>
                <w:rFonts w:ascii="Arial" w:cs="Arial" w:eastAsia="Arial" w:hAnsi="Arial"/>
                <w:sz w:val="16"/>
                <w:szCs w:val="16"/>
                <w:b w:val="1"/>
                <w:bCs w:val="1"/>
                <w:color w:val="auto"/>
              </w:rPr>
              <w:t>33-0945304</w:t>
            </w:r>
          </w:p>
        </w:tc>
      </w:tr>
      <w:tr>
        <w:trPr>
          <w:trHeight w:val="233"/>
        </w:trPr>
        <w:tc>
          <w:tcPr>
            <w:tcW w:w="1920" w:type="dxa"/>
            <w:vAlign w:val="bottom"/>
          </w:tcPr>
          <w:p>
            <w:pPr>
              <w:spacing w:after="0"/>
              <w:rPr>
                <w:sz w:val="20"/>
                <w:szCs w:val="20"/>
                <w:color w:val="auto"/>
              </w:rPr>
            </w:pPr>
          </w:p>
        </w:tc>
        <w:tc>
          <w:tcPr>
            <w:tcW w:w="3800" w:type="dxa"/>
            <w:vAlign w:val="bottom"/>
            <w:gridSpan w:val="3"/>
          </w:tcPr>
          <w:p>
            <w:pPr>
              <w:jc w:val="center"/>
              <w:ind w:right="2464"/>
              <w:spacing w:after="0"/>
              <w:rPr>
                <w:sz w:val="20"/>
                <w:szCs w:val="20"/>
                <w:color w:val="auto"/>
              </w:rPr>
            </w:pPr>
            <w:r>
              <w:rPr>
                <w:rFonts w:ascii="Arial" w:cs="Arial" w:eastAsia="Arial" w:hAnsi="Arial"/>
                <w:sz w:val="13"/>
                <w:szCs w:val="13"/>
                <w:color w:val="auto"/>
                <w:w w:val="89"/>
              </w:rPr>
              <w:t>(State of incorporation)</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tcPr>
          <w:p>
            <w:pPr>
              <w:jc w:val="center"/>
              <w:ind w:right="1085"/>
              <w:spacing w:after="0"/>
              <w:rPr>
                <w:sz w:val="20"/>
                <w:szCs w:val="20"/>
                <w:color w:val="auto"/>
              </w:rPr>
            </w:pPr>
            <w:r>
              <w:rPr>
                <w:rFonts w:ascii="Arial" w:cs="Arial" w:eastAsia="Arial" w:hAnsi="Arial"/>
                <w:sz w:val="13"/>
                <w:szCs w:val="13"/>
                <w:color w:val="auto"/>
                <w:w w:val="91"/>
              </w:rPr>
              <w:t>(I.R.S. Employer Identification No.)</w:t>
            </w:r>
          </w:p>
        </w:tc>
      </w:tr>
      <w:tr>
        <w:trPr>
          <w:trHeight w:val="340"/>
        </w:trPr>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5"/>
              <w:spacing w:after="0"/>
              <w:rPr>
                <w:sz w:val="20"/>
                <w:szCs w:val="20"/>
                <w:color w:val="auto"/>
              </w:rPr>
            </w:pPr>
            <w:r>
              <w:rPr>
                <w:rFonts w:ascii="Arial" w:cs="Arial" w:eastAsia="Arial" w:hAnsi="Arial"/>
                <w:sz w:val="16"/>
                <w:szCs w:val="16"/>
                <w:b w:val="1"/>
                <w:bCs w:val="1"/>
                <w:color w:val="auto"/>
                <w:w w:val="92"/>
              </w:rPr>
              <w:t>1141-A Cummings Road</w:t>
            </w:r>
          </w:p>
        </w:tc>
      </w:tr>
      <w:tr>
        <w:trPr>
          <w:trHeight w:val="202"/>
        </w:trPr>
        <w:tc>
          <w:tcPr>
            <w:tcW w:w="1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ind w:left="1280"/>
              <w:spacing w:after="0"/>
              <w:rPr>
                <w:sz w:val="20"/>
                <w:szCs w:val="20"/>
                <w:color w:val="auto"/>
              </w:rPr>
            </w:pPr>
            <w:r>
              <w:rPr>
                <w:rFonts w:ascii="Arial" w:cs="Arial" w:eastAsia="Arial" w:hAnsi="Arial"/>
                <w:sz w:val="16"/>
                <w:szCs w:val="16"/>
                <w:b w:val="1"/>
                <w:bCs w:val="1"/>
                <w:color w:val="auto"/>
                <w:w w:val="96"/>
              </w:rPr>
              <w:t>Santa Paula, California</w:t>
            </w:r>
          </w:p>
        </w:tc>
        <w:tc>
          <w:tcPr>
            <w:tcW w:w="5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8"/>
              </w:rPr>
              <w:t>93060</w:t>
            </w:r>
          </w:p>
        </w:tc>
        <w:tc>
          <w:tcPr>
            <w:tcW w:w="3960" w:type="dxa"/>
            <w:vAlign w:val="bottom"/>
          </w:tcPr>
          <w:p>
            <w:pPr>
              <w:spacing w:after="0"/>
              <w:rPr>
                <w:sz w:val="17"/>
                <w:szCs w:val="17"/>
                <w:color w:val="auto"/>
              </w:rPr>
            </w:pPr>
          </w:p>
        </w:tc>
      </w:tr>
      <w:tr>
        <w:trPr>
          <w:trHeight w:val="160"/>
        </w:trPr>
        <w:tc>
          <w:tcPr>
            <w:tcW w:w="1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gridSpan w:val="4"/>
          </w:tcPr>
          <w:p>
            <w:pPr>
              <w:jc w:val="center"/>
              <w:ind w:right="2685"/>
              <w:spacing w:after="0"/>
              <w:rPr>
                <w:sz w:val="20"/>
                <w:szCs w:val="20"/>
                <w:color w:val="auto"/>
              </w:rPr>
            </w:pPr>
            <w:r>
              <w:rPr>
                <w:rFonts w:ascii="Arial" w:cs="Arial" w:eastAsia="Arial" w:hAnsi="Arial"/>
                <w:sz w:val="13"/>
                <w:szCs w:val="13"/>
                <w:color w:val="auto"/>
                <w:w w:val="89"/>
              </w:rPr>
              <w:t>(Address of principal executive offices) (Zip code)</w:t>
            </w:r>
          </w:p>
        </w:tc>
      </w:tr>
      <w:tr>
        <w:trPr>
          <w:trHeight w:val="380"/>
        </w:trPr>
        <w:tc>
          <w:tcPr>
            <w:tcW w:w="1920" w:type="dxa"/>
            <w:vAlign w:val="bottom"/>
          </w:tcPr>
          <w:p>
            <w:pPr>
              <w:spacing w:after="0"/>
              <w:rPr>
                <w:sz w:val="24"/>
                <w:szCs w:val="24"/>
                <w:color w:val="auto"/>
              </w:rPr>
            </w:pPr>
          </w:p>
        </w:tc>
        <w:tc>
          <w:tcPr>
            <w:tcW w:w="3800" w:type="dxa"/>
            <w:vAlign w:val="bottom"/>
            <w:gridSpan w:val="3"/>
          </w:tcPr>
          <w:p>
            <w:pPr>
              <w:jc w:val="center"/>
              <w:ind w:left="2505"/>
              <w:spacing w:after="0"/>
              <w:rPr>
                <w:sz w:val="20"/>
                <w:szCs w:val="20"/>
                <w:color w:val="auto"/>
              </w:rPr>
            </w:pPr>
            <w:r>
              <w:rPr>
                <w:rFonts w:ascii="Arial" w:cs="Arial" w:eastAsia="Arial" w:hAnsi="Arial"/>
                <w:sz w:val="16"/>
                <w:szCs w:val="16"/>
                <w:b w:val="1"/>
                <w:bCs w:val="1"/>
                <w:color w:val="auto"/>
                <w:w w:val="93"/>
              </w:rPr>
              <w:t>(805) 525-1245</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60"/>
        </w:trPr>
        <w:tc>
          <w:tcPr>
            <w:tcW w:w="1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80" w:type="dxa"/>
            <w:vAlign w:val="bottom"/>
            <w:gridSpan w:val="4"/>
          </w:tcPr>
          <w:p>
            <w:pPr>
              <w:jc w:val="center"/>
              <w:ind w:right="2665"/>
              <w:spacing w:after="0"/>
              <w:rPr>
                <w:sz w:val="20"/>
                <w:szCs w:val="20"/>
                <w:color w:val="auto"/>
              </w:rPr>
            </w:pPr>
            <w:r>
              <w:rPr>
                <w:rFonts w:ascii="Arial" w:cs="Arial" w:eastAsia="Arial" w:hAnsi="Arial"/>
                <w:sz w:val="13"/>
                <w:szCs w:val="13"/>
                <w:color w:val="auto"/>
                <w:w w:val="87"/>
              </w:rPr>
              <w:t>(Registrant's telephone number, including area code)</w:t>
            </w:r>
          </w:p>
        </w:tc>
      </w:tr>
      <w:tr>
        <w:trPr>
          <w:trHeight w:val="320"/>
        </w:trPr>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4"/>
          </w:tcPr>
          <w:p>
            <w:pPr>
              <w:jc w:val="center"/>
              <w:ind w:right="2665"/>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30"/>
        </w:trPr>
        <w:tc>
          <w:tcPr>
            <w:tcW w:w="1920" w:type="dxa"/>
            <w:vAlign w:val="bottom"/>
          </w:tcPr>
          <w:p>
            <w:pPr>
              <w:jc w:val="center"/>
              <w:ind w:left="599"/>
              <w:spacing w:after="0"/>
              <w:rPr>
                <w:sz w:val="20"/>
                <w:szCs w:val="20"/>
                <w:color w:val="auto"/>
              </w:rPr>
            </w:pPr>
            <w:r>
              <w:rPr>
                <w:rFonts w:ascii="Arial" w:cs="Arial" w:eastAsia="Arial" w:hAnsi="Arial"/>
                <w:sz w:val="16"/>
                <w:szCs w:val="16"/>
                <w:color w:val="auto"/>
                <w:w w:val="90"/>
              </w:rPr>
              <w:t>Title of each class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jc w:val="center"/>
              <w:ind w:left="284"/>
              <w:spacing w:after="0"/>
              <w:rPr>
                <w:sz w:val="20"/>
                <w:szCs w:val="20"/>
                <w:color w:val="auto"/>
              </w:rPr>
            </w:pPr>
            <w:r>
              <w:rPr>
                <w:rFonts w:ascii="Arial" w:cs="Arial" w:eastAsia="Arial" w:hAnsi="Arial"/>
                <w:sz w:val="16"/>
                <w:szCs w:val="16"/>
                <w:color w:val="auto"/>
                <w:w w:val="93"/>
              </w:rPr>
              <w:t>Trading Symbol(s)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0"/>
        </w:trPr>
        <w:tc>
          <w:tcPr>
            <w:tcW w:w="19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206"/>
        </w:trPr>
        <w:tc>
          <w:tcPr>
            <w:tcW w:w="1920" w:type="dxa"/>
            <w:vAlign w:val="bottom"/>
          </w:tcPr>
          <w:p>
            <w:pPr>
              <w:jc w:val="center"/>
              <w:ind w:left="619"/>
              <w:spacing w:after="0"/>
              <w:rPr>
                <w:sz w:val="20"/>
                <w:szCs w:val="20"/>
                <w:color w:val="auto"/>
              </w:rPr>
            </w:pPr>
            <w:r>
              <w:rPr>
                <w:rFonts w:ascii="Arial" w:cs="Arial" w:eastAsia="Arial" w:hAnsi="Arial"/>
                <w:sz w:val="16"/>
                <w:szCs w:val="16"/>
                <w:color w:val="auto"/>
                <w:w w:val="93"/>
              </w:rPr>
              <w:t>Common Stock</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jc w:val="center"/>
              <w:ind w:left="284"/>
              <w:spacing w:after="0"/>
              <w:rPr>
                <w:sz w:val="20"/>
                <w:szCs w:val="20"/>
                <w:color w:val="auto"/>
              </w:rPr>
            </w:pPr>
            <w:r>
              <w:rPr>
                <w:rFonts w:ascii="Arial" w:cs="Arial" w:eastAsia="Arial" w:hAnsi="Arial"/>
                <w:sz w:val="16"/>
                <w:szCs w:val="16"/>
                <w:color w:val="auto"/>
              </w:rPr>
              <w:t>CVGW</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6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08"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7" w:lineRule="exact"/>
        <w:rPr>
          <w:sz w:val="24"/>
          <w:szCs w:val="24"/>
          <w:color w:val="auto"/>
        </w:rPr>
      </w:pPr>
    </w:p>
    <w:p>
      <w:pPr>
        <w:ind w:right="460"/>
        <w:spacing w:after="0" w:line="21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309" w:lineRule="exact"/>
        <w:rPr>
          <w:sz w:val="24"/>
          <w:szCs w:val="24"/>
          <w:color w:val="auto"/>
        </w:rPr>
      </w:pPr>
    </w:p>
    <w:p>
      <w:pPr>
        <w:ind w:right="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63" w:lineRule="exact"/>
        <w:rPr>
          <w:sz w:val="24"/>
          <w:szCs w:val="24"/>
          <w:color w:val="auto"/>
        </w:rPr>
      </w:pPr>
    </w:p>
    <w:p>
      <w:pPr>
        <w:ind w:right="2020"/>
        <w:spacing w:after="0" w:line="28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Registrant's number of shares of common stock outstanding as of January 31, 2020 was 17,614,233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664845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193040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244475</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64770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ind w:left="40" w:right="99"/>
        <w:spacing w:after="0" w:line="285" w:lineRule="auto"/>
        <w:rPr>
          <w:sz w:val="20"/>
          <w:szCs w:val="20"/>
          <w:color w:val="auto"/>
        </w:rPr>
      </w:pPr>
      <w:r>
        <w:rPr>
          <w:rFonts w:ascii="Arial" w:cs="Arial" w:eastAsia="Arial" w:hAnsi="Arial"/>
          <w:sz w:val="16"/>
          <w:szCs w:val="16"/>
          <w:color w:val="auto"/>
        </w:rPr>
        <w:t xml:space="preserve">This Quarterly Report on Form 10-Q, including “Management’s Discussion and Analysis of Financial Condition and Results of Operations” in Item 2, contains forward-looking statements that involve risks, uncertainties and assumptions If the risks or uncertainties ever materialize or the assumptions prove incorrect, the results of Calavo Growers, Inc. and its consolidated subsidiaries (Calavo, the Company, we, us or our)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other risks that are described herein, including, but not limited to, the items discussed in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October 31, 2019, and those detailed from time to time in our other filings with the Securities and Exchange Commission. Calavo assumes no obligation and does not intend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392"/>
        </w:trPr>
        <w:tc>
          <w:tcPr>
            <w:tcW w:w="30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486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r>
      <w:tr>
        <w:trPr>
          <w:trHeight w:val="398"/>
        </w:trPr>
        <w:tc>
          <w:tcPr>
            <w:tcW w:w="760" w:type="dxa"/>
            <w:vAlign w:val="bottom"/>
            <w:gridSpan w:val="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718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Financial Statements (unaudited):</w:t>
              </w:r>
            </w:hyperlink>
          </w:p>
        </w:tc>
        <w:tc>
          <w:tcPr>
            <w:tcW w:w="98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80" w:type="dxa"/>
            <w:vAlign w:val="bottom"/>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Condensed Balance Sheets – January 31, 2020 and October 31, 2019</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20" w:type="dxa"/>
            <w:vAlign w:val="bottom"/>
            <w:tcBorders>
              <w:bottom w:val="single" w:sz="8" w:color="0000EE"/>
            </w:tcBorders>
            <w:gridSpan w:val="14"/>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Condensed Statements of Operations – Three Months Ended January 31, 2020 and 2019</w:t>
              </w:r>
            </w:hyperlink>
          </w:p>
        </w:tc>
        <w:tc>
          <w:tcPr>
            <w:tcW w:w="56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80" w:type="dxa"/>
            <w:vAlign w:val="bottom"/>
            <w:gridSpan w:val="16"/>
          </w:tcPr>
          <w:p>
            <w:pPr>
              <w:spacing w:after="0"/>
              <w:rPr>
                <w:rFonts w:ascii="Arial" w:cs="Arial" w:eastAsia="Arial" w:hAnsi="Arial"/>
                <w:sz w:val="16"/>
                <w:szCs w:val="16"/>
                <w:color w:val="0000EE"/>
                <w:w w:val="97"/>
              </w:rPr>
            </w:pPr>
            <w:hyperlink w:anchor="page6">
              <w:r>
                <w:rPr>
                  <w:rFonts w:ascii="Arial" w:cs="Arial" w:eastAsia="Arial" w:hAnsi="Arial"/>
                  <w:sz w:val="16"/>
                  <w:szCs w:val="16"/>
                  <w:color w:val="0000EE"/>
                  <w:w w:val="97"/>
                </w:rPr>
                <w:t>Consolidated Condensed Statements of Cash Flows – Three Months Ended January 31, 2020 and 2019</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1"/>
              </w:rPr>
            </w:pPr>
            <w:hyperlink w:anchor="page7">
              <w:r>
                <w:rPr>
                  <w:rFonts w:ascii="Arial" w:cs="Arial" w:eastAsia="Arial" w:hAnsi="Arial"/>
                  <w:sz w:val="16"/>
                  <w:szCs w:val="16"/>
                  <w:color w:val="0000EE"/>
                  <w:w w:val="91"/>
                </w:rPr>
                <w:t>Consolidated Statements of Shareholders’ Equity</w:t>
              </w:r>
            </w:hyperlink>
          </w:p>
        </w:tc>
        <w:tc>
          <w:tcPr>
            <w:tcW w:w="3460" w:type="dxa"/>
            <w:vAlign w:val="bottom"/>
            <w:tcBorders>
              <w:top w:val="single" w:sz="8" w:color="0000EE"/>
            </w:tcBorders>
            <w:gridSpan w:val="6"/>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80" w:type="dxa"/>
            <w:vAlign w:val="bottom"/>
            <w:gridSpan w:val="16"/>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Consolidated Condensed Financial Statements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24">
              <w:r>
                <w:rPr>
                  <w:rFonts w:ascii="Arial" w:cs="Arial" w:eastAsia="Arial" w:hAnsi="Arial"/>
                  <w:sz w:val="16"/>
                  <w:szCs w:val="16"/>
                  <w:color w:val="0000EE"/>
                  <w:w w:val="93"/>
                </w:rPr>
                <w:t>Item 2.</w:t>
              </w:r>
            </w:hyperlink>
          </w:p>
        </w:tc>
        <w:tc>
          <w:tcPr>
            <w:tcW w:w="280" w:type="dxa"/>
            <w:vAlign w:val="bottom"/>
            <w:gridSpan w:val="2"/>
          </w:tcPr>
          <w:p>
            <w:pPr>
              <w:spacing w:after="0"/>
              <w:rPr>
                <w:sz w:val="24"/>
                <w:szCs w:val="24"/>
                <w:color w:val="auto"/>
              </w:rPr>
            </w:pPr>
          </w:p>
        </w:tc>
        <w:tc>
          <w:tcPr>
            <w:tcW w:w="7180" w:type="dxa"/>
            <w:vAlign w:val="bottom"/>
            <w:gridSpan w:val="1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85"/>
        </w:trPr>
        <w:tc>
          <w:tcPr>
            <w:tcW w:w="480" w:type="dxa"/>
            <w:vAlign w:val="bottom"/>
            <w:tcBorders>
              <w:top w:val="single" w:sz="8" w:color="0000EE"/>
            </w:tcBorders>
            <w:gridSpan w:val="2"/>
          </w:tcPr>
          <w:p>
            <w:pPr>
              <w:spacing w:after="0"/>
              <w:rPr>
                <w:rFonts w:ascii="Arial" w:cs="Arial" w:eastAsia="Arial" w:hAnsi="Arial"/>
                <w:sz w:val="16"/>
                <w:szCs w:val="16"/>
                <w:color w:val="0000EE"/>
                <w:w w:val="93"/>
              </w:rPr>
            </w:pPr>
            <w:hyperlink w:anchor="page31">
              <w:r>
                <w:rPr>
                  <w:rFonts w:ascii="Arial" w:cs="Arial" w:eastAsia="Arial" w:hAnsi="Arial"/>
                  <w:sz w:val="16"/>
                  <w:szCs w:val="16"/>
                  <w:color w:val="0000EE"/>
                  <w:w w:val="93"/>
                </w:rPr>
                <w:t>Item 3.</w:t>
              </w:r>
            </w:hyperlink>
          </w:p>
        </w:tc>
        <w:tc>
          <w:tcPr>
            <w:tcW w:w="280" w:type="dxa"/>
            <w:vAlign w:val="bottom"/>
            <w:gridSpan w:val="2"/>
          </w:tcPr>
          <w:p>
            <w:pPr>
              <w:spacing w:after="0"/>
              <w:rPr>
                <w:sz w:val="24"/>
                <w:szCs w:val="24"/>
                <w:color w:val="auto"/>
              </w:rPr>
            </w:pPr>
          </w:p>
        </w:tc>
        <w:tc>
          <w:tcPr>
            <w:tcW w:w="5800" w:type="dxa"/>
            <w:vAlign w:val="bottom"/>
            <w:tcBorders>
              <w:top w:val="single" w:sz="8" w:color="0000EE"/>
            </w:tcBorders>
            <w:gridSpan w:val="13"/>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Quantitative and Qualitative Disclosures About Market Risk</w:t>
              </w:r>
            </w:hyperlink>
          </w:p>
        </w:tc>
        <w:tc>
          <w:tcPr>
            <w:tcW w:w="138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85"/>
        </w:trPr>
        <w:tc>
          <w:tcPr>
            <w:tcW w:w="480" w:type="dxa"/>
            <w:vAlign w:val="bottom"/>
            <w:tcBorders>
              <w:top w:val="single" w:sz="8" w:color="0000EE"/>
            </w:tcBorders>
            <w:gridSpan w:val="2"/>
          </w:tcPr>
          <w:p>
            <w:pPr>
              <w:spacing w:after="0"/>
              <w:rPr>
                <w:rFonts w:ascii="Arial" w:cs="Arial" w:eastAsia="Arial" w:hAnsi="Arial"/>
                <w:sz w:val="16"/>
                <w:szCs w:val="16"/>
                <w:color w:val="0000EE"/>
                <w:w w:val="93"/>
              </w:rPr>
            </w:pPr>
            <w:hyperlink w:anchor="page31">
              <w:r>
                <w:rPr>
                  <w:rFonts w:ascii="Arial" w:cs="Arial" w:eastAsia="Arial" w:hAnsi="Arial"/>
                  <w:sz w:val="16"/>
                  <w:szCs w:val="16"/>
                  <w:color w:val="0000EE"/>
                  <w:w w:val="93"/>
                </w:rPr>
                <w:t>Item 4.</w:t>
              </w:r>
            </w:hyperlink>
          </w:p>
        </w:tc>
        <w:tc>
          <w:tcPr>
            <w:tcW w:w="280" w:type="dxa"/>
            <w:vAlign w:val="bottom"/>
            <w:gridSpan w:val="2"/>
          </w:tcPr>
          <w:p>
            <w:pPr>
              <w:spacing w:after="0"/>
              <w:rPr>
                <w:sz w:val="24"/>
                <w:szCs w:val="24"/>
                <w:color w:val="auto"/>
              </w:rPr>
            </w:pPr>
          </w:p>
        </w:tc>
        <w:tc>
          <w:tcPr>
            <w:tcW w:w="3920" w:type="dxa"/>
            <w:vAlign w:val="bottom"/>
            <w:tcBorders>
              <w:top w:val="single" w:sz="8" w:color="0000EE"/>
            </w:tcBorders>
            <w:gridSpan w:val="11"/>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Controls and Procedures</w:t>
              </w:r>
            </w:hyperlink>
          </w:p>
        </w:tc>
        <w:tc>
          <w:tcPr>
            <w:tcW w:w="326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4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88"/>
        </w:trPr>
        <w:tc>
          <w:tcPr>
            <w:tcW w:w="250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PART II. OTHER INFORMATION</w:t>
              </w:r>
            </w:hyperlink>
          </w:p>
        </w:tc>
        <w:tc>
          <w:tcPr>
            <w:tcW w:w="5440" w:type="dxa"/>
            <w:vAlign w:val="bottom"/>
            <w:gridSpan w:val="10"/>
          </w:tcPr>
          <w:p>
            <w:pPr>
              <w:spacing w:after="0"/>
              <w:rPr>
                <w:sz w:val="24"/>
                <w:szCs w:val="24"/>
                <w:color w:val="auto"/>
              </w:rPr>
            </w:pPr>
          </w:p>
        </w:tc>
        <w:tc>
          <w:tcPr>
            <w:tcW w:w="980" w:type="dxa"/>
            <w:vAlign w:val="bottom"/>
          </w:tcPr>
          <w:p>
            <w:pPr>
              <w:spacing w:after="0"/>
              <w:rPr>
                <w:sz w:val="24"/>
                <w:szCs w:val="24"/>
                <w:color w:val="auto"/>
              </w:rPr>
            </w:pPr>
          </w:p>
        </w:tc>
      </w:tr>
      <w:tr>
        <w:trPr>
          <w:trHeight w:val="385"/>
        </w:trPr>
        <w:tc>
          <w:tcPr>
            <w:tcW w:w="480" w:type="dxa"/>
            <w:vAlign w:val="bottom"/>
            <w:gridSpan w:val="2"/>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Item 1.</w:t>
              </w:r>
            </w:hyperlink>
          </w:p>
        </w:tc>
        <w:tc>
          <w:tcPr>
            <w:tcW w:w="280" w:type="dxa"/>
            <w:vAlign w:val="bottom"/>
            <w:gridSpan w:val="2"/>
          </w:tcPr>
          <w:p>
            <w:pPr>
              <w:spacing w:after="0"/>
              <w:rPr>
                <w:sz w:val="24"/>
                <w:szCs w:val="24"/>
                <w:color w:val="auto"/>
              </w:rPr>
            </w:pPr>
          </w:p>
        </w:tc>
        <w:tc>
          <w:tcPr>
            <w:tcW w:w="7180" w:type="dxa"/>
            <w:vAlign w:val="bottom"/>
            <w:gridSpan w:val="16"/>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Legal Proceedings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98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85"/>
        </w:trPr>
        <w:tc>
          <w:tcPr>
            <w:tcW w:w="760" w:type="dxa"/>
            <w:vAlign w:val="bottom"/>
            <w:gridSpan w:val="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1A.</w:t>
              </w:r>
            </w:hyperlink>
          </w:p>
        </w:tc>
        <w:tc>
          <w:tcPr>
            <w:tcW w:w="7180" w:type="dxa"/>
            <w:vAlign w:val="bottom"/>
            <w:gridSpan w:val="16"/>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85"/>
        </w:trPr>
        <w:tc>
          <w:tcPr>
            <w:tcW w:w="580" w:type="dxa"/>
            <w:vAlign w:val="bottom"/>
            <w:tcBorders>
              <w:top w:val="single" w:sz="8" w:color="0000EE"/>
            </w:tcBorders>
            <w:gridSpan w:val="3"/>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Item 6.</w:t>
              </w:r>
            </w:hyperlink>
          </w:p>
        </w:tc>
        <w:tc>
          <w:tcPr>
            <w:tcW w:w="180" w:type="dxa"/>
            <w:vAlign w:val="bottom"/>
          </w:tcPr>
          <w:p>
            <w:pPr>
              <w:spacing w:after="0"/>
              <w:rPr>
                <w:sz w:val="24"/>
                <w:szCs w:val="24"/>
                <w:color w:val="auto"/>
              </w:rPr>
            </w:pPr>
          </w:p>
        </w:tc>
        <w:tc>
          <w:tcPr>
            <w:tcW w:w="820" w:type="dxa"/>
            <w:vAlign w:val="bottom"/>
            <w:tcBorders>
              <w:top w:val="single" w:sz="8" w:color="0000EE"/>
            </w:tcBorders>
            <w:gridSpan w:val="3"/>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Exhibits</w:t>
              </w:r>
            </w:hyperlink>
          </w:p>
        </w:tc>
        <w:tc>
          <w:tcPr>
            <w:tcW w:w="636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00" w:type="dxa"/>
            <w:vAlign w:val="bottom"/>
            <w:gridSpan w:val="1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80" w:type="dxa"/>
            <w:vAlign w:val="bottom"/>
            <w:gridSpan w:val="16"/>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Signatures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4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assets: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w w:val="91"/>
              </w:rPr>
              <w:t>Accounts receivable, net of allowances of $3,920 (2020)</w:t>
            </w:r>
          </w:p>
        </w:tc>
        <w:tc>
          <w:tcPr>
            <w:tcW w:w="2100" w:type="dxa"/>
            <w:vAlign w:val="bottom"/>
          </w:tcPr>
          <w:p>
            <w:pPr>
              <w:jc w:val="right"/>
              <w:ind w:right="970"/>
              <w:spacing w:after="0"/>
              <w:rPr>
                <w:sz w:val="20"/>
                <w:szCs w:val="20"/>
                <w:color w:val="auto"/>
              </w:rPr>
            </w:pPr>
            <w:r>
              <w:rPr>
                <w:rFonts w:ascii="Arial" w:cs="Arial" w:eastAsia="Arial" w:hAnsi="Arial"/>
                <w:sz w:val="18"/>
                <w:szCs w:val="18"/>
                <w:color w:val="auto"/>
                <w:w w:val="90"/>
              </w:rPr>
              <w:t>$3,366 (2019)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78,654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63,423</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9,027</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suppliers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taxes receivable</w:t>
            </w:r>
          </w:p>
        </w:tc>
        <w:tc>
          <w:tcPr>
            <w:tcW w:w="2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280" w:type="dxa"/>
            <w:vAlign w:val="bottom"/>
            <w:tcBorders>
              <w:bottom w:val="single" w:sz="8" w:color="CCEEFF"/>
            </w:tcBorders>
          </w:tcPr>
          <w:p>
            <w:pPr>
              <w:spacing w:after="0"/>
              <w:rPr>
                <w:sz w:val="18"/>
                <w:szCs w:val="18"/>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144,530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127,515</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131,209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132,098</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Investment in Limoneira Company</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32,741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31,734</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3,447</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Notes receivable from FreshRealm</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36,112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35,241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31,341</w:t>
            </w:r>
          </w:p>
        </w:tc>
        <w:tc>
          <w:tcPr>
            <w:tcW w:w="280" w:type="dxa"/>
            <w:vAlign w:val="bottom"/>
            <w:shd w:val="clear" w:color="auto" w:fill="CCEEFF"/>
          </w:tcPr>
          <w:p>
            <w:pPr>
              <w:spacing w:after="0"/>
              <w:rPr>
                <w:sz w:val="18"/>
                <w:szCs w:val="18"/>
                <w:color w:val="auto"/>
              </w:rPr>
            </w:pPr>
          </w:p>
        </w:tc>
      </w:tr>
      <w:tr>
        <w:trPr>
          <w:trHeight w:val="250"/>
        </w:trPr>
        <w:tc>
          <w:tcPr>
            <w:tcW w:w="4320" w:type="dxa"/>
            <w:vAlign w:val="bottom"/>
            <w:tcBorders>
              <w:bottom w:val="single" w:sz="8" w:color="CCEEFF"/>
            </w:tcBorders>
          </w:tcPr>
          <w:p>
            <w:pPr>
              <w:spacing w:after="0"/>
              <w:rPr>
                <w:sz w:val="21"/>
                <w:szCs w:val="21"/>
                <w:color w:val="auto"/>
              </w:rPr>
            </w:pPr>
          </w:p>
        </w:tc>
        <w:tc>
          <w:tcPr>
            <w:tcW w:w="2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471,398</w:t>
            </w:r>
          </w:p>
        </w:tc>
        <w:tc>
          <w:tcPr>
            <w:tcW w:w="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390,360</w:t>
            </w:r>
          </w:p>
        </w:tc>
        <w:tc>
          <w:tcPr>
            <w:tcW w:w="280" w:type="dxa"/>
            <w:vAlign w:val="bottom"/>
            <w:tcBorders>
              <w:bottom w:val="single" w:sz="8" w:color="CCEEFF"/>
            </w:tcBorders>
          </w:tcPr>
          <w:p>
            <w:pPr>
              <w:spacing w:after="0"/>
              <w:rPr>
                <w:sz w:val="21"/>
                <w:szCs w:val="2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growers</w:t>
            </w:r>
          </w:p>
        </w:tc>
        <w:tc>
          <w:tcPr>
            <w:tcW w:w="2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21,880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17,421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Short-term borrowings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Current portion of operating leases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80" w:type="dxa"/>
            <w:vAlign w:val="bottom"/>
            <w:shd w:val="clear" w:color="auto" w:fill="CCEEFF"/>
          </w:tcPr>
          <w:p>
            <w:pPr>
              <w:spacing w:after="0"/>
              <w:rPr>
                <w:sz w:val="18"/>
                <w:szCs w:val="18"/>
                <w:color w:val="auto"/>
              </w:rPr>
            </w:pPr>
          </w:p>
        </w:tc>
      </w:tr>
      <w:tr>
        <w:trPr>
          <w:trHeight w:val="209"/>
        </w:trPr>
        <w:tc>
          <w:tcPr>
            <w:tcW w:w="43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113,132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90,629</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Long-term operating leases, less current portion</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obligations and finance leases, less current portion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3,681</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280" w:type="dxa"/>
            <w:vAlign w:val="bottom"/>
            <w:shd w:val="clear" w:color="auto" w:fill="CCEEFF"/>
          </w:tcPr>
          <w:p>
            <w:pPr>
              <w:spacing w:after="0"/>
              <w:rPr>
                <w:sz w:val="18"/>
                <w:szCs w:val="18"/>
                <w:color w:val="auto"/>
              </w:rPr>
            </w:pPr>
          </w:p>
        </w:tc>
      </w:tr>
      <w:tr>
        <w:trPr>
          <w:trHeight w:val="210"/>
        </w:trPr>
        <w:tc>
          <w:tcPr>
            <w:tcW w:w="4320" w:type="dxa"/>
            <w:vAlign w:val="bottom"/>
          </w:tcPr>
          <w:p>
            <w:pPr>
              <w:ind w:left="340"/>
              <w:spacing w:after="0"/>
              <w:rPr>
                <w:sz w:val="20"/>
                <w:szCs w:val="20"/>
                <w:color w:val="auto"/>
              </w:rPr>
            </w:pPr>
            <w:r>
              <w:rPr>
                <w:rFonts w:ascii="Arial" w:cs="Arial" w:eastAsia="Arial" w:hAnsi="Arial"/>
                <w:sz w:val="18"/>
                <w:szCs w:val="18"/>
                <w:color w:val="auto"/>
              </w:rPr>
              <w:t>Total long-term liabilities</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71,255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13,862</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Shareholders' equity:</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64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Common stock ($0.001 par value, 100,000 shares authorized; 17,614 (2020) and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17,595 (2019) shares issued and outstanding)</w:t>
            </w:r>
          </w:p>
        </w:tc>
        <w:tc>
          <w:tcPr>
            <w:tcW w:w="2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0"/>
                <w:szCs w:val="20"/>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162,584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161,606</w:t>
            </w:r>
          </w:p>
        </w:tc>
        <w:tc>
          <w:tcPr>
            <w:tcW w:w="280" w:type="dxa"/>
            <w:vAlign w:val="bottom"/>
          </w:tcPr>
          <w:p>
            <w:pPr>
              <w:spacing w:after="0"/>
              <w:rPr>
                <w:sz w:val="18"/>
                <w:szCs w:val="18"/>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8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122,784</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122,557</w:t>
            </w:r>
          </w:p>
        </w:tc>
        <w:tc>
          <w:tcPr>
            <w:tcW w:w="280" w:type="dxa"/>
            <w:vAlign w:val="bottom"/>
            <w:tcBorders>
              <w:bottom w:val="single" w:sz="8" w:color="CCEEFF"/>
            </w:tcBorders>
          </w:tcPr>
          <w:p>
            <w:pPr>
              <w:spacing w:after="0"/>
              <w:rPr>
                <w:sz w:val="18"/>
                <w:szCs w:val="18"/>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287,011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285,869</w:t>
            </w:r>
          </w:p>
        </w:tc>
        <w:tc>
          <w:tcPr>
            <w:tcW w:w="280" w:type="dxa"/>
            <w:vAlign w:val="bottom"/>
            <w:shd w:val="clear" w:color="auto" w:fill="CCEEFF"/>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471,398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390,360</w:t>
            </w:r>
          </w:p>
        </w:tc>
        <w:tc>
          <w:tcPr>
            <w:tcW w:w="28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273,348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258,032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257,540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227,195</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Unrealized and realized net gain (loss) on Limoneira shares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w w:val="93"/>
              </w:rPr>
              <w:t>Income before provision (benefit) for income taxes and loss from unconsolidated entities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17,536</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17,558</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gridSpan w:val="2"/>
          </w:tcPr>
          <w:p>
            <w:pPr>
              <w:jc w:val="right"/>
              <w:ind w:right="6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(1,001)</w:t>
            </w:r>
          </w:p>
        </w:tc>
        <w:tc>
          <w:tcPr>
            <w:tcW w:w="5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3,567</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operating lease expense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Net loss from unconsolidated entities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3,028</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Unrealized and realized net gain (loss) on Limoneira shares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Interest income on notes to FreshRealm</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100"/>
              <w:spacing w:after="0" w:line="149" w:lineRule="exact"/>
              <w:rPr>
                <w:sz w:val="20"/>
                <w:szCs w:val="20"/>
                <w:color w:val="auto"/>
              </w:rPr>
            </w:pPr>
            <w:r>
              <w:rPr>
                <w:rFonts w:ascii="Arial" w:cs="Arial" w:eastAsia="Arial" w:hAnsi="Arial"/>
                <w:sz w:val="14"/>
                <w:szCs w:val="14"/>
                <w:color w:val="auto"/>
              </w:rPr>
              <w:t>Gain on sale of Temecula packinghouse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(15,231)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 net</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(5,348)</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(1,799)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3,466</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(1,139)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7,589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rent</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long-term liabilities</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3,206</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5,570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(6,521)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10,371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and deposits on property, plant, and equipment</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received for repayment of San Rafael note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from Limoneira stock sales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Notes receivables advanced to FreshRealm</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(10,500)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used in investing activities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(3,331)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(13,102)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Proceeds from revolving credit facility</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53,500</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Payments of minimum withholding taxes on net share settlement of equity awards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(1,179)</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long-term obligations and finance leases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Net cash used in financing activities</w:t>
            </w:r>
          </w:p>
        </w:tc>
        <w:tc>
          <w:tcPr>
            <w:tcW w:w="5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6,816</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(3,036)</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2,691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5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7,973</w:t>
            </w:r>
          </w:p>
        </w:tc>
        <w:tc>
          <w:tcPr>
            <w:tcW w:w="3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2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560" w:type="dxa"/>
            <w:vAlign w:val="bottom"/>
          </w:tcPr>
          <w:p>
            <w:pPr>
              <w:spacing w:after="0"/>
              <w:rPr>
                <w:sz w:val="15"/>
                <w:szCs w:val="15"/>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4,937</w:t>
            </w:r>
          </w:p>
        </w:tc>
        <w:tc>
          <w:tcPr>
            <w:tcW w:w="34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Noncash Investing and Financing Activities:</w:t>
            </w:r>
          </w:p>
        </w:tc>
        <w:tc>
          <w:tcPr>
            <w:tcW w:w="5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Right of use assets obtained in exchange for new financing lease obligations</w:t>
            </w:r>
          </w:p>
        </w:tc>
        <w:tc>
          <w:tcPr>
            <w:tcW w:w="740" w:type="dxa"/>
            <w:vAlign w:val="bottom"/>
            <w:gridSpan w:val="2"/>
          </w:tcPr>
          <w:p>
            <w:pPr>
              <w:jc w:val="right"/>
              <w:ind w:right="62"/>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390</w:t>
            </w:r>
          </w:p>
        </w:tc>
        <w:tc>
          <w:tcPr>
            <w:tcW w:w="5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935</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573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CALAVO GROWERS,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CONDENSED STATEMENTS OF SHAREHOLDERS’ EQUITY</w:t>
      </w: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6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Noncontrolling</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Income</w:t>
            </w:r>
          </w:p>
        </w:tc>
        <w:tc>
          <w:tcPr>
            <w:tcW w:w="8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Earnings</w:t>
            </w:r>
          </w:p>
        </w:tc>
        <w:tc>
          <w:tcPr>
            <w:tcW w:w="11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Interest</w:t>
            </w: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2018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157,928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12,141</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93,124</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264,959</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w w:val="99"/>
              </w:rPr>
              <w:t>Exercise of stock options and income tax benefit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compensation expense</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Restricted stock issued</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gains on Limoneira investment</w:t>
            </w: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reclassed to retained earnings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(12,141)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12,141</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contribution</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Calavo Growers, Inc.</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w:t>
            </w: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January 31, 2019</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17,598</w:t>
            </w: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158,941</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109,752</w:t>
            </w:r>
          </w:p>
        </w:tc>
        <w:tc>
          <w:tcPr>
            <w:tcW w:w="16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1,742</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270,453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6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Noncontrolling</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6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Income</w:t>
            </w:r>
          </w:p>
        </w:tc>
        <w:tc>
          <w:tcPr>
            <w:tcW w:w="8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6"/>
              </w:rPr>
              <w:t>Earnings</w:t>
            </w:r>
          </w:p>
        </w:tc>
        <w:tc>
          <w:tcPr>
            <w:tcW w:w="11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Interest</w:t>
            </w: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October 31, 2019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17,595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161,606</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122,557</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285,869</w:t>
            </w:r>
          </w:p>
        </w:tc>
        <w:tc>
          <w:tcPr>
            <w:tcW w:w="0" w:type="dxa"/>
            <w:vAlign w:val="bottom"/>
          </w:tcPr>
          <w:p>
            <w:pPr>
              <w:spacing w:after="0"/>
              <w:rPr>
                <w:sz w:val="1"/>
                <w:szCs w:val="1"/>
                <w:color w:val="auto"/>
              </w:rPr>
            </w:pP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Cumulative effect adjustment on ASC 842</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related to leases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1,165</w:t>
            </w:r>
          </w:p>
        </w:tc>
        <w:tc>
          <w:tcPr>
            <w:tcW w:w="16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Exercise of stock options and income tax benefit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Stock compensation expense</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931</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issued</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Avocados de Jalisco noncontrolling interest</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contribution</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(63)</w:t>
            </w:r>
          </w:p>
        </w:tc>
        <w:tc>
          <w:tcPr>
            <w:tcW w:w="6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attributable to Calavo Growers, Inc.</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(938)</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January 31, 2020</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17,614</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162,584</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122,784</w:t>
            </w:r>
          </w:p>
        </w:tc>
        <w:tc>
          <w:tcPr>
            <w:tcW w:w="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1,625</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287,011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right="99" w:firstLine="259"/>
        <w:spacing w:after="0" w:line="289"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Calavo Foods and Renaissance Food Group (RFG).</w:t>
      </w:r>
    </w:p>
    <w:p>
      <w:pPr>
        <w:spacing w:after="0" w:line="166" w:lineRule="exact"/>
        <w:rPr>
          <w:sz w:val="20"/>
          <w:szCs w:val="20"/>
          <w:color w:val="auto"/>
        </w:rPr>
      </w:pPr>
    </w:p>
    <w:p>
      <w:pPr>
        <w:ind w:left="40" w:right="159" w:firstLine="259"/>
        <w:spacing w:after="0" w:line="269" w:lineRule="auto"/>
        <w:rPr>
          <w:sz w:val="20"/>
          <w:szCs w:val="20"/>
          <w:color w:val="auto"/>
        </w:rPr>
      </w:pPr>
      <w:r>
        <w:rPr>
          <w:rFonts w:ascii="Arial" w:cs="Arial" w:eastAsia="Arial" w:hAnsi="Arial"/>
          <w:sz w:val="17"/>
          <w:szCs w:val="17"/>
          <w:color w:val="auto"/>
        </w:rPr>
        <w:t>The accompanying unaudited consolidated condensed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condensed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0" w:right="59" w:firstLine="259"/>
        <w:spacing w:after="0" w:line="257" w:lineRule="auto"/>
        <w:rPr>
          <w:sz w:val="20"/>
          <w:szCs w:val="20"/>
          <w:color w:val="auto"/>
        </w:rPr>
      </w:pPr>
      <w:r>
        <w:rPr>
          <w:rFonts w:ascii="Arial" w:cs="Arial" w:eastAsia="Arial" w:hAnsi="Arial"/>
          <w:sz w:val="18"/>
          <w:szCs w:val="18"/>
          <w:color w:val="auto"/>
        </w:rPr>
        <w:t>In June 2018, the FASB issued an ASU</w:t>
      </w:r>
      <w:r>
        <w:rPr>
          <w:rFonts w:ascii="Arial" w:cs="Arial" w:eastAsia="Arial" w:hAnsi="Arial"/>
          <w:sz w:val="18"/>
          <w:szCs w:val="18"/>
          <w:i w:val="1"/>
          <w:iCs w:val="1"/>
          <w:color w:val="auto"/>
        </w:rPr>
        <w:t>, Improvements to Nonemployee Share-Based Payment Accounting</w:t>
      </w:r>
      <w:r>
        <w:rPr>
          <w:rFonts w:ascii="Arial" w:cs="Arial" w:eastAsia="Arial" w:hAnsi="Arial"/>
          <w:sz w:val="18"/>
          <w:szCs w:val="18"/>
          <w:color w:val="auto"/>
        </w:rPr>
        <w:t>. The FASB is issuing this update to simplify the accounting for share-based payments to nonemployees by aligning it with the accounting for share-based payments to employees, with certain exceptions. This ASU was effective for us beginning the first day of our 2020 fiscal year. The adoption of the amendment did not have an impact on the Company’s consolidated financial statements.</w:t>
      </w:r>
    </w:p>
    <w:p>
      <w:pPr>
        <w:spacing w:after="0" w:line="188" w:lineRule="exact"/>
        <w:rPr>
          <w:sz w:val="20"/>
          <w:szCs w:val="20"/>
          <w:color w:val="auto"/>
        </w:rPr>
      </w:pPr>
    </w:p>
    <w:p>
      <w:pPr>
        <w:ind w:left="40" w:right="99" w:firstLine="259"/>
        <w:spacing w:after="0" w:line="254" w:lineRule="auto"/>
        <w:rPr>
          <w:sz w:val="20"/>
          <w:szCs w:val="20"/>
          <w:color w:val="auto"/>
        </w:rPr>
      </w:pPr>
      <w:r>
        <w:rPr>
          <w:rFonts w:ascii="Arial" w:cs="Arial" w:eastAsia="Arial" w:hAnsi="Arial"/>
          <w:sz w:val="18"/>
          <w:szCs w:val="18"/>
          <w:color w:val="auto"/>
        </w:rPr>
        <w:t xml:space="preserve">In February 2018, the FASB issued an ASU,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amends Accounting Standards Codification ("ASC") 220, Income Statement —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was effective for us beginning the first day of our 2020 fiscal year. The adoption of the amendment did not have an impact on the Company’s consolidated financial statements.</w:t>
      </w:r>
    </w:p>
    <w:p>
      <w:pPr>
        <w:spacing w:after="0" w:line="195" w:lineRule="exact"/>
        <w:rPr>
          <w:sz w:val="20"/>
          <w:szCs w:val="20"/>
          <w:color w:val="auto"/>
        </w:rPr>
      </w:pPr>
    </w:p>
    <w:p>
      <w:pPr>
        <w:jc w:val="both"/>
        <w:ind w:left="40" w:right="59" w:firstLine="306"/>
        <w:spacing w:after="0" w:line="273" w:lineRule="auto"/>
        <w:rPr>
          <w:sz w:val="20"/>
          <w:szCs w:val="20"/>
          <w:color w:val="auto"/>
        </w:rPr>
      </w:pPr>
      <w:r>
        <w:rPr>
          <w:rFonts w:ascii="Arial" w:cs="Arial" w:eastAsia="Arial" w:hAnsi="Arial"/>
          <w:sz w:val="17"/>
          <w:szCs w:val="17"/>
          <w:color w:val="auto"/>
        </w:rPr>
        <w:t>In February 2016, the FASB issued ASU 2016-02, Leases, and has subsequently issued several supplemental and/or clarifying ASU's (collectively, "Topic 842"), which requires a dual approach for lease accounting under which a lessee would account for leases as finance leases or operating leases. Both finance leases and operating leases result in the lessee recognizing a right of use asset and a corresponding lease liability. For finance leases, the lessee would recognize interest expense and amortization of the right-of-use asset, and for operating leases, the lessee would recognize lease expense on a straight-line basis. See Note 14.</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99" w:firstLine="225"/>
        <w:spacing w:after="0" w:line="272" w:lineRule="auto"/>
        <w:rPr>
          <w:sz w:val="20"/>
          <w:szCs w:val="20"/>
          <w:color w:val="auto"/>
        </w:rPr>
      </w:pPr>
      <w:r>
        <w:rPr>
          <w:rFonts w:ascii="Arial" w:cs="Arial" w:eastAsia="Arial" w:hAnsi="Arial"/>
          <w:sz w:val="17"/>
          <w:szCs w:val="17"/>
          <w:color w:val="auto"/>
        </w:rPr>
        <w:t xml:space="preserve">In October 2018, the FASB issued ASU 2018-17, </w:t>
      </w:r>
      <w:r>
        <w:rPr>
          <w:rFonts w:ascii="Arial" w:cs="Arial" w:eastAsia="Arial" w:hAnsi="Arial"/>
          <w:sz w:val="17"/>
          <w:szCs w:val="17"/>
          <w:i w:val="1"/>
          <w:iCs w:val="1"/>
          <w:color w:val="auto"/>
        </w:rPr>
        <w:t>Targeted Improvements to Related Party Guidance for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Entities</w:t>
      </w:r>
      <w:r>
        <w:rPr>
          <w:rFonts w:ascii="Arial" w:cs="Arial" w:eastAsia="Arial" w:hAnsi="Arial"/>
          <w:sz w:val="17"/>
          <w:szCs w:val="17"/>
          <w:color w:val="auto"/>
        </w:rPr>
        <w:t>. This ASU provides that indirect interests held through related parties in common control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considered on a proportional basis for determining whether fees paid to decision makers and service providers are variable interests. The new guidance is effective for fiscal years beginning after December 15, 2019.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77" w:lineRule="exact"/>
        <w:rPr>
          <w:sz w:val="20"/>
          <w:szCs w:val="20"/>
          <w:color w:val="auto"/>
        </w:rPr>
      </w:pPr>
    </w:p>
    <w:p>
      <w:pPr>
        <w:ind w:left="40" w:right="99" w:firstLine="259"/>
        <w:spacing w:after="0" w:line="270" w:lineRule="auto"/>
        <w:rPr>
          <w:sz w:val="20"/>
          <w:szCs w:val="20"/>
          <w:color w:val="auto"/>
        </w:rPr>
      </w:pPr>
      <w:r>
        <w:rPr>
          <w:rFonts w:ascii="Arial" w:cs="Arial" w:eastAsia="Arial" w:hAnsi="Arial"/>
          <w:sz w:val="17"/>
          <w:szCs w:val="17"/>
          <w:color w:val="auto"/>
        </w:rPr>
        <w:t xml:space="preserve">In September 2018, the FASB issued an ASU,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ASU requires implementation costs incurred by customers in cloud computing arrangements (i.e.,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1" w:lineRule="exact"/>
        <w:rPr>
          <w:sz w:val="20"/>
          <w:szCs w:val="20"/>
          <w:color w:val="auto"/>
        </w:rPr>
      </w:pPr>
    </w:p>
    <w:p>
      <w:pPr>
        <w:ind w:left="40" w:right="99" w:firstLine="259"/>
        <w:spacing w:after="0" w:line="272" w:lineRule="auto"/>
        <w:rPr>
          <w:sz w:val="20"/>
          <w:szCs w:val="20"/>
          <w:color w:val="auto"/>
        </w:rPr>
      </w:pPr>
      <w:r>
        <w:rPr>
          <w:rFonts w:ascii="Arial" w:cs="Arial" w:eastAsia="Arial" w:hAnsi="Arial"/>
          <w:sz w:val="17"/>
          <w:szCs w:val="17"/>
          <w:color w:val="auto"/>
        </w:rPr>
        <w:t xml:space="preserve">In January 2017, the FASB issued an ASU,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77" w:lineRule="exact"/>
        <w:rPr>
          <w:sz w:val="20"/>
          <w:szCs w:val="20"/>
          <w:color w:val="auto"/>
        </w:rPr>
      </w:pPr>
    </w:p>
    <w:p>
      <w:pPr>
        <w:ind w:left="40" w:right="79" w:firstLine="270"/>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subsequent amendments to the guidance</w:t>
      </w:r>
      <w:r>
        <w:rPr>
          <w:rFonts w:ascii="Arial" w:cs="Arial" w:eastAsia="Arial" w:hAnsi="Arial"/>
          <w:sz w:val="16"/>
          <w:szCs w:val="16"/>
          <w:color w:val="auto"/>
        </w:rPr>
        <w:t>, ASU 2018-19 in November 2018 and ASU 2019-05 in May</w:t>
      </w:r>
      <w:r>
        <w:rPr>
          <w:rFonts w:ascii="Arial" w:cs="Arial" w:eastAsia="Arial" w:hAnsi="Arial"/>
          <w:sz w:val="16"/>
          <w:szCs w:val="16"/>
          <w:i w:val="1"/>
          <w:iCs w:val="1"/>
          <w:color w:val="auto"/>
        </w:rPr>
        <w:t xml:space="preserve"> </w:t>
      </w:r>
      <w:r>
        <w:rPr>
          <w:rFonts w:ascii="Arial" w:cs="Arial" w:eastAsia="Arial" w:hAnsi="Arial"/>
          <w:sz w:val="16"/>
          <w:szCs w:val="16"/>
          <w:color w:val="auto"/>
        </w:rPr>
        <w:t>2019 including codification improvements to Topic 326 in ASU 2019-04. The standard significantly changes how entities will measure credit losses for most financial assets and certain other instruments that aren’t measured at fair value through net income. The standard will replace today’s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It also simplifies the accounting model for purchased credit-impaired debt securities and loans. The amendment will affect loans, debt securities, trade receivables, net investments in leases, off balance sheet credit exposures, reinsurance receivables, and any other financial assets not excluded from the scope that have the contractual right to receive cash. ASU 2018-19 clarifies that receivables arising from operating leases are accounted for using lease guidance and not as financial instruments. ASU 2019-05 provides entities that have certain instruments with an option to irrevocably elect the fair value option. The amendments should be applied on either a prospective transition or modified-retrospective approach depending on the subtopic. This ASU will be effective for us beginning the first day of our 2021 fiscal year. Early adoption is permitted.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Information regarding our operations in different segments</w:t>
      </w:r>
    </w:p>
    <w:p>
      <w:pPr>
        <w:spacing w:after="0" w:line="216" w:lineRule="exact"/>
        <w:rPr>
          <w:sz w:val="20"/>
          <w:szCs w:val="20"/>
          <w:color w:val="auto"/>
        </w:rPr>
      </w:pPr>
    </w:p>
    <w:p>
      <w:pPr>
        <w:ind w:left="40" w:right="199" w:firstLine="259"/>
        <w:spacing w:after="0" w:line="296" w:lineRule="auto"/>
        <w:rPr>
          <w:sz w:val="20"/>
          <w:szCs w:val="20"/>
          <w:color w:val="auto"/>
        </w:rPr>
      </w:pPr>
      <w:r>
        <w:rPr>
          <w:rFonts w:ascii="Arial" w:cs="Arial" w:eastAsia="Arial" w:hAnsi="Arial"/>
          <w:sz w:val="16"/>
          <w:szCs w:val="16"/>
          <w:color w:val="auto"/>
        </w:rPr>
        <w:t>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operations that involve the distribution of avocados and other fresh produce products. The Calavo Foods segment represents operations related to the purchase, manufacturing, and distribution of prepared avocado products, including guacamole, and salsa. The RFG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79" w:lineRule="auto"/>
        <w:rPr>
          <w:sz w:val="20"/>
          <w:szCs w:val="20"/>
          <w:color w:val="auto"/>
        </w:rPr>
      </w:pPr>
      <w:r>
        <w:rPr>
          <w:rFonts w:ascii="Arial" w:cs="Arial" w:eastAsia="Arial" w:hAnsi="Arial"/>
          <w:sz w:val="17"/>
          <w:szCs w:val="17"/>
          <w:color w:val="auto"/>
        </w:rPr>
        <w:t>segment represents operations related to the manufacturing and distribution of fresh-cut fruit, fresh-cut vegetables, and prepared foods. Selling, general and administrative expenses, as well as other non-operating income/expense items, are evaluated by our Chief Executive Officer in the aggregate. We do not allocate assets, or specifically identify them to, our operating segments. Data in the following tables is presented in thousands: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9"/>
          </w:tcPr>
          <w:p>
            <w:pPr>
              <w:jc w:val="right"/>
              <w:ind w:right="199"/>
              <w:spacing w:after="0"/>
              <w:rPr>
                <w:sz w:val="20"/>
                <w:szCs w:val="20"/>
                <w:color w:val="auto"/>
              </w:rPr>
            </w:pPr>
            <w:r>
              <w:rPr>
                <w:rFonts w:ascii="Arial" w:cs="Arial" w:eastAsia="Arial" w:hAnsi="Arial"/>
                <w:sz w:val="16"/>
                <w:szCs w:val="16"/>
                <w:b w:val="1"/>
                <w:bCs w:val="1"/>
                <w:color w:val="auto"/>
              </w:rPr>
              <w:t>Three months ended January 31, 2020</w:t>
            </w:r>
          </w:p>
        </w:tc>
        <w:tc>
          <w:tcPr>
            <w:tcW w:w="160" w:type="dxa"/>
            <w:vAlign w:val="bottom"/>
          </w:tcPr>
          <w:p>
            <w:pPr>
              <w:spacing w:after="0"/>
              <w:rPr>
                <w:sz w:val="18"/>
                <w:szCs w:val="18"/>
                <w:color w:val="auto"/>
              </w:rPr>
            </w:pPr>
          </w:p>
        </w:tc>
        <w:tc>
          <w:tcPr>
            <w:tcW w:w="3360" w:type="dxa"/>
            <w:vAlign w:val="bottom"/>
            <w:gridSpan w:val="11"/>
          </w:tcPr>
          <w:p>
            <w:pPr>
              <w:ind w:left="340"/>
              <w:spacing w:after="0"/>
              <w:rPr>
                <w:sz w:val="20"/>
                <w:szCs w:val="20"/>
                <w:color w:val="auto"/>
              </w:rPr>
            </w:pPr>
            <w:r>
              <w:rPr>
                <w:rFonts w:ascii="Arial" w:cs="Arial" w:eastAsia="Arial" w:hAnsi="Arial"/>
                <w:sz w:val="16"/>
                <w:szCs w:val="16"/>
                <w:b w:val="1"/>
                <w:bCs w:val="1"/>
                <w:color w:val="auto"/>
              </w:rPr>
              <w:t>Three months ended January 31, 2019</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Fresh</w:t>
            </w: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Calavo</w:t>
            </w: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Fresh</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Calavo</w:t>
            </w: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93"/>
              </w:rPr>
              <w:t>products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b w:val="1"/>
                <w:bCs w:val="1"/>
                <w:color w:val="auto"/>
                <w:w w:val="83"/>
              </w:rPr>
              <w:t>Foods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RFG</w:t>
            </w:r>
          </w:p>
        </w:tc>
        <w:tc>
          <w:tcPr>
            <w:tcW w:w="16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w w:val="93"/>
              </w:rPr>
              <w:t>products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b w:val="1"/>
                <w:bCs w:val="1"/>
                <w:color w:val="auto"/>
                <w:w w:val="83"/>
              </w:rPr>
              <w:t>Foods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RFG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$ 117,884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$ 117,884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$ 103,995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103,995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Tomatoes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12,992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12,992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11,392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11,392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Other fresh products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w w:val="98"/>
              </w:rPr>
              <w:t>Prepared avocado products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21,800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21,800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24,252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Salsa</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719</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Fresh-cut fruit &amp; veg. and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prepared foods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121,470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121,470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119,541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119,541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980" w:type="dxa"/>
            <w:vAlign w:val="bottom"/>
            <w:gridSpan w:val="2"/>
          </w:tcPr>
          <w:p>
            <w:pPr>
              <w:spacing w:after="0"/>
              <w:rPr>
                <w:sz w:val="20"/>
                <w:szCs w:val="20"/>
                <w:color w:val="auto"/>
              </w:rPr>
            </w:pPr>
            <w:r>
              <w:rPr>
                <w:rFonts w:ascii="Arial" w:cs="Arial" w:eastAsia="Arial" w:hAnsi="Arial"/>
                <w:sz w:val="16"/>
                <w:szCs w:val="16"/>
                <w:color w:val="auto"/>
              </w:rPr>
              <w:t>Total gross sales</w:t>
            </w:r>
          </w:p>
        </w:tc>
        <w:tc>
          <w:tcPr>
            <w:tcW w:w="2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133,646</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22,519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121,470</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277,635</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118,406</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25,105</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119,541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263,052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Less sales incentives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60" w:type="dxa"/>
            <w:vAlign w:val="bottom"/>
          </w:tcPr>
          <w:p>
            <w:pPr>
              <w:spacing w:after="0"/>
              <w:rPr>
                <w:sz w:val="20"/>
                <w:szCs w:val="20"/>
                <w:color w:val="auto"/>
              </w:rPr>
            </w:pPr>
            <w:r>
              <w:rPr>
                <w:rFonts w:ascii="Arial" w:cs="Arial" w:eastAsia="Arial" w:hAnsi="Arial"/>
                <w:sz w:val="16"/>
                <w:szCs w:val="16"/>
                <w:color w:val="auto"/>
              </w:rPr>
              <w:t>Less inter-company</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80" w:type="dxa"/>
            <w:vAlign w:val="bottom"/>
            <w:gridSpan w:val="2"/>
          </w:tcPr>
          <w:p>
            <w:pPr>
              <w:spacing w:after="0"/>
              <w:rPr>
                <w:sz w:val="20"/>
                <w:szCs w:val="20"/>
                <w:color w:val="auto"/>
              </w:rPr>
            </w:pPr>
            <w:r>
              <w:rPr>
                <w:rFonts w:ascii="Arial" w:cs="Arial" w:eastAsia="Arial" w:hAnsi="Arial"/>
                <w:sz w:val="16"/>
                <w:szCs w:val="16"/>
                <w:color w:val="auto"/>
              </w:rPr>
              <w:t>eliminations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(1,259)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$ 132,781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19,632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120,935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$ 273,348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$ 116,854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22,114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119,064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258,032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Fresh</w:t>
            </w: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Calavo</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Interco.</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products</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Foods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RFG</w:t>
            </w:r>
          </w:p>
        </w:tc>
        <w:tc>
          <w:tcPr>
            <w:tcW w:w="8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Elimins.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3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12"/>
          </w:tcPr>
          <w:p>
            <w:pPr>
              <w:jc w:val="center"/>
              <w:ind w:left="430"/>
              <w:spacing w:after="0"/>
              <w:rPr>
                <w:sz w:val="20"/>
                <w:szCs w:val="20"/>
                <w:color w:val="auto"/>
              </w:rPr>
            </w:pPr>
            <w:r>
              <w:rPr>
                <w:rFonts w:ascii="Arial" w:cs="Arial" w:eastAsia="Arial" w:hAnsi="Arial"/>
                <w:sz w:val="18"/>
                <w:szCs w:val="18"/>
                <w:b w:val="1"/>
                <w:bCs w:val="1"/>
                <w:color w:val="auto"/>
                <w:w w:val="88"/>
              </w:rPr>
              <w:t>(All amounts are presented in thousands)</w:t>
            </w:r>
          </w:p>
        </w:tc>
        <w:tc>
          <w:tcPr>
            <w:tcW w:w="6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Three months ended January 31, 2020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133,189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20,483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120,935</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(1,259)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273,348</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126,607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118,059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(1,259)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257,540</w:t>
            </w:r>
          </w:p>
        </w:tc>
      </w:tr>
      <w:tr>
        <w:trPr>
          <w:trHeight w:val="250"/>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Gross profit</w:t>
            </w:r>
          </w:p>
        </w:tc>
        <w:tc>
          <w:tcPr>
            <w:tcW w:w="7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6,350</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15,808</w:t>
            </w:r>
          </w:p>
        </w:tc>
      </w:tr>
      <w:tr>
        <w:trPr>
          <w:trHeight w:val="196"/>
        </w:trPr>
        <w:tc>
          <w:tcPr>
            <w:tcW w:w="3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b w:val="1"/>
                <w:bCs w:val="1"/>
                <w:color w:val="auto"/>
              </w:rPr>
              <w:t>Three months ended January 31, 2019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sales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117,449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119,064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(1,552)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258,032</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16,327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115,829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(1,552)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227,195</w:t>
            </w:r>
          </w:p>
        </w:tc>
      </w:tr>
      <w:tr>
        <w:trPr>
          <w:trHeight w:val="210"/>
        </w:trPr>
        <w:tc>
          <w:tcPr>
            <w:tcW w:w="37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w:t>
            </w:r>
          </w:p>
        </w:tc>
      </w:tr>
      <w:tr>
        <w:trPr>
          <w:trHeight w:val="20"/>
        </w:trPr>
        <w:tc>
          <w:tcPr>
            <w:tcW w:w="3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 w:right="299" w:firstLine="225"/>
        <w:spacing w:after="0" w:line="275" w:lineRule="auto"/>
        <w:rPr>
          <w:sz w:val="20"/>
          <w:szCs w:val="20"/>
          <w:color w:val="auto"/>
        </w:rPr>
      </w:pPr>
      <w:r>
        <w:rPr>
          <w:rFonts w:ascii="Arial" w:cs="Arial" w:eastAsia="Arial" w:hAnsi="Arial"/>
          <w:sz w:val="17"/>
          <w:szCs w:val="17"/>
          <w:color w:val="auto"/>
        </w:rPr>
        <w:t>For the three months ended January 31, 2020 and 2019, intercompany sales and cost of sales of $0.3 million and $0.5 million between Fresh products and RFG were eliminated. For the three months ended January 31, 2020 and 2019, intercompany sales and cost of sales of $0.1 million and $0.1 million between Fresh products and Calavo Foods were eliminated. For the three months ended January 31, 2020 and 2019, intercompany sales and cost of sales of $0.9 million and $1.0 million between Calavo Foods and RFG were eliminated.</w:t>
      </w:r>
    </w:p>
    <w:p>
      <w:pPr>
        <w:spacing w:after="0" w:line="176" w:lineRule="exact"/>
        <w:rPr>
          <w:sz w:val="20"/>
          <w:szCs w:val="20"/>
          <w:color w:val="auto"/>
        </w:rPr>
      </w:pPr>
    </w:p>
    <w:p>
      <w:pPr>
        <w:ind w:left="40" w:right="539" w:firstLine="259"/>
        <w:spacing w:after="0" w:line="277" w:lineRule="auto"/>
        <w:rPr>
          <w:sz w:val="20"/>
          <w:szCs w:val="20"/>
          <w:color w:val="auto"/>
        </w:rPr>
      </w:pPr>
      <w:r>
        <w:rPr>
          <w:rFonts w:ascii="Arial" w:cs="Arial" w:eastAsia="Arial" w:hAnsi="Arial"/>
          <w:sz w:val="18"/>
          <w:szCs w:val="18"/>
          <w:color w:val="auto"/>
        </w:rPr>
        <w:t>Sales to customers outside the U.S. were approximately $9.6 million, and $8.4 million for the three months ended January 31, 2020 and 2019.</w:t>
      </w:r>
    </w:p>
    <w:p>
      <w:pPr>
        <w:spacing w:after="0" w:line="170" w:lineRule="exact"/>
        <w:rPr>
          <w:sz w:val="20"/>
          <w:szCs w:val="20"/>
          <w:color w:val="auto"/>
        </w:rPr>
      </w:pPr>
    </w:p>
    <w:p>
      <w:pPr>
        <w:ind w:left="40" w:right="659" w:firstLine="259"/>
        <w:spacing w:after="0" w:line="277" w:lineRule="auto"/>
        <w:rPr>
          <w:sz w:val="20"/>
          <w:szCs w:val="20"/>
          <w:color w:val="auto"/>
        </w:rPr>
      </w:pPr>
      <w:r>
        <w:rPr>
          <w:rFonts w:ascii="Arial" w:cs="Arial" w:eastAsia="Arial" w:hAnsi="Arial"/>
          <w:sz w:val="18"/>
          <w:szCs w:val="18"/>
          <w:color w:val="auto"/>
        </w:rPr>
        <w:t>Long-lived assets attributed to geographic areas as of January 31, 2020 and October 31, 2019, are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Mexico</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31, 2020</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96,565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34,644</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131,209</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October 31, 2019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98,224</w:t>
            </w:r>
          </w:p>
        </w:tc>
        <w:tc>
          <w:tcPr>
            <w:tcW w:w="18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33,874</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132,098</w:t>
            </w:r>
          </w:p>
        </w:tc>
        <w:tc>
          <w:tcPr>
            <w:tcW w:w="0" w:type="dxa"/>
            <w:vAlign w:val="bottom"/>
          </w:tcPr>
          <w:p>
            <w:pPr>
              <w:spacing w:after="0"/>
              <w:rPr>
                <w:sz w:val="1"/>
                <w:szCs w:val="1"/>
                <w:color w:val="auto"/>
              </w:rPr>
            </w:pPr>
          </w:p>
        </w:tc>
      </w:tr>
      <w:tr>
        <w:trPr>
          <w:trHeight w:val="43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 (in thousands):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January 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October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18,214</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11,514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11,370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98"/>
              </w:rPr>
              <w:t>12,509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8"/>
              </w:rPr>
              <w:t>42,237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36,889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99" w:firstLine="259"/>
        <w:spacing w:after="0" w:line="263" w:lineRule="auto"/>
        <w:rPr>
          <w:sz w:val="20"/>
          <w:szCs w:val="20"/>
          <w:color w:val="auto"/>
        </w:rPr>
      </w:pPr>
      <w:r>
        <w:rPr>
          <w:rFonts w:ascii="Arial" w:cs="Arial" w:eastAsia="Arial" w:hAnsi="Arial"/>
          <w:sz w:val="18"/>
          <w:szCs w:val="18"/>
          <w:color w:val="auto"/>
        </w:rPr>
        <w:t>Inventories are stated at the lower of cost or net realizable value. We periodically review the value of items in inventory and record any necessary write downs of inventory based on our assessment of market conditions. No additional inventory reserve was considered necessary as of January 31, 2020 and October 31, 2019.</w:t>
      </w:r>
    </w:p>
    <w:p>
      <w:pPr>
        <w:spacing w:after="0" w:line="180"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0" w:right="59" w:firstLine="259"/>
        <w:spacing w:after="0" w:line="296" w:lineRule="auto"/>
        <w:rPr>
          <w:sz w:val="20"/>
          <w:szCs w:val="20"/>
          <w:color w:val="auto"/>
        </w:rPr>
      </w:pPr>
      <w:r>
        <w:rPr>
          <w:rFonts w:ascii="Arial" w:cs="Arial" w:eastAsia="Arial" w:hAnsi="Arial"/>
          <w:sz w:val="16"/>
          <w:szCs w:val="16"/>
          <w:color w:val="auto"/>
        </w:rPr>
        <w:t>Certain members of our Board of Directors market California avocados through Calavo pursuant to marketing agreements substantially similar to the marketing agreements that we enter into with other growers. For the three months ended January 31, 2020 and 2019, the aggregate amount of avocados procured from entities owned or controlled by members of our Board of Directors was $0.2 million and $0.1 million. Amounts payable to these Board members were $0.2 million as of January 31, 2020. We did not have any amounts payable to these Board members as of October 31, 2019.</w:t>
      </w:r>
    </w:p>
    <w:p>
      <w:pPr>
        <w:spacing w:after="0" w:line="161"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During the three months ended January 31, 2020 and 2019, we received $0.1 million as dividend income from Limoneira Company (Limoneira). In addition, we lease office space from Limoneira for our corporate office. We paid rent expense to Limoneira totaling $0.1 million for the three months ended January 31, 2020 and 2019. Harold Edwards, who is a member of our Board of Directors, is the Chief Executive Officer of Limoneira Company. As of January 31, 2020, we own less than 10% of Limoneira’s outstanding shares.</w:t>
      </w:r>
    </w:p>
    <w:p>
      <w:pPr>
        <w:spacing w:after="0" w:line="188" w:lineRule="exact"/>
        <w:rPr>
          <w:sz w:val="20"/>
          <w:szCs w:val="20"/>
          <w:color w:val="auto"/>
        </w:rPr>
      </w:pPr>
    </w:p>
    <w:p>
      <w:pPr>
        <w:jc w:val="both"/>
        <w:ind w:left="40" w:right="259" w:firstLine="259"/>
        <w:spacing w:after="0" w:line="263" w:lineRule="auto"/>
        <w:rPr>
          <w:sz w:val="20"/>
          <w:szCs w:val="20"/>
          <w:color w:val="auto"/>
        </w:rPr>
      </w:pPr>
      <w:r>
        <w:rPr>
          <w:rFonts w:ascii="Arial" w:cs="Arial" w:eastAsia="Arial" w:hAnsi="Arial"/>
          <w:sz w:val="18"/>
          <w:szCs w:val="18"/>
          <w:color w:val="auto"/>
        </w:rPr>
        <w:t>We currently have a member of our Board of Directors who also serves as a partner in the law firm of TroyGould PC, which frequently represents Calavo as legal counsel. During the three months ended January 31, 2020 and 2019, Calavo Growers, Inc. paid fees totaling $0.1 million to TroyGould PC.</w:t>
      </w:r>
    </w:p>
    <w:p>
      <w:pPr>
        <w:spacing w:after="0" w:line="184" w:lineRule="exact"/>
        <w:rPr>
          <w:sz w:val="20"/>
          <w:szCs w:val="20"/>
          <w:color w:val="auto"/>
        </w:rPr>
      </w:pPr>
    </w:p>
    <w:p>
      <w:pPr>
        <w:ind w:left="40" w:right="59" w:firstLine="259"/>
        <w:spacing w:after="0" w:line="291" w:lineRule="auto"/>
        <w:rPr>
          <w:sz w:val="20"/>
          <w:szCs w:val="20"/>
          <w:color w:val="auto"/>
        </w:rPr>
      </w:pPr>
      <w:r>
        <w:rPr>
          <w:rFonts w:ascii="Arial" w:cs="Arial" w:eastAsia="Arial" w:hAnsi="Arial"/>
          <w:sz w:val="16"/>
          <w:szCs w:val="16"/>
          <w:color w:val="auto"/>
        </w:rPr>
        <w:t>As of January 31, 2020, and October 31, 2019, we had an investment of $5.4 million and $4.9 million, representing Calavo Sub’s 50% ownership in Agricola Don Memo, S.A. de C.V.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January 31, 2020 and October 31, 2019, we had outstanding advances of $3.3 million and $3.7 million to Don Memo. During the three months ended January 31, 2020 and 2019, we recorded $4.0 million and $5.7 million of cost of sales to Don Memo pursuant to our consignment agreement.</w:t>
      </w:r>
    </w:p>
    <w:p>
      <w:pPr>
        <w:spacing w:after="0" w:line="166" w:lineRule="exact"/>
        <w:rPr>
          <w:sz w:val="20"/>
          <w:szCs w:val="20"/>
          <w:color w:val="auto"/>
        </w:rPr>
      </w:pPr>
    </w:p>
    <w:p>
      <w:pPr>
        <w:ind w:left="40" w:right="99" w:firstLine="259"/>
        <w:spacing w:after="0" w:line="293" w:lineRule="auto"/>
        <w:rPr>
          <w:sz w:val="20"/>
          <w:szCs w:val="20"/>
          <w:color w:val="auto"/>
        </w:rPr>
      </w:pPr>
      <w:r>
        <w:rPr>
          <w:rFonts w:ascii="Arial" w:cs="Arial" w:eastAsia="Arial" w:hAnsi="Arial"/>
          <w:sz w:val="16"/>
          <w:szCs w:val="16"/>
          <w:color w:val="auto"/>
        </w:rPr>
        <w:t>We make advances to Agricola Belher (Belher) for operating purposes, provide additional advances as shipments are made during the season, and return the proceeds from tomato sales under our marketing program to Belher, net of our commission and aforementioned advances. We had grower advances due from Belher totaling $4.5 million as of January 31, 2020 and October 31, 2019, which are netted against the grower payable. In addition, we had infrastructure advances due from Belher of $2.6 million as of January 31, 2020 and October 31, 2019. $0.8 million of these infrastructure advances were recorded as a receivable in prepaid and other current assets. The remaining $1.8 million of these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59"/>
        <w:spacing w:after="0" w:line="342" w:lineRule="auto"/>
        <w:rPr>
          <w:sz w:val="20"/>
          <w:szCs w:val="20"/>
          <w:color w:val="auto"/>
        </w:rPr>
      </w:pPr>
      <w:r>
        <w:rPr>
          <w:rFonts w:ascii="Arial" w:cs="Arial" w:eastAsia="Arial" w:hAnsi="Arial"/>
          <w:sz w:val="16"/>
          <w:szCs w:val="16"/>
          <w:color w:val="auto"/>
        </w:rPr>
        <w:t>infrastructure advances were recorded in other assets. During the three months ended January 31, 2020 and 2019, we recorded $7.2 million and $5.3 million of cost of sales to Belher pursuant to our consignment agreement.</w:t>
      </w:r>
    </w:p>
    <w:p>
      <w:pPr>
        <w:spacing w:after="0" w:line="124" w:lineRule="exact"/>
        <w:rPr>
          <w:sz w:val="20"/>
          <w:szCs w:val="20"/>
          <w:color w:val="auto"/>
        </w:rPr>
      </w:pPr>
    </w:p>
    <w:p>
      <w:pPr>
        <w:ind w:left="40" w:right="59" w:firstLine="259"/>
        <w:spacing w:after="0" w:line="291" w:lineRule="auto"/>
        <w:rPr>
          <w:sz w:val="20"/>
          <w:szCs w:val="20"/>
          <w:color w:val="auto"/>
        </w:rPr>
      </w:pPr>
      <w:r>
        <w:rPr>
          <w:rFonts w:ascii="Arial" w:cs="Arial" w:eastAsia="Arial" w:hAnsi="Arial"/>
          <w:sz w:val="16"/>
          <w:szCs w:val="16"/>
          <w:color w:val="auto"/>
        </w:rPr>
        <w:t>In August 2015, we entered into Shareholder’s Agreement with various partners and created Avocados de Jalisco, S.A.P.I. de C.V. (“Avocados de Jalisco”). Avocados de Jalisco is a Mexican corporation created to engage in procuring, packing and selling avocados. As of January 31, 2020, this entity was approximately 83% owned by Calavo and was consolidated in our financial statements. Avocados de Jalisco built a packinghouse located in Jalisco, Mexico, which began operations in June of 2017. As of January 31, 2020 and October 31, 2019, we have made an insignificant amount of preseason advances to various partners of Avocados de Jalisco. During the three months ended January 31, 2020 and 2019, we purchased approximately $0.4 million and $1.0 million of avocados from the partners of Avocados de Jalisco.</w:t>
      </w:r>
    </w:p>
    <w:p>
      <w:pPr>
        <w:spacing w:after="0" w:line="166" w:lineRule="exact"/>
        <w:rPr>
          <w:sz w:val="20"/>
          <w:szCs w:val="20"/>
          <w:color w:val="auto"/>
        </w:rPr>
      </w:pPr>
    </w:p>
    <w:p>
      <w:pPr>
        <w:ind w:left="40" w:right="239" w:firstLine="259"/>
        <w:spacing w:after="0" w:line="275" w:lineRule="auto"/>
        <w:rPr>
          <w:sz w:val="20"/>
          <w:szCs w:val="20"/>
          <w:color w:val="auto"/>
        </w:rPr>
      </w:pPr>
      <w:r>
        <w:rPr>
          <w:rFonts w:ascii="Arial" w:cs="Arial" w:eastAsia="Arial" w:hAnsi="Arial"/>
          <w:sz w:val="17"/>
          <w:szCs w:val="17"/>
          <w:color w:val="auto"/>
        </w:rPr>
        <w:t>As of January 31, 2020, and October 31, 2019, we have an equity investment of $2.3 million and $5.8 million in FreshRealm, LLC (“FreshRealm”). We record the amount of our investment in FreshRealm in “Investment in unconsolidated entities” on our Consolidated Condensed Balance Sheets and recognize losses in FreshRealm in “Income/ (loss) in unconsolidated entities” in our Consolidated Condensed Statement of Income. See Note 12 for additional information. As of January 31, 2020, our ownership percentage in FreshRealm was approximately 38%.</w:t>
      </w:r>
    </w:p>
    <w:p>
      <w:pPr>
        <w:spacing w:after="0" w:line="176" w:lineRule="exact"/>
        <w:rPr>
          <w:sz w:val="20"/>
          <w:szCs w:val="20"/>
          <w:color w:val="auto"/>
        </w:rPr>
      </w:pPr>
    </w:p>
    <w:p>
      <w:pPr>
        <w:ind w:left="40" w:right="219" w:firstLine="259"/>
        <w:spacing w:after="0" w:line="254" w:lineRule="auto"/>
        <w:rPr>
          <w:sz w:val="20"/>
          <w:szCs w:val="20"/>
          <w:color w:val="auto"/>
        </w:rPr>
      </w:pPr>
      <w:r>
        <w:rPr>
          <w:rFonts w:ascii="Arial" w:cs="Arial" w:eastAsia="Arial" w:hAnsi="Arial"/>
          <w:sz w:val="18"/>
          <w:szCs w:val="18"/>
          <w:color w:val="auto"/>
        </w:rPr>
        <w:t>Effective July 31, 2018, we entered into a Note and Membership Unit Purchase Agreement (“NMUPA”) with FreshRealm, pursuant to which we agreed to provide additional financing to FreshRealm, subject to certain terms and conditions. Pursuant to the NMUPA, we entered into a $12 million Senior Promissory Note and corresponding Security Agreement with FreshRealm, effective August 10, 2018. We funded $9 million of this loan commitment during the fourth quarter of fiscal 2018 and funded the remaining loan commitment amount of $3 million during the first quarter of fiscal 2019. During the second quarter of fiscal 2019, we amended the note related to this loan, due October 31, 2019, and, among other things, included a provision whereby we have the option to extend repayment of this note to November 1, 2020.</w:t>
      </w:r>
    </w:p>
    <w:p>
      <w:pPr>
        <w:spacing w:after="0" w:line="192" w:lineRule="exact"/>
        <w:rPr>
          <w:sz w:val="20"/>
          <w:szCs w:val="20"/>
          <w:color w:val="auto"/>
        </w:rPr>
      </w:pPr>
    </w:p>
    <w:p>
      <w:pPr>
        <w:ind w:left="40" w:right="279" w:firstLine="259"/>
        <w:spacing w:after="0" w:line="254" w:lineRule="auto"/>
        <w:rPr>
          <w:sz w:val="20"/>
          <w:szCs w:val="20"/>
          <w:color w:val="auto"/>
        </w:rPr>
      </w:pPr>
      <w:r>
        <w:rPr>
          <w:rFonts w:ascii="Arial" w:cs="Arial" w:eastAsia="Arial" w:hAnsi="Arial"/>
          <w:sz w:val="18"/>
          <w:szCs w:val="18"/>
          <w:color w:val="auto"/>
        </w:rPr>
        <w:t>During our first quarter of fiscal 2019, we loaned FreshRealm $7.5 million in unsecured notes receivable. During our second quarter of fiscal 2019, we loaned an additional $4.2 million on an unsecured basis to FreshRealm under similar terms. During our third quarter of fiscal 2019, we loaned an additional $5.4 million on an unsecured basis to FreshRealm under similar terms. During our fourth quarter of fiscal 2019, we loaned an additional $3.7 million to FreshRealm for a total outstanding principal amount of $32.8 million, not including accrued interest. At such time, we entered into an agreement with FreshRealm wherein all of the outstanding loan amount owed by Fresh Realm to us would be secured in the assets of FreshRealm.</w:t>
      </w:r>
    </w:p>
    <w:p>
      <w:pPr>
        <w:spacing w:after="0" w:line="195" w:lineRule="exact"/>
        <w:rPr>
          <w:sz w:val="20"/>
          <w:szCs w:val="20"/>
          <w:color w:val="auto"/>
        </w:rPr>
      </w:pPr>
    </w:p>
    <w:p>
      <w:pPr>
        <w:ind w:left="40" w:right="139" w:firstLine="259"/>
        <w:spacing w:after="0" w:line="254" w:lineRule="auto"/>
        <w:rPr>
          <w:sz w:val="20"/>
          <w:szCs w:val="20"/>
          <w:color w:val="auto"/>
        </w:rPr>
      </w:pPr>
      <w:r>
        <w:rPr>
          <w:rFonts w:ascii="Arial" w:cs="Arial" w:eastAsia="Arial" w:hAnsi="Arial"/>
          <w:sz w:val="18"/>
          <w:szCs w:val="18"/>
          <w:color w:val="auto"/>
        </w:rPr>
        <w:t>As of January 31, 2020, and October 31, 2019, we have $36.1 million and $35.2 million in note receivables (including interest) from FreshRealm. The notes to FreshRealm, as of January 31, 2020 and October 31, 2019, bear interest at the rate of 10% annually, with monthly interest payments scheduled to begin on October 31, 2020. This first interest payment would represent interest due for the month of October 2020 only, with similar monthly payments scheduled to follow afterwards. The due date of the notes is November 1, 2021, with the Company having the option of up to two, one-year extensions (i.e. first to November 1, 2022, then to November 1, 2023). At January 31, 2020 and October 31, 2019 we have a receivable of $3.3 million and $2.4 million related to interest that we have recorded with note receivables from FreshRealm on the balance sheet.</w:t>
      </w:r>
    </w:p>
    <w:p>
      <w:pPr>
        <w:spacing w:after="0" w:line="192" w:lineRule="exact"/>
        <w:rPr>
          <w:sz w:val="20"/>
          <w:szCs w:val="20"/>
          <w:color w:val="auto"/>
        </w:rPr>
      </w:pPr>
    </w:p>
    <w:p>
      <w:pPr>
        <w:ind w:left="40" w:right="139" w:firstLine="259"/>
        <w:spacing w:after="0" w:line="291" w:lineRule="auto"/>
        <w:rPr>
          <w:sz w:val="20"/>
          <w:szCs w:val="20"/>
          <w:color w:val="auto"/>
        </w:rPr>
      </w:pPr>
      <w:r>
        <w:rPr>
          <w:rFonts w:ascii="Arial" w:cs="Arial" w:eastAsia="Arial" w:hAnsi="Arial"/>
          <w:sz w:val="16"/>
          <w:szCs w:val="16"/>
          <w:color w:val="auto"/>
        </w:rPr>
        <w:t>As of November 25, 2019, we modified approximately $2.7 million of the outstanding secured loan to FreshRealm and applied it to unsecured debt as part of a convertible note round offered by FreshRealm to its existing equity holders. Such convertible note bears interest at the rate of 10% up to the time of conversion. Such $2.7 million unsecured note, along with the related accrued interest amount, was converted into additional equity of FreshRealm as of February 3, 2020. As a result of the convertible note round offered by FreshRealm our ownership percentage in FreshRealm (upon conversion on February 3, 2020) decreased to approximately 37%. In February 2020, we loaned FreshRealm an additional $1.0 million which is expected to be repaid in full before the end of Calavo’s second fiscal quarter.</w:t>
      </w:r>
    </w:p>
    <w:p>
      <w:pPr>
        <w:spacing w:after="0" w:line="166" w:lineRule="exact"/>
        <w:rPr>
          <w:sz w:val="20"/>
          <w:szCs w:val="20"/>
          <w:color w:val="auto"/>
        </w:rPr>
      </w:pPr>
    </w:p>
    <w:p>
      <w:pPr>
        <w:ind w:left="40" w:right="219" w:firstLine="259"/>
        <w:spacing w:after="0" w:line="311" w:lineRule="auto"/>
        <w:rPr>
          <w:sz w:val="20"/>
          <w:szCs w:val="20"/>
          <w:color w:val="auto"/>
        </w:rPr>
      </w:pPr>
      <w:r>
        <w:rPr>
          <w:rFonts w:ascii="Arial" w:cs="Arial" w:eastAsia="Arial" w:hAnsi="Arial"/>
          <w:sz w:val="16"/>
          <w:szCs w:val="16"/>
          <w:color w:val="auto"/>
        </w:rPr>
        <w:t>Three officers and five members of our board of directors have investments in FreshRealm as of January 31, 2020. In addition, as of January 31, 2020 and October 31, 2019, we have a loan to FreshRealm members of approximately $0.2 million. In October and December 2017, our former Chairman and Chief Executive Officer invested $7.0 million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80" w:right="120"/>
        <w:spacing w:after="0" w:line="259" w:lineRule="auto"/>
        <w:rPr>
          <w:sz w:val="20"/>
          <w:szCs w:val="20"/>
          <w:color w:val="auto"/>
        </w:rPr>
      </w:pPr>
      <w:r>
        <w:rPr>
          <w:rFonts w:ascii="Arial" w:cs="Arial" w:eastAsia="Arial" w:hAnsi="Arial"/>
          <w:sz w:val="18"/>
          <w:szCs w:val="18"/>
          <w:color w:val="auto"/>
        </w:rPr>
        <w:t>$1.5 million into FreshRealm. In January 2018, one of our non-executive directors invested $1.8 million into FreshRealm. In the second quarter of fiscal 2018, two of our non-executive directors invested $1.2 million into FreshRealm. In October 2019, our former Chairman and Chief Executive Officer invested $0.5 million in FreshRealm. In October 2019, one of our non-executive directors invested $0.2 million into FreshRealm.</w:t>
      </w:r>
    </w:p>
    <w:p>
      <w:pPr>
        <w:spacing w:after="0" w:line="187" w:lineRule="exact"/>
        <w:rPr>
          <w:sz w:val="20"/>
          <w:szCs w:val="20"/>
          <w:color w:val="auto"/>
        </w:rPr>
      </w:pPr>
    </w:p>
    <w:p>
      <w:pPr>
        <w:ind w:left="80" w:right="60" w:firstLine="324"/>
        <w:spacing w:after="0" w:line="279" w:lineRule="auto"/>
        <w:rPr>
          <w:sz w:val="20"/>
          <w:szCs w:val="20"/>
          <w:color w:val="auto"/>
        </w:rPr>
      </w:pPr>
      <w:r>
        <w:rPr>
          <w:rFonts w:ascii="Arial" w:cs="Arial" w:eastAsia="Arial" w:hAnsi="Arial"/>
          <w:sz w:val="17"/>
          <w:szCs w:val="17"/>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provide storage services to FreshRealm from select Value-Added Depots and RFG facilities. We have received</w:t>
      </w:r>
    </w:p>
    <w:p>
      <w:pPr>
        <w:spacing w:after="0" w:line="35" w:lineRule="exact"/>
        <w:rPr>
          <w:sz w:val="20"/>
          <w:szCs w:val="20"/>
          <w:color w:val="auto"/>
        </w:rPr>
      </w:pPr>
    </w:p>
    <w:p>
      <w:pPr>
        <w:ind w:left="80" w:right="80"/>
        <w:spacing w:after="0" w:line="255" w:lineRule="auto"/>
        <w:rPr>
          <w:sz w:val="20"/>
          <w:szCs w:val="20"/>
          <w:color w:val="auto"/>
        </w:rPr>
      </w:pPr>
      <w:r>
        <w:rPr>
          <w:rFonts w:ascii="Arial" w:cs="Arial" w:eastAsia="Arial" w:hAnsi="Arial"/>
          <w:sz w:val="18"/>
          <w:szCs w:val="18"/>
          <w:color w:val="auto"/>
        </w:rPr>
        <w:t>$0.2 million and $0.1 million in storage services revenue from FreshRealm in the three months ended January 31, 2020 and 2019. For the three months ended January 31, 2020 and 2019, RFG has sold $0.2 million and $1.6 million of products to FreshRealm.</w:t>
      </w:r>
    </w:p>
    <w:p>
      <w:pPr>
        <w:spacing w:after="0" w:line="190" w:lineRule="exact"/>
        <w:rPr>
          <w:sz w:val="20"/>
          <w:szCs w:val="20"/>
          <w:color w:val="auto"/>
        </w:rPr>
      </w:pPr>
    </w:p>
    <w:p>
      <w:pPr>
        <w:ind w:left="80" w:right="180" w:firstLine="259"/>
        <w:spacing w:after="0" w:line="273" w:lineRule="auto"/>
        <w:rPr>
          <w:sz w:val="20"/>
          <w:szCs w:val="20"/>
          <w:color w:val="auto"/>
        </w:rPr>
      </w:pPr>
      <w:r>
        <w:rPr>
          <w:rFonts w:ascii="Arial" w:cs="Arial" w:eastAsia="Arial" w:hAnsi="Arial"/>
          <w:sz w:val="17"/>
          <w:szCs w:val="17"/>
          <w:color w:val="auto"/>
        </w:rPr>
        <w:t>The previous owners of RFG, one of which is currently an officer of Calavo, have a majority ownership of certain entities that provide various services to RFG, specifically LIG Partners, LLC and THNC, LLC. One of RFG’s California operating entities leases a building from LIG Partners, LLC (LIG) pursuant to an operating lease. RFG’s Texas operating entity leases a building from THNC, LLC (THNC) pursuant to an operating lease. In the first quarter of fiscal 2020, these facilities have been sold to a third party and our lease has transferred to the new owners. See the following tables for the related party activity for fiscal years 2020 and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15"/>
          </w:tcPr>
          <w:p>
            <w:pPr>
              <w:jc w:val="right"/>
              <w:ind w:right="100"/>
              <w:spacing w:after="0"/>
              <w:rPr>
                <w:sz w:val="20"/>
                <w:szCs w:val="20"/>
                <w:color w:val="auto"/>
              </w:rPr>
            </w:pPr>
            <w:r>
              <w:rPr>
                <w:rFonts w:ascii="Arial" w:cs="Arial" w:eastAsia="Arial" w:hAnsi="Arial"/>
                <w:sz w:val="14"/>
                <w:szCs w:val="14"/>
                <w:b w:val="1"/>
                <w:bCs w:val="1"/>
                <w:color w:val="auto"/>
                <w:w w:val="92"/>
              </w:rPr>
              <w:t>Three months ended January 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6"/>
          </w:tcPr>
          <w:p>
            <w:pPr>
              <w:jc w:val="right"/>
              <w:ind w:right="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80</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Rent paid to THNC, LLC</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4"/>
          </w:tcPr>
          <w:p>
            <w:pPr>
              <w:jc w:val="right"/>
              <w:ind w:right="14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132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3"/>
              </w:rPr>
              <w:t>198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3140" w:type="dxa"/>
            <w:vAlign w:val="bottom"/>
            <w:gridSpan w:val="3"/>
          </w:tcPr>
          <w:p>
            <w:pPr>
              <w:ind w:left="80"/>
              <w:spacing w:after="0"/>
              <w:rPr>
                <w:sz w:val="20"/>
                <w:szCs w:val="20"/>
                <w:color w:val="auto"/>
              </w:rPr>
            </w:pPr>
            <w:r>
              <w:rPr>
                <w:rFonts w:ascii="Arial" w:cs="Arial" w:eastAsia="Arial" w:hAnsi="Arial"/>
                <w:sz w:val="18"/>
                <w:szCs w:val="18"/>
                <w:b w:val="1"/>
                <w:bCs w:val="1"/>
                <w:color w:val="auto"/>
              </w:rPr>
              <w:t>5.  Other assets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4000" w:type="dxa"/>
            <w:vAlign w:val="bottom"/>
            <w:gridSpan w:val="4"/>
          </w:tcPr>
          <w:p>
            <w:pPr>
              <w:ind w:left="260"/>
              <w:spacing w:after="0"/>
              <w:rPr>
                <w:sz w:val="20"/>
                <w:szCs w:val="20"/>
                <w:color w:val="auto"/>
              </w:rPr>
            </w:pPr>
            <w:r>
              <w:rPr>
                <w:rFonts w:ascii="Arial" w:cs="Arial" w:eastAsia="Arial" w:hAnsi="Arial"/>
                <w:sz w:val="18"/>
                <w:szCs w:val="18"/>
                <w:color w:val="auto"/>
                <w:w w:val="90"/>
              </w:rPr>
              <w:t>Other assets consist of the following (in thousands):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7"/>
          </w:tcPr>
          <w:p>
            <w:pPr>
              <w:spacing w:after="0"/>
              <w:rPr>
                <w:sz w:val="20"/>
                <w:szCs w:val="20"/>
                <w:color w:val="auto"/>
              </w:rPr>
            </w:pPr>
            <w:r>
              <w:rPr>
                <w:rFonts w:ascii="Arial" w:cs="Arial" w:eastAsia="Arial" w:hAnsi="Arial"/>
                <w:sz w:val="14"/>
                <w:szCs w:val="14"/>
                <w:b w:val="1"/>
                <w:bCs w:val="1"/>
                <w:color w:val="auto"/>
              </w:rPr>
              <w:t>January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8"/>
          </w:tcPr>
          <w:p>
            <w:pPr>
              <w:spacing w:after="0"/>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Mexican IVA (i.e. value-added) taxes receivable (see note 15)</w:t>
            </w:r>
          </w:p>
        </w:tc>
        <w:tc>
          <w:tcPr>
            <w:tcW w:w="4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29,515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27,592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w w:val="95"/>
              </w:rPr>
              <w:t>Infrastructure advance to Agricola Belher</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1,511</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33,244</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31,341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60" w:type="dxa"/>
            <w:vAlign w:val="bottom"/>
            <w:gridSpan w:val="6"/>
            <w:vMerge w:val="restart"/>
          </w:tcPr>
          <w:p>
            <w:pPr>
              <w:jc w:val="right"/>
              <w:ind w:right="215"/>
              <w:spacing w:after="0"/>
              <w:rPr>
                <w:sz w:val="20"/>
                <w:szCs w:val="20"/>
                <w:color w:val="auto"/>
              </w:rPr>
            </w:pPr>
            <w:r>
              <w:rPr>
                <w:rFonts w:ascii="Arial" w:cs="Arial" w:eastAsia="Arial" w:hAnsi="Arial"/>
                <w:sz w:val="18"/>
                <w:szCs w:val="18"/>
                <w:color w:val="auto"/>
                <w:w w:val="97"/>
              </w:rPr>
              <w:t>Intangible assets consist of the following (in thousands):</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 w:type="dxa"/>
            <w:vAlign w:val="bottom"/>
          </w:tcPr>
          <w:p>
            <w:pPr>
              <w:spacing w:after="0"/>
              <w:rPr>
                <w:sz w:val="24"/>
                <w:szCs w:val="24"/>
                <w:color w:val="auto"/>
              </w:rPr>
            </w:pPr>
          </w:p>
        </w:tc>
        <w:tc>
          <w:tcPr>
            <w:tcW w:w="466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2"/>
              </w:rPr>
              <w:t>January 31, 2020</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0"/>
              </w:rPr>
              <w:t>October 31, 2019</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Gross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Average</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Accum.</w:t>
            </w:r>
          </w:p>
        </w:tc>
        <w:tc>
          <w:tcPr>
            <w:tcW w:w="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Book</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6"/>
              </w:rPr>
              <w:t>Accum.</w:t>
            </w:r>
          </w:p>
        </w:tc>
        <w:tc>
          <w:tcPr>
            <w:tcW w:w="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Book</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7"/>
                <w:szCs w:val="17"/>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spacing w:after="0"/>
              <w:rPr>
                <w:sz w:val="20"/>
                <w:szCs w:val="20"/>
                <w:color w:val="auto"/>
              </w:rPr>
            </w:pPr>
            <w:r>
              <w:rPr>
                <w:rFonts w:ascii="Arial" w:cs="Arial" w:eastAsia="Arial" w:hAnsi="Arial"/>
                <w:sz w:val="14"/>
                <w:szCs w:val="14"/>
                <w:b w:val="1"/>
                <w:bCs w:val="1"/>
                <w:color w:val="auto"/>
              </w:rPr>
              <w:t>Amortization</w:t>
            </w:r>
          </w:p>
        </w:tc>
        <w:tc>
          <w:tcPr>
            <w:tcW w:w="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  7,640</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2,760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(2,760)</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2,760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5"/>
          </w:tcPr>
          <w:p>
            <w:pPr>
              <w:jc w:val="right"/>
              <w:ind w:right="20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9.3 years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spacing w:after="0"/>
              <w:rPr>
                <w:sz w:val="20"/>
                <w:szCs w:val="20"/>
                <w:color w:val="auto"/>
              </w:rPr>
            </w:pPr>
            <w:r>
              <w:rPr>
                <w:rFonts w:ascii="Arial" w:cs="Arial" w:eastAsia="Arial" w:hAnsi="Arial"/>
                <w:sz w:val="18"/>
                <w:szCs w:val="18"/>
                <w:color w:val="auto"/>
              </w:rPr>
              <w:t>Brand name intangibles</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indefinite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1"/>
              </w:rPr>
              <w:t>$ 11,305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(10,870)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435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00" w:top="517" w:right="14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00" w:top="517" w:right="1439"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19" w:firstLine="259"/>
        <w:spacing w:after="0" w:line="263" w:lineRule="auto"/>
        <w:rPr>
          <w:sz w:val="20"/>
          <w:szCs w:val="20"/>
          <w:color w:val="auto"/>
        </w:rPr>
      </w:pPr>
      <w:r>
        <w:rPr>
          <w:rFonts w:ascii="Arial" w:cs="Arial" w:eastAsia="Arial" w:hAnsi="Arial"/>
          <w:sz w:val="18"/>
          <w:szCs w:val="18"/>
          <w:color w:val="auto"/>
        </w:rPr>
        <w:t>We anticipate recording amortization expense of $0.1 million for the remainder of fiscal 2020, $0.1 million for fiscal year 2021, $0.1 million for fiscal year 2022, $0.1 million for fiscal year 2023, and less than $0.1 million for thereafter, through fiscal year 2023.</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Note 11 for additional information related to Mexican IVA taxes.</w:t>
      </w:r>
    </w:p>
    <w:p>
      <w:pPr>
        <w:spacing w:after="0" w:line="221"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7" w:lineRule="exact"/>
        <w:rPr>
          <w:sz w:val="20"/>
          <w:szCs w:val="20"/>
          <w:color w:val="auto"/>
        </w:rPr>
      </w:pPr>
    </w:p>
    <w:p>
      <w:pPr>
        <w:ind w:left="40" w:right="159" w:firstLine="259"/>
        <w:spacing w:after="0" w:line="255" w:lineRule="auto"/>
        <w:rPr>
          <w:sz w:val="20"/>
          <w:szCs w:val="20"/>
          <w:color w:val="auto"/>
        </w:rPr>
      </w:pPr>
      <w:r>
        <w:rPr>
          <w:rFonts w:ascii="Arial" w:cs="Arial" w:eastAsia="Arial" w:hAnsi="Arial"/>
          <w:sz w:val="18"/>
          <w:szCs w:val="18"/>
          <w:color w:val="auto"/>
        </w:rPr>
        <w:t>On January 2, 2020, all 12 of our non-employee directors were granted 1,500 restricted shares, as part of their annual compensation, each (total of 18,000 shares). These shares have full voting rights and participate in dividends as if unrestricted. The closing price of our stock on such date was $87.21. On January 2, 2021, as long as the directors are still serving on the board, these shares lose their restriction and become non-forfeitable and transferable. These shares were granted pursuant to our 2011 Plan. The total recognized stock-based compensation expense for these grants was $0.1 million for the three months ended January 31, 2020.</w:t>
      </w:r>
    </w:p>
    <w:p>
      <w:pPr>
        <w:spacing w:after="0" w:line="192"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On December 18, 2019, our executive officers were granted a total of 31,158 restricted shares. These shares have full voting rights and participate in dividends as if unrestricted. The closing price of our stock on such date was $87.63. These shares vest in one-third increments, on an annual basis, beginning December 18, 2020. These shares were granted pursuant to our 2011 Plan. The total recognized stock-based compensation expense for these grants was $0.2 million for the three months ended January 31, 2020.</w:t>
      </w:r>
    </w:p>
    <w:p>
      <w:pPr>
        <w:spacing w:after="0" w:line="188" w:lineRule="exact"/>
        <w:rPr>
          <w:sz w:val="20"/>
          <w:szCs w:val="20"/>
          <w:color w:val="auto"/>
        </w:rPr>
      </w:pPr>
    </w:p>
    <w:p>
      <w:pPr>
        <w:ind w:left="40" w:right="419" w:firstLine="259"/>
        <w:spacing w:after="0" w:line="258" w:lineRule="auto"/>
        <w:rPr>
          <w:sz w:val="20"/>
          <w:szCs w:val="20"/>
          <w:color w:val="auto"/>
        </w:rPr>
      </w:pPr>
      <w:r>
        <w:rPr>
          <w:rFonts w:ascii="Arial" w:cs="Arial" w:eastAsia="Arial" w:hAnsi="Arial"/>
          <w:sz w:val="18"/>
          <w:szCs w:val="18"/>
          <w:color w:val="auto"/>
        </w:rPr>
        <w:t>A summary of restricted stock activity, related to our 2011 Management Incentive Plan, is as follows (in thousands, except for per share amounts):</w:t>
      </w:r>
    </w:p>
    <w:tbl>
      <w:tblPr>
        <w:tblLayout w:type="fixed"/>
        <w:tblInd w:w="40" w:type="dxa"/>
        <w:tblCellMar>
          <w:top w:w="0" w:type="dxa"/>
          <w:left w:w="0" w:type="dxa"/>
          <w:bottom w:w="0" w:type="dxa"/>
          <w:right w:w="0" w:type="dxa"/>
        </w:tblCellMar>
      </w:tblPr>
      <w:tr>
        <w:trPr>
          <w:trHeight w:val="141"/>
        </w:trPr>
        <w:tc>
          <w:tcPr>
            <w:tcW w:w="3860" w:type="dxa"/>
            <w:vAlign w:val="bottom"/>
          </w:tcPr>
          <w:p>
            <w:pPr>
              <w:spacing w:after="0"/>
              <w:rPr>
                <w:sz w:val="12"/>
                <w:szCs w:val="12"/>
                <w:color w:val="auto"/>
              </w:rPr>
            </w:pPr>
          </w:p>
        </w:tc>
        <w:tc>
          <w:tcPr>
            <w:tcW w:w="2760" w:type="dxa"/>
            <w:vAlign w:val="bottom"/>
            <w:gridSpan w:val="3"/>
            <w:vMerge w:val="restart"/>
          </w:tcPr>
          <w:p>
            <w:pPr>
              <w:ind w:left="1480"/>
              <w:spacing w:after="0"/>
              <w:rPr>
                <w:sz w:val="20"/>
                <w:szCs w:val="20"/>
                <w:color w:val="auto"/>
              </w:rPr>
            </w:pPr>
            <w:r>
              <w:rPr>
                <w:rFonts w:ascii="Arial" w:cs="Arial" w:eastAsia="Arial" w:hAnsi="Arial"/>
                <w:sz w:val="14"/>
                <w:szCs w:val="14"/>
                <w:b w:val="1"/>
                <w:bCs w:val="1"/>
                <w:color w:val="auto"/>
              </w:rPr>
              <w:t>Number of Shares</w:t>
            </w:r>
          </w:p>
        </w:tc>
        <w:tc>
          <w:tcPr>
            <w:tcW w:w="132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2"/>
                <w:szCs w:val="12"/>
                <w:color w:val="auto"/>
              </w:rPr>
            </w:pPr>
          </w:p>
        </w:tc>
        <w:tc>
          <w:tcPr>
            <w:tcW w:w="86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Price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Vested</w:t>
            </w:r>
          </w:p>
        </w:tc>
        <w:tc>
          <w:tcPr>
            <w:tcW w:w="276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Outstanding at January 31, 2020</w:t>
            </w:r>
          </w:p>
        </w:tc>
        <w:tc>
          <w:tcPr>
            <w:tcW w:w="1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85.71</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The total recognized stock-based compensation expense for restricted stock was $0.9 million and $1.0 million for the three months ended January 31, 2020 and 2019. Total unrecognized stock-based compensation expense totaled $4.1 million as of January 31, 2020 and will be amortized through fiscal year 2023.</w:t>
      </w:r>
    </w:p>
    <w:p>
      <w:pPr>
        <w:spacing w:after="0" w:line="184" w:lineRule="exact"/>
        <w:rPr>
          <w:sz w:val="20"/>
          <w:szCs w:val="20"/>
          <w:color w:val="auto"/>
        </w:rPr>
      </w:pPr>
    </w:p>
    <w:p>
      <w:pPr>
        <w:jc w:val="both"/>
        <w:ind w:left="40" w:right="339" w:firstLine="259"/>
        <w:spacing w:after="0" w:line="263" w:lineRule="auto"/>
        <w:rPr>
          <w:sz w:val="20"/>
          <w:szCs w:val="20"/>
          <w:color w:val="auto"/>
        </w:rPr>
      </w:pPr>
      <w:r>
        <w:rPr>
          <w:rFonts w:ascii="Arial" w:cs="Arial" w:eastAsia="Arial" w:hAnsi="Arial"/>
          <w:sz w:val="18"/>
          <w:szCs w:val="18"/>
          <w:color w:val="auto"/>
        </w:rPr>
        <w:t>Stock options are granted with exercise prices of not less than the fair market value at grant date, generally vest over one to five years and generally expire two to five years after the grant date. We settle stock option exercises with newly issued shares of common stock.</w:t>
      </w:r>
    </w:p>
    <w:p>
      <w:pPr>
        <w:spacing w:after="0" w:line="7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76"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A summary of stock option activity, related to our 2005 Stock Incentive Plan, is as follows (in thousands, except for per share amounts):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1"/>
        </w:trPr>
        <w:tc>
          <w:tcPr>
            <w:tcW w:w="5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Exercise Price</w:t>
            </w:r>
          </w:p>
        </w:tc>
        <w:tc>
          <w:tcPr>
            <w:tcW w:w="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January 31, 2020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259"/>
        <w:spacing w:after="0" w:line="263" w:lineRule="auto"/>
        <w:rPr>
          <w:sz w:val="20"/>
          <w:szCs w:val="20"/>
          <w:color w:val="auto"/>
        </w:rPr>
      </w:pPr>
      <w:r>
        <w:rPr>
          <w:rFonts w:ascii="Arial" w:cs="Arial" w:eastAsia="Arial" w:hAnsi="Arial"/>
          <w:sz w:val="18"/>
          <w:szCs w:val="18"/>
          <w:color w:val="auto"/>
        </w:rPr>
        <w:t>At January 31, 2020, outstanding and exercisable stock options had a weighted-average remaining contractual term of 0.6 years. The total recognized and unrecognized stock-based compensation expense was insignificant for the three months ended January 31, 2020.</w:t>
      </w:r>
    </w:p>
    <w:p>
      <w:pPr>
        <w:spacing w:after="0" w:line="170"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Number of Shares</w:t>
            </w:r>
          </w:p>
        </w:tc>
        <w:tc>
          <w:tcPr>
            <w:tcW w:w="220" w:type="dxa"/>
            <w:vAlign w:val="bottom"/>
          </w:tcPr>
          <w:p>
            <w:pPr>
              <w:spacing w:after="0"/>
              <w:rPr>
                <w:sz w:val="17"/>
                <w:szCs w:val="17"/>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7"/>
                <w:szCs w:val="17"/>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Arial" w:cs="Arial" w:eastAsia="Arial" w:hAnsi="Arial"/>
                <w:sz w:val="18"/>
                <w:szCs w:val="18"/>
                <w:color w:val="auto"/>
              </w:rPr>
              <w:t>Exercisable at January 31, 2020</w:t>
            </w: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45.59</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219" w:firstLine="259"/>
        <w:spacing w:after="0" w:line="263" w:lineRule="auto"/>
        <w:rPr>
          <w:sz w:val="20"/>
          <w:szCs w:val="20"/>
          <w:color w:val="auto"/>
        </w:rPr>
      </w:pPr>
      <w:r>
        <w:rPr>
          <w:rFonts w:ascii="Arial" w:cs="Arial" w:eastAsia="Arial" w:hAnsi="Arial"/>
          <w:sz w:val="18"/>
          <w:szCs w:val="18"/>
          <w:color w:val="auto"/>
        </w:rPr>
        <w:t>At January 31, 2020, outstanding and exercisable stock options had a weighted-average remaining contractual term of 3.9 years and 2.8 years. The total recognized and unrecognized stock-based compensation expense was insignificant for the three months ended January 31, 2020.</w:t>
      </w:r>
    </w:p>
    <w:p>
      <w:pPr>
        <w:spacing w:after="0" w:line="180" w:lineRule="exact"/>
        <w:rPr>
          <w:sz w:val="20"/>
          <w:szCs w:val="20"/>
          <w:color w:val="auto"/>
        </w:rPr>
      </w:pPr>
    </w:p>
    <w:p>
      <w:pPr>
        <w:ind w:left="360" w:hanging="316"/>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payment</w:t>
      </w:r>
    </w:p>
    <w:p>
      <w:pPr>
        <w:spacing w:after="0" w:line="225" w:lineRule="exact"/>
        <w:rPr>
          <w:sz w:val="20"/>
          <w:szCs w:val="20"/>
          <w:color w:val="auto"/>
        </w:rPr>
      </w:pPr>
    </w:p>
    <w:p>
      <w:pPr>
        <w:ind w:left="40" w:right="199" w:firstLine="259"/>
        <w:spacing w:after="0" w:line="277" w:lineRule="auto"/>
        <w:rPr>
          <w:sz w:val="20"/>
          <w:szCs w:val="20"/>
          <w:color w:val="auto"/>
        </w:rPr>
      </w:pPr>
      <w:r>
        <w:rPr>
          <w:rFonts w:ascii="Arial" w:cs="Arial" w:eastAsia="Arial" w:hAnsi="Arial"/>
          <w:sz w:val="18"/>
          <w:szCs w:val="18"/>
          <w:color w:val="auto"/>
        </w:rPr>
        <w:t>On December 6, 2019, we paid a $1.10 per share dividend in the aggregate amount of $19.4 million to shareholders of record on November 15, 2019.</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40" w:right="179"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2" w:lineRule="exact"/>
        <w:rPr>
          <w:sz w:val="20"/>
          <w:szCs w:val="20"/>
          <w:color w:val="auto"/>
        </w:rPr>
      </w:pPr>
    </w:p>
    <w:p>
      <w:pPr>
        <w:ind w:left="40" w:right="299" w:firstLine="259"/>
        <w:spacing w:after="0" w:line="342" w:lineRule="auto"/>
        <w:rPr>
          <w:sz w:val="20"/>
          <w:szCs w:val="20"/>
          <w:color w:val="auto"/>
        </w:rPr>
      </w:pPr>
      <w:r>
        <w:rPr>
          <w:rFonts w:ascii="Arial" w:cs="Arial" w:eastAsia="Arial" w:hAnsi="Arial"/>
          <w:sz w:val="16"/>
          <w:szCs w:val="16"/>
          <w:color w:val="auto"/>
        </w:rPr>
        <w:t>As a result, in April 2019, the MFM issued a final tax assessment to CDM (the “2011 Assessment”) totaling approximately $2.2 billion Mexican pesos (approx. $116.4 million USD at January 31, 2020) related to Income Tax, Flat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69" w:lineRule="auto"/>
        <w:rPr>
          <w:sz w:val="20"/>
          <w:szCs w:val="20"/>
          <w:color w:val="auto"/>
        </w:rPr>
      </w:pPr>
      <w:r>
        <w:rPr>
          <w:rFonts w:ascii="Arial" w:cs="Arial" w:eastAsia="Arial" w:hAnsi="Arial"/>
          <w:sz w:val="17"/>
          <w:szCs w:val="17"/>
          <w:color w:val="auto"/>
        </w:rPr>
        <w:t>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82" w:lineRule="exact"/>
        <w:rPr>
          <w:sz w:val="20"/>
          <w:szCs w:val="20"/>
          <w:color w:val="auto"/>
        </w:rPr>
      </w:pPr>
    </w:p>
    <w:p>
      <w:pPr>
        <w:ind w:left="40" w:right="179" w:firstLine="259"/>
        <w:spacing w:after="0" w:line="272" w:lineRule="auto"/>
        <w:rPr>
          <w:sz w:val="20"/>
          <w:szCs w:val="20"/>
          <w:color w:val="auto"/>
        </w:rPr>
      </w:pPr>
      <w:r>
        <w:rPr>
          <w:rFonts w:ascii="Arial" w:cs="Arial" w:eastAsia="Arial" w:hAnsi="Arial"/>
          <w:sz w:val="17"/>
          <w:szCs w:val="17"/>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77"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$137.5 million USD at January 31, 2020) related to Income Tax, Flat Rate Business Tax, and Value Added Tax, related to this fiscal 2013 tax audit. Additionally, the tax authorities have determined that we owe an employees profit-sharing liability, totaling approximately $118 million Mexican pesos (approx. $6.2 million USD at January 31, 2020).</w:t>
      </w:r>
    </w:p>
    <w:p>
      <w:pPr>
        <w:spacing w:after="0" w:line="188" w:lineRule="exact"/>
        <w:rPr>
          <w:sz w:val="20"/>
          <w:szCs w:val="20"/>
          <w:color w:val="auto"/>
        </w:rPr>
      </w:pPr>
    </w:p>
    <w:p>
      <w:pPr>
        <w:ind w:left="40" w:right="99" w:firstLine="259"/>
        <w:spacing w:after="0" w:line="271" w:lineRule="auto"/>
        <w:rPr>
          <w:sz w:val="20"/>
          <w:szCs w:val="20"/>
          <w:color w:val="auto"/>
        </w:rPr>
      </w:pPr>
      <w:r>
        <w:rPr>
          <w:rFonts w:ascii="Arial" w:cs="Arial" w:eastAsia="Arial" w:hAnsi="Arial"/>
          <w:sz w:val="17"/>
          <w:szCs w:val="17"/>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 We believe we have the legal arguments and documentation to sustain the positions challenged by the SAT.</w:t>
      </w:r>
    </w:p>
    <w:p>
      <w:pPr>
        <w:spacing w:after="0" w:line="178" w:lineRule="exact"/>
        <w:rPr>
          <w:sz w:val="20"/>
          <w:szCs w:val="20"/>
          <w:color w:val="auto"/>
        </w:rPr>
      </w:pPr>
    </w:p>
    <w:p>
      <w:pPr>
        <w:ind w:left="40" w:right="819" w:firstLine="259"/>
        <w:spacing w:after="0" w:line="277" w:lineRule="auto"/>
        <w:rPr>
          <w:sz w:val="20"/>
          <w:szCs w:val="20"/>
          <w:color w:val="auto"/>
        </w:rPr>
      </w:pPr>
      <w:r>
        <w:rPr>
          <w:rFonts w:ascii="Arial" w:cs="Arial" w:eastAsia="Arial" w:hAnsi="Arial"/>
          <w:sz w:val="18"/>
          <w:szCs w:val="18"/>
          <w:color w:val="auto"/>
        </w:rPr>
        <w:t>We continue to believe that the ultimate resolution of these matters is unlikely to have a material effect on our consolidated financial position, results of operations and cash flows.</w:t>
      </w:r>
    </w:p>
    <w:p>
      <w:pPr>
        <w:spacing w:after="0" w:line="166"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40" w:right="299" w:firstLine="259"/>
        <w:spacing w:after="0" w:line="275"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304"/>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January 31, 2020 that are measured on a recurring basis during the period, segregated by level within the fair value hierarchy:</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Level 1</w:t>
            </w:r>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6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96"/>
        </w:trPr>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40" w:type="dxa"/>
            <w:vAlign w:val="bottom"/>
            <w:gridSpan w:val="10"/>
          </w:tcPr>
          <w:p>
            <w:pPr>
              <w:ind w:left="160"/>
              <w:spacing w:after="0"/>
              <w:rPr>
                <w:sz w:val="20"/>
                <w:szCs w:val="20"/>
                <w:color w:val="auto"/>
              </w:rPr>
            </w:pPr>
            <w:r>
              <w:rPr>
                <w:rFonts w:ascii="Arial" w:cs="Arial" w:eastAsia="Arial" w:hAnsi="Arial"/>
                <w:sz w:val="14"/>
                <w:szCs w:val="14"/>
                <w:b w:val="1"/>
                <w:bCs w:val="1"/>
                <w:color w:val="auto"/>
                <w:w w:val="96"/>
              </w:rPr>
              <w:t>(All amounts are pres</w:t>
            </w:r>
            <w:r>
              <w:rPr>
                <w:rFonts w:ascii="Arial" w:cs="Arial" w:eastAsia="Arial" w:hAnsi="Arial"/>
                <w:sz w:val="14"/>
                <w:szCs w:val="14"/>
                <w:color w:val="auto"/>
                <w:w w:val="96"/>
              </w:rPr>
              <w:t>e</w:t>
            </w:r>
            <w:r>
              <w:rPr>
                <w:rFonts w:ascii="Arial" w:cs="Arial" w:eastAsia="Arial" w:hAnsi="Arial"/>
                <w:sz w:val="14"/>
                <w:szCs w:val="14"/>
                <w:b w:val="1"/>
                <w:bCs w:val="1"/>
                <w:color w:val="auto"/>
                <w:w w:val="96"/>
              </w:rPr>
              <w:t>nted in thousands)</w:t>
            </w:r>
          </w:p>
        </w:tc>
      </w:tr>
      <w:tr>
        <w:trPr>
          <w:trHeight w:val="216"/>
        </w:trPr>
        <w:tc>
          <w:tcPr>
            <w:tcW w:w="8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 at Fair Value: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400" w:type="dxa"/>
            <w:vAlign w:val="bottom"/>
            <w:gridSpan w:val="2"/>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$ 32,741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$ 32,741</w:t>
            </w:r>
          </w:p>
        </w:tc>
        <w:tc>
          <w:tcPr>
            <w:tcW w:w="2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4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$ 32,741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$ 32,741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8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1260" w:right="99" w:hanging="322"/>
        <w:spacing w:after="0" w:line="233" w:lineRule="auto"/>
        <w:tabs>
          <w:tab w:leader="none" w:pos="1247"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investment in Limoneira Company consists of marketable securities in the Limoneira Company common stock. We currently own less than 10% of Limoneira’s outstanding common stock. These securities are measured at fair value using quoted market prices. For the three months ended January 31, 2020 and 2019, we recognized gains of $1.0 million and losses of $4.5 million on the consolidated condensed statement of income.</w:t>
      </w:r>
    </w:p>
    <w:p>
      <w:pPr>
        <w:spacing w:after="0" w:line="117" w:lineRule="exact"/>
        <w:rPr>
          <w:rFonts w:ascii="Arial" w:cs="Arial" w:eastAsia="Arial" w:hAnsi="Arial"/>
          <w:sz w:val="14"/>
          <w:szCs w:val="14"/>
          <w:color w:val="auto"/>
        </w:rPr>
      </w:pPr>
    </w:p>
    <w:p>
      <w:pPr>
        <w:ind w:left="340" w:hanging="296"/>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The following table reconciles shareholders’ equity attributable to noncontrolling interest related to Avocados de Jalisco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January 31,</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and diluted net income per share is calculated as follows (data in thousands, except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Three months ended January 31,</w:t>
            </w:r>
          </w:p>
        </w:tc>
      </w:tr>
      <w:tr>
        <w:trPr>
          <w:trHeight w:val="142"/>
        </w:trPr>
        <w:tc>
          <w:tcPr>
            <w:tcW w:w="566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Income (loss) attributable to Calavo Growers, Inc.</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4,487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Effect on dilutive securities – Restricted stock/options</w:t>
            </w:r>
          </w:p>
        </w:tc>
        <w:tc>
          <w:tcPr>
            <w:tcW w:w="1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50"/>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1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17,558</w:t>
            </w: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share attributable to Calavo Growers, Inc:</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Basic</w:t>
            </w:r>
          </w:p>
        </w:tc>
        <w:tc>
          <w:tcPr>
            <w:tcW w:w="14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Mexican IVA taxes receivable</w:t>
      </w:r>
    </w:p>
    <w:p>
      <w:pPr>
        <w:spacing w:after="0" w:line="229" w:lineRule="exact"/>
        <w:rPr>
          <w:sz w:val="20"/>
          <w:szCs w:val="20"/>
          <w:color w:val="auto"/>
        </w:rPr>
      </w:pPr>
    </w:p>
    <w:p>
      <w:pPr>
        <w:ind w:left="40" w:right="499" w:firstLine="259"/>
        <w:spacing w:after="0" w:line="286" w:lineRule="auto"/>
        <w:rPr>
          <w:sz w:val="20"/>
          <w:szCs w:val="20"/>
          <w:color w:val="auto"/>
        </w:rPr>
      </w:pPr>
      <w:r>
        <w:rPr>
          <w:rFonts w:ascii="Arial" w:cs="Arial" w:eastAsia="Arial" w:hAnsi="Arial"/>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65" w:lineRule="exact"/>
        <w:rPr>
          <w:sz w:val="20"/>
          <w:szCs w:val="20"/>
          <w:color w:val="auto"/>
        </w:rPr>
      </w:pPr>
    </w:p>
    <w:p>
      <w:pPr>
        <w:ind w:left="40" w:right="219" w:firstLine="259"/>
        <w:spacing w:after="0" w:line="293" w:lineRule="auto"/>
        <w:rPr>
          <w:sz w:val="20"/>
          <w:szCs w:val="20"/>
          <w:color w:val="auto"/>
        </w:rPr>
      </w:pPr>
      <w:r>
        <w:rPr>
          <w:rFonts w:ascii="Arial" w:cs="Arial" w:eastAsia="Arial" w:hAnsi="Arial"/>
          <w:sz w:val="16"/>
          <w:szCs w:val="16"/>
          <w:color w:val="auto"/>
        </w:rPr>
        <w:t>As of January 31, 2020, and October 31, 2019, CDM IVA receivables totaled $29.5 million and $27.6 million. Historically, CDM received IVA refund payments from the Mexican tax authorities on a timely basis. Beginning in fiscal 2014 and continuing into fiscal 2020,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we are in the process of collecting such balances through regular administrative processes, but certain amounts may ultimately need to be recovered via legal means and/or administrative appeals.</w:t>
      </w:r>
    </w:p>
    <w:p>
      <w:pPr>
        <w:spacing w:after="0" w:line="170"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During the first quarter of fiscal 2017,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79" w:lineRule="exact"/>
        <w:rPr>
          <w:sz w:val="20"/>
          <w:szCs w:val="20"/>
          <w:color w:val="auto"/>
        </w:rPr>
      </w:pPr>
    </w:p>
    <w:p>
      <w:pPr>
        <w:ind w:left="40" w:right="79" w:firstLine="259"/>
        <w:spacing w:after="0" w:line="271" w:lineRule="auto"/>
        <w:rPr>
          <w:sz w:val="20"/>
          <w:szCs w:val="20"/>
          <w:color w:val="auto"/>
        </w:rPr>
      </w:pPr>
      <w:r>
        <w:rPr>
          <w:rFonts w:ascii="Arial" w:cs="Arial" w:eastAsia="Arial" w:hAnsi="Arial"/>
          <w:sz w:val="17"/>
          <w:szCs w:val="17"/>
          <w:color w:val="auto"/>
        </w:rPr>
        <w:t>In spite of the favorable ruling from the SAT’s central legal department in Mexico City, as discussed above, the local SAT office continues to believe that CDM is not properly documented relative to its declared tax structure. As a result, they believe CDM cannot claim certain refundable IVA balances, specifically regarding our IVA refunds related to January through December of 2013, January through November of 2014, January through December of 2015, and January 2017. CDM has strong arguments and supporting documentation to sustain its declared tax structure for IVA and income tax purposes. With assistance of our internationally recognized tax advisory firm, as of January 31, 2020, CDM has filed (or has plans to file) administrative appeals for the IVA related to the preceding months. A response to these administrative appeals is currently pending resolution.</w:t>
      </w:r>
    </w:p>
    <w:p>
      <w:pPr>
        <w:spacing w:after="0" w:line="178" w:lineRule="exact"/>
        <w:rPr>
          <w:sz w:val="20"/>
          <w:szCs w:val="20"/>
          <w:color w:val="auto"/>
        </w:rPr>
      </w:pPr>
    </w:p>
    <w:p>
      <w:pPr>
        <w:jc w:val="both"/>
        <w:ind w:left="40" w:right="59" w:firstLine="259"/>
        <w:spacing w:after="0" w:line="263" w:lineRule="auto"/>
        <w:rPr>
          <w:sz w:val="20"/>
          <w:szCs w:val="20"/>
          <w:color w:val="auto"/>
        </w:rPr>
      </w:pPr>
      <w:r>
        <w:rPr>
          <w:rFonts w:ascii="Arial" w:cs="Arial" w:eastAsia="Arial" w:hAnsi="Arial"/>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FreshRealm</w:t>
      </w:r>
    </w:p>
    <w:p>
      <w:pPr>
        <w:spacing w:after="0" w:line="229"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A VIE refers to a legal business structure in which an investor has a controlling interest in,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continue to believe that FreshRealm should be considered a VIE. In evaluating whether we are the primary beneficiary of FreshRealm, we considered several factors, including whether we (a) have the power to direct the activities that most significantly impact FreshRealm’s economic performance and (b) the obligation to absorb losses and the right to receive benefits that could potentially be significant to the VIE. We were not the primary beneficiary of FreshRealm at January 31, 2020 because the nature of our involvement with the activities of FreshRealm does not give us the power to direct the activities that most significantly impact its economic performance. We do not have a future obligation to fund losses or debts on behalf of FreshRealm. We may, however, voluntarily contribute funds. In the accompanying statements of income, we have presented the income (loss) from unconsolidated entities, subsequent to the provision for income taxes for all periods presented.</w:t>
      </w:r>
    </w:p>
    <w:p>
      <w:pPr>
        <w:spacing w:after="0" w:line="179" w:lineRule="exact"/>
        <w:rPr>
          <w:sz w:val="20"/>
          <w:szCs w:val="20"/>
          <w:color w:val="auto"/>
        </w:rPr>
      </w:pPr>
    </w:p>
    <w:p>
      <w:pPr>
        <w:ind w:left="40" w:right="299" w:firstLine="324"/>
        <w:spacing w:after="0" w:line="286" w:lineRule="auto"/>
        <w:rPr>
          <w:sz w:val="20"/>
          <w:szCs w:val="20"/>
          <w:color w:val="auto"/>
        </w:rPr>
      </w:pPr>
      <w:r>
        <w:rPr>
          <w:rFonts w:ascii="Arial" w:cs="Arial" w:eastAsia="Arial" w:hAnsi="Arial"/>
          <w:sz w:val="17"/>
          <w:szCs w:val="17"/>
          <w:color w:val="auto"/>
        </w:rPr>
        <w:t>We record the amount of our investment in FreshRealm, totaling $2.3 million at January 31, 2020, in “Investment in unconsolidated entities” on our Consolidated Condensed Balance Sheets and recognize losses in FreshRealm in “Income/(loss) in unconsolidated entities” on our Consolidated Condensed Statement of Income.</w:t>
      </w:r>
    </w:p>
    <w:p>
      <w:pPr>
        <w:spacing w:after="0" w:line="165" w:lineRule="exact"/>
        <w:rPr>
          <w:sz w:val="20"/>
          <w:szCs w:val="20"/>
          <w:color w:val="auto"/>
        </w:rPr>
      </w:pPr>
    </w:p>
    <w:p>
      <w:pPr>
        <w:ind w:left="40" w:right="119" w:firstLine="324"/>
        <w:spacing w:after="0" w:line="293" w:lineRule="auto"/>
        <w:rPr>
          <w:sz w:val="20"/>
          <w:szCs w:val="20"/>
          <w:color w:val="auto"/>
        </w:rPr>
      </w:pPr>
      <w:r>
        <w:rPr>
          <w:rFonts w:ascii="Arial" w:cs="Arial" w:eastAsia="Arial" w:hAnsi="Arial"/>
          <w:sz w:val="16"/>
          <w:szCs w:val="16"/>
          <w:color w:val="auto"/>
        </w:rPr>
        <w:t>For the three months ended January 31, 2020, FreshRealm incurred losses totaling $9.3 million. Effective December 16, 2018, FreshRealm completed a “check the box” tax election to change their entity classification for tax purposes to that of a corporation. To effect this change, FreshRealm, among other things, amended its operating agreement to eliminate the appropriate language related to the flow-through tax consequences of its prior tax status (Seventh Amended and Restated LLC Agreement) and checked the appropriate box on Form 8832 which it then filed with the Internal Revenue Service (IRS). As a result, losses incurred by FreshRealm from November 1, 2018 to December 15, 2018 were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recorded in accordance with FASB Accounting Standards Codification (“ASC”) 810, ASC 323, and ASC 970, which mandate that the recognition of losses for an unconsolidated subsidiary be handled in a manner consistent with cash distributions upon liquidation of the entity when such distributions are different than the investors percentage ownership. As such, we recorded 100% of FreshRealm’s losses from November 1, 2018 through December 15, 2018 totaling $4.2 million. Losses incurred by FreshRealm from December 16, 2018 to January 31, 2019 (after the change in tax status was effective) were recorded to reflect our proportionate share of FreshRealm losses which totaled $2.7 million. As a result, we realized total losses of $6.9 million in our first fiscal quarter of 2019. During our first fiscal quarter of 2020, we recorded losses of approximately $3.5 million, reflecting our proportionate share of FreshRealm losses. As a result of FreshRealm’s recent change in tax status (described above), future operating results for FreshRealm will be allocated to its owners based on ownership percentage.</w:t>
      </w:r>
    </w:p>
    <w:p>
      <w:pPr>
        <w:spacing w:after="0" w:line="185"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auto"/>
        </w:rPr>
        <w:t>As of January 31, 2020, and October 31, 2019, we have note receivables from FreshRealm totaling $36.1 million and $35.2 million. See Note 4 for further information.</w:t>
      </w:r>
    </w:p>
    <w:p>
      <w:pPr>
        <w:spacing w:after="0" w:line="170" w:lineRule="exact"/>
        <w:rPr>
          <w:sz w:val="20"/>
          <w:szCs w:val="20"/>
          <w:color w:val="auto"/>
        </w:rPr>
      </w:pPr>
    </w:p>
    <w:p>
      <w:pPr>
        <w:ind w:left="40" w:right="59" w:firstLine="324"/>
        <w:spacing w:after="0" w:line="279" w:lineRule="auto"/>
        <w:rPr>
          <w:sz w:val="20"/>
          <w:szCs w:val="20"/>
          <w:color w:val="auto"/>
        </w:rPr>
      </w:pPr>
      <w:r>
        <w:rPr>
          <w:rFonts w:ascii="Arial" w:cs="Arial" w:eastAsia="Arial" w:hAnsi="Arial"/>
          <w:sz w:val="17"/>
          <w:szCs w:val="17"/>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w:t>
      </w:r>
    </w:p>
    <w:p>
      <w:pPr>
        <w:spacing w:after="0" w:line="171"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Except for the performance guarantee noted above (for which we are unable to quantify our current exposure, if any), our exposure to the obligations of FreshRealm is generally limited to our interests in it. We believe our maximum exposure to loss in FreshRealm is the carrying value of our investment and our notes to it, which totaled $2.3 million and $36.1 million, as of January 31, 2020. Note that as referenced earlier, Calavo loaned on a short-term basis an additional $1.0 million to FreshRealm in early February 2020. Our maximum exposure to loss could increase in the future if FreshRealm receives additional financing (i.e. equity or debt) from Calavo. We are under no obligation to provide FreshRealm additional financing.</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25"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color w:val="auto"/>
        </w:rPr>
        <w:t>As described in footnote 4, we own approximately 38% of FreshRealm as of January 31, 2020 and October 31, 2019. In accordance with Rule 10-01(b)(1) of Regulation S-X, which applies for interim reports on Form 10-Q, we must determine if our unconsolidated subsidiaries are considered, “significant subsidiaries”. In evaluating our investments, there are two tests utilized to determine if our subsidiaries are considered significant subsidiaries: the income test and the investment test. Rule 10-01(b)(1) of Regulation S-X requires summarized income statement information of an unconsolidated subsidiary in an interim report if either of the two tests exceed 20%. Pursuant to Rule 10-01(b)(1) of Regulation S-X, this requires summarized income statement information of FreshRealm in our first fiscal quarter Form 10-Q.</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following table shows summarized financial information for FreshRealm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Income Statement: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2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Gross loss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(1,253)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(3,738)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20" w:type="dxa"/>
            <w:vAlign w:val="bottom"/>
            <w:vMerge w:val="restart"/>
          </w:tcPr>
          <w:p>
            <w:pPr>
              <w:jc w:val="right"/>
              <w:ind w:right="127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Revenue recognition</w:t>
      </w:r>
    </w:p>
    <w:p>
      <w:pPr>
        <w:spacing w:after="0" w:line="229" w:lineRule="exact"/>
        <w:rPr>
          <w:sz w:val="20"/>
          <w:szCs w:val="20"/>
          <w:color w:val="auto"/>
        </w:rPr>
      </w:pPr>
    </w:p>
    <w:p>
      <w:pPr>
        <w:ind w:left="40" w:right="139" w:firstLine="259"/>
        <w:spacing w:after="0" w:line="291" w:lineRule="auto"/>
        <w:rPr>
          <w:sz w:val="20"/>
          <w:szCs w:val="20"/>
          <w:color w:val="auto"/>
        </w:rPr>
      </w:pPr>
      <w:r>
        <w:rPr>
          <w:rFonts w:ascii="Arial" w:cs="Arial" w:eastAsia="Arial" w:hAnsi="Arial"/>
          <w:sz w:val="16"/>
          <w:szCs w:val="16"/>
          <w:color w:val="auto"/>
        </w:rPr>
        <w:t>Effective at the beginning of our fiscal 2019, the Company adopted Accounting Standards Update (ASU) No. 2014-09, "Revenue from Contracts with Customers," and all the related amendments (Accounting Standards Codification (ASC)</w:t>
      </w:r>
    </w:p>
    <w:p>
      <w:pPr>
        <w:ind w:left="40" w:right="459" w:firstLine="4"/>
        <w:spacing w:after="0" w:line="277" w:lineRule="auto"/>
        <w:tabs>
          <w:tab w:leader="none" w:pos="415" w:val="left"/>
        </w:tabs>
        <w:numPr>
          <w:ilvl w:val="0"/>
          <w:numId w:val="6"/>
        </w:numPr>
        <w:rPr>
          <w:rFonts w:ascii="Arial" w:cs="Arial" w:eastAsia="Arial" w:hAnsi="Arial"/>
          <w:sz w:val="17"/>
          <w:szCs w:val="17"/>
          <w:color w:val="auto"/>
        </w:rPr>
      </w:pPr>
      <w:r>
        <w:rPr>
          <w:rFonts w:ascii="Arial" w:cs="Arial" w:eastAsia="Arial" w:hAnsi="Arial"/>
          <w:sz w:val="17"/>
          <w:szCs w:val="17"/>
          <w:color w:val="auto"/>
        </w:rPr>
        <w:t>using the modified retrospective method of adoption. ASC 606 consists of a comprehensive revenue recognition standard, which requires the recognition of revenue when control of promised goods are transferred to customers in an amount that reflects the consideration to which the entity expects to be entitled.</w:t>
      </w:r>
    </w:p>
    <w:p>
      <w:pPr>
        <w:spacing w:after="0" w:line="173" w:lineRule="exact"/>
        <w:rPr>
          <w:sz w:val="20"/>
          <w:szCs w:val="20"/>
          <w:color w:val="auto"/>
        </w:rPr>
      </w:pPr>
    </w:p>
    <w:p>
      <w:pPr>
        <w:ind w:left="40" w:right="59" w:firstLine="259"/>
        <w:spacing w:after="0" w:line="269" w:lineRule="auto"/>
        <w:rPr>
          <w:sz w:val="20"/>
          <w:szCs w:val="20"/>
          <w:color w:val="auto"/>
        </w:rPr>
      </w:pPr>
      <w:r>
        <w:rPr>
          <w:rFonts w:ascii="Arial" w:cs="Arial" w:eastAsia="Arial" w:hAnsi="Arial"/>
          <w:sz w:val="17"/>
          <w:szCs w:val="17"/>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Sales Incentives and Other Promotional Programs</w:t>
      </w:r>
    </w:p>
    <w:p>
      <w:pPr>
        <w:spacing w:after="0" w:line="239"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condensed consolidated balance sheets as part of accrued expenses.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Principal vs. Agent Considerations</w:t>
      </w:r>
    </w:p>
    <w:p>
      <w:pPr>
        <w:spacing w:after="0" w:line="239" w:lineRule="exact"/>
        <w:rPr>
          <w:sz w:val="20"/>
          <w:szCs w:val="20"/>
          <w:color w:val="auto"/>
        </w:rPr>
      </w:pPr>
    </w:p>
    <w:p>
      <w:pPr>
        <w:ind w:left="40" w:right="159" w:firstLine="259"/>
        <w:spacing w:after="0" w:line="291" w:lineRule="auto"/>
        <w:rPr>
          <w:sz w:val="20"/>
          <w:szCs w:val="20"/>
          <w:color w:val="auto"/>
        </w:rPr>
      </w:pPr>
      <w:r>
        <w:rPr>
          <w:rFonts w:ascii="Arial" w:cs="Arial" w:eastAsia="Arial" w:hAnsi="Arial"/>
          <w:sz w:val="16"/>
          <w:szCs w:val="16"/>
          <w:color w:val="auto"/>
        </w:rPr>
        <w:t>We frequently enter into consignment arrangements with avocado and tomato growers and packers located outside of the U.S. and growers of certain perishable products in the U.S. We evaluated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adoption of ASC 606 did not have an impact on our consolidated results of operations.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ind w:left="40" w:right="119" w:firstLine="225"/>
        <w:spacing w:after="0" w:line="301" w:lineRule="auto"/>
        <w:rPr>
          <w:sz w:val="20"/>
          <w:szCs w:val="20"/>
          <w:color w:val="auto"/>
        </w:rPr>
      </w:pPr>
      <w:r>
        <w:rPr>
          <w:rFonts w:ascii="Arial" w:cs="Arial" w:eastAsia="Arial" w:hAnsi="Arial"/>
          <w:sz w:val="16"/>
          <w:szCs w:val="16"/>
          <w:color w:val="auto"/>
        </w:rPr>
        <w:t>The impact of applying ASC 842 effective as of November 1, 2019, to the Company’s condensed consolidated statements of operations and cash flows was not significant. The major impacts to the balance sheet were 1) the addition of $65.7 million in operating lease assets and $69.6 million of operating lease liabilities, 2) the removal of approximately $3.7 million and $1.2 million of deferred rent and other long-term obligations, respectively, and 3) a cumulative-effect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spacing w:after="0" w:line="342" w:lineRule="auto"/>
        <w:rPr>
          <w:sz w:val="20"/>
          <w:szCs w:val="20"/>
          <w:color w:val="auto"/>
        </w:rPr>
      </w:pPr>
      <w:r>
        <w:rPr>
          <w:rFonts w:ascii="Arial" w:cs="Arial" w:eastAsia="Arial" w:hAnsi="Arial"/>
          <w:sz w:val="16"/>
          <w:szCs w:val="16"/>
          <w:color w:val="auto"/>
        </w:rPr>
        <w:t>adjustment for the adoption of ASC 842 of $1.2 million was recorded to retained earnings, which relates to the gain previously recognized in accordance with ASC 840 on its sale and operating leaseback of the Temecula facility.</w:t>
      </w:r>
    </w:p>
    <w:p>
      <w:pPr>
        <w:spacing w:after="0" w:line="124" w:lineRule="exact"/>
        <w:rPr>
          <w:sz w:val="20"/>
          <w:szCs w:val="20"/>
          <w:color w:val="auto"/>
        </w:rPr>
      </w:pPr>
    </w:p>
    <w:p>
      <w:pPr>
        <w:ind w:left="40" w:right="279" w:firstLine="225"/>
        <w:spacing w:after="0" w:line="259" w:lineRule="auto"/>
        <w:rPr>
          <w:sz w:val="20"/>
          <w:szCs w:val="20"/>
          <w:color w:val="auto"/>
        </w:rPr>
      </w:pPr>
      <w:r>
        <w:rPr>
          <w:rFonts w:ascii="Arial" w:cs="Arial" w:eastAsia="Arial" w:hAnsi="Arial"/>
          <w:sz w:val="18"/>
          <w:szCs w:val="18"/>
          <w:color w:val="auto"/>
        </w:rPr>
        <w:t>ASC 842 made changes to sale-leaseback accounting to result in the recognition of the gain on the transaction at the time of the sale instead of recognizing over the leaseback period, when the transaction is deemed to be a sale instead of a financing arrangement. ASC 842 further changes the assessment of sale accounting from a transfer of risk and rewards assessment to a transfer of control assessment.</w:t>
      </w:r>
    </w:p>
    <w:p>
      <w:pPr>
        <w:spacing w:after="0" w:line="187" w:lineRule="exact"/>
        <w:rPr>
          <w:sz w:val="20"/>
          <w:szCs w:val="20"/>
          <w:color w:val="auto"/>
        </w:rPr>
      </w:pPr>
    </w:p>
    <w:p>
      <w:pPr>
        <w:jc w:val="both"/>
        <w:ind w:left="40" w:right="59" w:firstLine="252"/>
        <w:spacing w:after="0" w:line="263" w:lineRule="auto"/>
        <w:rPr>
          <w:sz w:val="20"/>
          <w:szCs w:val="20"/>
          <w:color w:val="auto"/>
        </w:rPr>
      </w:pPr>
      <w:r>
        <w:rPr>
          <w:rFonts w:ascii="Arial" w:cs="Arial" w:eastAsia="Arial" w:hAnsi="Arial"/>
          <w:sz w:val="18"/>
          <w:szCs w:val="18"/>
          <w:color w:val="auto"/>
        </w:rPr>
        <w:t>We utilized the modified retrospective adoption method. Therefore, the Consolidated Financial Statements for 2020 are presented under the new standard, while the comparative periods presented are not adjusted and continue to be reported in accordance with the Company's historical accounting policy.</w:t>
      </w:r>
    </w:p>
    <w:p>
      <w:pPr>
        <w:spacing w:after="0" w:line="184" w:lineRule="exact"/>
        <w:rPr>
          <w:sz w:val="20"/>
          <w:szCs w:val="20"/>
          <w:color w:val="auto"/>
        </w:rPr>
      </w:pPr>
    </w:p>
    <w:p>
      <w:pPr>
        <w:jc w:val="both"/>
        <w:ind w:left="40" w:right="59" w:firstLine="220"/>
        <w:spacing w:after="0" w:line="293" w:lineRule="auto"/>
        <w:rPr>
          <w:sz w:val="20"/>
          <w:szCs w:val="20"/>
          <w:color w:val="auto"/>
        </w:rPr>
      </w:pPr>
      <w:r>
        <w:rPr>
          <w:rFonts w:ascii="Arial" w:cs="Arial" w:eastAsia="Arial" w:hAnsi="Arial"/>
          <w:sz w:val="16"/>
          <w:szCs w:val="16"/>
          <w:color w:val="auto"/>
        </w:rPr>
        <w:t>The standard provides a number of optional practical expedients and policy elections in transition. We have elected to apply the package of practical expedients under which we will not reassess under the standard our prior conclusions about lease classification and initial direct costs. We have elected the short-term lease recognition exemption for all leases that qualify, meaning we will recognize expense on a straight-line basis and will not include the recognition of a right-of-use asset or lease liability. We will account for lease and non-lease components as a single-lease component for all leases except building leases. Lease and non-lease components will be accounted for separately for building leases.</w:t>
      </w:r>
    </w:p>
    <w:p>
      <w:pPr>
        <w:spacing w:after="0" w:line="164" w:lineRule="exact"/>
        <w:rPr>
          <w:sz w:val="20"/>
          <w:szCs w:val="20"/>
          <w:color w:val="auto"/>
        </w:rPr>
      </w:pPr>
    </w:p>
    <w:p>
      <w:pPr>
        <w:ind w:left="40" w:right="199" w:firstLine="225"/>
        <w:spacing w:after="0" w:line="255" w:lineRule="auto"/>
        <w:rPr>
          <w:sz w:val="20"/>
          <w:szCs w:val="20"/>
          <w:color w:val="auto"/>
        </w:rPr>
      </w:pPr>
      <w:r>
        <w:rPr>
          <w:rFonts w:ascii="Arial" w:cs="Arial" w:eastAsia="Arial" w:hAnsi="Arial"/>
          <w:sz w:val="18"/>
          <w:szCs w:val="18"/>
          <w:color w:val="auto"/>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 As an accounting policy election, the Company will account for lease and non-lease components as a single-lease component for all leases except building leases. Lease and non-lease components will be accounted for separately for building leases.</w:t>
      </w:r>
    </w:p>
    <w:p>
      <w:pPr>
        <w:spacing w:after="0" w:line="192" w:lineRule="exact"/>
        <w:rPr>
          <w:sz w:val="20"/>
          <w:szCs w:val="20"/>
          <w:color w:val="auto"/>
        </w:rPr>
      </w:pPr>
    </w:p>
    <w:p>
      <w:pPr>
        <w:ind w:left="40" w:right="259" w:firstLine="225"/>
        <w:spacing w:after="0" w:line="293" w:lineRule="auto"/>
        <w:rPr>
          <w:sz w:val="20"/>
          <w:szCs w:val="20"/>
          <w:color w:val="auto"/>
        </w:rPr>
      </w:pPr>
      <w:r>
        <w:rPr>
          <w:rFonts w:ascii="Arial" w:cs="Arial" w:eastAsia="Arial" w:hAnsi="Arial"/>
          <w:sz w:val="16"/>
          <w:szCs w:val="16"/>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estimated present value of lease payments over the lease term. 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64" w:lineRule="exact"/>
        <w:rPr>
          <w:sz w:val="20"/>
          <w:szCs w:val="20"/>
          <w:color w:val="auto"/>
        </w:rPr>
      </w:pPr>
    </w:p>
    <w:p>
      <w:pPr>
        <w:ind w:left="40" w:right="59" w:firstLine="180"/>
        <w:spacing w:after="0" w:line="259" w:lineRule="auto"/>
        <w:rPr>
          <w:sz w:val="20"/>
          <w:szCs w:val="20"/>
          <w:color w:val="auto"/>
        </w:rPr>
      </w:pPr>
      <w:r>
        <w:rPr>
          <w:rFonts w:ascii="Arial" w:cs="Arial" w:eastAsia="Arial" w:hAnsi="Arial"/>
          <w:sz w:val="18"/>
          <w:szCs w:val="18"/>
          <w:color w:val="auto"/>
        </w:rPr>
        <w:t>We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Position</w:t>
      </w:r>
    </w:p>
    <w:p>
      <w:pPr>
        <w:spacing w:after="0" w:line="225" w:lineRule="exact"/>
        <w:rPr>
          <w:sz w:val="20"/>
          <w:szCs w:val="20"/>
          <w:color w:val="auto"/>
        </w:rPr>
      </w:pPr>
    </w:p>
    <w:p>
      <w:pPr>
        <w:ind w:left="40" w:right="519" w:firstLine="259"/>
        <w:spacing w:after="0" w:line="277" w:lineRule="auto"/>
        <w:rPr>
          <w:sz w:val="20"/>
          <w:szCs w:val="20"/>
          <w:color w:val="auto"/>
        </w:rPr>
      </w:pPr>
      <w:r>
        <w:rPr>
          <w:rFonts w:ascii="Arial" w:cs="Arial" w:eastAsia="Arial" w:hAnsi="Arial"/>
          <w:sz w:val="18"/>
          <w:szCs w:val="18"/>
          <w:color w:val="auto"/>
        </w:rPr>
        <w:t>The following table presents the lease-related assets and liabilities recorded on the balance sheet as of January 31,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4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lease right-of-use assets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16"/>
        </w:trPr>
        <w:tc>
          <w:tcPr>
            <w:tcW w:w="2740" w:type="dxa"/>
            <w:vAlign w:val="bottom"/>
            <w:gridSpan w:val="2"/>
          </w:tcPr>
          <w:p>
            <w:pPr>
              <w:ind w:left="120"/>
              <w:spacing w:after="0"/>
              <w:rPr>
                <w:sz w:val="20"/>
                <w:szCs w:val="20"/>
                <w:color w:val="auto"/>
              </w:rPr>
            </w:pPr>
            <w:r>
              <w:rPr>
                <w:rFonts w:ascii="Arial" w:cs="Arial" w:eastAsia="Arial" w:hAnsi="Arial"/>
                <w:sz w:val="18"/>
                <w:szCs w:val="18"/>
                <w:color w:val="auto"/>
              </w:rPr>
              <w:t>Finance lease assets</w:t>
            </w:r>
          </w:p>
        </w:tc>
        <w:tc>
          <w:tcPr>
            <w:tcW w:w="4180" w:type="dxa"/>
            <w:vAlign w:val="bottom"/>
          </w:tcPr>
          <w:p>
            <w:pPr>
              <w:ind w:left="40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gridSpan w:val="2"/>
            <w:vMerge w:val="continue"/>
          </w:tcPr>
          <w:p>
            <w:pPr>
              <w:spacing w:after="0"/>
              <w:rPr>
                <w:sz w:val="17"/>
                <w:szCs w:val="17"/>
                <w:color w:val="auto"/>
              </w:rPr>
            </w:pPr>
          </w:p>
        </w:tc>
        <w:tc>
          <w:tcPr>
            <w:tcW w:w="4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4180" w:type="dxa"/>
            <w:vAlign w:val="bottom"/>
          </w:tcPr>
          <w:p>
            <w:pPr>
              <w:ind w:left="400"/>
              <w:spacing w:after="0"/>
              <w:rPr>
                <w:sz w:val="20"/>
                <w:szCs w:val="20"/>
                <w:color w:val="auto"/>
              </w:rPr>
            </w:pPr>
            <w:r>
              <w:rPr>
                <w:rFonts w:ascii="Arial" w:cs="Arial" w:eastAsia="Arial" w:hAnsi="Arial"/>
                <w:sz w:val="18"/>
                <w:szCs w:val="18"/>
                <w:color w:val="auto"/>
              </w:rPr>
              <w:t>Current portion of operating leases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1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0"/>
              </w:rPr>
              <w:t>Current portion of long-term debt and finance leases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Long-term obligations</w:t>
            </w:r>
          </w:p>
        </w:tc>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41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Long-term operating leases, less current portion</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62,253</w:t>
            </w:r>
          </w:p>
        </w:tc>
        <w:tc>
          <w:tcPr>
            <w:tcW w:w="0" w:type="dxa"/>
            <w:vAlign w:val="bottom"/>
          </w:tcPr>
          <w:p>
            <w:pPr>
              <w:spacing w:after="0"/>
              <w:rPr>
                <w:sz w:val="1"/>
                <w:szCs w:val="1"/>
                <w:color w:val="auto"/>
              </w:rPr>
            </w:pPr>
          </w:p>
        </w:tc>
      </w:tr>
      <w:tr>
        <w:trPr>
          <w:trHeight w:val="216"/>
        </w:trPr>
        <w:tc>
          <w:tcPr>
            <w:tcW w:w="2740" w:type="dxa"/>
            <w:vAlign w:val="bottom"/>
            <w:gridSpan w:val="2"/>
          </w:tcPr>
          <w:p>
            <w:pPr>
              <w:ind w:left="120"/>
              <w:spacing w:after="0"/>
              <w:rPr>
                <w:sz w:val="20"/>
                <w:szCs w:val="20"/>
                <w:color w:val="auto"/>
              </w:rPr>
            </w:pPr>
            <w:r>
              <w:rPr>
                <w:rFonts w:ascii="Arial" w:cs="Arial" w:eastAsia="Arial" w:hAnsi="Arial"/>
                <w:sz w:val="18"/>
                <w:szCs w:val="18"/>
                <w:color w:val="auto"/>
              </w:rPr>
              <w:t>Finance</w:t>
            </w:r>
          </w:p>
        </w:tc>
        <w:tc>
          <w:tcPr>
            <w:tcW w:w="5220" w:type="dxa"/>
            <w:vAlign w:val="bottom"/>
            <w:gridSpan w:val="4"/>
          </w:tcPr>
          <w:p>
            <w:pPr>
              <w:ind w:left="400"/>
              <w:spacing w:after="0"/>
              <w:rPr>
                <w:sz w:val="20"/>
                <w:szCs w:val="20"/>
                <w:color w:val="auto"/>
              </w:rPr>
            </w:pPr>
            <w:r>
              <w:rPr>
                <w:rFonts w:ascii="Arial" w:cs="Arial" w:eastAsia="Arial" w:hAnsi="Arial"/>
                <w:sz w:val="18"/>
                <w:szCs w:val="18"/>
                <w:color w:val="auto"/>
              </w:rPr>
              <w:t>Long-term debt and finance leases, less current portion</w:t>
            </w:r>
          </w:p>
        </w:tc>
        <w:tc>
          <w:tcPr>
            <w:tcW w:w="960" w:type="dxa"/>
            <w:vAlign w:val="bottom"/>
          </w:tcPr>
          <w:p>
            <w:pPr>
              <w:jc w:val="right"/>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74,286</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4"/>
                <w:szCs w:val="24"/>
                <w:color w:val="auto"/>
              </w:rPr>
            </w:pPr>
          </w:p>
        </w:tc>
        <w:tc>
          <w:tcPr>
            <w:tcW w:w="58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4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10.7 years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4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9.6 years</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8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4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2.85 %</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4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3.60 %</w:t>
            </w: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Costs</w:t>
      </w:r>
    </w:p>
    <w:p>
      <w:pPr>
        <w:spacing w:after="0" w:line="225" w:lineRule="exact"/>
        <w:rPr>
          <w:sz w:val="20"/>
          <w:szCs w:val="20"/>
          <w:color w:val="auto"/>
        </w:rPr>
      </w:pPr>
    </w:p>
    <w:p>
      <w:pPr>
        <w:ind w:left="40" w:right="179" w:firstLine="259"/>
        <w:spacing w:after="0" w:line="277" w:lineRule="auto"/>
        <w:rPr>
          <w:sz w:val="20"/>
          <w:szCs w:val="20"/>
          <w:color w:val="auto"/>
        </w:rPr>
      </w:pPr>
      <w:r>
        <w:rPr>
          <w:rFonts w:ascii="Arial" w:cs="Arial" w:eastAsia="Arial" w:hAnsi="Arial"/>
          <w:sz w:val="18"/>
          <w:szCs w:val="18"/>
          <w:color w:val="auto"/>
        </w:rPr>
        <w:t>The following table presents certain information related to the lease costs for finance and operating leases for the three months ended January 31, 2020 (in thousands):</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5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4"/>
              </w:rPr>
              <w:t>January 31, 2020</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financing lease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2,062</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on financing lease liabilities</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supplemental cash flow information related to the leases for the three months ended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31, 2020 (in thousands):</w:t>
      </w: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55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Cash paid for amounts included in the measurement of lease liabilities</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January 31, 2020</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for operating leases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Financing cash flows for finance leases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for finance leases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Undiscounted Cash Flows</w:t>
      </w:r>
    </w:p>
    <w:p>
      <w:pPr>
        <w:spacing w:after="0" w:line="225" w:lineRule="exact"/>
        <w:rPr>
          <w:sz w:val="20"/>
          <w:szCs w:val="20"/>
          <w:color w:val="auto"/>
        </w:rPr>
      </w:pPr>
    </w:p>
    <w:p>
      <w:pPr>
        <w:jc w:val="both"/>
        <w:ind w:left="40" w:right="59" w:firstLine="259"/>
        <w:spacing w:after="0" w:line="263" w:lineRule="auto"/>
        <w:rPr>
          <w:sz w:val="20"/>
          <w:szCs w:val="20"/>
          <w:color w:val="auto"/>
        </w:rPr>
      </w:pPr>
      <w:r>
        <w:rPr>
          <w:rFonts w:ascii="Arial" w:cs="Arial" w:eastAsia="Arial" w:hAnsi="Arial"/>
          <w:sz w:val="18"/>
          <w:szCs w:val="18"/>
          <w:color w:val="auto"/>
        </w:rPr>
        <w:t>The following table reconciles the undiscounted cash flows for each of the first five years and total remaining years to the finance lease liabilities and operating lease liabilities recorded on the balance sheet as of January 31, 2020 (in thousands):</w:t>
      </w:r>
    </w:p>
    <w:p>
      <w:pPr>
        <w:spacing w:after="0" w:line="176"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4"/>
                <w:szCs w:val="14"/>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Finance</w:t>
            </w:r>
          </w:p>
        </w:tc>
      </w:tr>
      <w:tr>
        <w:trPr>
          <w:trHeight w:val="17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Leases</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943</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43,359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w:t>
            </w: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payments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79,675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11,541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r>
      <w:tr>
        <w:trPr>
          <w:trHeight w:val="20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68,134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w:t>
            </w: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59" w:firstLine="259"/>
        <w:spacing w:after="0" w:line="277" w:lineRule="auto"/>
        <w:rPr>
          <w:sz w:val="20"/>
          <w:szCs w:val="20"/>
          <w:color w:val="auto"/>
        </w:rPr>
      </w:pPr>
      <w:r>
        <w:rPr>
          <w:rFonts w:ascii="Arial" w:cs="Arial" w:eastAsia="Arial" w:hAnsi="Arial"/>
          <w:sz w:val="18"/>
          <w:szCs w:val="18"/>
          <w:color w:val="auto"/>
        </w:rPr>
        <w:t>Prior to the adoption of ASC 842, as of October 31, 2019, we were committed to make minimum cash payments under these agreements,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4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2021</w:t>
            </w: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9,007</w:t>
            </w:r>
          </w:p>
        </w:tc>
        <w:tc>
          <w:tcPr>
            <w:tcW w:w="14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4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2023</w:t>
            </w: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8,603</w:t>
            </w:r>
          </w:p>
        </w:tc>
        <w:tc>
          <w:tcPr>
            <w:tcW w:w="14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4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50,796</w:t>
            </w:r>
          </w:p>
        </w:tc>
        <w:tc>
          <w:tcPr>
            <w:tcW w:w="140" w:type="dxa"/>
            <w:vAlign w:val="bottom"/>
            <w:tcBorders>
              <w:bottom w:val="single" w:sz="8" w:color="CCEEFF"/>
            </w:tcBorders>
          </w:tcPr>
          <w:p>
            <w:pPr>
              <w:spacing w:after="0"/>
              <w:rPr>
                <w:sz w:val="18"/>
                <w:szCs w:val="18"/>
                <w:color w:val="auto"/>
              </w:rPr>
            </w:pPr>
          </w:p>
        </w:tc>
      </w:tr>
      <w:tr>
        <w:trPr>
          <w:trHeight w:val="210"/>
        </w:trPr>
        <w:tc>
          <w:tcPr>
            <w:tcW w:w="438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rent expense amounted to approximately $10.7 million for the year ended October 31, 2019.</w:t>
      </w:r>
    </w:p>
    <w:p>
      <w:pPr>
        <w:spacing w:after="0" w:line="225" w:lineRule="exact"/>
        <w:rPr>
          <w:sz w:val="20"/>
          <w:szCs w:val="20"/>
          <w:color w:val="auto"/>
        </w:rPr>
      </w:pPr>
    </w:p>
    <w:p>
      <w:pPr>
        <w:ind w:left="40" w:right="839" w:firstLine="259"/>
        <w:spacing w:after="0" w:line="277" w:lineRule="auto"/>
        <w:rPr>
          <w:sz w:val="20"/>
          <w:szCs w:val="20"/>
          <w:color w:val="auto"/>
        </w:rPr>
      </w:pPr>
      <w:r>
        <w:rPr>
          <w:rFonts w:ascii="Arial" w:cs="Arial" w:eastAsia="Arial" w:hAnsi="Arial"/>
          <w:sz w:val="18"/>
          <w:szCs w:val="18"/>
          <w:color w:val="auto"/>
        </w:rPr>
        <w:t>Prior to the adoption of ASC 842, as of October 31, 2019, capital lease payments are scheduled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October 31:</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40" w:type="dxa"/>
            <w:vAlign w:val="bottom"/>
            <w:shd w:val="clear" w:color="auto" w:fill="CCEEFF"/>
          </w:tcPr>
          <w:p>
            <w:pPr>
              <w:spacing w:after="0"/>
              <w:rPr>
                <w:sz w:val="18"/>
                <w:szCs w:val="18"/>
                <w:color w:val="auto"/>
              </w:rPr>
            </w:pPr>
          </w:p>
        </w:tc>
      </w:tr>
      <w:tr>
        <w:trPr>
          <w:trHeight w:val="210"/>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Minimum lease payments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40" w:type="dxa"/>
            <w:vAlign w:val="bottom"/>
            <w:tcBorders>
              <w:bottom w:val="single" w:sz="8" w:color="CCEEFF"/>
            </w:tcBorders>
          </w:tcPr>
          <w:p>
            <w:pPr>
              <w:spacing w:after="0"/>
              <w:rPr>
                <w:sz w:val="18"/>
                <w:szCs w:val="18"/>
                <w:color w:val="auto"/>
              </w:rPr>
            </w:pP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14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99" w:firstLine="259"/>
        <w:spacing w:after="0" w:line="277" w:lineRule="auto"/>
        <w:rPr>
          <w:sz w:val="20"/>
          <w:szCs w:val="20"/>
          <w:color w:val="auto"/>
        </w:rPr>
      </w:pPr>
      <w:r>
        <w:rPr>
          <w:rFonts w:ascii="Arial" w:cs="Arial" w:eastAsia="Arial" w:hAnsi="Arial"/>
          <w:sz w:val="18"/>
          <w:szCs w:val="18"/>
          <w:color w:val="auto"/>
        </w:rPr>
        <w:t>Capital leases payments as of October 31, 2019 consist of $5.4 million included in long-term obligations and finance leases and $0.8 million included in current portion of long-term obligations and finance leases.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7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left="40" w:right="139" w:firstLine="259"/>
        <w:spacing w:after="0" w:line="301" w:lineRule="auto"/>
        <w:rPr>
          <w:sz w:val="20"/>
          <w:szCs w:val="20"/>
          <w:color w:val="auto"/>
        </w:rPr>
      </w:pPr>
      <w:r>
        <w:rPr>
          <w:rFonts w:ascii="Arial" w:cs="Arial" w:eastAsia="Arial" w:hAnsi="Arial"/>
          <w:sz w:val="16"/>
          <w:szCs w:val="16"/>
          <w:color w:val="auto"/>
        </w:rPr>
        <w:t>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2019 of Calavo Growers, Inc. (we, Calavo, or the Company).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left="40" w:right="199" w:firstLine="259"/>
        <w:spacing w:after="0" w:line="277" w:lineRule="auto"/>
        <w:rPr>
          <w:sz w:val="20"/>
          <w:szCs w:val="20"/>
          <w:color w:val="auto"/>
        </w:rPr>
      </w:pPr>
      <w:r>
        <w:rPr>
          <w:rFonts w:ascii="Arial" w:cs="Arial" w:eastAsia="Arial" w:hAnsi="Arial"/>
          <w:sz w:val="18"/>
          <w:szCs w:val="18"/>
          <w:color w:val="auto"/>
        </w:rPr>
        <w:t>On December 6, 2019, we paid a $1.10 per share dividend in the aggregate amount of $19.4 million to shareholders of record on November 15, 2019.</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40" w:right="179" w:firstLine="259"/>
        <w:spacing w:after="0" w:line="277" w:lineRule="auto"/>
        <w:rPr>
          <w:sz w:val="20"/>
          <w:szCs w:val="20"/>
          <w:color w:val="auto"/>
        </w:rPr>
      </w:pPr>
      <w:r>
        <w:rPr>
          <w:rFonts w:ascii="Arial" w:cs="Arial" w:eastAsia="Arial" w:hAnsi="Arial"/>
          <w:sz w:val="18"/>
          <w:szCs w:val="18"/>
          <w:color w:val="auto"/>
        </w:rPr>
        <w:t>From time to time, we are also involved in other litigation arising in the ordinary course of our business that we do not believe will have a material adverse impact on our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Mexico tax audits</w:t>
      </w:r>
    </w:p>
    <w:p>
      <w:pPr>
        <w:spacing w:after="0" w:line="225"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2" w:lineRule="exact"/>
        <w:rPr>
          <w:sz w:val="20"/>
          <w:szCs w:val="20"/>
          <w:color w:val="auto"/>
        </w:rPr>
      </w:pPr>
    </w:p>
    <w:p>
      <w:pPr>
        <w:ind w:left="40" w:right="159" w:firstLine="259"/>
        <w:spacing w:after="0" w:line="268"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$2.2 billion Mexican pesos (approx. $116.4 million USD at January 31, 2020)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11 regarding IVA refunds) indicating that they believe that our legal interpretation is accurate on a matter that is also central to the 2011 Assessment. We believe this recent ruling undermines the Assessment we received in April 2019. We believe we have the legal arguments and documentation to sustain the positions challenged by the MFM.</w:t>
      </w:r>
    </w:p>
    <w:p>
      <w:pPr>
        <w:spacing w:after="0" w:line="186" w:lineRule="exact"/>
        <w:rPr>
          <w:sz w:val="20"/>
          <w:szCs w:val="20"/>
          <w:color w:val="auto"/>
        </w:rPr>
      </w:pPr>
    </w:p>
    <w:p>
      <w:pPr>
        <w:ind w:left="40" w:right="179" w:firstLine="259"/>
        <w:spacing w:after="0" w:line="296" w:lineRule="auto"/>
        <w:rPr>
          <w:sz w:val="20"/>
          <w:szCs w:val="20"/>
          <w:color w:val="auto"/>
        </w:rPr>
      </w:pPr>
      <w:r>
        <w:rPr>
          <w:rFonts w:ascii="Arial" w:cs="Arial" w:eastAsia="Arial" w:hAnsi="Arial"/>
          <w:sz w:val="16"/>
          <w:szCs w:val="16"/>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through working meetings attended by representatives of the SAT, CDM and the PRODECON. However, we were unable to materially resolve our case with the SAT through the PRODECON process.</w:t>
      </w:r>
    </w:p>
    <w:p>
      <w:pPr>
        <w:spacing w:after="0" w:line="170"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$137.5 million USD at January 31, 2020) related to Income Tax, Flat Rate Business Tax, and Value Added Tax, related to this fiscal 2013 tax audit. Additionally, the tax authorities have determined that we owe an employees profit-sharing liability, totaling approximately $118 million Mexican pesos (approx. $6.2 million USD at January 31, 2020).</w:t>
      </w:r>
    </w:p>
    <w:p>
      <w:pPr>
        <w:spacing w:after="0" w:line="188" w:lineRule="exact"/>
        <w:rPr>
          <w:sz w:val="20"/>
          <w:szCs w:val="20"/>
          <w:color w:val="auto"/>
        </w:rPr>
      </w:pPr>
    </w:p>
    <w:p>
      <w:pPr>
        <w:ind w:left="40" w:right="99" w:firstLine="259"/>
        <w:spacing w:after="0" w:line="271" w:lineRule="auto"/>
        <w:rPr>
          <w:sz w:val="20"/>
          <w:szCs w:val="20"/>
          <w:color w:val="auto"/>
        </w:rPr>
      </w:pPr>
      <w:r>
        <w:rPr>
          <w:rFonts w:ascii="Arial" w:cs="Arial" w:eastAsia="Arial" w:hAnsi="Arial"/>
          <w:sz w:val="17"/>
          <w:szCs w:val="17"/>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11 regarding IVA refunds) indicating that they believe that our legal interpretation is accurate on a matter that is also central to the 2013 Assessment. We believe this recent ruling significantly undermines the 2013 Assessment we received in July 2018. We believe we have the legal arguments and documentation to sustain the positions challenged by the SAT.</w:t>
      </w:r>
    </w:p>
    <w:p>
      <w:pPr>
        <w:spacing w:after="0" w:line="178" w:lineRule="exact"/>
        <w:rPr>
          <w:sz w:val="20"/>
          <w:szCs w:val="20"/>
          <w:color w:val="auto"/>
        </w:rPr>
      </w:pPr>
    </w:p>
    <w:p>
      <w:pPr>
        <w:ind w:left="40" w:right="819" w:firstLine="259"/>
        <w:spacing w:after="0" w:line="277" w:lineRule="auto"/>
        <w:rPr>
          <w:sz w:val="20"/>
          <w:szCs w:val="20"/>
          <w:color w:val="auto"/>
        </w:rPr>
      </w:pPr>
      <w:r>
        <w:rPr>
          <w:rFonts w:ascii="Arial" w:cs="Arial" w:eastAsia="Arial" w:hAnsi="Arial"/>
          <w:sz w:val="18"/>
          <w:szCs w:val="18"/>
          <w:color w:val="auto"/>
        </w:rPr>
        <w:t>We continue to believe that the ultimate resolution of these matters is unlikely to have a material effect on our consolidated financial position, results of operations and cash flows.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Acquisition of SFFI Company, Inc.</w:t>
      </w:r>
    </w:p>
    <w:p>
      <w:pPr>
        <w:spacing w:after="0" w:line="225" w:lineRule="exact"/>
        <w:rPr>
          <w:sz w:val="20"/>
          <w:szCs w:val="20"/>
          <w:color w:val="auto"/>
        </w:rPr>
      </w:pPr>
    </w:p>
    <w:p>
      <w:pPr>
        <w:ind w:left="40" w:right="79" w:firstLine="270"/>
        <w:spacing w:after="0" w:line="259" w:lineRule="auto"/>
        <w:rPr>
          <w:sz w:val="20"/>
          <w:szCs w:val="20"/>
          <w:color w:val="auto"/>
        </w:rPr>
      </w:pPr>
      <w:r>
        <w:rPr>
          <w:rFonts w:ascii="Arial" w:cs="Arial" w:eastAsia="Arial" w:hAnsi="Arial"/>
          <w:sz w:val="18"/>
          <w:szCs w:val="18"/>
          <w:color w:val="auto"/>
        </w:rPr>
        <w:t>On January 21, 2020, Calavo announced that that its Renaissance Food Group (RFG) subsidiary has signed a definitive agreement to acquire SFFI Company, Inc. doing business as Simply Fresh Fruit (SFFI). SFFI is a processor and supplier of a broad line of fresh-cut fruit, principally serving the foodservice and hospitality markets. The acquisition was completed on February 14,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Organizational changes</w:t>
      </w:r>
    </w:p>
    <w:p>
      <w:pPr>
        <w:spacing w:after="0" w:line="225" w:lineRule="exact"/>
        <w:rPr>
          <w:sz w:val="20"/>
          <w:szCs w:val="20"/>
          <w:color w:val="auto"/>
        </w:rPr>
      </w:pPr>
    </w:p>
    <w:p>
      <w:pPr>
        <w:jc w:val="both"/>
        <w:ind w:left="40" w:right="99" w:firstLine="180"/>
        <w:spacing w:after="0" w:line="287" w:lineRule="auto"/>
        <w:rPr>
          <w:sz w:val="20"/>
          <w:szCs w:val="20"/>
          <w:color w:val="auto"/>
        </w:rPr>
      </w:pPr>
      <w:r>
        <w:rPr>
          <w:rFonts w:ascii="Arial" w:cs="Arial" w:eastAsia="Arial" w:hAnsi="Arial"/>
          <w:sz w:val="16"/>
          <w:szCs w:val="16"/>
          <w:color w:val="212529"/>
        </w:rPr>
        <w:t>On February 26, 2020, B. John Lindeman resigned from his position as Chief Financial Officer and Corporate Secretary of Calavo, to accept a position with a private-equity backed hydroponics business. His departure, effective March 11, 2020, is not based on any disagreement with the company’s accounting principles, practices or financial statement disclosures.</w:t>
      </w:r>
    </w:p>
    <w:p>
      <w:pPr>
        <w:spacing w:after="0" w:line="2" w:lineRule="exact"/>
        <w:rPr>
          <w:sz w:val="20"/>
          <w:szCs w:val="20"/>
          <w:color w:val="auto"/>
        </w:rPr>
      </w:pPr>
    </w:p>
    <w:p>
      <w:pPr>
        <w:ind w:left="40" w:right="499"/>
        <w:spacing w:after="0" w:line="260" w:lineRule="auto"/>
        <w:rPr>
          <w:sz w:val="20"/>
          <w:szCs w:val="20"/>
          <w:color w:val="auto"/>
        </w:rPr>
      </w:pPr>
      <w:r>
        <w:rPr>
          <w:rFonts w:ascii="Arial" w:cs="Arial" w:eastAsia="Arial" w:hAnsi="Arial"/>
          <w:sz w:val="18"/>
          <w:szCs w:val="18"/>
          <w:color w:val="212529"/>
        </w:rPr>
        <w:t>Calavo’s Board of Directors is in the process of interviewing and evaluating several, qualified Chief Financial Officer candidates.</w:t>
      </w:r>
    </w:p>
    <w:p>
      <w:pPr>
        <w:spacing w:after="0" w:line="185" w:lineRule="exact"/>
        <w:rPr>
          <w:sz w:val="20"/>
          <w:szCs w:val="20"/>
          <w:color w:val="auto"/>
        </w:rPr>
      </w:pPr>
    </w:p>
    <w:p>
      <w:pPr>
        <w:ind w:left="40" w:right="59" w:firstLine="180"/>
        <w:spacing w:after="0" w:line="259" w:lineRule="auto"/>
        <w:rPr>
          <w:sz w:val="20"/>
          <w:szCs w:val="20"/>
          <w:color w:val="auto"/>
        </w:rPr>
      </w:pPr>
      <w:r>
        <w:rPr>
          <w:rFonts w:ascii="Arial" w:cs="Arial" w:eastAsia="Arial" w:hAnsi="Arial"/>
          <w:sz w:val="18"/>
          <w:szCs w:val="18"/>
          <w:color w:val="212529"/>
        </w:rPr>
        <w:t>On February 24, 2020, James Snyder resigned from his position as Corporate Controller and Chief Accounting Officer of Calavo, to accept a position with a privately held business in the financial services sector. His departure, effective March 6, 2020, is not based on any disagreement with the company’s accounting principles, practices or financial statement disclosures.</w:t>
      </w:r>
    </w:p>
    <w:p>
      <w:pPr>
        <w:spacing w:after="0" w:line="187" w:lineRule="exact"/>
        <w:rPr>
          <w:sz w:val="20"/>
          <w:szCs w:val="20"/>
          <w:color w:val="auto"/>
        </w:rPr>
      </w:pPr>
    </w:p>
    <w:p>
      <w:pPr>
        <w:ind w:left="40" w:right="119" w:firstLine="180"/>
        <w:spacing w:after="0" w:line="263" w:lineRule="auto"/>
        <w:rPr>
          <w:sz w:val="20"/>
          <w:szCs w:val="20"/>
          <w:color w:val="auto"/>
        </w:rPr>
      </w:pPr>
      <w:r>
        <w:rPr>
          <w:rFonts w:ascii="Arial" w:cs="Arial" w:eastAsia="Arial" w:hAnsi="Arial"/>
          <w:sz w:val="18"/>
          <w:szCs w:val="18"/>
          <w:color w:val="212529"/>
        </w:rPr>
        <w:t>On January 31, 2020, Lecil Cole retired as Calavo’s Chief Executive Officer and President. In addition, Lecil Cole retired as Chairman of the Board of Directors on February 26, 2020 although he remains a director of Calavo. On February 27, 2020, Mr. Leavens was appointed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 summarizes our net sales by business segment for each of the three months ended January 31, 2020 and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9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January 31,</w:t>
            </w:r>
          </w:p>
        </w:tc>
      </w:tr>
      <w:tr>
        <w:trPr>
          <w:trHeight w:val="142"/>
        </w:trPr>
        <w:tc>
          <w:tcPr>
            <w:tcW w:w="5980" w:type="dxa"/>
            <w:vAlign w:val="bottom"/>
          </w:tcPr>
          <w:p>
            <w:pPr>
              <w:spacing w:after="0"/>
              <w:rPr>
                <w:sz w:val="12"/>
                <w:szCs w:val="12"/>
                <w:color w:val="auto"/>
              </w:rPr>
            </w:pPr>
          </w:p>
        </w:tc>
        <w:tc>
          <w:tcPr>
            <w:tcW w:w="78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sales: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$ 133,189</w:t>
            </w: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13.4 % $ 117,449</w:t>
            </w:r>
          </w:p>
        </w:tc>
        <w:tc>
          <w:tcPr>
            <w:tcW w:w="4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w:t>
            </w:r>
          </w:p>
        </w:tc>
        <w:tc>
          <w:tcPr>
            <w:tcW w:w="400" w:type="dxa"/>
            <w:vAlign w:val="bottom"/>
            <w:shd w:val="clear" w:color="auto" w:fill="CCEEFF"/>
          </w:tcPr>
          <w:p>
            <w:pPr>
              <w:spacing w:after="0"/>
              <w:rPr>
                <w:sz w:val="18"/>
                <w:szCs w:val="18"/>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RFG</w:t>
            </w:r>
          </w:p>
        </w:tc>
        <w:tc>
          <w:tcPr>
            <w:tcW w:w="780" w:type="dxa"/>
            <w:vAlign w:val="bottom"/>
          </w:tcPr>
          <w:p>
            <w:pPr>
              <w:jc w:val="right"/>
              <w:spacing w:after="0"/>
              <w:rPr>
                <w:sz w:val="20"/>
                <w:szCs w:val="20"/>
                <w:color w:val="auto"/>
              </w:rPr>
            </w:pPr>
            <w:r>
              <w:rPr>
                <w:rFonts w:ascii="Arial" w:cs="Arial" w:eastAsia="Arial" w:hAnsi="Arial"/>
                <w:sz w:val="18"/>
                <w:szCs w:val="18"/>
                <w:color w:val="auto"/>
              </w:rPr>
              <w:t>120,935</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1.6 %</w:t>
            </w:r>
          </w:p>
        </w:tc>
        <w:tc>
          <w:tcPr>
            <w:tcW w:w="780" w:type="dxa"/>
            <w:vAlign w:val="bottom"/>
          </w:tcPr>
          <w:p>
            <w:pPr>
              <w:jc w:val="right"/>
              <w:spacing w:after="0"/>
              <w:rPr>
                <w:sz w:val="20"/>
                <w:szCs w:val="20"/>
                <w:color w:val="auto"/>
              </w:rPr>
            </w:pPr>
            <w:r>
              <w:rPr>
                <w:rFonts w:ascii="Arial" w:cs="Arial" w:eastAsia="Arial" w:hAnsi="Arial"/>
                <w:sz w:val="18"/>
                <w:szCs w:val="18"/>
                <w:color w:val="auto"/>
              </w:rPr>
              <w:t>119,064</w:t>
            </w:r>
          </w:p>
        </w:tc>
        <w:tc>
          <w:tcPr>
            <w:tcW w:w="4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intercompany eliminations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(1,552)</w:t>
            </w:r>
          </w:p>
        </w:tc>
      </w:tr>
      <w:tr>
        <w:trPr>
          <w:trHeight w:val="249"/>
        </w:trPr>
        <w:tc>
          <w:tcPr>
            <w:tcW w:w="5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sales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$ 273,348</w:t>
            </w:r>
          </w:p>
        </w:tc>
        <w:tc>
          <w:tcPr>
            <w:tcW w:w="2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5.9 %</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$ 258,032</w:t>
            </w:r>
          </w:p>
        </w:tc>
        <w:tc>
          <w:tcPr>
            <w:tcW w:w="400" w:type="dxa"/>
            <w:vAlign w:val="bottom"/>
            <w:tcBorders>
              <w:bottom w:val="single" w:sz="8" w:color="CCEEFF"/>
            </w:tcBorders>
          </w:tcPr>
          <w:p>
            <w:pPr>
              <w:spacing w:after="0"/>
              <w:rPr>
                <w:sz w:val="21"/>
                <w:szCs w:val="21"/>
                <w:color w:val="auto"/>
              </w:rPr>
            </w:pPr>
          </w:p>
        </w:tc>
      </w:tr>
      <w:tr>
        <w:trPr>
          <w:trHeight w:val="197"/>
        </w:trPr>
        <w:tc>
          <w:tcPr>
            <w:tcW w:w="5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As a percentage of sales: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Fresh products</w:t>
            </w:r>
          </w:p>
        </w:tc>
        <w:tc>
          <w:tcPr>
            <w:tcW w:w="17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48.5 %</w:t>
            </w:r>
          </w:p>
        </w:tc>
        <w:tc>
          <w:tcPr>
            <w:tcW w:w="1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45.2 %</w:t>
            </w: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Calavo Foods</w:t>
            </w:r>
          </w:p>
        </w:tc>
        <w:tc>
          <w:tcPr>
            <w:tcW w:w="1760" w:type="dxa"/>
            <w:vAlign w:val="bottom"/>
            <w:gridSpan w:val="2"/>
          </w:tcPr>
          <w:p>
            <w:pPr>
              <w:jc w:val="right"/>
              <w:ind w:right="750"/>
              <w:spacing w:after="0"/>
              <w:rPr>
                <w:sz w:val="20"/>
                <w:szCs w:val="20"/>
                <w:color w:val="auto"/>
              </w:rPr>
            </w:pPr>
            <w:r>
              <w:rPr>
                <w:rFonts w:ascii="Arial" w:cs="Arial" w:eastAsia="Arial" w:hAnsi="Arial"/>
                <w:sz w:val="18"/>
                <w:szCs w:val="18"/>
                <w:color w:val="auto"/>
              </w:rPr>
              <w:t>7.5 %</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8.9 %</w:t>
            </w: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RFG</w:t>
            </w:r>
          </w:p>
        </w:tc>
        <w:tc>
          <w:tcPr>
            <w:tcW w:w="17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44.0 %</w:t>
            </w:r>
          </w:p>
        </w:tc>
        <w:tc>
          <w:tcPr>
            <w:tcW w:w="1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45.9 %</w:t>
            </w:r>
          </w:p>
        </w:tc>
      </w:tr>
      <w:tr>
        <w:trPr>
          <w:trHeight w:val="209"/>
        </w:trPr>
        <w:tc>
          <w:tcPr>
            <w:tcW w:w="59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80" w:type="dxa"/>
            <w:vAlign w:val="bottom"/>
          </w:tcPr>
          <w:p>
            <w:pPr>
              <w:jc w:val="right"/>
              <w:ind w:right="75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w w:val="74"/>
              </w:rPr>
              <w:t>%</w:t>
            </w:r>
          </w:p>
        </w:tc>
      </w:tr>
      <w:tr>
        <w:trPr>
          <w:trHeight w:val="20"/>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179" w:firstLine="259"/>
        <w:spacing w:after="0" w:line="259" w:lineRule="auto"/>
        <w:rPr>
          <w:sz w:val="20"/>
          <w:szCs w:val="20"/>
          <w:color w:val="auto"/>
        </w:rPr>
      </w:pPr>
      <w:r>
        <w:rPr>
          <w:rFonts w:ascii="Arial" w:cs="Arial" w:eastAsia="Arial" w:hAnsi="Arial"/>
          <w:sz w:val="18"/>
          <w:szCs w:val="18"/>
          <w:color w:val="auto"/>
        </w:rPr>
        <w:t>Net sales for the three months ended January 31, 2020, compared to the corresponding period in fiscal 2019, increased by $15.3 million, or approximately 6%. The increase in sales, when compared to the same corresponding prior year periods, was primarily related to gains in the Fresh products and RFG segments, partially offset by a decline in Calavo Foods.</w:t>
      </w:r>
    </w:p>
    <w:p>
      <w:pPr>
        <w:spacing w:after="0" w:line="187" w:lineRule="exact"/>
        <w:rPr>
          <w:sz w:val="20"/>
          <w:szCs w:val="20"/>
          <w:color w:val="auto"/>
        </w:rPr>
      </w:pPr>
    </w:p>
    <w:p>
      <w:pPr>
        <w:ind w:left="40" w:right="219" w:firstLine="259"/>
        <w:spacing w:after="0" w:line="257" w:lineRule="auto"/>
        <w:rPr>
          <w:sz w:val="20"/>
          <w:szCs w:val="20"/>
          <w:color w:val="auto"/>
        </w:rPr>
      </w:pPr>
      <w:r>
        <w:rPr>
          <w:rFonts w:ascii="Arial" w:cs="Arial" w:eastAsia="Arial" w:hAnsi="Arial"/>
          <w:sz w:val="18"/>
          <w:szCs w:val="18"/>
          <w:color w:val="auto"/>
        </w:rPr>
        <w:t>For the quarter ended January 31, 2020, our Fresh products segment had our largest percentage increase in sales, followed by our RFG segment. The increase in Fresh products sales was due primarily to an increase in sales of avocados and tomatoes. The increase in RFG sales was due primarily to increased sales from fresh-cut fruit &amp; vegetables and prepared foods products. The decrease in Calavo Foods was due primarily to a decrease in the sales of prepared avocado products. See discussion below for further details.</w:t>
      </w:r>
    </w:p>
    <w:p>
      <w:pPr>
        <w:spacing w:after="0" w:line="188" w:lineRule="exact"/>
        <w:rPr>
          <w:sz w:val="20"/>
          <w:szCs w:val="20"/>
          <w:color w:val="auto"/>
        </w:rPr>
      </w:pPr>
    </w:p>
    <w:p>
      <w:pPr>
        <w:ind w:left="40" w:right="319" w:firstLine="259"/>
        <w:spacing w:after="0" w:line="342" w:lineRule="auto"/>
        <w:rPr>
          <w:sz w:val="20"/>
          <w:szCs w:val="20"/>
          <w:color w:val="auto"/>
        </w:rPr>
      </w:pPr>
      <w:r>
        <w:rPr>
          <w:rFonts w:ascii="Arial" w:cs="Arial" w:eastAsia="Arial" w:hAnsi="Arial"/>
          <w:sz w:val="16"/>
          <w:szCs w:val="16"/>
          <w:color w:val="auto"/>
        </w:rPr>
        <w:t>All three segments of our business are subject to seasonal trends which can impact the volume and/or quality of fruit sourced in any particular quarter. All intercompany sales are eliminated in our consolidated results of operations.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First Quarter 2020 vs. First Quarter 2019</w:t>
      </w:r>
    </w:p>
    <w:p>
      <w:pPr>
        <w:spacing w:after="0" w:line="225" w:lineRule="exact"/>
        <w:rPr>
          <w:sz w:val="20"/>
          <w:szCs w:val="20"/>
          <w:color w:val="auto"/>
        </w:rPr>
      </w:pPr>
    </w:p>
    <w:p>
      <w:pPr>
        <w:jc w:val="both"/>
        <w:ind w:left="40" w:right="299" w:firstLine="259"/>
        <w:spacing w:after="0" w:line="286" w:lineRule="auto"/>
        <w:rPr>
          <w:sz w:val="20"/>
          <w:szCs w:val="20"/>
          <w:color w:val="auto"/>
        </w:rPr>
      </w:pPr>
      <w:r>
        <w:rPr>
          <w:rFonts w:ascii="Arial" w:cs="Arial" w:eastAsia="Arial" w:hAnsi="Arial"/>
          <w:sz w:val="17"/>
          <w:szCs w:val="17"/>
          <w:color w:val="auto"/>
        </w:rPr>
        <w:t>Sales for the Fresh products business increased by approximately $15.7 million, or 13%, for the first quarter of fiscal 2020, when compared to the same period for fiscal 2019. This increase in Fresh product sales during the first quarter of fiscal 2020 was primarily related to increased sales of avocados and tomatoes.</w:t>
      </w:r>
    </w:p>
    <w:p>
      <w:pPr>
        <w:spacing w:after="0" w:line="165" w:lineRule="exact"/>
        <w:rPr>
          <w:sz w:val="20"/>
          <w:szCs w:val="20"/>
          <w:color w:val="auto"/>
        </w:rPr>
      </w:pPr>
    </w:p>
    <w:p>
      <w:pPr>
        <w:jc w:val="both"/>
        <w:ind w:left="40" w:right="139" w:firstLine="259"/>
        <w:spacing w:after="0" w:line="259" w:lineRule="auto"/>
        <w:rPr>
          <w:sz w:val="20"/>
          <w:szCs w:val="20"/>
          <w:color w:val="auto"/>
        </w:rPr>
      </w:pPr>
      <w:r>
        <w:rPr>
          <w:rFonts w:ascii="Arial" w:cs="Arial" w:eastAsia="Arial" w:hAnsi="Arial"/>
          <w:sz w:val="18"/>
          <w:szCs w:val="18"/>
          <w:color w:val="auto"/>
        </w:rPr>
        <w:t>Sales of avocados increased $14.4 million, or 14%, for the first quarter of 2020, when compared to the same prior year period. This increase was primarily due to a 15% increase in the volume of avocados sold during the first quarter of fiscal 2020. During the period, our average avocado sales price per carton decreased 1% compared to the same prior year period primarily driven by the overall increase in market supply.</w:t>
      </w:r>
    </w:p>
    <w:p>
      <w:pPr>
        <w:spacing w:after="0" w:line="187" w:lineRule="exact"/>
        <w:rPr>
          <w:sz w:val="20"/>
          <w:szCs w:val="20"/>
          <w:color w:val="auto"/>
        </w:rPr>
      </w:pPr>
    </w:p>
    <w:p>
      <w:pPr>
        <w:ind w:left="40" w:right="79" w:firstLine="259"/>
        <w:spacing w:after="0" w:line="311" w:lineRule="auto"/>
        <w:rPr>
          <w:sz w:val="20"/>
          <w:szCs w:val="20"/>
          <w:color w:val="auto"/>
        </w:rPr>
      </w:pPr>
      <w:r>
        <w:rPr>
          <w:rFonts w:ascii="Arial" w:cs="Arial" w:eastAsia="Arial" w:hAnsi="Arial"/>
          <w:sz w:val="16"/>
          <w:szCs w:val="16"/>
          <w:color w:val="auto"/>
        </w:rPr>
        <w:t>Sales of tomatoes increased $1.6 million, or 14%, for the first quarter of 2020, when compared to the same prior year period. This increase in tomato sales was primarily due to a 30% increase in the average sales price per carton compared to the same prior year period. This was partially offset by a decrease of 12% of the number of tomato cartons sold.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First Quarter 2020 vs. First Quarter 2019</w:t>
      </w:r>
    </w:p>
    <w:p>
      <w:pPr>
        <w:spacing w:after="0" w:line="225" w:lineRule="exact"/>
        <w:rPr>
          <w:sz w:val="20"/>
          <w:szCs w:val="20"/>
          <w:color w:val="auto"/>
        </w:rPr>
      </w:pPr>
    </w:p>
    <w:p>
      <w:pPr>
        <w:jc w:val="both"/>
        <w:ind w:left="40" w:right="399" w:firstLine="259"/>
        <w:spacing w:after="0" w:line="263" w:lineRule="auto"/>
        <w:rPr>
          <w:sz w:val="20"/>
          <w:szCs w:val="20"/>
          <w:color w:val="auto"/>
        </w:rPr>
      </w:pPr>
      <w:r>
        <w:rPr>
          <w:rFonts w:ascii="Arial" w:cs="Arial" w:eastAsia="Arial" w:hAnsi="Arial"/>
          <w:sz w:val="18"/>
          <w:szCs w:val="18"/>
          <w:color w:val="auto"/>
        </w:rPr>
        <w:t>Sales for Calavo Foods for the quarter ended January 31, 2020, when compared to the same period for fiscal 2019, decreased $2.6 million, or 11%. Sales of prepared avocado products decreased by approximately $2.5 million, or 11%, primarily related to a decrease in the total volume of pounds sold.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First Quarter 2020 vs. First Quarter 2019</w:t>
      </w:r>
    </w:p>
    <w:p>
      <w:pPr>
        <w:spacing w:after="0" w:line="225" w:lineRule="exact"/>
        <w:rPr>
          <w:sz w:val="20"/>
          <w:szCs w:val="20"/>
          <w:color w:val="auto"/>
        </w:rPr>
      </w:pPr>
    </w:p>
    <w:p>
      <w:pPr>
        <w:ind w:left="40" w:right="359" w:firstLine="259"/>
        <w:spacing w:after="0" w:line="279" w:lineRule="auto"/>
        <w:rPr>
          <w:sz w:val="20"/>
          <w:szCs w:val="20"/>
          <w:color w:val="auto"/>
        </w:rPr>
      </w:pPr>
      <w:r>
        <w:rPr>
          <w:rFonts w:ascii="Arial" w:cs="Arial" w:eastAsia="Arial" w:hAnsi="Arial"/>
          <w:sz w:val="17"/>
          <w:szCs w:val="17"/>
          <w:color w:val="auto"/>
        </w:rPr>
        <w:t>Sales for RFG for the quarter ended January 31, 2020, when compared to the same period for fiscal 2019, increased $1.9 million, or 2%. The overall increase in sales is primarily due to higher sales volume from expanded retail partnerships, most notably from RFG’s facility in Georgia (opened in April 2019). This increase was partially offset by lower sales out of the Midwest, relating to issues with RFG’s co-packing partner in that region.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The following table summarizes our gross profit and gross profit percentages by business segment for the three months ended January 31, 2020 and 2019:</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Change</w:t>
            </w: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vMerge w:val="restart"/>
          </w:tcPr>
          <w:p>
            <w:pPr>
              <w:spacing w:after="0"/>
              <w:rPr>
                <w:sz w:val="24"/>
                <w:szCs w:val="24"/>
                <w:color w:val="auto"/>
              </w:rPr>
            </w:pPr>
          </w:p>
        </w:tc>
        <w:tc>
          <w:tcPr>
            <w:tcW w:w="3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6,582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$ 20,858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RFG</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3,235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profit</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15,808</w:t>
            </w:r>
          </w:p>
        </w:tc>
        <w:tc>
          <w:tcPr>
            <w:tcW w:w="92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$ 30,837</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 percentages:</w:t>
            </w:r>
          </w:p>
        </w:tc>
        <w:tc>
          <w:tcPr>
            <w:tcW w:w="3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Fresh products</w:t>
            </w:r>
          </w:p>
        </w:tc>
        <w:tc>
          <w:tcPr>
            <w:tcW w:w="3340" w:type="dxa"/>
            <w:vAlign w:val="bottom"/>
          </w:tcPr>
          <w:p>
            <w:pPr>
              <w:jc w:val="right"/>
              <w:ind w:right="470"/>
              <w:spacing w:after="0"/>
              <w:rPr>
                <w:sz w:val="20"/>
                <w:szCs w:val="20"/>
                <w:color w:val="auto"/>
              </w:rPr>
            </w:pPr>
            <w:r>
              <w:rPr>
                <w:rFonts w:ascii="Arial" w:cs="Arial" w:eastAsia="Arial" w:hAnsi="Arial"/>
                <w:sz w:val="18"/>
                <w:szCs w:val="18"/>
                <w:color w:val="auto"/>
              </w:rPr>
              <w:t>4.9 %</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17.8 %</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Calavo Foods</w:t>
            </w:r>
          </w:p>
        </w:tc>
        <w:tc>
          <w:tcPr>
            <w:tcW w:w="3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31.0 %</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29.2 %</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RFG</w:t>
            </w:r>
          </w:p>
        </w:tc>
        <w:tc>
          <w:tcPr>
            <w:tcW w:w="3340" w:type="dxa"/>
            <w:vAlign w:val="bottom"/>
          </w:tcPr>
          <w:p>
            <w:pPr>
              <w:jc w:val="right"/>
              <w:ind w:right="470"/>
              <w:spacing w:after="0"/>
              <w:rPr>
                <w:sz w:val="20"/>
                <w:szCs w:val="20"/>
                <w:color w:val="auto"/>
              </w:rPr>
            </w:pPr>
            <w:r>
              <w:rPr>
                <w:rFonts w:ascii="Arial" w:cs="Arial" w:eastAsia="Arial" w:hAnsi="Arial"/>
                <w:sz w:val="18"/>
                <w:szCs w:val="18"/>
                <w:color w:val="auto"/>
              </w:rPr>
              <w:t>2.4 %</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2.7 %</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33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5.8 %</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12.0 %</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119" w:firstLine="259"/>
        <w:spacing w:after="0" w:line="275" w:lineRule="auto"/>
        <w:rPr>
          <w:sz w:val="20"/>
          <w:szCs w:val="20"/>
          <w:color w:val="auto"/>
        </w:rPr>
      </w:pPr>
      <w:r>
        <w:rPr>
          <w:rFonts w:ascii="Arial" w:cs="Arial" w:eastAsia="Arial" w:hAnsi="Arial"/>
          <w:sz w:val="17"/>
          <w:szCs w:val="17"/>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decreased by approximately $15.0 million, or 49%, for the first quarter of fiscal 2020, when compared to the same period for fiscal 2019. The decrease was attributable to gross profit decreases across all segments, but primarily in the Fresh products segment.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40" w:right="179" w:firstLine="259"/>
        <w:spacing w:after="0" w:line="296" w:lineRule="auto"/>
        <w:rPr>
          <w:sz w:val="20"/>
          <w:szCs w:val="20"/>
          <w:color w:val="auto"/>
        </w:rPr>
      </w:pPr>
      <w:r>
        <w:rPr>
          <w:rFonts w:ascii="Arial" w:cs="Arial" w:eastAsia="Arial" w:hAnsi="Arial"/>
          <w:sz w:val="16"/>
          <w:szCs w:val="16"/>
          <w:color w:val="auto"/>
        </w:rPr>
        <w:t>During our three months ended January 31, 2020, as compared to the same prior year period, the decrease in our Fresh products segment gross profit percentage was the result of decreased profit for avocados. For the first quarter ended January 31, 2020, the gross profit percentage for avocados was 4.3% compared to 18.6% in the first quarter of 2019. This decrease was primarily related to the difficult market conditions experienced in the first quarter of fiscal 2020, during which sales prices moderated, but avocado input costs rose year-over-year. Note that any significant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fluctuations in the exchange rate between the U.S. Dollar and the Mexican Peso may have a material impact on future gross profits for our Fresh products segment.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40" w:right="159" w:firstLine="259"/>
        <w:spacing w:after="0" w:line="275" w:lineRule="auto"/>
        <w:rPr>
          <w:sz w:val="20"/>
          <w:szCs w:val="20"/>
          <w:color w:val="auto"/>
        </w:rPr>
      </w:pPr>
      <w:r>
        <w:rPr>
          <w:rFonts w:ascii="Arial" w:cs="Arial" w:eastAsia="Arial" w:hAnsi="Arial"/>
          <w:sz w:val="17"/>
          <w:szCs w:val="17"/>
          <w:color w:val="auto"/>
        </w:rPr>
        <w:t>Calavo Foods’ gross profit percentage for the quarter ended January 31, 2020 was 31.0%, compared to 29.2% in the same prior year period. The increase in Calavo Foods gross profit percentage was due primarily to production efficiencies in our Mexico manufacturing facility, as well as lower fruit costs during the period. Note that any significant fluctuation in the cost of fruit used in the production process or the exchange rate between the U.S. Dollar and the Mexican Peso may have a material impact on future gross profit for our Calavo Foods segments.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 xml:space="preserve">RFG’s gross profit percentage for the quarter ended January 31, 2020 was 2.4%, compared to 2.7% in the same prior year period. Gross profit and gross profit percentage generated by </w:t>
      </w:r>
      <w:r>
        <w:rPr>
          <w:rFonts w:ascii="Arial" w:cs="Arial" w:eastAsia="Arial" w:hAnsi="Arial"/>
          <w:sz w:val="17"/>
          <w:szCs w:val="17"/>
          <w:color w:val="212529"/>
        </w:rPr>
        <w:t>RFG’s pre-existing manufacturing operations (facilities</w:t>
      </w:r>
      <w:r>
        <w:rPr>
          <w:rFonts w:ascii="Arial" w:cs="Arial" w:eastAsia="Arial" w:hAnsi="Arial"/>
          <w:sz w:val="17"/>
          <w:szCs w:val="17"/>
          <w:color w:val="auto"/>
        </w:rPr>
        <w:t xml:space="preserve"> </w:t>
      </w:r>
      <w:r>
        <w:rPr>
          <w:rFonts w:ascii="Arial" w:cs="Arial" w:eastAsia="Arial" w:hAnsi="Arial"/>
          <w:sz w:val="17"/>
          <w:szCs w:val="17"/>
          <w:color w:val="212529"/>
        </w:rPr>
        <w:t xml:space="preserve">opened more than one year) both increased compared to the same prior year period, however those gains were partially offset by increased costs at newer production facilities in Georgia and the Pacific Northwest. Further, </w:t>
      </w:r>
      <w:r>
        <w:rPr>
          <w:rFonts w:ascii="Arial" w:cs="Arial" w:eastAsia="Arial" w:hAnsi="Arial"/>
          <w:sz w:val="17"/>
          <w:szCs w:val="17"/>
          <w:color w:val="000000"/>
        </w:rPr>
        <w:t>sales and gross profit</w:t>
      </w:r>
      <w:r>
        <w:rPr>
          <w:rFonts w:ascii="Arial" w:cs="Arial" w:eastAsia="Arial" w:hAnsi="Arial"/>
          <w:sz w:val="17"/>
          <w:szCs w:val="17"/>
          <w:color w:val="212529"/>
        </w:rPr>
        <w:t xml:space="preserve"> </w:t>
      </w:r>
      <w:r>
        <w:rPr>
          <w:rFonts w:ascii="Arial" w:cs="Arial" w:eastAsia="Arial" w:hAnsi="Arial"/>
          <w:sz w:val="17"/>
          <w:szCs w:val="17"/>
          <w:color w:val="000000"/>
        </w:rPr>
        <w:t>in one specific geographic region served by RFG remained constrained during our first fiscal quarter as a result of previously discussed issues experienced at RFG’s co-packer servicing that region.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635</wp:posOffset>
            </wp:positionV>
            <wp:extent cx="15087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6340"/>
        <w:spacing w:after="0"/>
        <w:tabs>
          <w:tab w:leader="none" w:pos="7060" w:val="left"/>
          <w:tab w:leader="none" w:pos="79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wp:posOffset>
            </wp:positionV>
            <wp:extent cx="16630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ind w:left="6760"/>
        <w:spacing w:after="0" w:line="232" w:lineRule="auto"/>
        <w:rPr>
          <w:sz w:val="20"/>
          <w:szCs w:val="20"/>
          <w:color w:val="auto"/>
        </w:rPr>
      </w:pPr>
      <w:r>
        <w:rPr>
          <w:rFonts w:ascii="Arial" w:cs="Arial" w:eastAsia="Arial" w:hAnsi="Arial"/>
          <w:sz w:val="14"/>
          <w:szCs w:val="14"/>
          <w:b w:val="1"/>
          <w:bCs w:val="1"/>
          <w:color w:val="auto"/>
        </w:rPr>
        <w:t>(Dollars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$ 16,298</w:t>
            </w:r>
          </w:p>
        </w:tc>
        <w:tc>
          <w:tcPr>
            <w:tcW w:w="19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14.2 % $ 14,276</w:t>
            </w: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6.0 %</w:t>
            </w:r>
          </w:p>
        </w:tc>
        <w:tc>
          <w:tcPr>
            <w:tcW w:w="1900" w:type="dxa"/>
            <w:vAlign w:val="bottom"/>
          </w:tcPr>
          <w:p>
            <w:pPr>
              <w:jc w:val="right"/>
              <w:ind w:right="230"/>
              <w:spacing w:after="0"/>
              <w:rPr>
                <w:sz w:val="20"/>
                <w:szCs w:val="20"/>
                <w:color w:val="auto"/>
              </w:rPr>
            </w:pPr>
            <w:r>
              <w:rPr>
                <w:rFonts w:ascii="Arial" w:cs="Arial" w:eastAsia="Arial" w:hAnsi="Arial"/>
                <w:sz w:val="18"/>
                <w:szCs w:val="18"/>
                <w:color w:val="auto"/>
              </w:rPr>
              <w:t>5.5 %</w:t>
            </w:r>
          </w:p>
        </w:tc>
      </w:tr>
    </w:tbl>
    <w:p>
      <w:pPr>
        <w:spacing w:after="0" w:line="187" w:lineRule="exact"/>
        <w:rPr>
          <w:sz w:val="20"/>
          <w:szCs w:val="20"/>
          <w:color w:val="auto"/>
        </w:rPr>
      </w:pPr>
    </w:p>
    <w:p>
      <w:pPr>
        <w:ind w:left="40" w:right="59" w:firstLine="270"/>
        <w:spacing w:after="0" w:line="254" w:lineRule="auto"/>
        <w:rPr>
          <w:sz w:val="20"/>
          <w:szCs w:val="20"/>
          <w:color w:val="auto"/>
        </w:rPr>
      </w:pPr>
      <w:r>
        <w:rPr>
          <w:rFonts w:ascii="Arial" w:cs="Arial" w:eastAsia="Arial" w:hAnsi="Arial"/>
          <w:sz w:val="18"/>
          <w:szCs w:val="18"/>
          <w:color w:val="auto"/>
        </w:rPr>
        <w:t>Selling, general and administrative expenses of $16.3 million for the three months ended January 31, 2020 include costs of marketing and advertising, sales expenses (including broker commissions) and other general and administrative costs. Selling, general and administrative expenses increased by $2.0 million, or 14%, for the three months ended January 31, 2020, when compared to the same period for fiscal 2019. This increase was primarily related to an increase in professional services fees ($0.8 million) and an increase in salaries and benefits ($0.7 million, of which $0.2 million relates to the vesting of stock grants earned by certain members of the senior management team over the past three fiscal years). The first quarter of fiscal 2020 also includes approximately $0.3 million in transaction fees related to the acquisition of Simply Fresh Fruit.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from unconsolidated entities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635</wp:posOffset>
            </wp:positionV>
            <wp:extent cx="1663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ind w:left="6140"/>
        <w:spacing w:after="0"/>
        <w:tabs>
          <w:tab w:leader="none" w:pos="6960" w:val="left"/>
          <w:tab w:leader="none" w:pos="79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-3175</wp:posOffset>
            </wp:positionV>
            <wp:extent cx="16630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ind w:left="6540"/>
        <w:spacing w:after="0" w:line="232" w:lineRule="auto"/>
        <w:rPr>
          <w:sz w:val="20"/>
          <w:szCs w:val="20"/>
          <w:color w:val="auto"/>
        </w:rPr>
      </w:pPr>
      <w:r>
        <w:rPr>
          <w:rFonts w:ascii="Arial" w:cs="Arial" w:eastAsia="Arial" w:hAnsi="Arial"/>
          <w:sz w:val="14"/>
          <w:szCs w:val="14"/>
          <w:b w:val="1"/>
          <w:bCs w:val="1"/>
          <w:color w:val="auto"/>
        </w:rPr>
        <w:t>(Dollars 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entities</w:t>
            </w:r>
          </w:p>
        </w:tc>
        <w:tc>
          <w:tcPr>
            <w:tcW w:w="2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(3,028)</w:t>
            </w:r>
          </w:p>
        </w:tc>
        <w:tc>
          <w:tcPr>
            <w:tcW w:w="2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(51.9)% $ (6,298)</w:t>
            </w:r>
          </w:p>
        </w:tc>
      </w:tr>
    </w:tbl>
    <w:p>
      <w:pPr>
        <w:spacing w:after="0" w:line="202"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Losses from unconsolidated entities includes our allocation of earnings or losses from our investments in FreshRealm and Don Memo. For the three months ended January 31, 2020, we recognized $0.5 million of income related to Don Memo compared to $0.6 million of income in the three months ended January 31, 2019. For the three months ended January 31, 2020 and 2019, we recognized $3.5 million and $6.9 million of losses related to FreshRealm. While we are unable to determine with certainty the future operating results of FreshRealm and future non-Calavo investments, if any, we anticipate recording additional non-cash losses from FreshRealm during the remainder of fiscal 2020. As a result of FreshRealm’s change in tax status on December 16, 2018, prior year results include a 100% allocation of FreshRealm losses prior to that date, with losses allocated to its owners based on ownership percentage thereafter. As has been the case since December 16, 2018, we expect that future operating results for FreshRealm will be allocated to its owners based on ownership percentage, and as of January 31, 2020 our ownership was approximately 38%. As of January 31, 2020, our total equity investment in and loan balance to FreshRealm were approximately $2.3 million, and $36.1 million, respectively. See Note 12 in our consolidated financial statements for more information.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7"/>
              </w:rPr>
              <w:t>Three months ended January 31,</w:t>
            </w:r>
          </w:p>
        </w:tc>
      </w:tr>
      <w:tr>
        <w:trPr>
          <w:trHeight w:val="142"/>
        </w:trPr>
        <w:tc>
          <w:tcPr>
            <w:tcW w:w="4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Change</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2"/>
                <w:szCs w:val="12"/>
                <w:color w:val="auto"/>
              </w:rPr>
            </w:pPr>
          </w:p>
        </w:tc>
      </w:tr>
      <w:tr>
        <w:trPr>
          <w:trHeight w:val="209"/>
        </w:trPr>
        <w:tc>
          <w:tcPr>
            <w:tcW w:w="4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432"/>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(650)</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(142.4)%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$ 1,533</w:t>
            </w:r>
          </w:p>
        </w:tc>
        <w:tc>
          <w:tcPr>
            <w:tcW w:w="520" w:type="dxa"/>
            <w:vAlign w:val="bottom"/>
            <w:shd w:val="clear" w:color="auto" w:fill="CCEEFF"/>
          </w:tcPr>
          <w:p>
            <w:pPr>
              <w:spacing w:after="0"/>
              <w:rPr>
                <w:sz w:val="24"/>
                <w:szCs w:val="24"/>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2560" w:type="dxa"/>
            <w:vAlign w:val="bottom"/>
            <w:gridSpan w:val="3"/>
          </w:tcPr>
          <w:p>
            <w:pPr>
              <w:jc w:val="right"/>
              <w:ind w:right="100"/>
              <w:spacing w:after="0"/>
              <w:rPr>
                <w:sz w:val="20"/>
                <w:szCs w:val="20"/>
                <w:color w:val="auto"/>
              </w:rPr>
            </w:pPr>
            <w:r>
              <w:rPr>
                <w:rFonts w:ascii="Arial" w:cs="Arial" w:eastAsia="Arial" w:hAnsi="Arial"/>
                <w:sz w:val="18"/>
                <w:szCs w:val="18"/>
                <w:color w:val="auto"/>
              </w:rPr>
              <w:t>39.4 %</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25.5 %</w:t>
            </w:r>
          </w:p>
        </w:tc>
      </w:tr>
    </w:tbl>
    <w:p>
      <w:pPr>
        <w:spacing w:after="0" w:line="187" w:lineRule="exact"/>
        <w:rPr>
          <w:sz w:val="20"/>
          <w:szCs w:val="20"/>
          <w:color w:val="auto"/>
        </w:rPr>
      </w:pPr>
    </w:p>
    <w:p>
      <w:pPr>
        <w:ind w:left="40" w:right="79" w:firstLine="225"/>
        <w:spacing w:after="0" w:line="291" w:lineRule="auto"/>
        <w:rPr>
          <w:sz w:val="20"/>
          <w:szCs w:val="20"/>
          <w:color w:val="auto"/>
        </w:rPr>
      </w:pPr>
      <w:r>
        <w:rPr>
          <w:rFonts w:ascii="Arial" w:cs="Arial" w:eastAsia="Arial" w:hAnsi="Arial"/>
          <w:sz w:val="16"/>
          <w:szCs w:val="16"/>
          <w:color w:val="auto"/>
        </w:rPr>
        <w:t>Our tax provision is determined using an estimated annual effective tax rate and adjusted for discrete taxable events that may occur during the quarter. In the first quarter ended in fiscal 2020, we recorded a discrete income tax benefit of approximately $0.2 million, pursuant to ASU 2016-09, Improvements to Employee Share-based Payment Accounting. Our effective tax rate was higher in the first quarter of fiscal 2020 as a result of discrete excess tax benefits on vesting share-based compensation in addition to the tax benefit associated with the quarter-to-date loss.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99" w:firstLine="259"/>
        <w:spacing w:after="0" w:line="293" w:lineRule="auto"/>
        <w:rPr>
          <w:sz w:val="20"/>
          <w:szCs w:val="20"/>
          <w:color w:val="auto"/>
        </w:rPr>
      </w:pPr>
      <w:r>
        <w:rPr>
          <w:rFonts w:ascii="Arial" w:cs="Arial" w:eastAsia="Arial" w:hAnsi="Arial"/>
          <w:sz w:val="16"/>
          <w:szCs w:val="16"/>
          <w:color w:val="auto"/>
        </w:rPr>
        <w:t>Cash used by operating activities was $6.5 million for the three months ended January 31, 2020, compared to cash provided by operating activities of $10.4 million for the similar period in fiscal 2019. Cash used by operating activities for the three months ended January 31, 2020 reflect primarily our net loss of $1.0 million, plus deductions for non-cash activities (depreciation and amortization, stock-based compensation expense, deferred taxes, losses from unconsolidated entities, net losses on Limoneira shares, interest income on Notes to FreshRealm and gain on the sale of the Temecula packinghouse) of $5.6 million and a net decrease in the components of our working capital of approximately $11.1 million.</w:t>
      </w:r>
    </w:p>
    <w:p>
      <w:pPr>
        <w:spacing w:after="0" w:line="164" w:lineRule="exact"/>
        <w:rPr>
          <w:sz w:val="20"/>
          <w:szCs w:val="20"/>
          <w:color w:val="auto"/>
        </w:rPr>
      </w:pPr>
    </w:p>
    <w:p>
      <w:pPr>
        <w:ind w:left="40" w:right="79" w:firstLine="259"/>
        <w:spacing w:after="0" w:line="275" w:lineRule="auto"/>
        <w:rPr>
          <w:sz w:val="20"/>
          <w:szCs w:val="20"/>
          <w:color w:val="auto"/>
        </w:rPr>
      </w:pPr>
      <w:r>
        <w:rPr>
          <w:rFonts w:ascii="Arial" w:cs="Arial" w:eastAsia="Arial" w:hAnsi="Arial"/>
          <w:sz w:val="17"/>
          <w:szCs w:val="17"/>
          <w:color w:val="auto"/>
        </w:rPr>
        <w:t>Decreases in operating cash flows, caused by working capital changes, includes an increase in accounts receivable of $15.2 million, an increase in inventory of $5.3 million, an increase in prepaid expenses and other current assets of $1.8 million, an increase in other assets of $1.9 million, and an increase in income taxes receivable/payable of $1.1 million, partially offset by, an increase in payable to growers of $7.6 million, a decrease in advances to suppliers of $3.5 million and a net decrease in accounts payable and accrued expenses of $3.2 million.</w:t>
      </w:r>
    </w:p>
    <w:p>
      <w:pPr>
        <w:spacing w:after="0" w:line="176" w:lineRule="exact"/>
        <w:rPr>
          <w:sz w:val="20"/>
          <w:szCs w:val="20"/>
          <w:color w:val="auto"/>
        </w:rPr>
      </w:pPr>
    </w:p>
    <w:p>
      <w:pPr>
        <w:ind w:left="40" w:right="99" w:firstLine="259"/>
        <w:spacing w:after="0" w:line="289" w:lineRule="auto"/>
        <w:rPr>
          <w:sz w:val="20"/>
          <w:szCs w:val="20"/>
          <w:color w:val="auto"/>
        </w:rPr>
      </w:pPr>
      <w:r>
        <w:rPr>
          <w:rFonts w:ascii="Arial" w:cs="Arial" w:eastAsia="Arial" w:hAnsi="Arial"/>
          <w:sz w:val="16"/>
          <w:szCs w:val="16"/>
          <w:color w:val="auto"/>
        </w:rPr>
        <w:t>The increase in our accounts receivable, as of January 31, 2020 when compared to October 31, 2019, primarily reflects higher sales recorded in the month of January 2020 (due to higher avocado volumes and pricing). The increase in inventory is related to increases in both the volume and value of avocados on hand at January 31, 2020 when compared to October 31, 2019, as well as an increase in the volume of prepared guacamole products held in inventory. The increase in other assets is due to an increase in long-term Mexican IVA tax receivable (see Note 11 to our consolidated condensed financial statements). The increase in payable to growers primarily reflects an increase in our avocado grower liability related to Mexican avocado volumes. The increase in accounts payable and accrued expenses is primarily related to an increase in our payables related to RFG. The decrease in advances to suppliers primarily reflects increased tomato sales, which offset more pre-season advances in January 2020, compared to October 2019.</w:t>
      </w:r>
    </w:p>
    <w:p>
      <w:pPr>
        <w:spacing w:after="0" w:line="166"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Cash used in investing activities was $3.3 million for the three months ended January 31, 2020, which primarily related to property, plant and equipment purchases.</w:t>
      </w:r>
    </w:p>
    <w:p>
      <w:pPr>
        <w:spacing w:after="0" w:line="170"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Cash provided by financing activities was $6.8 million for the three months ended January 31, 2020, which related principally to net proceeds on our credit facilities totaling $27.5 million, partially offset by, the payment of our $19.4 million dividend, the payment of minimum withholding taxes on net share settlement of equity awards of $1.2 million, and payments of $0.2 million on our long-term debt obligations.</w:t>
      </w:r>
    </w:p>
    <w:p>
      <w:pPr>
        <w:spacing w:after="0" w:line="106"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Our principal sources of liquidity are our existing cash balances, cash generated from operations and amounts available for borrowing under our existing Credit Facility. Cash and cash equivalents as of January 31, 2020 and October 31, 2019 totaled $4.9 million and $8.0 million. Our working capital at January 31, 2020 was $33.6 million, compared to $36.9 million at October 31,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and expand relationships with retail and/or foodservice customers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Upon notice to Bank of America, we may from time to time, request an increase in the Credit Facility by an amount not exceeding $50 million. For our current credit agreement, the weighted-average interest rate was 2.9% and 3.8% at January 31, 2020 and October 31, 2019. Under these credit facilities, we had $27.5 million outstanding as January 31, 2020. There was nothing outstanding as of October 31, 2019.</w:t>
      </w:r>
    </w:p>
    <w:p>
      <w:pPr>
        <w:spacing w:after="0" w:line="182" w:lineRule="exact"/>
        <w:rPr>
          <w:sz w:val="20"/>
          <w:szCs w:val="20"/>
          <w:color w:val="auto"/>
        </w:rPr>
      </w:pPr>
    </w:p>
    <w:p>
      <w:pPr>
        <w:ind w:left="40" w:right="79" w:firstLine="225"/>
        <w:spacing w:after="0" w:line="259" w:lineRule="auto"/>
        <w:rPr>
          <w:sz w:val="20"/>
          <w:szCs w:val="20"/>
          <w:color w:val="auto"/>
        </w:rPr>
      </w:pPr>
      <w:r>
        <w:rPr>
          <w:rFonts w:ascii="Arial" w:cs="Arial" w:eastAsia="Arial" w:hAnsi="Arial"/>
          <w:sz w:val="18"/>
          <w:szCs w:val="18"/>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are in compliance with all such covenants.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There have been no material changes to our contractual commitments, from those previously disclosed in our Annual Report on Form 10-K for our fiscal year ended October 31, 2019. For a summary of the contractual commitments at October 31, 2019, see Part II, Item 7, in our 2019 Annual Report on Form 10-K.</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Note 1 to the consolidated condensed financial statements that are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2020.</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420" w:type="dxa"/>
            <w:vAlign w:val="bottom"/>
          </w:tcPr>
          <w:p>
            <w:pPr>
              <w:spacing w:after="0"/>
              <w:rPr>
                <w:sz w:val="20"/>
                <w:szCs w:val="20"/>
                <w:color w:val="auto"/>
              </w:rPr>
            </w:pPr>
            <w:r>
              <w:rPr>
                <w:rFonts w:ascii="Arial" w:cs="Arial" w:eastAsia="Arial" w:hAnsi="Arial"/>
                <w:sz w:val="14"/>
                <w:szCs w:val="14"/>
                <w:color w:val="auto"/>
              </w:rPr>
              <w:t>(All amounts 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color w:val="auto"/>
                <w:w w:val="98"/>
              </w:rPr>
              <w:t>Expected maturity date January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2022</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2023</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2024</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2025</w:t>
            </w:r>
          </w:p>
        </w:tc>
        <w:tc>
          <w:tcPr>
            <w:tcW w:w="14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color w:val="auto"/>
              </w:rPr>
              <w:t>Thereafter</w:t>
            </w:r>
          </w:p>
        </w:tc>
        <w:tc>
          <w:tcPr>
            <w:tcW w:w="14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Total</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7"/>
              </w:rPr>
              <w:t>Fair Value</w:t>
            </w:r>
          </w:p>
        </w:tc>
      </w:tr>
      <w:tr>
        <w:trPr>
          <w:trHeight w:val="209"/>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6"/>
          </w:tcPr>
          <w:p>
            <w:pPr>
              <w:jc w:val="right"/>
              <w:ind w:right="200"/>
              <w:spacing w:after="0"/>
              <w:rPr>
                <w:sz w:val="20"/>
                <w:szCs w:val="20"/>
                <w:color w:val="auto"/>
              </w:rPr>
            </w:pPr>
            <w:r>
              <w:rPr>
                <w:rFonts w:ascii="Arial" w:cs="Arial" w:eastAsia="Arial" w:hAnsi="Arial"/>
                <w:sz w:val="18"/>
                <w:szCs w:val="18"/>
                <w:color w:val="auto"/>
              </w:rPr>
              <w:t>$ —  $ —  $ —</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4,937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4,937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78,654</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Notes receivable from FreshRealm (2)</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36,112</w:t>
            </w:r>
          </w:p>
        </w:tc>
        <w:tc>
          <w:tcPr>
            <w:tcW w:w="1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36,112</w:t>
            </w:r>
          </w:p>
        </w:tc>
      </w:tr>
      <w:tr>
        <w:trPr>
          <w:trHeight w:val="216"/>
        </w:trPr>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Payable to growers (1)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 —  $ —  $ —</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21,052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21,052</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Accounts payable (1)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21,880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21,880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21,880</w:t>
            </w: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borrowings pursuant to credit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facilities (1)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27,500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141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12" w:lineRule="exact"/>
        <w:rPr>
          <w:sz w:val="20"/>
          <w:szCs w:val="20"/>
          <w:color w:val="auto"/>
        </w:rPr>
      </w:pPr>
    </w:p>
    <w:p>
      <w:pPr>
        <w:ind w:left="360" w:right="79" w:hanging="316"/>
        <w:spacing w:after="0" w:line="248" w:lineRule="auto"/>
        <w:tabs>
          <w:tab w:leader="none" w:pos="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ind w:left="360" w:right="299" w:hanging="316"/>
        <w:spacing w:after="0" w:line="229" w:lineRule="auto"/>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notes to FreshRealm, as of January 31, 2020, bear interest at the rate of 10% annually, with monthly interest payments scheduled to begin on October 31, 2020. This first interest payment would represent interest due for the month of October 2020 only, with similar monthly payments scheduled to follow afterwards. The due date of the notes is November 1, 2021, with the Company having the option of up to two, one-year extensions (i.e. first to November 1, 2022, then to November 1, 2023).</w:t>
      </w:r>
    </w:p>
    <w:p>
      <w:pPr>
        <w:spacing w:after="0" w:line="107"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03" w:lineRule="exact"/>
        <w:rPr>
          <w:sz w:val="20"/>
          <w:szCs w:val="20"/>
          <w:color w:val="auto"/>
        </w:rPr>
      </w:pPr>
    </w:p>
    <w:p>
      <w:pPr>
        <w:ind w:left="40" w:right="79" w:firstLine="259"/>
        <w:spacing w:after="0" w:line="275" w:lineRule="auto"/>
        <w:rPr>
          <w:sz w:val="20"/>
          <w:szCs w:val="20"/>
          <w:color w:val="auto"/>
        </w:rPr>
      </w:pPr>
      <w:r>
        <w:rPr>
          <w:rFonts w:ascii="Arial" w:cs="Arial" w:eastAsia="Arial" w:hAnsi="Arial"/>
          <w:sz w:val="17"/>
          <w:szCs w:val="17"/>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transaction gains for the three months ended January 31, 2020 and 2019, net of losses, was less than $0.1 million and $0.2 million.</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80" w:lineRule="exact"/>
        <w:rPr>
          <w:sz w:val="20"/>
          <w:szCs w:val="20"/>
          <w:color w:val="auto"/>
        </w:rPr>
      </w:pPr>
    </w:p>
    <w:p>
      <w:pPr>
        <w:ind w:left="40" w:right="119" w:firstLine="259"/>
        <w:spacing w:after="0" w:line="257" w:lineRule="auto"/>
        <w:rPr>
          <w:sz w:val="20"/>
          <w:szCs w:val="20"/>
          <w:color w:val="auto"/>
        </w:rPr>
      </w:pPr>
      <w:r>
        <w:rPr>
          <w:rFonts w:ascii="Arial" w:cs="Arial" w:eastAsia="Arial" w:hAnsi="Arial"/>
          <w:sz w:val="18"/>
          <w:szCs w:val="18"/>
          <w:color w:val="auto"/>
        </w:rPr>
        <w:t>During the three months ended January 31, 2020, we implemented a new lease accounting system and process in response to the adoption of ASU No. 2016- 02, "Leases (Topic 842)". These implementations resulted in a material change in a component of our internal control over financial reporting. The operating effectiveness of these changes to our internal control over financial reporting will be evaluated as part of our annual assessment of the effectiveness of internal control over financial reporting for our 2020 fiscal year end.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599" w:firstLine="259"/>
        <w:spacing w:after="0" w:line="277" w:lineRule="auto"/>
        <w:rPr>
          <w:sz w:val="20"/>
          <w:szCs w:val="20"/>
          <w:color w:val="auto"/>
        </w:rPr>
      </w:pPr>
      <w:r>
        <w:rPr>
          <w:rFonts w:ascii="Arial" w:cs="Arial" w:eastAsia="Arial" w:hAnsi="Arial"/>
          <w:sz w:val="18"/>
          <w:szCs w:val="18"/>
          <w:color w:val="auto"/>
        </w:rPr>
        <w:t>From time to time, we are also involved in litigation arising in the ordinary course of our business that we do not believe will have a material adverse impact on our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39" w:firstLine="243"/>
        <w:spacing w:after="0" w:line="293" w:lineRule="auto"/>
        <w:rPr>
          <w:sz w:val="20"/>
          <w:szCs w:val="20"/>
          <w:color w:val="auto"/>
        </w:rPr>
      </w:pPr>
      <w:r>
        <w:rPr>
          <w:rFonts w:ascii="Arial" w:cs="Arial" w:eastAsia="Arial" w:hAnsi="Arial"/>
          <w:sz w:val="16"/>
          <w:szCs w:val="16"/>
          <w:color w:val="auto"/>
        </w:rPr>
        <w:t>The risk factor set forth below updates the risk factors in our Annual Report on Form 10-K for the year ended October 31, 2019. In addition to the risk factor below, you should carefully consider the risk factors discussed in our most recent Form 10-K report, which could materially affect our business, financial position, results of operations and the trading price of our common stock. Further note, that the risks and uncertainties that we face are not limited to those set forth below and/or in the 2019 Form 10-K. Additional risks and uncertainties not presently known to us or that we currently believe to be immaterial may also adversely affect our business and the trading price of our common stock.</w:t>
      </w:r>
    </w:p>
    <w:p>
      <w:pPr>
        <w:spacing w:after="0" w:line="164"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i w:val="1"/>
          <w:iCs w:val="1"/>
          <w:color w:val="auto"/>
        </w:rPr>
        <w:t>Our business could be adversely affected by an outbreak of disease, epidemic or pandemic, or similar public threat, or fear of such an event.</w:t>
      </w:r>
    </w:p>
    <w:p>
      <w:pPr>
        <w:spacing w:after="0" w:line="170" w:lineRule="exact"/>
        <w:rPr>
          <w:sz w:val="20"/>
          <w:szCs w:val="20"/>
          <w:color w:val="auto"/>
        </w:rPr>
      </w:pPr>
    </w:p>
    <w:p>
      <w:pPr>
        <w:ind w:left="40" w:right="79" w:firstLine="243"/>
        <w:spacing w:after="0" w:line="293" w:lineRule="auto"/>
        <w:rPr>
          <w:sz w:val="20"/>
          <w:szCs w:val="20"/>
          <w:color w:val="auto"/>
        </w:rPr>
      </w:pPr>
      <w:r>
        <w:rPr>
          <w:rFonts w:ascii="Arial" w:cs="Arial" w:eastAsia="Arial" w:hAnsi="Arial"/>
          <w:sz w:val="16"/>
          <w:szCs w:val="16"/>
          <w:color w:val="auto"/>
        </w:rPr>
        <w:t>The spreading of a novel strain of coronavirus (“COVID-19”), that is impacting global economic activity, could lead to regional quarantines, labor shortages, changes in consumer purchasing patterns, disruptions to supply chains, including our ability to obtain products from our suppliers, and overall economic instability. While we do not expect that the virus will have a material adverse effect on our business or financial results at this time, we are unable to accurately predict the impact that the coronavirus will have due to various uncertainties, including the ultimate geographic spread of the virus, the severity of the disease, the duration of the outbreak, and actions that may be taken by governmental authorities.</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378"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15 U.S.C. § 7241, as Adopted Pursuant to Section</w:t>
      </w:r>
    </w:p>
    <w:p>
      <w:pPr>
        <w:spacing w:after="0" w:line="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302 of the Sarbanes-Oxley Act of 2002.</w:t>
      </w:r>
    </w:p>
    <w:p>
      <w:pPr>
        <w:spacing w:after="0" w:line="182" w:lineRule="exact"/>
        <w:rPr>
          <w:sz w:val="20"/>
          <w:szCs w:val="20"/>
          <w:color w:val="auto"/>
        </w:rPr>
      </w:pPr>
    </w:p>
    <w:p>
      <w:pPr>
        <w:ind w:left="700"/>
        <w:spacing w:after="0"/>
        <w:tabs>
          <w:tab w:leader="none" w:pos="13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15 U.S.C. § 7241, as Adopted Pursuant to Section</w:t>
      </w:r>
    </w:p>
    <w:p>
      <w:pPr>
        <w:spacing w:after="0" w:line="1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302 of the Sarbanes-Oxley Act of 2002.</w:t>
      </w:r>
    </w:p>
    <w:p>
      <w:pPr>
        <w:spacing w:after="0" w:line="182" w:lineRule="exact"/>
        <w:rPr>
          <w:sz w:val="20"/>
          <w:szCs w:val="20"/>
          <w:color w:val="auto"/>
        </w:rPr>
      </w:pPr>
    </w:p>
    <w:p>
      <w:pPr>
        <w:ind w:left="1340" w:right="279" w:hanging="647"/>
        <w:spacing w:after="0" w:line="261" w:lineRule="auto"/>
        <w:tabs>
          <w:tab w:leader="none" w:pos="13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Chief Executive Officer and Chief Financial Officer of Periodic Report Pursuant to 18 U.S.C. Section 1350.</w:t>
      </w:r>
    </w:p>
    <w:p>
      <w:pPr>
        <w:spacing w:after="0" w:line="157" w:lineRule="exact"/>
        <w:rPr>
          <w:sz w:val="20"/>
          <w:szCs w:val="20"/>
          <w:color w:val="auto"/>
        </w:rPr>
      </w:pPr>
    </w:p>
    <w:p>
      <w:pPr>
        <w:ind w:left="1340" w:right="299" w:hanging="643"/>
        <w:spacing w:after="0" w:line="271" w:lineRule="auto"/>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January 31, 2020, formatted in Inline XBRL (Extensible Business Reporting Language): (1) Consolidated Condensed Balance Sheets as of January 31, 2020 and October 31, 2019;</w:t>
      </w:r>
    </w:p>
    <w:p>
      <w:pPr>
        <w:ind w:left="1340" w:right="179"/>
        <w:spacing w:after="0" w:line="277" w:lineRule="auto"/>
        <w:rPr>
          <w:rFonts w:ascii="Arial" w:cs="Arial" w:eastAsia="Arial" w:hAnsi="Arial"/>
          <w:sz w:val="16"/>
          <w:szCs w:val="16"/>
          <w:color w:val="auto"/>
        </w:rPr>
      </w:pPr>
      <w:r>
        <w:rPr>
          <w:rFonts w:ascii="Arial" w:cs="Arial" w:eastAsia="Arial" w:hAnsi="Arial"/>
          <w:sz w:val="16"/>
          <w:szCs w:val="16"/>
          <w:color w:val="auto"/>
        </w:rPr>
        <w:t>(2) Consolidated Condensed Statements of Income for the three months ended January 31, 2020 and 2019; (3) Consolidated Condensed Statements of Cash Flows for the three months ended January 31, 2020 and 2019; (4) Consolidated Statements of Shareholders Equity for the three months ended January 31, 2020 and 2019; and (5) Notes to Unaudited Condensed Consolidated Financial Statements.</w:t>
      </w:r>
    </w:p>
    <w:p>
      <w:pPr>
        <w:spacing w:after="0" w:line="147" w:lineRule="exact"/>
        <w:rPr>
          <w:sz w:val="20"/>
          <w:szCs w:val="20"/>
          <w:color w:val="auto"/>
        </w:rPr>
      </w:pPr>
    </w:p>
    <w:p>
      <w:pPr>
        <w:ind w:left="1340" w:hanging="643"/>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40" w:type="dxa"/>
            <w:vAlign w:val="bottom"/>
            <w:gridSpan w:val="6"/>
          </w:tcPr>
          <w:p>
            <w:pPr>
              <w:ind w:left="940"/>
              <w:spacing w:after="0"/>
              <w:rPr>
                <w:sz w:val="20"/>
                <w:szCs w:val="20"/>
                <w:color w:val="auto"/>
              </w:rPr>
            </w:pPr>
            <w:r>
              <w:rPr>
                <w:rFonts w:ascii="Arial" w:cs="Arial" w:eastAsia="Arial" w:hAnsi="Arial"/>
                <w:sz w:val="18"/>
                <w:szCs w:val="18"/>
                <w:color w:val="auto"/>
              </w:rPr>
              <w:t>INDEX TO EXHIBITS</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color w:val="auto"/>
              </w:rPr>
              <w:t>Description</w:t>
            </w:r>
          </w:p>
        </w:tc>
      </w:tr>
      <w:tr>
        <w:trPr>
          <w:trHeight w:val="169"/>
        </w:trPr>
        <w:tc>
          <w:tcPr>
            <w:tcW w:w="92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40" w:type="dxa"/>
            <w:vAlign w:val="bottom"/>
            <w:gridSpan w:val="7"/>
          </w:tcPr>
          <w:p>
            <w:pPr>
              <w:spacing w:after="0" w:line="169"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Chief Executive Officer Pursuant to 15 U.S.C. § 7241, as Adopted Pursuant to Section 302</w:t>
              </w:r>
            </w:hyperlink>
          </w:p>
        </w:tc>
      </w:tr>
      <w:tr>
        <w:trPr>
          <w:trHeight w:val="18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of the Sarbanes-Oxley Act of 2002.</w:t>
              </w:r>
            </w:hyperlink>
          </w:p>
        </w:tc>
        <w:tc>
          <w:tcPr>
            <w:tcW w:w="5120" w:type="dxa"/>
            <w:vAlign w:val="bottom"/>
            <w:tcBorders>
              <w:top w:val="single" w:sz="8" w:color="0000EE"/>
            </w:tcBorders>
            <w:gridSpan w:val="4"/>
          </w:tcPr>
          <w:p>
            <w:pPr>
              <w:spacing w:after="0"/>
              <w:rPr>
                <w:sz w:val="15"/>
                <w:szCs w:val="15"/>
                <w:color w:val="auto"/>
              </w:rPr>
            </w:pPr>
          </w:p>
        </w:tc>
        <w:tc>
          <w:tcPr>
            <w:tcW w:w="8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60" w:type="dxa"/>
            <w:vAlign w:val="bottom"/>
            <w:gridSpan w:val="8"/>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Principal Financial Officer Pursuant to 15 U.S.C. § 7241, as Adopted Pursuant to Section</w:t>
              </w:r>
            </w:hyperlink>
          </w:p>
        </w:tc>
      </w:tr>
      <w:tr>
        <w:trPr>
          <w:trHeight w:val="18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5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302 of the Sarbanes-Oxley Act of 2002.</w:t>
              </w:r>
            </w:hyperlink>
          </w:p>
        </w:tc>
        <w:tc>
          <w:tcPr>
            <w:tcW w:w="180" w:type="dxa"/>
            <w:vAlign w:val="bottom"/>
            <w:gridSpan w:val="2"/>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760" w:type="dxa"/>
            <w:vAlign w:val="bottom"/>
            <w:gridSpan w:val="8"/>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Certification by Chief Executive Officer and Chief Financial Officer of Periodic Report Pursuant to 18</w:t>
              </w:r>
            </w:hyperlink>
          </w:p>
        </w:tc>
      </w:tr>
      <w:tr>
        <w:trPr>
          <w:trHeight w:val="18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U.S.C. Section 1350.</w:t>
              </w:r>
            </w:hyperlink>
          </w:p>
        </w:tc>
        <w:tc>
          <w:tcPr>
            <w:tcW w:w="5860" w:type="dxa"/>
            <w:vAlign w:val="bottom"/>
            <w:tcBorders>
              <w:top w:val="single" w:sz="8" w:color="0000EE"/>
            </w:tcBorders>
            <w:gridSpan w:val="3"/>
          </w:tcPr>
          <w:p>
            <w:pPr>
              <w:spacing w:after="0"/>
              <w:rPr>
                <w:sz w:val="15"/>
                <w:szCs w:val="15"/>
                <w:color w:val="auto"/>
              </w:rPr>
            </w:pPr>
          </w:p>
        </w:tc>
        <w:tc>
          <w:tcPr>
            <w:tcW w:w="380" w:type="dxa"/>
            <w:vAlign w:val="bottom"/>
            <w:gridSpan w:val="3"/>
          </w:tcPr>
          <w:p>
            <w:pPr>
              <w:spacing w:after="0"/>
              <w:rPr>
                <w:sz w:val="15"/>
                <w:szCs w:val="15"/>
                <w:color w:val="auto"/>
              </w:rPr>
            </w:pPr>
          </w:p>
        </w:tc>
      </w:tr>
    </w:tbl>
    <w:p>
      <w:pPr>
        <w:spacing w:after="0" w:line="202" w:lineRule="exact"/>
        <w:rPr>
          <w:sz w:val="20"/>
          <w:szCs w:val="20"/>
          <w:color w:val="auto"/>
        </w:rPr>
      </w:pPr>
    </w:p>
    <w:p>
      <w:pPr>
        <w:jc w:val="both"/>
        <w:ind w:left="1200" w:right="159" w:hanging="1151"/>
        <w:spacing w:after="0" w:line="274"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Calavo Growers, Inc. for the quarter ended January 31, 2020, formatted in Inline XBRL (Extensible Business Reporting Language):</w:t>
      </w:r>
    </w:p>
    <w:p>
      <w:pPr>
        <w:ind w:left="1200" w:right="59"/>
        <w:spacing w:after="0" w:line="264" w:lineRule="auto"/>
        <w:rPr>
          <w:rFonts w:ascii="Arial" w:cs="Arial" w:eastAsia="Arial" w:hAnsi="Arial"/>
          <w:sz w:val="16"/>
          <w:szCs w:val="16"/>
          <w:color w:val="auto"/>
        </w:rPr>
      </w:pPr>
      <w:r>
        <w:rPr>
          <w:rFonts w:ascii="Arial" w:cs="Arial" w:eastAsia="Arial" w:hAnsi="Arial"/>
          <w:sz w:val="16"/>
          <w:szCs w:val="16"/>
          <w:color w:val="auto"/>
        </w:rPr>
        <w:t>(1) Consolidated Condensed Balance Sheets as of January 31, 2020 and October 31, 2019; (2) Consolidated Condensed Statements of Income for the three months ended January 31, 2020 and 2019; (3) Consolidated Condensed Statements of Cash Flows for the three months ended January 31, 2020 and 2019; (4)</w:t>
      </w:r>
    </w:p>
    <w:p>
      <w:pPr>
        <w:ind w:left="1200" w:right="319"/>
        <w:spacing w:after="0" w:line="243" w:lineRule="auto"/>
        <w:rPr>
          <w:rFonts w:ascii="Arial" w:cs="Arial" w:eastAsia="Arial" w:hAnsi="Arial"/>
          <w:sz w:val="16"/>
          <w:szCs w:val="16"/>
          <w:color w:val="auto"/>
        </w:rPr>
      </w:pPr>
      <w:r>
        <w:rPr>
          <w:rFonts w:ascii="Arial" w:cs="Arial" w:eastAsia="Arial" w:hAnsi="Arial"/>
          <w:sz w:val="18"/>
          <w:szCs w:val="18"/>
          <w:color w:val="auto"/>
        </w:rPr>
        <w:t>Consolidated Statements of Shareholders Equity for the three months ended January 31, 2020 and 2019; and (5) Notes to Unaudited Condensed Consolidated Financial Statements.</w:t>
      </w:r>
    </w:p>
    <w:p>
      <w:pPr>
        <w:spacing w:after="0" w:line="172" w:lineRule="exact"/>
        <w:rPr>
          <w:sz w:val="20"/>
          <w:szCs w:val="20"/>
          <w:color w:val="auto"/>
        </w:rPr>
      </w:pPr>
    </w:p>
    <w:p>
      <w:pPr>
        <w:ind w:left="1200" w:hanging="1151"/>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Calavo Growers, Inc.</w:t>
            </w:r>
          </w:p>
        </w:tc>
      </w:tr>
      <w:tr>
        <w:trPr>
          <w:trHeight w:val="230"/>
        </w:trPr>
        <w:tc>
          <w:tcPr>
            <w:tcW w:w="8920" w:type="dxa"/>
            <w:vAlign w:val="bottom"/>
            <w:gridSpan w:val="2"/>
          </w:tcPr>
          <w:p>
            <w:pPr>
              <w:ind w:left="4360"/>
              <w:spacing w:after="0"/>
              <w:rPr>
                <w:sz w:val="20"/>
                <w:szCs w:val="20"/>
                <w:color w:val="auto"/>
              </w:rPr>
            </w:pPr>
            <w:r>
              <w:rPr>
                <w:rFonts w:ascii="Arial" w:cs="Arial" w:eastAsia="Arial" w:hAnsi="Arial"/>
                <w:sz w:val="18"/>
                <w:szCs w:val="18"/>
                <w:color w:val="auto"/>
              </w:rPr>
              <w:t>(Registrant)</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March 10, 2020</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Gibson</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James Gibson</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34"/>
        </w:trPr>
        <w:tc>
          <w:tcPr>
            <w:tcW w:w="4760" w:type="dxa"/>
            <w:vAlign w:val="bottom"/>
          </w:tcPr>
          <w:p>
            <w:pPr>
              <w:spacing w:after="0"/>
              <w:rPr>
                <w:sz w:val="20"/>
                <w:szCs w:val="20"/>
                <w:color w:val="auto"/>
              </w:rPr>
            </w:pPr>
            <w:r>
              <w:rPr>
                <w:rFonts w:ascii="Arial" w:cs="Arial" w:eastAsia="Arial" w:hAnsi="Arial"/>
                <w:sz w:val="18"/>
                <w:szCs w:val="18"/>
                <w:color w:val="auto"/>
              </w:rPr>
              <w:t>Date: March 10, 2020</w:t>
            </w:r>
          </w:p>
        </w:tc>
        <w:tc>
          <w:tcPr>
            <w:tcW w:w="4160" w:type="dxa"/>
            <w:vAlign w:val="bottom"/>
          </w:tcPr>
          <w:p>
            <w:pPr>
              <w:spacing w:after="0"/>
              <w:rPr>
                <w:sz w:val="24"/>
                <w:szCs w:val="24"/>
                <w:color w:val="auto"/>
              </w:rPr>
            </w:pPr>
          </w:p>
        </w:tc>
      </w:tr>
      <w:tr>
        <w:trPr>
          <w:trHeight w:val="230"/>
        </w:trPr>
        <w:tc>
          <w:tcPr>
            <w:tcW w:w="4760" w:type="dxa"/>
            <w:vAlign w:val="bottom"/>
          </w:tcPr>
          <w:p>
            <w:pPr>
              <w:ind w:left="4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John Lindeman</w:t>
            </w:r>
          </w:p>
        </w:tc>
      </w:tr>
      <w:tr>
        <w:trPr>
          <w:trHeight w:val="195"/>
        </w:trPr>
        <w:tc>
          <w:tcPr>
            <w:tcW w:w="4760" w:type="dxa"/>
            <w:vAlign w:val="bottom"/>
          </w:tcPr>
          <w:p>
            <w:pPr>
              <w:spacing w:after="0"/>
              <w:rPr>
                <w:sz w:val="16"/>
                <w:szCs w:val="16"/>
                <w:color w:val="auto"/>
              </w:rPr>
            </w:pP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B. John Lindeman</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30"/>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jc w:val="center"/>
        <w:ind w:right="19"/>
        <w:spacing w:after="0" w:line="211" w:lineRule="auto"/>
        <w:rPr>
          <w:sz w:val="20"/>
          <w:szCs w:val="20"/>
          <w:color w:val="auto"/>
        </w:rPr>
      </w:pPr>
      <w:r>
        <w:rPr>
          <w:rFonts w:ascii="Arial" w:cs="Arial" w:eastAsia="Arial" w:hAnsi="Arial"/>
          <w:sz w:val="16"/>
          <w:szCs w:val="16"/>
          <w:color w:val="auto"/>
        </w:rPr>
        <w:t>15 U.S.C. § 7241</w:t>
      </w:r>
    </w:p>
    <w:p>
      <w:pPr>
        <w:jc w:val="center"/>
        <w:ind w:right="19"/>
        <w:spacing w:after="0" w:line="211" w:lineRule="auto"/>
        <w:rPr>
          <w:sz w:val="20"/>
          <w:szCs w:val="20"/>
          <w:color w:val="auto"/>
        </w:rPr>
      </w:pPr>
      <w:r>
        <w:rPr>
          <w:rFonts w:ascii="Arial" w:cs="Arial" w:eastAsia="Arial" w:hAnsi="Arial"/>
          <w:sz w:val="16"/>
          <w:szCs w:val="16"/>
          <w:color w:val="auto"/>
        </w:rPr>
        <w:t>AS ADOPTED PURSUANT TO</w:t>
      </w: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James Gibson, certify that:</w:t>
      </w:r>
    </w:p>
    <w:p>
      <w:pPr>
        <w:spacing w:after="0" w:line="194" w:lineRule="exact"/>
        <w:rPr>
          <w:sz w:val="20"/>
          <w:szCs w:val="20"/>
          <w:color w:val="auto"/>
        </w:rPr>
      </w:pPr>
    </w:p>
    <w:p>
      <w:pPr>
        <w:ind w:left="700" w:hanging="65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700" w:right="179" w:hanging="656"/>
        <w:spacing w:after="0" w:line="230"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700" w:right="239" w:hanging="656"/>
        <w:spacing w:after="0" w:line="230"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700" w:right="539" w:hanging="656"/>
        <w:spacing w:after="0" w:line="248" w:lineRule="auto"/>
        <w:tabs>
          <w:tab w:leader="none" w:pos="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5"/>
          <w:szCs w:val="15"/>
          <w:color w:val="auto"/>
        </w:rPr>
      </w:pPr>
    </w:p>
    <w:p>
      <w:pPr>
        <w:ind w:left="1340" w:right="79" w:hanging="648"/>
        <w:spacing w:after="0" w:line="225"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40" w:right="119" w:hanging="648"/>
        <w:spacing w:after="0" w:line="225"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40" w:right="159" w:hanging="648"/>
        <w:spacing w:after="0" w:line="230"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40" w:right="179" w:hanging="648"/>
        <w:spacing w:after="0" w:line="230"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700" w:right="479" w:hanging="656"/>
        <w:spacing w:after="0" w:line="272" w:lineRule="auto"/>
        <w:tabs>
          <w:tab w:leader="none" w:pos="7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40" w:right="279" w:hanging="648"/>
        <w:spacing w:after="0" w:line="230"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40" w:right="159" w:hanging="648"/>
        <w:spacing w:after="0"/>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March 10, 2020</w:t>
      </w:r>
      <w:r>
        <w:rPr>
          <w:sz w:val="20"/>
          <w:szCs w:val="20"/>
          <w:color w:val="auto"/>
        </w:rPr>
        <w:tab/>
      </w:r>
      <w:r>
        <w:rPr>
          <w:rFonts w:ascii="Arial" w:cs="Arial" w:eastAsia="Arial" w:hAnsi="Arial"/>
          <w:sz w:val="14"/>
          <w:szCs w:val="14"/>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13335</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6"/>
          <w:szCs w:val="16"/>
          <w:color w:val="auto"/>
        </w:rPr>
        <w:t>James Gibson</w:t>
      </w:r>
    </w:p>
    <w:p>
      <w:pPr>
        <w:ind w:left="45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660400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CERTIFICATION PURSUANT TO</w:t>
      </w:r>
    </w:p>
    <w:p>
      <w:pPr>
        <w:jc w:val="center"/>
        <w:ind w:right="19"/>
        <w:spacing w:after="0" w:line="211" w:lineRule="auto"/>
        <w:rPr>
          <w:sz w:val="20"/>
          <w:szCs w:val="20"/>
          <w:color w:val="auto"/>
        </w:rPr>
      </w:pPr>
      <w:r>
        <w:rPr>
          <w:rFonts w:ascii="Arial" w:cs="Arial" w:eastAsia="Arial" w:hAnsi="Arial"/>
          <w:sz w:val="16"/>
          <w:szCs w:val="16"/>
          <w:color w:val="auto"/>
        </w:rPr>
        <w:t>15 U.S.C. § 7241</w:t>
      </w:r>
    </w:p>
    <w:p>
      <w:pPr>
        <w:jc w:val="center"/>
        <w:ind w:right="19"/>
        <w:spacing w:after="0" w:line="211" w:lineRule="auto"/>
        <w:rPr>
          <w:sz w:val="20"/>
          <w:szCs w:val="20"/>
          <w:color w:val="auto"/>
        </w:rPr>
      </w:pPr>
      <w:r>
        <w:rPr>
          <w:rFonts w:ascii="Arial" w:cs="Arial" w:eastAsia="Arial" w:hAnsi="Arial"/>
          <w:sz w:val="16"/>
          <w:szCs w:val="16"/>
          <w:color w:val="auto"/>
        </w:rPr>
        <w:t>AS ADOPTED PURSUANT TO</w:t>
      </w:r>
    </w:p>
    <w:p>
      <w:pPr>
        <w:jc w:val="center"/>
        <w:ind w:right="19"/>
        <w:spacing w:after="0"/>
        <w:rPr>
          <w:sz w:val="20"/>
          <w:szCs w:val="20"/>
          <w:color w:val="auto"/>
        </w:rPr>
      </w:pPr>
      <w:r>
        <w:rPr>
          <w:rFonts w:ascii="Arial" w:cs="Arial" w:eastAsia="Arial" w:hAnsi="Arial"/>
          <w:sz w:val="16"/>
          <w:szCs w:val="16"/>
          <w:color w:val="auto"/>
        </w:rPr>
        <w:t>SECTION 302 OF THE SARBANES-OXLEY ACT OF 2002</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B. John Lindeman, certify that:</w:t>
      </w:r>
    </w:p>
    <w:p>
      <w:pPr>
        <w:spacing w:after="0" w:line="194" w:lineRule="exact"/>
        <w:rPr>
          <w:sz w:val="20"/>
          <w:szCs w:val="20"/>
          <w:color w:val="auto"/>
        </w:rPr>
      </w:pPr>
    </w:p>
    <w:p>
      <w:pPr>
        <w:ind w:left="700" w:hanging="656"/>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Calavo Growers, Inc.;</w:t>
      </w:r>
    </w:p>
    <w:p>
      <w:pPr>
        <w:spacing w:after="0" w:line="194" w:lineRule="exact"/>
        <w:rPr>
          <w:rFonts w:ascii="Arial" w:cs="Arial" w:eastAsia="Arial" w:hAnsi="Arial"/>
          <w:sz w:val="16"/>
          <w:szCs w:val="16"/>
          <w:color w:val="auto"/>
        </w:rPr>
      </w:pPr>
    </w:p>
    <w:p>
      <w:pPr>
        <w:ind w:left="700" w:right="179" w:hanging="656"/>
        <w:spacing w:after="0" w:line="230"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6"/>
          <w:szCs w:val="16"/>
          <w:color w:val="auto"/>
        </w:rPr>
      </w:pPr>
    </w:p>
    <w:p>
      <w:pPr>
        <w:ind w:left="700" w:right="239" w:hanging="656"/>
        <w:spacing w:after="0" w:line="230"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700" w:right="539" w:hanging="656"/>
        <w:spacing w:after="0" w:line="248" w:lineRule="auto"/>
        <w:tabs>
          <w:tab w:leader="none" w:pos="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5"/>
          <w:szCs w:val="15"/>
          <w:color w:val="auto"/>
        </w:rPr>
      </w:pPr>
    </w:p>
    <w:p>
      <w:pPr>
        <w:ind w:left="1340" w:right="79" w:hanging="648"/>
        <w:spacing w:after="0" w:line="225"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1340" w:right="119" w:hanging="648"/>
        <w:spacing w:after="0" w:line="225"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40" w:right="159" w:hanging="648"/>
        <w:spacing w:after="0" w:line="230"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ind w:left="1340" w:right="179" w:hanging="648"/>
        <w:spacing w:after="0" w:line="230"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700" w:right="479" w:hanging="656"/>
        <w:spacing w:after="0" w:line="272" w:lineRule="auto"/>
        <w:tabs>
          <w:tab w:leader="none" w:pos="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9" w:lineRule="exact"/>
        <w:rPr>
          <w:rFonts w:ascii="Arial" w:cs="Arial" w:eastAsia="Arial" w:hAnsi="Arial"/>
          <w:sz w:val="15"/>
          <w:szCs w:val="15"/>
          <w:color w:val="auto"/>
        </w:rPr>
      </w:pPr>
    </w:p>
    <w:p>
      <w:pPr>
        <w:ind w:left="1340" w:right="279" w:hanging="648"/>
        <w:spacing w:after="0" w:line="230"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340" w:right="159" w:hanging="648"/>
        <w:spacing w:after="0"/>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40"/>
        <w:spacing w:after="0"/>
        <w:tabs>
          <w:tab w:leader="none" w:pos="4440" w:val="left"/>
        </w:tabs>
        <w:rPr>
          <w:sz w:val="20"/>
          <w:szCs w:val="20"/>
          <w:color w:val="auto"/>
        </w:rPr>
      </w:pPr>
      <w:r>
        <w:rPr>
          <w:rFonts w:ascii="Arial" w:cs="Arial" w:eastAsia="Arial" w:hAnsi="Arial"/>
          <w:sz w:val="16"/>
          <w:szCs w:val="16"/>
          <w:color w:val="auto"/>
        </w:rPr>
        <w:t xml:space="preserve">Date: </w:t>
      </w:r>
      <w:r>
        <w:rPr>
          <w:rFonts w:ascii="Arial" w:cs="Arial" w:eastAsia="Arial" w:hAnsi="Arial"/>
          <w:sz w:val="17"/>
          <w:szCs w:val="17"/>
          <w:color w:val="auto"/>
        </w:rPr>
        <w:t>March 10, 2020</w:t>
      </w:r>
      <w:r>
        <w:rPr>
          <w:sz w:val="20"/>
          <w:szCs w:val="20"/>
          <w:color w:val="auto"/>
        </w:rPr>
        <w:tab/>
      </w:r>
      <w:r>
        <w:rPr>
          <w:rFonts w:ascii="Arial" w:cs="Arial" w:eastAsia="Arial" w:hAnsi="Arial"/>
          <w:sz w:val="15"/>
          <w:szCs w:val="15"/>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13335</wp:posOffset>
            </wp:positionV>
            <wp:extent cx="2863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6"/>
          <w:szCs w:val="16"/>
          <w:color w:val="auto"/>
        </w:rPr>
        <w:t>B. John Lindeman</w:t>
      </w:r>
    </w:p>
    <w:p>
      <w:pPr>
        <w:ind w:left="4460"/>
        <w:spacing w:after="0" w:line="211" w:lineRule="auto"/>
        <w:rPr>
          <w:sz w:val="20"/>
          <w:szCs w:val="20"/>
          <w:color w:val="auto"/>
        </w:rPr>
      </w:pPr>
      <w:r>
        <w:rPr>
          <w:rFonts w:ascii="Arial" w:cs="Arial" w:eastAsia="Arial" w:hAnsi="Arial"/>
          <w:sz w:val="16"/>
          <w:szCs w:val="16"/>
          <w:color w:val="auto"/>
        </w:rPr>
        <w:t>Chief Financial Officer and Corporate Secretary</w:t>
      </w:r>
    </w:p>
    <w:p>
      <w:pPr>
        <w:ind w:left="44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557530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89"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STATEMENT OF CHIEF EXECUTIVE OFFICER</w:t>
      </w:r>
    </w:p>
    <w:p>
      <w:pPr>
        <w:jc w:val="center"/>
        <w:ind w:right="19"/>
        <w:spacing w:after="0"/>
        <w:rPr>
          <w:sz w:val="20"/>
          <w:szCs w:val="20"/>
          <w:color w:val="auto"/>
        </w:rPr>
      </w:pPr>
      <w:r>
        <w:rPr>
          <w:rFonts w:ascii="Arial" w:cs="Arial" w:eastAsia="Arial" w:hAnsi="Arial"/>
          <w:sz w:val="18"/>
          <w:szCs w:val="18"/>
          <w:color w:val="auto"/>
        </w:rPr>
        <w:t>AND CHIEF FINANCIAL OFFICER</w:t>
      </w:r>
    </w:p>
    <w:p>
      <w:pPr>
        <w:spacing w:after="0" w:line="128" w:lineRule="exact"/>
        <w:rPr>
          <w:sz w:val="20"/>
          <w:szCs w:val="20"/>
          <w:color w:val="auto"/>
        </w:rPr>
      </w:pPr>
    </w:p>
    <w:p>
      <w:pPr>
        <w:ind w:left="40" w:right="59" w:firstLine="648"/>
        <w:spacing w:after="0" w:line="225" w:lineRule="auto"/>
        <w:rPr>
          <w:sz w:val="20"/>
          <w:szCs w:val="20"/>
          <w:color w:val="auto"/>
        </w:rPr>
      </w:pPr>
      <w:r>
        <w:rPr>
          <w:rFonts w:ascii="Arial" w:cs="Arial" w:eastAsia="Arial" w:hAnsi="Arial"/>
          <w:sz w:val="17"/>
          <w:szCs w:val="17"/>
          <w:color w:val="auto"/>
        </w:rPr>
        <w:t>Each of the undersigned, the Chairman of the Board and Chief Executive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January 31, 2020,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10, 2020</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0"/>
        <w:spacing w:after="0" w:line="203" w:lineRule="auto"/>
        <w:rPr>
          <w:sz w:val="20"/>
          <w:szCs w:val="20"/>
          <w:color w:val="auto"/>
        </w:rPr>
      </w:pPr>
      <w:r>
        <w:rPr>
          <w:rFonts w:ascii="Arial" w:cs="Arial" w:eastAsia="Arial" w:hAnsi="Arial"/>
          <w:sz w:val="18"/>
          <w:szCs w:val="18"/>
          <w:color w:val="auto"/>
        </w:rPr>
        <w:t>James Gibson</w:t>
      </w:r>
    </w:p>
    <w:p>
      <w:pPr>
        <w:ind w:left="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 John Lindeman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2828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0"/>
        <w:spacing w:after="0" w:line="203" w:lineRule="auto"/>
        <w:rPr>
          <w:sz w:val="20"/>
          <w:szCs w:val="20"/>
          <w:color w:val="auto"/>
        </w:rPr>
      </w:pPr>
      <w:r>
        <w:rPr>
          <w:rFonts w:ascii="Arial" w:cs="Arial" w:eastAsia="Arial" w:hAnsi="Arial"/>
          <w:sz w:val="18"/>
          <w:szCs w:val="18"/>
          <w:color w:val="auto"/>
        </w:rPr>
        <w:t>B. John Lindeman</w:t>
      </w:r>
    </w:p>
    <w:p>
      <w:pPr>
        <w:ind w:left="40"/>
        <w:spacing w:after="0" w:line="203" w:lineRule="auto"/>
        <w:rPr>
          <w:sz w:val="20"/>
          <w:szCs w:val="20"/>
          <w:color w:val="auto"/>
        </w:rPr>
      </w:pPr>
      <w:r>
        <w:rPr>
          <w:rFonts w:ascii="Arial" w:cs="Arial" w:eastAsia="Arial" w:hAnsi="Arial"/>
          <w:sz w:val="18"/>
          <w:szCs w:val="18"/>
          <w:color w:val="auto"/>
        </w:rPr>
        <w:t>Chief Financial Officer and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775970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7"/>
    </w:lvl>
  </w:abstractNum>
  <w:abstractNum w:abstractNumId="3">
    <w:nsid w:val="515F007C"/>
    <w:multiLevelType w:val="hybridMultilevel"/>
    <w:lvl w:ilvl="0">
      <w:lvlJc w:val="left"/>
      <w:lvlText w:val="%1"/>
      <w:numFmt w:val="decimal"/>
      <w:start w:val="1"/>
    </w:lvl>
    <w:lvl w:ilvl="1">
      <w:lvlJc w:val="left"/>
      <w:lvlText w:val="(%2)"/>
      <w:numFmt w:val="decimal"/>
      <w:start w:val="1"/>
    </w:lvl>
  </w:abstractNum>
  <w:abstractNum w:abstractNumId="4">
    <w:nsid w:val="5BD062C2"/>
    <w:multiLevelType w:val="hybridMultilevel"/>
    <w:lvl w:ilvl="0">
      <w:lvlJc w:val="left"/>
      <w:lvlText w:val="%1."/>
      <w:numFmt w:val="decimal"/>
      <w:start w:val="9"/>
    </w:lvl>
    <w:lvl w:ilvl="1">
      <w:lvlJc w:val="left"/>
      <w:lvlText w:val="%2"/>
      <w:numFmt w:val="decimal"/>
      <w:start w:val="1"/>
    </w:lvl>
  </w:abstractNum>
  <w:abstractNum w:abstractNumId="5">
    <w:nsid w:val="12200854"/>
    <w:multiLevelType w:val="hybridMultilevel"/>
    <w:lvl w:ilvl="0">
      <w:lvlJc w:val="left"/>
      <w:lvlText w:val="%1)"/>
      <w:numFmt w:val="decimal"/>
      <w:start w:val="606"/>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0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2020-03-10T12:05:46Z</dcterms:created>
  <dcterms:modified xsi:type="dcterms:W3CDTF">2020-03-10T12:05:46Z</dcterms:modified>
</cp:coreProperties>
</file>