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3"/>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LEAVENS J LINK</w:t>
              </w:r>
            </w:hyperlink>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40" w:type="dxa"/>
            <w:vAlign w:val="bottom"/>
            <w:gridSpan w:val="7"/>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CALAVO GROWERS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CVGW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80" w:type="dxa"/>
            <w:vAlign w:val="bottom"/>
          </w:tcPr>
          <w:p>
            <w:pPr>
              <w:spacing w:after="0"/>
              <w:rPr>
                <w:sz w:val="15"/>
                <w:szCs w:val="15"/>
                <w:color w:val="auto"/>
              </w:rPr>
            </w:pPr>
          </w:p>
        </w:tc>
        <w:tc>
          <w:tcPr>
            <w:tcW w:w="1660" w:type="dxa"/>
            <w:vAlign w:val="bottom"/>
            <w:gridSpan w:val="4"/>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4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40" w:type="dxa"/>
            <w:vAlign w:val="bottom"/>
            <w:gridSpan w:val="6"/>
            <w:vMerge w:val="continue"/>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1141-A CUMMINGS ROAD</w:t>
            </w:r>
          </w:p>
        </w:tc>
        <w:tc>
          <w:tcPr>
            <w:tcW w:w="134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11/01/2020</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tcBorders>
              <w:bottom w:val="single" w:sz="8" w:color="2C2C2C"/>
            </w:tcBorders>
            <w:gridSpan w:val="4"/>
          </w:tcPr>
          <w:p>
            <w:pPr>
              <w:spacing w:after="0"/>
              <w:rPr>
                <w:sz w:val="12"/>
                <w:szCs w:val="12"/>
                <w:color w:val="auto"/>
              </w:rPr>
            </w:pPr>
          </w:p>
        </w:tc>
        <w:tc>
          <w:tcPr>
            <w:tcW w:w="2160" w:type="dxa"/>
            <w:vAlign w:val="bottom"/>
            <w:tcBorders>
              <w:bottom w:val="single" w:sz="8" w:color="2C2C2C"/>
            </w:tcBorders>
            <w:gridSpan w:val="3"/>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5"/>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86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374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vMerge w:val="restart"/>
          </w:tcPr>
          <w:p>
            <w:pPr>
              <w:spacing w:after="0"/>
              <w:rPr>
                <w:sz w:val="4"/>
                <w:szCs w:val="4"/>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3740" w:type="dxa"/>
            <w:vAlign w:val="bottom"/>
            <w:gridSpan w:val="7"/>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34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6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93060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8"/>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PAULA</w:t>
            </w:r>
          </w:p>
        </w:tc>
        <w:tc>
          <w:tcPr>
            <w:tcW w:w="8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5"/>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4"/>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5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3"/>
                <w:szCs w:val="23"/>
                <w:color w:val="auto"/>
              </w:rPr>
            </w:pPr>
          </w:p>
        </w:tc>
        <w:tc>
          <w:tcPr>
            <w:tcW w:w="1840" w:type="dxa"/>
            <w:vAlign w:val="bottom"/>
            <w:gridSpan w:val="4"/>
          </w:tcPr>
          <w:p>
            <w:pPr>
              <w:ind w:left="920"/>
              <w:spacing w:after="0"/>
              <w:rPr>
                <w:sz w:val="20"/>
                <w:szCs w:val="20"/>
                <w:color w:val="auto"/>
              </w:rPr>
            </w:pPr>
            <w:r>
              <w:rPr>
                <w:rFonts w:ascii="Times New Roman" w:cs="Times New Roman" w:eastAsia="Times New Roman" w:hAnsi="Times New Roman"/>
                <w:sz w:val="17"/>
                <w:szCs w:val="17"/>
                <w:color w:val="0000FF"/>
              </w:rPr>
              <w:t>11/01/2020</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1,500</w:t>
            </w:r>
          </w:p>
        </w:tc>
        <w:tc>
          <w:tcPr>
            <w:tcW w:w="7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92,678</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7"/>
                <w:szCs w:val="17"/>
                <w:color w:val="0000FF"/>
              </w:rPr>
              <w:t>282,572</w:t>
            </w:r>
            <w:r>
              <w:rPr>
                <w:rFonts w:ascii="Times New Roman" w:cs="Times New Roman" w:eastAsia="Times New Roman" w:hAnsi="Times New Roman"/>
                <w:sz w:val="22"/>
                <w:szCs w:val="22"/>
                <w:color w:val="008000"/>
                <w:vertAlign w:val="superscript"/>
              </w:rPr>
              <w:t>(1)</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640" w:type="dxa"/>
            <w:vAlign w:val="bottom"/>
            <w:tcBorders>
              <w:bottom w:val="single" w:sz="8" w:color="2C2C2C"/>
            </w:tcBorders>
            <w:gridSpan w:val="5"/>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70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124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-3234055</wp:posOffset>
            </wp:positionV>
            <wp:extent cx="7031355" cy="32746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27469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indirectly owned by Reporting Person in the name of various partnerships of which Reporting Person shares voting and investment power with respect to these shares of Issuer's common stock held by the partnerships.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 Link Leavens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11/02/2020</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51114" TargetMode="External"/><Relationship Id="rId14"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2020-11-02T12:16:40Z</dcterms:created>
  <dcterms:modified xsi:type="dcterms:W3CDTF">2020-11-02T12:16:40Z</dcterms:modified>
</cp:coreProperties>
</file>