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LEAVENS J LINK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93036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01/04/2016</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1,750</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23"/>
                <w:szCs w:val="23"/>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96,528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317"/>
              <w:spacing w:after="0"/>
              <w:rPr>
                <w:sz w:val="20"/>
                <w:szCs w:val="20"/>
                <w:color w:val="auto"/>
              </w:rPr>
            </w:pPr>
            <w:r>
              <w:rPr>
                <w:rFonts w:ascii="Arial" w:cs="Arial" w:eastAsia="Arial" w:hAnsi="Arial"/>
                <w:sz w:val="18"/>
                <w:szCs w:val="18"/>
                <w:color w:val="0000FF"/>
              </w:rPr>
              <w:t>282,574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indirectly owned by Reporting Person in the name of various partnerships of which Reporting Person shares voting and investment power with respect to these shares of Issuer's common stock held by the partnerships.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0000FF"/>
                <w:w w:val="88"/>
              </w:rPr>
              <w:t>/s/ J. Link Leavens</w:t>
            </w:r>
          </w:p>
        </w:tc>
        <w:tc>
          <w:tcPr>
            <w:tcW w:w="7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01/04/2016</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2020-01-19T05:11:16Z</dcterms:created>
  <dcterms:modified xsi:type="dcterms:W3CDTF">2020-01-19T05:11:16Z</dcterms:modified>
</cp:coreProperties>
</file>