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Marc Laurence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67.23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19.2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Option vests in equal increments on each anniversary date of the grant over a five-year period and each increment is exercisable for five years from its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Marc L. Brown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06/09/2016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56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2020-01-19T08:10:17Z</dcterms:created>
  <dcterms:modified xsi:type="dcterms:W3CDTF">2020-01-19T08:10:17Z</dcterms:modified>
</cp:coreProperties>
</file>