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September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182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California</w:t>
            </w:r>
          </w:p>
        </w:tc>
        <w:tc>
          <w:tcPr>
            <w:tcW w:w="5580" w:type="dxa"/>
            <w:vAlign w:val="bottom"/>
          </w:tcPr>
          <w:p>
            <w:pPr>
              <w:ind w:left="2380"/>
              <w:spacing w:after="0"/>
              <w:rPr>
                <w:sz w:val="20"/>
                <w:szCs w:val="20"/>
                <w:color w:val="auto"/>
              </w:rPr>
            </w:pPr>
            <w:r>
              <w:rPr>
                <w:rFonts w:ascii="Arial" w:cs="Arial" w:eastAsia="Arial" w:hAnsi="Arial"/>
                <w:sz w:val="18"/>
                <w:szCs w:val="18"/>
                <w:b w:val="1"/>
                <w:bCs w:val="1"/>
                <w:color w:val="auto"/>
              </w:rPr>
              <w:t>000-33385</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33-0945304</w:t>
            </w:r>
          </w:p>
        </w:tc>
      </w:tr>
      <w:tr>
        <w:trPr>
          <w:trHeight w:val="149"/>
        </w:trPr>
        <w:tc>
          <w:tcPr>
            <w:tcW w:w="18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5580" w:type="dxa"/>
            <w:vAlign w:val="bottom"/>
          </w:tcPr>
          <w:p>
            <w:pPr>
              <w:ind w:left="2360"/>
              <w:spacing w:after="0" w:line="149" w:lineRule="exact"/>
              <w:rPr>
                <w:sz w:val="20"/>
                <w:szCs w:val="20"/>
                <w:color w:val="auto"/>
              </w:rPr>
            </w:pPr>
            <w:r>
              <w:rPr>
                <w:rFonts w:ascii="Arial" w:cs="Arial" w:eastAsia="Arial" w:hAnsi="Arial"/>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2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of Incorporation)</w:t>
            </w:r>
          </w:p>
        </w:tc>
        <w:tc>
          <w:tcPr>
            <w:tcW w:w="5580" w:type="dxa"/>
            <w:vAlign w:val="bottom"/>
          </w:tcPr>
          <w:p>
            <w:pPr>
              <w:ind w:left="2340"/>
              <w:spacing w:after="0"/>
              <w:rPr>
                <w:sz w:val="20"/>
                <w:szCs w:val="20"/>
                <w:color w:val="auto"/>
              </w:rPr>
            </w:pPr>
            <w:r>
              <w:rPr>
                <w:rFonts w:ascii="Arial" w:cs="Arial" w:eastAsia="Arial" w:hAnsi="Arial"/>
                <w:sz w:val="14"/>
                <w:szCs w:val="14"/>
                <w:b w:val="1"/>
                <w:bCs w:val="1"/>
                <w:color w:val="auto"/>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420" w:type="dxa"/>
            <w:vAlign w:val="bottom"/>
          </w:tcPr>
          <w:p>
            <w:pPr>
              <w:spacing w:after="0"/>
              <w:rPr>
                <w:sz w:val="16"/>
                <w:szCs w:val="16"/>
                <w:color w:val="auto"/>
              </w:rPr>
            </w:pPr>
          </w:p>
        </w:tc>
      </w:tr>
      <w:tr>
        <w:trPr>
          <w:trHeight w:val="581"/>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420" w:type="dxa"/>
            <w:vAlign w:val="bottom"/>
          </w:tcPr>
          <w:p>
            <w:pPr>
              <w:spacing w:after="0"/>
              <w:rPr>
                <w:sz w:val="24"/>
                <w:szCs w:val="24"/>
                <w:color w:val="auto"/>
              </w:rPr>
            </w:pPr>
          </w:p>
        </w:tc>
      </w:tr>
      <w:tr>
        <w:trPr>
          <w:trHeight w:val="417"/>
        </w:trPr>
        <w:tc>
          <w:tcPr>
            <w:tcW w:w="1820" w:type="dxa"/>
            <w:vAlign w:val="bottom"/>
          </w:tcPr>
          <w:p>
            <w:pPr>
              <w:spacing w:after="0"/>
              <w:rPr>
                <w:sz w:val="24"/>
                <w:szCs w:val="24"/>
                <w:color w:val="auto"/>
              </w:rPr>
            </w:pPr>
          </w:p>
        </w:tc>
        <w:tc>
          <w:tcPr>
            <w:tcW w:w="5580" w:type="dxa"/>
            <w:vAlign w:val="bottom"/>
          </w:tcPr>
          <w:p>
            <w:pPr>
              <w:jc w:val="center"/>
              <w:ind w:right="120"/>
              <w:spacing w:after="0"/>
              <w:rPr>
                <w:sz w:val="20"/>
                <w:szCs w:val="20"/>
                <w:color w:val="auto"/>
              </w:rPr>
            </w:pPr>
            <w:r>
              <w:rPr>
                <w:rFonts w:ascii="Arial" w:cs="Arial" w:eastAsia="Arial" w:hAnsi="Arial"/>
                <w:sz w:val="18"/>
                <w:szCs w:val="18"/>
                <w:b w:val="1"/>
                <w:bCs w:val="1"/>
                <w:color w:val="auto"/>
                <w:w w:val="89"/>
              </w:rPr>
              <w:t>Registrant’s telephone number, including area code: (805) 525-1245</w:t>
            </w: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rPr>
              <w:t>CVGW</w:t>
            </w:r>
          </w:p>
        </w:tc>
        <w:tc>
          <w:tcPr>
            <w:tcW w:w="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September 20, 2019, Michael Browne has advised Calavo Growers, Inc., a California corporation (“Calavo”), of his intention to retire as Calavo’s Vice President of Fresh Operations effective December 15, 2019. Effective December 15, 2019, Mr. Browne’s responsibilities at Calavo will be transitioned to Gary M. Gunther, who currently serves as Calavo’s Director of Fresh Operations and has reported to Michael Browne for the last 14 years.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2019</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Lecil E. Cole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2020-01-08T23:55:13Z</dcterms:created>
  <dcterms:modified xsi:type="dcterms:W3CDTF">2020-01-08T23:55:13Z</dcterms:modified>
</cp:coreProperties>
</file>