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COLE LECIL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1141-A CUMMINGS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PAULA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93060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CALAVO GROWERS INC</w:t>
              </w:r>
            </w:hyperlink>
            <w:r>
              <w:rPr/>
              <w:t xml:space="preserve"> [ </w:t>
            </w:r>
            <w:r>
              <w:rPr>
                <w:rFonts w:ascii="Times;serif" w:hAnsi="Times;serif"/>
                <w:color w:val="0000FF"/>
                <w:sz w:val="24"/>
                <w:highlight w:val="white"/>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Chairman, 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06/18/2019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06/18/2019</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9,225</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98.3046</w:t>
            </w:r>
            <w:r>
              <w:rPr>
                <w:rFonts w:ascii="Times;serif" w:hAnsi="Times;serif"/>
                <w:color w:val="008000"/>
                <w:position w:val="7"/>
                <w:sz w:val="16"/>
                <w:sz w:val="20"/>
                <w:highlight w:val="white"/>
              </w:rPr>
              <w:t>(1)</w:t>
            </w:r>
            <w:r>
              <w:rPr/>
              <w:t xml:space="preserve"> </w:t>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492,891</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$98.0018 to $99.0086,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Lecil E. Cole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06/20/2019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62344" TargetMode="External"/><Relationship Id="rId4" Type="http://schemas.openxmlformats.org/officeDocument/2006/relationships/hyperlink" Target="http://www.sec.gov/cgi-bin/browse-edgar?action=getcompany&amp;CIK=000113347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599</Words>
  <CharactersWithSpaces>3757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