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Pursuant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 2022</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94615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21"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1"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9" w:lineRule="exact"/>
        <w:rPr>
          <w:sz w:val="24"/>
          <w:szCs w:val="24"/>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60" w:right="159"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544830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125095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167640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70"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On November 1, 2022, Calavo Growers, Inc. (the “Company”), Bank of America, N.A., as administrative agent, and Farm Credit West, PCA entered into the Seventh Amendment to Credit Agreement (the “Seventh Amendment”). The principal terms of the Seventh Amendment are as follows:</w:t>
      </w:r>
    </w:p>
    <w:p>
      <w:pPr>
        <w:spacing w:after="0" w:line="176" w:lineRule="exact"/>
        <w:rPr>
          <w:sz w:val="20"/>
          <w:szCs w:val="20"/>
          <w:color w:val="auto"/>
        </w:rPr>
      </w:pPr>
    </w:p>
    <w:p>
      <w:pPr>
        <w:ind w:left="720" w:right="439" w:hanging="319"/>
        <w:spacing w:after="0" w:line="297"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Consolidated Fixed Charge Coverage Ratio calculation for the Measurement Period ending on October 31, 2022 has been modified from 1.20:1.00 to 1.00:1.00.</w:t>
      </w:r>
    </w:p>
    <w:p>
      <w:pPr>
        <w:spacing w:after="0" w:line="162"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permitted to declare cash dividends and distributions so long as (i) after giving effect to any such dividend or distribution, Loan Parties are in compliance with a new Consolidated Dividend Adjusted Fixed Charge Coverage Ratio of 1.20:1.00 and (ii) any such cash dividends or other distributions must be paid in the same fiscal quarter in which they are declared. Notwithstanding the foregoing restriction, the Company may, following the Seventh Amendment effective date, declare and make a dividend payment in an amount not to exceed $5,200,000 on or before January 31, 2023.</w:t>
      </w:r>
    </w:p>
    <w:p>
      <w:pPr>
        <w:spacing w:after="0" w:line="190"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Credit facility terms not amended by the Seventh Amendment are described in the Company’s Form 10-K for the year ended October 31, 2021 and Form 10-Q for the quarter ended July 31, 2022.</w:t>
      </w:r>
    </w:p>
    <w:p>
      <w:pPr>
        <w:spacing w:after="0" w:line="16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foregoing is a summary of the material terms and conditions of the Credit Agreement and not a complete discussion of the document. Accordingly, the foregoing is qualified in its entirety by reference to the full text of the Seventh Amendment to Credit Agreement, a copy of which is filed as Exhibit 10.1 to this Form 8-K, and the full text of the Credit Agreement and subsequent amendments, copies of which are on file with the Securities and Exchange Commission. Terms that are capitalized, but not defined, in this Form 8-K shall have the meanings ascribed to them in the Credit Agreement, as amended and modified, included as Exhibit 10.24 to the Company’s Annual Report on Form 10-K, filed with the Securities and Exchange Commission on December 21, 2021.</w:t>
      </w:r>
    </w:p>
    <w:p>
      <w:pPr>
        <w:spacing w:after="0" w:line="18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information included in Item 1.01 of this Current Report on Form 8-K is incorporated by reference into this Item 2.03.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p>
      <w:pPr>
        <w:ind w:left="700" w:hanging="644"/>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700" w:right="2939"/>
        <w:spacing w:after="0" w:line="5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EE"/>
        </w:rPr>
        <w:t>Seventh Amendment to Credit Agreement dated November 1, 2022.</w:t>
      </w:r>
      <w:r>
        <w:rPr>
          <w:rFonts w:ascii="Times New Roman" w:cs="Times New Roman" w:eastAsia="Times New Roman" w:hAnsi="Times New Roman"/>
          <w:sz w:val="18"/>
          <w:szCs w:val="18"/>
          <w:color w:val="auto"/>
        </w:rPr>
        <w:t xml:space="preserve"> 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November 2, 2022</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5715</wp:posOffset>
            </wp:positionV>
            <wp:extent cx="2562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18"/>
          <w:szCs w:val="18"/>
          <w:color w:val="auto"/>
        </w:rPr>
        <w:t>Shawn Munsell</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107"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SEVENTH AMENDMENT TO CREDIT AGREEMENT</w:t>
      </w:r>
    </w:p>
    <w:p>
      <w:pPr>
        <w:spacing w:after="0" w:line="229"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THIS SEVENTH AMENDMENT TO CREDIT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dated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November 1, 2022, and is entered into by and among </w:t>
      </w:r>
      <w:r>
        <w:rPr>
          <w:rFonts w:ascii="Times New Roman" w:cs="Times New Roman" w:eastAsia="Times New Roman" w:hAnsi="Times New Roman"/>
          <w:sz w:val="20"/>
          <w:szCs w:val="20"/>
          <w:b w:val="1"/>
          <w:bCs w:val="1"/>
          <w:color w:val="auto"/>
        </w:rPr>
        <w:t>CALAVO GROWERS, INC.</w:t>
      </w:r>
      <w:r>
        <w:rPr>
          <w:rFonts w:ascii="Times New Roman" w:cs="Times New Roman" w:eastAsia="Times New Roman" w:hAnsi="Times New Roman"/>
          <w:sz w:val="20"/>
          <w:szCs w:val="20"/>
          <w:color w:val="auto"/>
        </w:rPr>
        <w:t>, a California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RENAISSANCE FOOD GROUP, LLC</w:t>
      </w:r>
      <w:r>
        <w:rPr>
          <w:rFonts w:ascii="Times New Roman" w:cs="Times New Roman" w:eastAsia="Times New Roman" w:hAnsi="Times New Roman"/>
          <w:sz w:val="20"/>
          <w:szCs w:val="20"/>
          <w:color w:val="auto"/>
        </w:rPr>
        <w:t>, a Delaware limited liability company (“</w:t>
      </w:r>
      <w:r>
        <w:rPr>
          <w:rFonts w:ascii="Times New Roman" w:cs="Times New Roman" w:eastAsia="Times New Roman" w:hAnsi="Times New Roman"/>
          <w:sz w:val="20"/>
          <w:szCs w:val="20"/>
          <w:u w:val="single" w:color="auto"/>
          <w:color w:val="auto"/>
        </w:rPr>
        <w:t>Renaissance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CALAVO DE MEXICO, S.A. DE C.V.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 sociedad anónima de capital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variable </w:t>
      </w:r>
      <w:r>
        <w:rPr>
          <w:rFonts w:ascii="Times New Roman" w:cs="Times New Roman" w:eastAsia="Times New Roman" w:hAnsi="Times New Roman"/>
          <w:sz w:val="20"/>
          <w:szCs w:val="20"/>
          <w:color w:val="auto"/>
        </w:rPr>
        <w:t>organized under the laws of Mexico (“</w:t>
      </w:r>
      <w:r>
        <w:rPr>
          <w:rFonts w:ascii="Times New Roman" w:cs="Times New Roman" w:eastAsia="Times New Roman" w:hAnsi="Times New Roman"/>
          <w:sz w:val="20"/>
          <w:szCs w:val="20"/>
          <w:u w:val="single" w:color="auto"/>
          <w:color w:val="auto"/>
        </w:rPr>
        <w:t>Calavo Mexico</w:t>
      </w:r>
      <w:r>
        <w:rPr>
          <w:rFonts w:ascii="Times New Roman" w:cs="Times New Roman" w:eastAsia="Times New Roman" w:hAnsi="Times New Roman"/>
          <w:sz w:val="20"/>
          <w:szCs w:val="20"/>
          <w:color w:val="auto"/>
        </w:rPr>
        <w:t>”; together with Renaissance, each,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together with the Borrower, each,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xml:space="preserve">”), the Lenders identified on the signature pages hereto and </w:t>
      </w:r>
      <w:r>
        <w:rPr>
          <w:rFonts w:ascii="Times New Roman" w:cs="Times New Roman" w:eastAsia="Times New Roman" w:hAnsi="Times New Roman"/>
          <w:sz w:val="20"/>
          <w:szCs w:val="20"/>
          <w:b w:val="1"/>
          <w:bCs w:val="1"/>
          <w:color w:val="auto"/>
        </w:rPr>
        <w:t>BANK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AMERICA, N.A.</w:t>
      </w:r>
      <w:r>
        <w:rPr>
          <w:rFonts w:ascii="Times New Roman" w:cs="Times New Roman" w:eastAsia="Times New Roman" w:hAnsi="Times New Roman"/>
          <w:sz w:val="20"/>
          <w:szCs w:val="20"/>
          <w:color w:val="auto"/>
        </w:rPr>
        <w:t>, as administrative agent for the Lenders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 I T N E S S E T H</w:t>
      </w:r>
    </w:p>
    <w:p>
      <w:pPr>
        <w:spacing w:after="0" w:line="216"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pursuant to the Credit Agreement (as amended, modified, supplemented, increased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extended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dated as of June 14, 2016 among the Borrower, the Guarantors identified therein, the Lenders identified therein and the Administrative Agent, the Lenders have agreed to make credit extensions available to the Loan Parties; and</w:t>
      </w:r>
    </w:p>
    <w:p>
      <w:pPr>
        <w:spacing w:after="0" w:line="176"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Borrower and its Subsidiaries have requested that the Administrative Agent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Lenders amend the Credit Agreement in certain respects, which the Administrative Agent and Lenders are willing to do, pursuant to the terms and subject to the conditions set forth herein.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9"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NOW, THEREFORE, IN CONSIDERATION </w:t>
      </w:r>
      <w:r>
        <w:rPr>
          <w:rFonts w:ascii="Times New Roman" w:cs="Times New Roman" w:eastAsia="Times New Roman" w:hAnsi="Times New Roman"/>
          <w:sz w:val="20"/>
          <w:szCs w:val="20"/>
          <w:color w:val="auto"/>
        </w:rPr>
        <w:t>of the premises and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are hereby acknowledged, and intending to be legally bound hereby, the parties hereto agree as follows:</w:t>
      </w:r>
    </w:p>
    <w:p>
      <w:pPr>
        <w:spacing w:after="0" w:line="182" w:lineRule="exact"/>
        <w:rPr>
          <w:sz w:val="20"/>
          <w:szCs w:val="20"/>
          <w:color w:val="auto"/>
        </w:rPr>
      </w:pPr>
    </w:p>
    <w:p>
      <w:pPr>
        <w:ind w:left="200" w:right="239" w:firstLine="657"/>
        <w:spacing w:after="0" w:line="273" w:lineRule="auto"/>
        <w:tabs>
          <w:tab w:leader="none" w:pos="1496"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Defined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Capitalized terms used herein but not otherwise defined herein shall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meanings provided to such terms in the Credit Agreement.</w:t>
      </w:r>
    </w:p>
    <w:p>
      <w:pPr>
        <w:spacing w:after="0" w:line="138" w:lineRule="exact"/>
        <w:rPr>
          <w:rFonts w:ascii="Times New Roman" w:cs="Times New Roman" w:eastAsia="Times New Roman" w:hAnsi="Times New Roman"/>
          <w:sz w:val="20"/>
          <w:szCs w:val="20"/>
          <w:b w:val="1"/>
          <w:bCs w:val="1"/>
          <w:color w:val="auto"/>
        </w:rPr>
      </w:pPr>
    </w:p>
    <w:p>
      <w:pPr>
        <w:ind w:left="1500" w:hanging="643"/>
        <w:spacing w:after="0"/>
        <w:tabs>
          <w:tab w:leader="none" w:pos="150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Amendments to Credit Agreement</w:t>
      </w:r>
      <w:r>
        <w:rPr>
          <w:rFonts w:ascii="Times New Roman" w:cs="Times New Roman" w:eastAsia="Times New Roman" w:hAnsi="Times New Roman"/>
          <w:sz w:val="20"/>
          <w:szCs w:val="20"/>
          <w:b w:val="1"/>
          <w:bCs w:val="1"/>
          <w:color w:val="auto"/>
        </w:rPr>
        <w:t>.</w:t>
      </w:r>
    </w:p>
    <w:p>
      <w:pPr>
        <w:spacing w:after="0" w:line="188" w:lineRule="exact"/>
        <w:rPr>
          <w:rFonts w:ascii="Times New Roman" w:cs="Times New Roman" w:eastAsia="Times New Roman" w:hAnsi="Times New Roman"/>
          <w:sz w:val="20"/>
          <w:szCs w:val="20"/>
          <w:b w:val="1"/>
          <w:bCs w:val="1"/>
          <w:color w:val="auto"/>
        </w:rPr>
      </w:pPr>
    </w:p>
    <w:p>
      <w:pPr>
        <w:ind w:left="200" w:right="219" w:firstLine="1305"/>
        <w:spacing w:after="0" w:line="273" w:lineRule="auto"/>
        <w:tabs>
          <w:tab w:leader="none" w:pos="2144"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1.01 – New Definitions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new definitions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are hereby added to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the Credit Agreement in the appropriate alphabetical order:</w:t>
      </w:r>
    </w:p>
    <w:p>
      <w:pPr>
        <w:spacing w:after="0" w:line="142" w:lineRule="exact"/>
        <w:rPr>
          <w:sz w:val="20"/>
          <w:szCs w:val="20"/>
          <w:color w:val="auto"/>
        </w:rPr>
      </w:pPr>
    </w:p>
    <w:p>
      <w:pPr>
        <w:jc w:val="both"/>
        <w:ind w:left="1500" w:right="859"/>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Dividend Adjusted Fixed Charge Coverage Ratio</w:t>
      </w:r>
      <w:r>
        <w:rPr>
          <w:rFonts w:ascii="Times New Roman" w:cs="Times New Roman" w:eastAsia="Times New Roman" w:hAnsi="Times New Roman"/>
          <w:sz w:val="19"/>
          <w:szCs w:val="19"/>
          <w:color w:val="auto"/>
        </w:rPr>
        <w:t>” means, as of any date of determination, the ratio of (a) (i) Consolidated EBITDA, minus (ii) the aggregate amount of all maintenance Consolidated Capital Expenditures (in the amount of $6,000,000 in any Measurement Period) to (b) the sum of (i) Consolidated Interest Charges to the extent paid in cash, (ii) the aggregate principal amount of all redemptions or similar acquisitions for value of outstanding debt or regularly scheduled principal payments on debt for borrowed money or Capitalized Leases, but excluding (x) any such payments to the extent refinanced through the incurrence of additional Indebtedness otherwise expressly permitted under Section 7.02 and (y) any redemption payments by or on behalf of Calavo Mexico with respect to the Calavo Mexico Letter of Credit, (iii) the aggregate amount of all cash Restricted Payments declared and paid during any Measurement Period, (iv) the aggregate amount of federal, state, local and foreign income Taxes paid in cash and</w:t>
      </w:r>
    </w:p>
    <w:p>
      <w:pPr>
        <w:spacing w:after="0" w:line="11" w:lineRule="exact"/>
        <w:rPr>
          <w:sz w:val="20"/>
          <w:szCs w:val="20"/>
          <w:color w:val="auto"/>
        </w:rPr>
      </w:pPr>
    </w:p>
    <w:p>
      <w:pPr>
        <w:ind w:left="1500" w:right="879" w:firstLine="5"/>
        <w:spacing w:after="0" w:line="246" w:lineRule="auto"/>
        <w:tabs>
          <w:tab w:leader="none" w:pos="178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clause (iii) above, (x) two times the aggregate amount of all cash Restricted Payments to be declared (but not yet paid) during the</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451485</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jc w:val="both"/>
        <w:ind w:left="1500" w:right="879"/>
        <w:spacing w:after="0" w:line="243" w:lineRule="auto"/>
        <w:rPr>
          <w:sz w:val="20"/>
          <w:szCs w:val="20"/>
          <w:color w:val="auto"/>
        </w:rPr>
      </w:pPr>
      <w:r>
        <w:rPr>
          <w:rFonts w:ascii="Times New Roman" w:cs="Times New Roman" w:eastAsia="Times New Roman" w:hAnsi="Times New Roman"/>
          <w:sz w:val="20"/>
          <w:szCs w:val="20"/>
          <w:color w:val="auto"/>
        </w:rPr>
        <w:t>current fiscal quarter, in each case, of or by the Borrower and its Subsidiaries during the fiscal quarter ending on April 30, 2023 and (y) the aggregate amount of all cash Restricted Payments to be declared (but not yet paid) during the current fiscal quarter, in each case, of or by the Borrower and its Subsidiaries during any fiscal quarter ending after April 30, 2023. For the avoidance of doubt, in the event that a cash Restricted Payment is to be declared during any fiscal quarter, the corresponding fiscal quarter of the previous fiscal year shall be excluded from the calculation set forth in clause (iii) above.</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Seventh Amendment Effectiveness Date</w:t>
      </w:r>
      <w:r>
        <w:rPr>
          <w:rFonts w:ascii="Times New Roman" w:cs="Times New Roman" w:eastAsia="Times New Roman" w:hAnsi="Times New Roman"/>
          <w:sz w:val="20"/>
          <w:szCs w:val="20"/>
          <w:color w:val="auto"/>
        </w:rPr>
        <w:t>” means November 1, 2022.</w:t>
      </w:r>
    </w:p>
    <w:p>
      <w:pPr>
        <w:spacing w:after="0" w:line="185" w:lineRule="exact"/>
        <w:rPr>
          <w:sz w:val="20"/>
          <w:szCs w:val="20"/>
          <w:color w:val="auto"/>
        </w:rPr>
      </w:pPr>
    </w:p>
    <w:p>
      <w:pPr>
        <w:ind w:left="200" w:right="239" w:firstLine="1305"/>
        <w:spacing w:after="0" w:line="273" w:lineRule="auto"/>
        <w:tabs>
          <w:tab w:leader="none" w:pos="214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7.06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Credit Agreement is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and restated in its entirety to read as follows:</w:t>
      </w:r>
    </w:p>
    <w:p>
      <w:pPr>
        <w:spacing w:after="0" w:line="138" w:lineRule="exact"/>
        <w:rPr>
          <w:sz w:val="20"/>
          <w:szCs w:val="20"/>
          <w:color w:val="auto"/>
        </w:rPr>
      </w:pPr>
    </w:p>
    <w:p>
      <w:pPr>
        <w:ind w:left="2160"/>
        <w:spacing w:after="0"/>
        <w:tabs>
          <w:tab w:leader="none" w:pos="2780" w:val="left"/>
        </w:tabs>
        <w:rPr>
          <w:sz w:val="20"/>
          <w:szCs w:val="20"/>
          <w:color w:val="auto"/>
        </w:rPr>
      </w:pPr>
      <w:r>
        <w:rPr>
          <w:rFonts w:ascii="Times New Roman" w:cs="Times New Roman" w:eastAsia="Times New Roman" w:hAnsi="Times New Roman"/>
          <w:sz w:val="20"/>
          <w:szCs w:val="20"/>
          <w:color w:val="auto"/>
        </w:rPr>
        <w:t>7.06</w:t>
      </w:r>
      <w:r>
        <w:rPr>
          <w:sz w:val="20"/>
          <w:szCs w:val="20"/>
          <w:color w:val="auto"/>
        </w:rPr>
        <w:tab/>
      </w:r>
      <w:r>
        <w:rPr>
          <w:rFonts w:ascii="Times New Roman" w:cs="Times New Roman" w:eastAsia="Times New Roman" w:hAnsi="Times New Roman"/>
          <w:sz w:val="19"/>
          <w:szCs w:val="19"/>
          <w:b w:val="1"/>
          <w:bCs w:val="1"/>
          <w:u w:val="single" w:color="auto"/>
          <w:color w:val="auto"/>
        </w:rPr>
        <w:t>Restricted Payments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left="1500" w:right="859" w:firstLine="648"/>
        <w:spacing w:after="0" w:line="249" w:lineRule="auto"/>
        <w:rPr>
          <w:sz w:val="20"/>
          <w:szCs w:val="20"/>
          <w:color w:val="auto"/>
        </w:rPr>
      </w:pPr>
      <w:r>
        <w:rPr>
          <w:rFonts w:ascii="Times New Roman" w:cs="Times New Roman" w:eastAsia="Times New Roman" w:hAnsi="Times New Roman"/>
          <w:sz w:val="20"/>
          <w:szCs w:val="20"/>
          <w:color w:val="auto"/>
        </w:rPr>
        <w:t>Declare or make, directly or indirectly, any Restricted Payment, or incur any obligation (contingent or otherwise) to do so, except that, so long as no Default shall have occurred and be continuing at the time of any action described below or would result therefrom:</w:t>
      </w:r>
    </w:p>
    <w:p>
      <w:pPr>
        <w:spacing w:after="0" w:line="180" w:lineRule="exact"/>
        <w:rPr>
          <w:sz w:val="20"/>
          <w:szCs w:val="20"/>
          <w:color w:val="auto"/>
        </w:rPr>
      </w:pPr>
    </w:p>
    <w:p>
      <w:pPr>
        <w:jc w:val="both"/>
        <w:ind w:left="1500" w:right="859" w:firstLine="653"/>
        <w:spacing w:after="0" w:line="249" w:lineRule="auto"/>
        <w:tabs>
          <w:tab w:leader="none" w:pos="2796"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Subsidiary may make Restricted Payments to any Person that owns Equity Interests in such Subsidiary, ratably according to their respective holdings of the type of Equity Interest in respect of which such Restricted Payment is being made;</w:t>
      </w:r>
    </w:p>
    <w:p>
      <w:pPr>
        <w:spacing w:after="0" w:line="179" w:lineRule="exact"/>
        <w:rPr>
          <w:rFonts w:ascii="Times New Roman" w:cs="Times New Roman" w:eastAsia="Times New Roman" w:hAnsi="Times New Roman"/>
          <w:sz w:val="20"/>
          <w:szCs w:val="20"/>
          <w:color w:val="auto"/>
        </w:rPr>
      </w:pPr>
    </w:p>
    <w:p>
      <w:pPr>
        <w:jc w:val="both"/>
        <w:ind w:left="1500" w:right="879" w:firstLine="653"/>
        <w:spacing w:after="0" w:line="258" w:lineRule="auto"/>
        <w:tabs>
          <w:tab w:leader="none" w:pos="2796"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each Subsidiary may declare and make dividend payments or other distributions, in each case, payable solely in common Equity Interests of such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prior to each such declaration made pursuant to this clause (b), the Loan Parties shall have satisfied the financial covenants set forth in Section 7.11, with respect to each such Measurement Period most recently ended, each on a pro forma basis, and shall have provided to Administrative Agent a certificate certifying as to compliance with such financial covenants and demonstrating (in reasonable detail) the calculations required thereunder; and</w:t>
      </w:r>
    </w:p>
    <w:p>
      <w:pPr>
        <w:spacing w:after="0" w:line="173" w:lineRule="exact"/>
        <w:rPr>
          <w:rFonts w:ascii="Times New Roman" w:cs="Times New Roman" w:eastAsia="Times New Roman" w:hAnsi="Times New Roman"/>
          <w:sz w:val="19"/>
          <w:szCs w:val="19"/>
          <w:color w:val="auto"/>
        </w:rPr>
      </w:pPr>
    </w:p>
    <w:p>
      <w:pPr>
        <w:jc w:val="both"/>
        <w:ind w:left="1500" w:right="859" w:firstLine="653"/>
        <w:spacing w:after="0" w:line="256" w:lineRule="auto"/>
        <w:tabs>
          <w:tab w:leader="none" w:pos="2796"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declare and make dividend payments or other distributions, in each case, payable in cash;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prior to each such declaration made pursuant to this clause (c), the Loan Parties shall have provided to the Administrative Agent a certificate certifying to and demonstrating (in reasonable detail) that the Consolidated Dividend Adjusted Fixed Charge Coverage Ratio, calculated as of the Measurement Period most recently ended and giving effect to such cash dividend or other distribution, is not less than 1.20:1.00 and (y) any such cash dividends or other distributions must be paid in the same fiscal quarter that they are declared. Notwithstanding the foregoing, the Borrower may, on or after the Seventh Amendment Effective Date, declare and make a dividend payment in an amount not to exceed $5,200,000 on or before January 31, 2023.</w:t>
      </w:r>
    </w:p>
    <w:p>
      <w:pPr>
        <w:spacing w:after="0" w:line="173" w:lineRule="exact"/>
        <w:rPr>
          <w:rFonts w:ascii="Times New Roman" w:cs="Times New Roman" w:eastAsia="Times New Roman" w:hAnsi="Times New Roman"/>
          <w:sz w:val="19"/>
          <w:szCs w:val="19"/>
          <w:color w:val="auto"/>
        </w:rPr>
      </w:pPr>
    </w:p>
    <w:p>
      <w:pPr>
        <w:ind w:left="200" w:right="239" w:firstLine="1305"/>
        <w:spacing w:after="0" w:line="273" w:lineRule="auto"/>
        <w:tabs>
          <w:tab w:leader="none" w:pos="214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to Section 7.11(b)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7.11(b)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Credit Agreement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amended and restated in its entirety to read as follows: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451485</wp:posOffset>
            </wp:positionV>
            <wp:extent cx="54521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 w:name="page6"/>
    <w:bookmarkEnd w:id="5"/>
    <w:p>
      <w:pPr>
        <w:jc w:val="both"/>
        <w:ind w:left="1500" w:right="879" w:firstLine="653"/>
        <w:spacing w:after="0" w:line="255" w:lineRule="auto"/>
        <w:tabs>
          <w:tab w:leader="none" w:pos="2796" w:val="left"/>
        </w:tabs>
        <w:numPr>
          <w:ilvl w:val="1"/>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Consolidated Fixed Charge Coverage Ratio</w:t>
      </w:r>
      <w:r>
        <w:rPr>
          <w:rFonts w:ascii="Times New Roman" w:cs="Times New Roman" w:eastAsia="Times New Roman" w:hAnsi="Times New Roman"/>
          <w:sz w:val="19"/>
          <w:szCs w:val="19"/>
          <w:color w:val="auto"/>
        </w:rPr>
        <w:t>. (i) Commencing April 30, 2022 through and including September 30, 2022, permit the Consolidated Fixed Charge Coverage Ratio as of the last day of any fiscal month, measured on a period-to-date basis for the period commencing on February 1, 2022 and ending on the date of measurement set forth in the table below, to be less than 1.20:1.00, (ii) permit the Consolidated Fixed Charge Coverage Ratio as of the end of the Measurement Period ending on October 31, 2022, to be less than 1.00:1.00, and</w:t>
      </w:r>
    </w:p>
    <w:p>
      <w:pPr>
        <w:spacing w:after="0" w:line="2" w:lineRule="exact"/>
        <w:rPr>
          <w:rFonts w:ascii="Times New Roman" w:cs="Times New Roman" w:eastAsia="Times New Roman" w:hAnsi="Times New Roman"/>
          <w:sz w:val="19"/>
          <w:szCs w:val="19"/>
          <w:color w:val="auto"/>
        </w:rPr>
      </w:pPr>
    </w:p>
    <w:p>
      <w:pPr>
        <w:jc w:val="both"/>
        <w:ind w:left="1500" w:right="879" w:firstLine="5"/>
        <w:spacing w:after="0" w:line="242" w:lineRule="auto"/>
        <w:tabs>
          <w:tab w:leader="none" w:pos="184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thereafter, permit the Consolidated Fixed Charge Coverage Ratio as of the end of any Measurement Period ending as of the end of any fiscal quarter of the Borrower to be less than 1.20:1.00.</w:t>
      </w:r>
    </w:p>
    <w:p>
      <w:pPr>
        <w:spacing w:after="0" w:line="190" w:lineRule="exact"/>
        <w:rPr>
          <w:sz w:val="20"/>
          <w:szCs w:val="20"/>
          <w:color w:val="auto"/>
        </w:rPr>
      </w:pPr>
    </w:p>
    <w:tbl>
      <w:tblPr>
        <w:tblLayout w:type="fixed"/>
        <w:tblInd w:w="1750" w:type="dxa"/>
        <w:tblCellMar>
          <w:top w:w="0" w:type="dxa"/>
          <w:left w:w="0" w:type="dxa"/>
          <w:bottom w:w="0" w:type="dxa"/>
          <w:right w:w="0" w:type="dxa"/>
        </w:tblCellMar>
      </w:tblPr>
      <w:tr>
        <w:trPr>
          <w:trHeight w:val="203"/>
        </w:trPr>
        <w:tc>
          <w:tcPr>
            <w:tcW w:w="2180" w:type="dxa"/>
            <w:vAlign w:val="bottom"/>
            <w:tcBorders>
              <w:top w:val="single" w:sz="8" w:color="auto"/>
              <w:left w:val="single" w:sz="8" w:color="auto"/>
              <w:right w:val="single" w:sz="8" w:color="auto"/>
            </w:tcBorders>
            <w:gridSpan w:val="3"/>
            <w:shd w:val="clear" w:color="auto" w:fill="002060"/>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FFFFFF"/>
                <w:w w:val="98"/>
              </w:rPr>
              <w:t>Fiscal Month Ending</w:t>
            </w:r>
          </w:p>
        </w:tc>
        <w:tc>
          <w:tcPr>
            <w:tcW w:w="1380" w:type="dxa"/>
            <w:vAlign w:val="bottom"/>
            <w:tcBorders>
              <w:top w:val="single" w:sz="8" w:color="auto"/>
            </w:tcBorders>
            <w:shd w:val="clear" w:color="auto" w:fill="002060"/>
          </w:tcPr>
          <w:p>
            <w:pPr>
              <w:spacing w:after="0"/>
              <w:rPr>
                <w:sz w:val="17"/>
                <w:szCs w:val="17"/>
                <w:color w:val="auto"/>
              </w:rPr>
            </w:pPr>
          </w:p>
        </w:tc>
        <w:tc>
          <w:tcPr>
            <w:tcW w:w="1980" w:type="dxa"/>
            <w:vAlign w:val="bottom"/>
            <w:tcBorders>
              <w:top w:val="single" w:sz="8" w:color="auto"/>
              <w:right w:val="single" w:sz="8" w:color="auto"/>
            </w:tcBorders>
            <w:gridSpan w:val="2"/>
            <w:shd w:val="clear" w:color="auto" w:fill="002060"/>
          </w:tcPr>
          <w:p>
            <w:pPr>
              <w:jc w:val="center"/>
              <w:ind w:right="1420"/>
              <w:spacing w:after="0" w:line="203" w:lineRule="exact"/>
              <w:rPr>
                <w:sz w:val="20"/>
                <w:szCs w:val="20"/>
                <w:color w:val="auto"/>
              </w:rPr>
            </w:pPr>
            <w:r>
              <w:rPr>
                <w:rFonts w:ascii="Times New Roman" w:cs="Times New Roman" w:eastAsia="Times New Roman" w:hAnsi="Times New Roman"/>
                <w:sz w:val="20"/>
                <w:szCs w:val="20"/>
                <w:b w:val="1"/>
                <w:bCs w:val="1"/>
                <w:color w:val="FFFFFF"/>
                <w:w w:val="98"/>
              </w:rPr>
              <w:t>Period</w:t>
            </w:r>
          </w:p>
        </w:tc>
      </w:tr>
      <w:tr>
        <w:trPr>
          <w:trHeight w:val="250"/>
        </w:trPr>
        <w:tc>
          <w:tcPr>
            <w:tcW w:w="200" w:type="dxa"/>
            <w:vAlign w:val="bottom"/>
            <w:tcBorders>
              <w:top w:val="single" w:sz="8" w:color="002060"/>
              <w:left w:val="single" w:sz="8" w:color="auto"/>
              <w:bottom w:val="single" w:sz="8" w:color="auto"/>
            </w:tcBorders>
            <w:shd w:val="clear" w:color="auto" w:fill="002060"/>
          </w:tcPr>
          <w:p>
            <w:pPr>
              <w:spacing w:after="0"/>
              <w:rPr>
                <w:sz w:val="21"/>
                <w:szCs w:val="21"/>
                <w:color w:val="auto"/>
              </w:rPr>
            </w:pPr>
          </w:p>
        </w:tc>
        <w:tc>
          <w:tcPr>
            <w:tcW w:w="1780" w:type="dxa"/>
            <w:vAlign w:val="bottom"/>
            <w:tcBorders>
              <w:top w:val="single" w:sz="8" w:color="auto"/>
              <w:bottom w:val="single" w:sz="8" w:color="auto"/>
            </w:tcBorders>
            <w:shd w:val="clear" w:color="auto" w:fill="002060"/>
          </w:tcPr>
          <w:p>
            <w:pPr>
              <w:spacing w:after="0"/>
              <w:rPr>
                <w:sz w:val="21"/>
                <w:szCs w:val="21"/>
                <w:color w:val="auto"/>
              </w:rPr>
            </w:pPr>
          </w:p>
        </w:tc>
        <w:tc>
          <w:tcPr>
            <w:tcW w:w="200" w:type="dxa"/>
            <w:vAlign w:val="bottom"/>
            <w:tcBorders>
              <w:top w:val="single" w:sz="8" w:color="002060"/>
              <w:bottom w:val="single" w:sz="8" w:color="auto"/>
              <w:right w:val="single" w:sz="8" w:color="auto"/>
            </w:tcBorders>
            <w:shd w:val="clear" w:color="auto" w:fill="002060"/>
          </w:tcPr>
          <w:p>
            <w:pPr>
              <w:spacing w:after="0"/>
              <w:rPr>
                <w:sz w:val="21"/>
                <w:szCs w:val="21"/>
                <w:color w:val="auto"/>
              </w:rPr>
            </w:pPr>
          </w:p>
        </w:tc>
        <w:tc>
          <w:tcPr>
            <w:tcW w:w="1380" w:type="dxa"/>
            <w:vAlign w:val="bottom"/>
            <w:tcBorders>
              <w:top w:val="single" w:sz="8" w:color="002060"/>
              <w:bottom w:val="single" w:sz="8" w:color="auto"/>
            </w:tcBorders>
            <w:shd w:val="clear" w:color="auto" w:fill="002060"/>
          </w:tcPr>
          <w:p>
            <w:pPr>
              <w:spacing w:after="0"/>
              <w:rPr>
                <w:sz w:val="21"/>
                <w:szCs w:val="21"/>
                <w:color w:val="auto"/>
              </w:rPr>
            </w:pPr>
          </w:p>
        </w:tc>
        <w:tc>
          <w:tcPr>
            <w:tcW w:w="560" w:type="dxa"/>
            <w:vAlign w:val="bottom"/>
            <w:tcBorders>
              <w:top w:val="single" w:sz="8" w:color="auto"/>
              <w:bottom w:val="single" w:sz="8" w:color="auto"/>
            </w:tcBorders>
            <w:shd w:val="clear" w:color="auto" w:fill="002060"/>
          </w:tcPr>
          <w:p>
            <w:pPr>
              <w:spacing w:after="0"/>
              <w:rPr>
                <w:sz w:val="21"/>
                <w:szCs w:val="21"/>
                <w:color w:val="auto"/>
              </w:rPr>
            </w:pPr>
          </w:p>
        </w:tc>
        <w:tc>
          <w:tcPr>
            <w:tcW w:w="1420" w:type="dxa"/>
            <w:vAlign w:val="bottom"/>
            <w:tcBorders>
              <w:top w:val="single" w:sz="8" w:color="002060"/>
              <w:bottom w:val="single" w:sz="8" w:color="auto"/>
              <w:right w:val="single" w:sz="8" w:color="auto"/>
            </w:tcBorders>
            <w:shd w:val="clear" w:color="auto" w:fill="002060"/>
          </w:tcPr>
          <w:p>
            <w:pPr>
              <w:spacing w:after="0"/>
              <w:rPr>
                <w:sz w:val="21"/>
                <w:szCs w:val="21"/>
                <w:color w:val="auto"/>
              </w:rPr>
            </w:pPr>
          </w:p>
        </w:tc>
      </w:tr>
      <w:tr>
        <w:trPr>
          <w:trHeight w:val="200"/>
        </w:trPr>
        <w:tc>
          <w:tcPr>
            <w:tcW w:w="200" w:type="dxa"/>
            <w:vAlign w:val="bottom"/>
            <w:tcBorders>
              <w:left w:val="single" w:sz="8" w:color="auto"/>
            </w:tcBorders>
          </w:tcPr>
          <w:p>
            <w:pPr>
              <w:spacing w:after="0"/>
              <w:rPr>
                <w:sz w:val="17"/>
                <w:szCs w:val="17"/>
                <w:color w:val="auto"/>
              </w:rPr>
            </w:pPr>
          </w:p>
        </w:tc>
        <w:tc>
          <w:tcPr>
            <w:tcW w:w="1980" w:type="dxa"/>
            <w:vAlign w:val="bottom"/>
            <w:tcBorders>
              <w:right w:val="single" w:sz="8" w:color="auto"/>
            </w:tcBorders>
            <w:gridSpan w:val="2"/>
          </w:tcPr>
          <w:p>
            <w:pPr>
              <w:jc w:val="center"/>
              <w:ind w:right="220"/>
              <w:spacing w:after="0" w:line="200" w:lineRule="exact"/>
              <w:rPr>
                <w:sz w:val="20"/>
                <w:szCs w:val="20"/>
                <w:color w:val="auto"/>
              </w:rPr>
            </w:pPr>
            <w:r>
              <w:rPr>
                <w:rFonts w:ascii="Times New Roman" w:cs="Times New Roman" w:eastAsia="Times New Roman" w:hAnsi="Times New Roman"/>
                <w:sz w:val="20"/>
                <w:szCs w:val="20"/>
                <w:color w:val="auto"/>
                <w:w w:val="98"/>
              </w:rPr>
              <w:t>April 30, 2022</w:t>
            </w:r>
          </w:p>
        </w:tc>
        <w:tc>
          <w:tcPr>
            <w:tcW w:w="3360" w:type="dxa"/>
            <w:vAlign w:val="bottom"/>
            <w:tcBorders>
              <w:right w:val="single" w:sz="8" w:color="auto"/>
            </w:tcBorders>
            <w:gridSpan w:val="3"/>
          </w:tcPr>
          <w:p>
            <w:pPr>
              <w:jc w:val="center"/>
              <w:ind w:right="40"/>
              <w:spacing w:after="0" w:line="200" w:lineRule="exact"/>
              <w:rPr>
                <w:sz w:val="20"/>
                <w:szCs w:val="20"/>
                <w:color w:val="auto"/>
              </w:rPr>
            </w:pPr>
            <w:r>
              <w:rPr>
                <w:rFonts w:ascii="Times New Roman" w:cs="Times New Roman" w:eastAsia="Times New Roman" w:hAnsi="Times New Roman"/>
                <w:sz w:val="20"/>
                <w:szCs w:val="20"/>
                <w:color w:val="auto"/>
                <w:w w:val="99"/>
              </w:rPr>
              <w:t>Three consecutive fiscal month period</w:t>
            </w:r>
          </w:p>
        </w:tc>
      </w:tr>
      <w:tr>
        <w:trPr>
          <w:trHeight w:val="252"/>
        </w:trPr>
        <w:tc>
          <w:tcPr>
            <w:tcW w:w="200" w:type="dxa"/>
            <w:vAlign w:val="bottom"/>
            <w:tcBorders>
              <w:left w:val="single" w:sz="8" w:color="auto"/>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336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9"/>
              </w:rPr>
              <w:t>ending on April 30, 2022</w:t>
            </w:r>
          </w:p>
        </w:tc>
      </w:tr>
      <w:tr>
        <w:trPr>
          <w:trHeight w:val="200"/>
        </w:trPr>
        <w:tc>
          <w:tcPr>
            <w:tcW w:w="200" w:type="dxa"/>
            <w:vAlign w:val="bottom"/>
            <w:tcBorders>
              <w:left w:val="single" w:sz="8" w:color="auto"/>
            </w:tcBorders>
          </w:tcPr>
          <w:p>
            <w:pPr>
              <w:spacing w:after="0"/>
              <w:rPr>
                <w:sz w:val="17"/>
                <w:szCs w:val="17"/>
                <w:color w:val="auto"/>
              </w:rPr>
            </w:pPr>
          </w:p>
        </w:tc>
        <w:tc>
          <w:tcPr>
            <w:tcW w:w="1980" w:type="dxa"/>
            <w:vAlign w:val="bottom"/>
            <w:tcBorders>
              <w:right w:val="single" w:sz="8" w:color="auto"/>
            </w:tcBorders>
            <w:gridSpan w:val="2"/>
          </w:tcPr>
          <w:p>
            <w:pPr>
              <w:jc w:val="center"/>
              <w:ind w:right="200"/>
              <w:spacing w:after="0" w:line="200" w:lineRule="exact"/>
              <w:rPr>
                <w:sz w:val="20"/>
                <w:szCs w:val="20"/>
                <w:color w:val="auto"/>
              </w:rPr>
            </w:pPr>
            <w:r>
              <w:rPr>
                <w:rFonts w:ascii="Times New Roman" w:cs="Times New Roman" w:eastAsia="Times New Roman" w:hAnsi="Times New Roman"/>
                <w:sz w:val="20"/>
                <w:szCs w:val="20"/>
                <w:color w:val="auto"/>
                <w:w w:val="98"/>
              </w:rPr>
              <w:t>May 31, 2022</w:t>
            </w:r>
          </w:p>
        </w:tc>
        <w:tc>
          <w:tcPr>
            <w:tcW w:w="3360" w:type="dxa"/>
            <w:vAlign w:val="bottom"/>
            <w:tcBorders>
              <w:right w:val="single" w:sz="8" w:color="auto"/>
            </w:tcBorders>
            <w:gridSpan w:val="3"/>
          </w:tcPr>
          <w:p>
            <w:pPr>
              <w:jc w:val="center"/>
              <w:ind w:right="40"/>
              <w:spacing w:after="0" w:line="200" w:lineRule="exact"/>
              <w:rPr>
                <w:sz w:val="20"/>
                <w:szCs w:val="20"/>
                <w:color w:val="auto"/>
              </w:rPr>
            </w:pPr>
            <w:r>
              <w:rPr>
                <w:rFonts w:ascii="Times New Roman" w:cs="Times New Roman" w:eastAsia="Times New Roman" w:hAnsi="Times New Roman"/>
                <w:sz w:val="20"/>
                <w:szCs w:val="20"/>
                <w:color w:val="auto"/>
                <w:w w:val="99"/>
              </w:rPr>
              <w:t>Four consecutive fiscal month period</w:t>
            </w:r>
          </w:p>
        </w:tc>
      </w:tr>
      <w:tr>
        <w:trPr>
          <w:trHeight w:val="252"/>
        </w:trPr>
        <w:tc>
          <w:tcPr>
            <w:tcW w:w="200" w:type="dxa"/>
            <w:vAlign w:val="bottom"/>
            <w:tcBorders>
              <w:left w:val="single" w:sz="8" w:color="auto"/>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3360" w:type="dxa"/>
            <w:vAlign w:val="bottom"/>
            <w:tcBorders>
              <w:bottom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0"/>
                <w:szCs w:val="20"/>
                <w:color w:val="auto"/>
                <w:w w:val="98"/>
              </w:rPr>
              <w:t>ending on May 31, 2022</w:t>
            </w:r>
          </w:p>
        </w:tc>
      </w:tr>
      <w:tr>
        <w:trPr>
          <w:trHeight w:val="200"/>
        </w:trPr>
        <w:tc>
          <w:tcPr>
            <w:tcW w:w="200" w:type="dxa"/>
            <w:vAlign w:val="bottom"/>
            <w:tcBorders>
              <w:left w:val="single" w:sz="8" w:color="auto"/>
            </w:tcBorders>
          </w:tcPr>
          <w:p>
            <w:pPr>
              <w:spacing w:after="0"/>
              <w:rPr>
                <w:sz w:val="17"/>
                <w:szCs w:val="17"/>
                <w:color w:val="auto"/>
              </w:rPr>
            </w:pPr>
          </w:p>
        </w:tc>
        <w:tc>
          <w:tcPr>
            <w:tcW w:w="1980" w:type="dxa"/>
            <w:vAlign w:val="bottom"/>
            <w:tcBorders>
              <w:right w:val="single" w:sz="8" w:color="auto"/>
            </w:tcBorders>
            <w:gridSpan w:val="2"/>
          </w:tcPr>
          <w:p>
            <w:pPr>
              <w:jc w:val="center"/>
              <w:ind w:right="200"/>
              <w:spacing w:after="0" w:line="200" w:lineRule="exact"/>
              <w:rPr>
                <w:sz w:val="20"/>
                <w:szCs w:val="20"/>
                <w:color w:val="auto"/>
              </w:rPr>
            </w:pPr>
            <w:r>
              <w:rPr>
                <w:rFonts w:ascii="Times New Roman" w:cs="Times New Roman" w:eastAsia="Times New Roman" w:hAnsi="Times New Roman"/>
                <w:sz w:val="20"/>
                <w:szCs w:val="20"/>
                <w:color w:val="auto"/>
                <w:w w:val="98"/>
              </w:rPr>
              <w:t>June 30, 2022</w:t>
            </w:r>
          </w:p>
        </w:tc>
        <w:tc>
          <w:tcPr>
            <w:tcW w:w="3360" w:type="dxa"/>
            <w:vAlign w:val="bottom"/>
            <w:tcBorders>
              <w:right w:val="single" w:sz="8" w:color="auto"/>
            </w:tcBorders>
            <w:gridSpan w:val="3"/>
          </w:tcPr>
          <w:p>
            <w:pPr>
              <w:jc w:val="center"/>
              <w:ind w:right="40"/>
              <w:spacing w:after="0" w:line="200" w:lineRule="exact"/>
              <w:rPr>
                <w:sz w:val="20"/>
                <w:szCs w:val="20"/>
                <w:color w:val="auto"/>
              </w:rPr>
            </w:pPr>
            <w:r>
              <w:rPr>
                <w:rFonts w:ascii="Times New Roman" w:cs="Times New Roman" w:eastAsia="Times New Roman" w:hAnsi="Times New Roman"/>
                <w:sz w:val="20"/>
                <w:szCs w:val="20"/>
                <w:color w:val="auto"/>
                <w:w w:val="98"/>
              </w:rPr>
              <w:t>Five consecutive fiscal month period</w:t>
            </w:r>
          </w:p>
        </w:tc>
      </w:tr>
      <w:tr>
        <w:trPr>
          <w:trHeight w:val="252"/>
        </w:trPr>
        <w:tc>
          <w:tcPr>
            <w:tcW w:w="200" w:type="dxa"/>
            <w:vAlign w:val="bottom"/>
            <w:tcBorders>
              <w:left w:val="single" w:sz="8" w:color="auto"/>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3360" w:type="dxa"/>
            <w:vAlign w:val="bottom"/>
            <w:tcBorders>
              <w:bottom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0"/>
                <w:szCs w:val="20"/>
                <w:color w:val="auto"/>
                <w:w w:val="98"/>
              </w:rPr>
              <w:t>ending on June 30, 2022</w:t>
            </w:r>
          </w:p>
        </w:tc>
      </w:tr>
      <w:tr>
        <w:trPr>
          <w:trHeight w:val="200"/>
        </w:trPr>
        <w:tc>
          <w:tcPr>
            <w:tcW w:w="200" w:type="dxa"/>
            <w:vAlign w:val="bottom"/>
            <w:tcBorders>
              <w:left w:val="single" w:sz="8" w:color="auto"/>
            </w:tcBorders>
          </w:tcPr>
          <w:p>
            <w:pPr>
              <w:spacing w:after="0"/>
              <w:rPr>
                <w:sz w:val="17"/>
                <w:szCs w:val="17"/>
                <w:color w:val="auto"/>
              </w:rPr>
            </w:pPr>
          </w:p>
        </w:tc>
        <w:tc>
          <w:tcPr>
            <w:tcW w:w="1980" w:type="dxa"/>
            <w:vAlign w:val="bottom"/>
            <w:tcBorders>
              <w:right w:val="single" w:sz="8" w:color="auto"/>
            </w:tcBorders>
            <w:gridSpan w:val="2"/>
          </w:tcPr>
          <w:p>
            <w:pPr>
              <w:jc w:val="center"/>
              <w:ind w:right="220"/>
              <w:spacing w:after="0" w:line="200" w:lineRule="exact"/>
              <w:rPr>
                <w:sz w:val="20"/>
                <w:szCs w:val="20"/>
                <w:color w:val="auto"/>
              </w:rPr>
            </w:pPr>
            <w:r>
              <w:rPr>
                <w:rFonts w:ascii="Times New Roman" w:cs="Times New Roman" w:eastAsia="Times New Roman" w:hAnsi="Times New Roman"/>
                <w:sz w:val="20"/>
                <w:szCs w:val="20"/>
                <w:color w:val="auto"/>
                <w:w w:val="99"/>
              </w:rPr>
              <w:t>July 31, 2022</w:t>
            </w:r>
          </w:p>
        </w:tc>
        <w:tc>
          <w:tcPr>
            <w:tcW w:w="3360" w:type="dxa"/>
            <w:vAlign w:val="bottom"/>
            <w:tcBorders>
              <w:right w:val="single" w:sz="8" w:color="auto"/>
            </w:tcBorders>
            <w:gridSpan w:val="3"/>
          </w:tcPr>
          <w:p>
            <w:pPr>
              <w:jc w:val="center"/>
              <w:ind w:right="40"/>
              <w:spacing w:after="0" w:line="200" w:lineRule="exact"/>
              <w:rPr>
                <w:sz w:val="20"/>
                <w:szCs w:val="20"/>
                <w:color w:val="auto"/>
              </w:rPr>
            </w:pPr>
            <w:r>
              <w:rPr>
                <w:rFonts w:ascii="Times New Roman" w:cs="Times New Roman" w:eastAsia="Times New Roman" w:hAnsi="Times New Roman"/>
                <w:sz w:val="20"/>
                <w:szCs w:val="20"/>
                <w:color w:val="auto"/>
                <w:w w:val="99"/>
              </w:rPr>
              <w:t>Six consecutive fiscal month period</w:t>
            </w:r>
          </w:p>
        </w:tc>
      </w:tr>
      <w:tr>
        <w:trPr>
          <w:trHeight w:val="252"/>
        </w:trPr>
        <w:tc>
          <w:tcPr>
            <w:tcW w:w="200" w:type="dxa"/>
            <w:vAlign w:val="bottom"/>
            <w:tcBorders>
              <w:left w:val="single" w:sz="8" w:color="auto"/>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336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9"/>
              </w:rPr>
              <w:t>ending on July 31, 2022</w:t>
            </w:r>
          </w:p>
        </w:tc>
      </w:tr>
      <w:tr>
        <w:trPr>
          <w:trHeight w:val="200"/>
        </w:trPr>
        <w:tc>
          <w:tcPr>
            <w:tcW w:w="200" w:type="dxa"/>
            <w:vAlign w:val="bottom"/>
            <w:tcBorders>
              <w:left w:val="single" w:sz="8" w:color="auto"/>
            </w:tcBorders>
          </w:tcPr>
          <w:p>
            <w:pPr>
              <w:spacing w:after="0"/>
              <w:rPr>
                <w:sz w:val="17"/>
                <w:szCs w:val="17"/>
                <w:color w:val="auto"/>
              </w:rPr>
            </w:pPr>
          </w:p>
        </w:tc>
        <w:tc>
          <w:tcPr>
            <w:tcW w:w="1980" w:type="dxa"/>
            <w:vAlign w:val="bottom"/>
            <w:tcBorders>
              <w:right w:val="single" w:sz="8" w:color="auto"/>
            </w:tcBorders>
            <w:gridSpan w:val="2"/>
          </w:tcPr>
          <w:p>
            <w:pPr>
              <w:jc w:val="center"/>
              <w:ind w:right="220"/>
              <w:spacing w:after="0" w:line="200" w:lineRule="exact"/>
              <w:rPr>
                <w:sz w:val="20"/>
                <w:szCs w:val="20"/>
                <w:color w:val="auto"/>
              </w:rPr>
            </w:pPr>
            <w:r>
              <w:rPr>
                <w:rFonts w:ascii="Times New Roman" w:cs="Times New Roman" w:eastAsia="Times New Roman" w:hAnsi="Times New Roman"/>
                <w:sz w:val="20"/>
                <w:szCs w:val="20"/>
                <w:color w:val="auto"/>
                <w:w w:val="99"/>
              </w:rPr>
              <w:t>August 31, 2022</w:t>
            </w:r>
          </w:p>
        </w:tc>
        <w:tc>
          <w:tcPr>
            <w:tcW w:w="3360" w:type="dxa"/>
            <w:vAlign w:val="bottom"/>
            <w:tcBorders>
              <w:right w:val="single" w:sz="8" w:color="auto"/>
            </w:tcBorders>
            <w:gridSpan w:val="3"/>
          </w:tcPr>
          <w:p>
            <w:pPr>
              <w:jc w:val="center"/>
              <w:ind w:right="60"/>
              <w:spacing w:after="0" w:line="200" w:lineRule="exact"/>
              <w:rPr>
                <w:sz w:val="20"/>
                <w:szCs w:val="20"/>
                <w:color w:val="auto"/>
              </w:rPr>
            </w:pPr>
            <w:r>
              <w:rPr>
                <w:rFonts w:ascii="Times New Roman" w:cs="Times New Roman" w:eastAsia="Times New Roman" w:hAnsi="Times New Roman"/>
                <w:sz w:val="20"/>
                <w:szCs w:val="20"/>
                <w:color w:val="auto"/>
                <w:w w:val="99"/>
              </w:rPr>
              <w:t>Seven consecutive fiscal month period</w:t>
            </w:r>
          </w:p>
        </w:tc>
      </w:tr>
      <w:tr>
        <w:trPr>
          <w:trHeight w:val="252"/>
        </w:trPr>
        <w:tc>
          <w:tcPr>
            <w:tcW w:w="200" w:type="dxa"/>
            <w:vAlign w:val="bottom"/>
            <w:tcBorders>
              <w:left w:val="single" w:sz="8" w:color="auto"/>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336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9"/>
              </w:rPr>
              <w:t>ending on August 31, 2022</w:t>
            </w:r>
          </w:p>
        </w:tc>
      </w:tr>
      <w:tr>
        <w:trPr>
          <w:trHeight w:val="200"/>
        </w:trPr>
        <w:tc>
          <w:tcPr>
            <w:tcW w:w="200" w:type="dxa"/>
            <w:vAlign w:val="bottom"/>
            <w:tcBorders>
              <w:left w:val="single" w:sz="8" w:color="auto"/>
            </w:tcBorders>
          </w:tcPr>
          <w:p>
            <w:pPr>
              <w:spacing w:after="0"/>
              <w:rPr>
                <w:sz w:val="17"/>
                <w:szCs w:val="17"/>
                <w:color w:val="auto"/>
              </w:rPr>
            </w:pPr>
          </w:p>
        </w:tc>
        <w:tc>
          <w:tcPr>
            <w:tcW w:w="1980" w:type="dxa"/>
            <w:vAlign w:val="bottom"/>
            <w:tcBorders>
              <w:right w:val="single" w:sz="8" w:color="auto"/>
            </w:tcBorders>
            <w:gridSpan w:val="2"/>
          </w:tcPr>
          <w:p>
            <w:pPr>
              <w:jc w:val="center"/>
              <w:ind w:right="220"/>
              <w:spacing w:after="0" w:line="200" w:lineRule="exact"/>
              <w:rPr>
                <w:sz w:val="20"/>
                <w:szCs w:val="20"/>
                <w:color w:val="auto"/>
              </w:rPr>
            </w:pPr>
            <w:r>
              <w:rPr>
                <w:rFonts w:ascii="Times New Roman" w:cs="Times New Roman" w:eastAsia="Times New Roman" w:hAnsi="Times New Roman"/>
                <w:sz w:val="20"/>
                <w:szCs w:val="20"/>
                <w:color w:val="auto"/>
                <w:w w:val="99"/>
              </w:rPr>
              <w:t>September 30, 2022</w:t>
            </w:r>
          </w:p>
        </w:tc>
        <w:tc>
          <w:tcPr>
            <w:tcW w:w="3360" w:type="dxa"/>
            <w:vAlign w:val="bottom"/>
            <w:tcBorders>
              <w:right w:val="single" w:sz="8" w:color="auto"/>
            </w:tcBorders>
            <w:gridSpan w:val="3"/>
          </w:tcPr>
          <w:p>
            <w:pPr>
              <w:jc w:val="center"/>
              <w:ind w:right="40"/>
              <w:spacing w:after="0" w:line="200" w:lineRule="exact"/>
              <w:rPr>
                <w:sz w:val="20"/>
                <w:szCs w:val="20"/>
                <w:color w:val="auto"/>
              </w:rPr>
            </w:pPr>
            <w:r>
              <w:rPr>
                <w:rFonts w:ascii="Times New Roman" w:cs="Times New Roman" w:eastAsia="Times New Roman" w:hAnsi="Times New Roman"/>
                <w:sz w:val="20"/>
                <w:szCs w:val="20"/>
                <w:color w:val="auto"/>
                <w:w w:val="98"/>
              </w:rPr>
              <w:t>Eight consecutive fiscal month period</w:t>
            </w:r>
          </w:p>
        </w:tc>
      </w:tr>
      <w:tr>
        <w:trPr>
          <w:trHeight w:val="252"/>
        </w:trPr>
        <w:tc>
          <w:tcPr>
            <w:tcW w:w="200" w:type="dxa"/>
            <w:vAlign w:val="bottom"/>
            <w:tcBorders>
              <w:left w:val="single" w:sz="8" w:color="auto"/>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3360" w:type="dxa"/>
            <w:vAlign w:val="bottom"/>
            <w:tcBorders>
              <w:bottom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0"/>
                <w:szCs w:val="20"/>
                <w:color w:val="auto"/>
                <w:w w:val="98"/>
              </w:rPr>
              <w:t>ending on September 30, 2022</w:t>
            </w:r>
          </w:p>
        </w:tc>
      </w:tr>
    </w:tbl>
    <w:p>
      <w:pPr>
        <w:spacing w:after="0" w:line="200" w:lineRule="exact"/>
        <w:rPr>
          <w:sz w:val="20"/>
          <w:szCs w:val="20"/>
          <w:color w:val="auto"/>
        </w:rPr>
      </w:pPr>
    </w:p>
    <w:p>
      <w:pPr>
        <w:spacing w:after="0" w:line="219" w:lineRule="exact"/>
        <w:rPr>
          <w:sz w:val="20"/>
          <w:szCs w:val="20"/>
          <w:color w:val="auto"/>
        </w:rPr>
      </w:pPr>
    </w:p>
    <w:p>
      <w:pPr>
        <w:jc w:val="both"/>
        <w:ind w:left="200" w:right="219" w:firstLine="657"/>
        <w:spacing w:after="0" w:line="276" w:lineRule="auto"/>
        <w:tabs>
          <w:tab w:leader="none" w:pos="1496" w:val="left"/>
        </w:tabs>
        <w:numPr>
          <w:ilvl w:val="0"/>
          <w:numId w:val="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Conditions Precedent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Amendment and the obligations of Administrative Agent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Lenders hereunder will be effective only upon satisfaction of each of the following conditions precedent, each in a manner in form and substance acceptable to Administrative Agent in its sole discretion:</w:t>
      </w:r>
    </w:p>
    <w:p>
      <w:pPr>
        <w:spacing w:after="0" w:line="141" w:lineRule="exact"/>
        <w:rPr>
          <w:rFonts w:ascii="Times New Roman" w:cs="Times New Roman" w:eastAsia="Times New Roman" w:hAnsi="Times New Roman"/>
          <w:sz w:val="19"/>
          <w:szCs w:val="19"/>
          <w:b w:val="1"/>
          <w:bCs w:val="1"/>
          <w:color w:val="auto"/>
        </w:rPr>
      </w:pPr>
    </w:p>
    <w:p>
      <w:pPr>
        <w:ind w:left="2160" w:hanging="655"/>
        <w:spacing w:after="0"/>
        <w:tabs>
          <w:tab w:leader="none" w:pos="216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Executed Amendments</w:t>
      </w:r>
      <w:r>
        <w:rPr>
          <w:rFonts w:ascii="Times New Roman" w:cs="Times New Roman" w:eastAsia="Times New Roman" w:hAnsi="Times New Roman"/>
          <w:sz w:val="20"/>
          <w:szCs w:val="20"/>
          <w:color w:val="auto"/>
        </w:rPr>
        <w:t>. Receipt by Administrative Agent of a fully-executed copy</w:t>
      </w:r>
    </w:p>
    <w:p>
      <w:pPr>
        <w:spacing w:after="0" w:line="21"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Amendment.</w:t>
      </w:r>
    </w:p>
    <w:p>
      <w:pPr>
        <w:spacing w:after="0" w:line="166" w:lineRule="exact"/>
        <w:rPr>
          <w:rFonts w:ascii="Times New Roman" w:cs="Times New Roman" w:eastAsia="Times New Roman" w:hAnsi="Times New Roman"/>
          <w:sz w:val="20"/>
          <w:szCs w:val="20"/>
          <w:color w:val="auto"/>
        </w:rPr>
      </w:pPr>
    </w:p>
    <w:p>
      <w:pPr>
        <w:ind w:left="200" w:right="219" w:firstLine="1305"/>
        <w:spacing w:after="0" w:line="269" w:lineRule="auto"/>
        <w:tabs>
          <w:tab w:leader="none" w:pos="214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Fees</w:t>
      </w:r>
      <w:r>
        <w:rPr>
          <w:rFonts w:ascii="Times New Roman" w:cs="Times New Roman" w:eastAsia="Times New Roman" w:hAnsi="Times New Roman"/>
          <w:sz w:val="20"/>
          <w:szCs w:val="20"/>
          <w:color w:val="auto"/>
        </w:rPr>
        <w:t>. The Borrower shall have paid all reasonable and documented out-of-pocket legal fees and expenses owed to counsel for Administrative Agent.</w:t>
      </w:r>
    </w:p>
    <w:p>
      <w:pPr>
        <w:spacing w:after="0" w:line="145" w:lineRule="exact"/>
        <w:rPr>
          <w:rFonts w:ascii="Times New Roman" w:cs="Times New Roman" w:eastAsia="Times New Roman" w:hAnsi="Times New Roman"/>
          <w:sz w:val="20"/>
          <w:szCs w:val="20"/>
          <w:color w:val="auto"/>
        </w:rPr>
      </w:pPr>
    </w:p>
    <w:p>
      <w:pPr>
        <w:jc w:val="both"/>
        <w:ind w:left="200" w:right="239" w:firstLine="1305"/>
        <w:spacing w:after="0" w:line="254" w:lineRule="auto"/>
        <w:tabs>
          <w:tab w:leader="none" w:pos="214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Borrower shall have paid to Administrative Agent all reasonable and out-of-pocket costs and expenses owed to and/or incurred by the Administrative Agent arising in connection with this Amendment.</w:t>
      </w:r>
    </w:p>
    <w:p>
      <w:pPr>
        <w:spacing w:after="0" w:line="160"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Fee</w:t>
      </w:r>
      <w:r>
        <w:rPr>
          <w:rFonts w:ascii="Times New Roman" w:cs="Times New Roman" w:eastAsia="Times New Roman" w:hAnsi="Times New Roman"/>
          <w:sz w:val="20"/>
          <w:szCs w:val="20"/>
          <w:color w:val="auto"/>
        </w:rPr>
        <w:t>. The Borrower shall have paid to Administrative Agent an amendment fee equal to 10 basis points of the Revolving Facility (for the pro-rata benefit of the Lenders), which fee shall be fully earned and non-refundable as of the date hereof.</w:t>
      </w:r>
    </w:p>
    <w:p>
      <w:pPr>
        <w:spacing w:after="0" w:line="143" w:lineRule="exact"/>
        <w:rPr>
          <w:rFonts w:ascii="Times New Roman" w:cs="Times New Roman" w:eastAsia="Times New Roman" w:hAnsi="Times New Roman"/>
          <w:sz w:val="20"/>
          <w:szCs w:val="20"/>
          <w:color w:val="auto"/>
        </w:rPr>
      </w:pPr>
    </w:p>
    <w:p>
      <w:pPr>
        <w:jc w:val="both"/>
        <w:ind w:left="200" w:right="219" w:firstLine="657"/>
        <w:spacing w:after="0" w:line="247" w:lineRule="auto"/>
        <w:tabs>
          <w:tab w:leader="none" w:pos="1496"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Reaffirmation of Representations and Warranties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Loan Party represents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warrants that after giving effect to this Amendment, the representations and warranties made by each obligor set forth in the Loan Documents are true and correct in all material respects as of the date hereof (except those that expressly relate to an earlier period), including without limitation, that no Default or Event of Default exists after giving effect to this Amendment.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451485</wp:posOffset>
            </wp:positionV>
            <wp:extent cx="54521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jc w:val="both"/>
        <w:ind w:left="200" w:right="219" w:firstLine="657"/>
        <w:spacing w:after="0" w:line="250" w:lineRule="auto"/>
        <w:tabs>
          <w:tab w:leader="none" w:pos="1496"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Reaffirmation of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Loan Party (a) acknowledges and consents to all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terms and conditions of this Amendment, (b) affirms all of its obligations under the Loan Documents and (c) agrees that this Amendment and all documents executed in connection herewith do not operate to reduce or discharge such Loan Party’s obligations under the Loan Documents.</w:t>
      </w:r>
    </w:p>
    <w:p>
      <w:pPr>
        <w:spacing w:after="0" w:line="161" w:lineRule="exact"/>
        <w:rPr>
          <w:rFonts w:ascii="Times New Roman" w:cs="Times New Roman" w:eastAsia="Times New Roman" w:hAnsi="Times New Roman"/>
          <w:sz w:val="20"/>
          <w:szCs w:val="20"/>
          <w:b w:val="1"/>
          <w:bCs w:val="1"/>
          <w:color w:val="auto"/>
        </w:rPr>
      </w:pPr>
    </w:p>
    <w:p>
      <w:pPr>
        <w:jc w:val="both"/>
        <w:ind w:left="200" w:right="219" w:firstLine="657"/>
        <w:spacing w:after="0" w:line="243" w:lineRule="auto"/>
        <w:tabs>
          <w:tab w:leader="none" w:pos="1496"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Acknowledgment by Loan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Loan Party hereby represents and warrants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execution and delivery of this Amendment and compliance by each Loan Party with all of the provisions of this Amendment: (a) are within the powers and purposes of each Loan Party; (b) have been duly authorized or approved by the board of directors or managers of each Loan Party; and (c) when executed and delivered by or on behalf of each Loan Party, will constitute valid and binding obligations of each Loan Party, enforceable in accordance with their terms, except as enforceability may be limited by Debtor Relief Laws and Laws affecting the rights of creditors generally and by general equitable principles. Each Loan Party reaffirms its obligation to pay all amounts due to Lender under the Loan Documents in accordance with the terms thereof, as modified hereby.</w:t>
      </w:r>
    </w:p>
    <w:p>
      <w:pPr>
        <w:spacing w:after="0" w:line="158" w:lineRule="exact"/>
        <w:rPr>
          <w:rFonts w:ascii="Times New Roman" w:cs="Times New Roman" w:eastAsia="Times New Roman" w:hAnsi="Times New Roman"/>
          <w:sz w:val="20"/>
          <w:szCs w:val="20"/>
          <w:b w:val="1"/>
          <w:bCs w:val="1"/>
          <w:color w:val="auto"/>
        </w:rPr>
      </w:pPr>
    </w:p>
    <w:p>
      <w:pPr>
        <w:jc w:val="both"/>
        <w:ind w:left="200" w:right="219" w:firstLine="657"/>
        <w:spacing w:after="0"/>
        <w:tabs>
          <w:tab w:leader="none" w:pos="1496"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 Release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Loan Party (collectively, the “</w:t>
      </w:r>
      <w:r>
        <w:rPr>
          <w:rFonts w:ascii="Times New Roman" w:cs="Times New Roman" w:eastAsia="Times New Roman" w:hAnsi="Times New Roman"/>
          <w:sz w:val="20"/>
          <w:szCs w:val="20"/>
          <w:u w:val="single" w:color="auto"/>
          <w:color w:val="auto"/>
        </w:rPr>
        <w:t>Releasing Parties</w:t>
      </w:r>
      <w:r>
        <w:rPr>
          <w:rFonts w:ascii="Times New Roman" w:cs="Times New Roman" w:eastAsia="Times New Roman" w:hAnsi="Times New Roman"/>
          <w:sz w:val="20"/>
          <w:szCs w:val="20"/>
          <w:color w:val="auto"/>
        </w:rPr>
        <w:t>”) releases, acquits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forever discharges Administrative Agent and each Lender, and each of their respective past and present directors, officers, employees, agents, attorneys, affiliates, predecessors, successors, administrators and assigns (“</w:t>
      </w:r>
      <w:r>
        <w:rPr>
          <w:rFonts w:ascii="Times New Roman" w:cs="Times New Roman" w:eastAsia="Times New Roman" w:hAnsi="Times New Roman"/>
          <w:sz w:val="20"/>
          <w:szCs w:val="20"/>
          <w:u w:val="single" w:color="auto"/>
          <w:color w:val="auto"/>
        </w:rPr>
        <w:t>Released Parties</w:t>
      </w:r>
      <w:r>
        <w:rPr>
          <w:rFonts w:ascii="Times New Roman" w:cs="Times New Roman" w:eastAsia="Times New Roman" w:hAnsi="Times New Roman"/>
          <w:sz w:val="20"/>
          <w:szCs w:val="20"/>
          <w:color w:val="auto"/>
        </w:rPr>
        <w:t>”) of and from any and all claims, actions, causes of action, demands, rights, damages, costs, loss of service, expenses and compensation whatsoever heretofore or hereafter arising from any events or occurrences, or anything done, omitted to be done, or allowed to be done by any of the Released Parties, on or before the date of execution of this Amendment, WHETHER KNOWN OR UNKNOWN, FORESEEN OR UNFORESEEN, including, without limitation, any of the same arising from or related to anything done, omitted to be done, or allowed to be done by any of the Released Parties and in any way connected with this Amendment or any of the Loan Documents, any other credit facilities provided or not provided, any advances made or not made, or any past or present deposit or other accounts (including, without limitation, “dominion of funds” accounts and lockbox arrangements) of any Releasing Party with any Lender and the handling of the same by any Lender, including, without limitation, the manner and timing in which items were deposited or credited thereto or funds transferred therefrom or made available to any of the Releasing Parties, the honoring or returning of any checks drawn on any account, and any other dealings between the Releasing Parties and the Released Parties (the “</w:t>
      </w:r>
      <w:r>
        <w:rPr>
          <w:rFonts w:ascii="Times New Roman" w:cs="Times New Roman" w:eastAsia="Times New Roman" w:hAnsi="Times New Roman"/>
          <w:sz w:val="20"/>
          <w:szCs w:val="20"/>
          <w:u w:val="single" w:color="auto"/>
          <w:color w:val="auto"/>
        </w:rPr>
        <w:t>Released Matters</w:t>
      </w:r>
      <w:r>
        <w:rPr>
          <w:rFonts w:ascii="Times New Roman" w:cs="Times New Roman" w:eastAsia="Times New Roman" w:hAnsi="Times New Roman"/>
          <w:sz w:val="20"/>
          <w:szCs w:val="20"/>
          <w:color w:val="auto"/>
        </w:rPr>
        <w:t>”); provided, however, that (A) Releasing Parties shall retain their rights to funds in deposit accounts held with any Lender, as applicable, funds in transit for deposit into any such account and any refunds to which such Releasing Party is entitled to, subject to in each case any applicable security interests of Administrative Agent or any Lender therein, and any right of offset or recoupment with respect thereto, and (B) Released Matters shall not include Administrative Agent and the Lenders’ obligations under the Loan Documents or any other contracts or agreements between Administrative Agent and/or any Lender, on one hand, and Releasing Parties from and after the effectiveness of this Amendment. Releasing Parties each further agree never to commence, aid or participate in (except to the extent required by order or legal process issued by a court or governmental agency of competent jurisdiction) any legal action or other proceeding based in whole or in part upon the Released Matters. Releasing Parties each agree that this waiver and release is an essential and material component of this Amendment, and that the agreements in this paragraph are intended to be in full satisfaction of any alleged injuries or damages to or of any Releasing Parties in connection with the Released Matters. Each Releasing Party represents and warrants that it has not purported to convey, transfer or assign any right, title or interest in any Released Matter to any other person or entity and that the foregoing constitutes a full and complete release of the Released Matters. Releasing Parties each also understand that this release shall apply to all unknown or unanticipated results of the transactions and occurrences described above, as well as those known and anticipated. Releasing Parties each have consulted with legal counsel prior to signing this release, or had an opportunity to obtain such counsel and knowingly chose not to do so, and each Releasing Party executes such release voluntarily, with the intention of fully and finally extinguishing all Released Matters. In furtherance of this general release, Releasing Parties each</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451485</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jc w:val="both"/>
        <w:ind w:left="200" w:right="219"/>
        <w:spacing w:after="0" w:line="268" w:lineRule="auto"/>
        <w:rPr>
          <w:sz w:val="20"/>
          <w:szCs w:val="20"/>
          <w:color w:val="auto"/>
        </w:rPr>
      </w:pPr>
      <w:r>
        <w:rPr>
          <w:rFonts w:ascii="Times New Roman" w:cs="Times New Roman" w:eastAsia="Times New Roman" w:hAnsi="Times New Roman"/>
          <w:sz w:val="20"/>
          <w:szCs w:val="20"/>
          <w:color w:val="auto"/>
        </w:rPr>
        <w:t>acknowledge and waive the benefits of California Civil Code Section 1542 (and all similar ordinances and statutory, regulatory, or judicially created laws or rules of any other jurisdiction), which provides:</w:t>
      </w:r>
    </w:p>
    <w:p>
      <w:pPr>
        <w:spacing w:after="0" w:line="1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 GENERAL RELEASE DOES NOT EXTEND TO CLAIMS THAT</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THE CREDITOR OR RELEASING PARTY DOES NOT KNOW OR</w:t>
      </w:r>
    </w:p>
    <w:p>
      <w:pPr>
        <w:ind w:left="1500"/>
        <w:spacing w:after="0"/>
        <w:rPr>
          <w:sz w:val="20"/>
          <w:szCs w:val="20"/>
          <w:color w:val="auto"/>
        </w:rPr>
      </w:pPr>
      <w:r>
        <w:rPr>
          <w:rFonts w:ascii="Times New Roman" w:cs="Times New Roman" w:eastAsia="Times New Roman" w:hAnsi="Times New Roman"/>
          <w:sz w:val="20"/>
          <w:szCs w:val="20"/>
          <w:color w:val="auto"/>
        </w:rPr>
        <w:t>SUSPECT TO EXIST IN HIS OR HER FAVOR AT THE TIME OF</w:t>
      </w:r>
    </w:p>
    <w:p>
      <w:pPr>
        <w:ind w:left="1500"/>
        <w:spacing w:after="0"/>
        <w:rPr>
          <w:sz w:val="20"/>
          <w:szCs w:val="20"/>
          <w:color w:val="auto"/>
        </w:rPr>
      </w:pPr>
      <w:r>
        <w:rPr>
          <w:rFonts w:ascii="Times New Roman" w:cs="Times New Roman" w:eastAsia="Times New Roman" w:hAnsi="Times New Roman"/>
          <w:sz w:val="20"/>
          <w:szCs w:val="20"/>
          <w:color w:val="auto"/>
        </w:rPr>
        <w:t>EXECUTING THE RELEASE AND THAT, IF KNOWN BY HIM</w:t>
      </w:r>
    </w:p>
    <w:p>
      <w:pPr>
        <w:ind w:left="1500"/>
        <w:spacing w:after="0"/>
        <w:rPr>
          <w:sz w:val="20"/>
          <w:szCs w:val="20"/>
          <w:color w:val="auto"/>
        </w:rPr>
      </w:pPr>
      <w:r>
        <w:rPr>
          <w:rFonts w:ascii="Times New Roman" w:cs="Times New Roman" w:eastAsia="Times New Roman" w:hAnsi="Times New Roman"/>
          <w:sz w:val="20"/>
          <w:szCs w:val="20"/>
          <w:color w:val="auto"/>
        </w:rPr>
        <w:t>OR HER, WOULD HAVE MATERIALLY AFFECTED HIS OR</w:t>
      </w:r>
    </w:p>
    <w:p>
      <w:pPr>
        <w:ind w:left="1500"/>
        <w:spacing w:after="0"/>
        <w:tabs>
          <w:tab w:leader="none" w:pos="2040" w:val="left"/>
          <w:tab w:leader="none" w:pos="3480" w:val="left"/>
          <w:tab w:leader="none" w:pos="4140" w:val="left"/>
          <w:tab w:leader="none" w:pos="4680" w:val="left"/>
          <w:tab w:leader="none" w:pos="5640" w:val="left"/>
          <w:tab w:leader="none" w:pos="6060" w:val="left"/>
        </w:tabs>
        <w:rPr>
          <w:sz w:val="20"/>
          <w:szCs w:val="20"/>
          <w:color w:val="auto"/>
        </w:rPr>
      </w:pPr>
      <w:r>
        <w:rPr>
          <w:rFonts w:ascii="Times New Roman" w:cs="Times New Roman" w:eastAsia="Times New Roman" w:hAnsi="Times New Roman"/>
          <w:sz w:val="20"/>
          <w:szCs w:val="20"/>
          <w:color w:val="auto"/>
        </w:rPr>
        <w:t>HER</w:t>
        <w:tab/>
        <w:t>SETTLEMENT</w:t>
        <w:tab/>
        <w:t>WITH</w:t>
        <w:tab/>
        <w:t>THE</w:t>
        <w:tab/>
        <w:t>DEBTOR</w:t>
        <w:tab/>
        <w:t>OR</w:t>
      </w:r>
      <w:r>
        <w:rPr>
          <w:sz w:val="20"/>
          <w:szCs w:val="20"/>
          <w:color w:val="auto"/>
        </w:rPr>
        <w:tab/>
      </w:r>
      <w:r>
        <w:rPr>
          <w:rFonts w:ascii="Times New Roman" w:cs="Times New Roman" w:eastAsia="Times New Roman" w:hAnsi="Times New Roman"/>
          <w:sz w:val="19"/>
          <w:szCs w:val="19"/>
          <w:color w:val="auto"/>
        </w:rPr>
        <w:t>RELEASED</w:t>
      </w:r>
    </w:p>
    <w:p>
      <w:pPr>
        <w:ind w:left="1500"/>
        <w:spacing w:after="0"/>
        <w:rPr>
          <w:sz w:val="20"/>
          <w:szCs w:val="20"/>
          <w:color w:val="auto"/>
        </w:rPr>
      </w:pPr>
      <w:r>
        <w:rPr>
          <w:rFonts w:ascii="Times New Roman" w:cs="Times New Roman" w:eastAsia="Times New Roman" w:hAnsi="Times New Roman"/>
          <w:sz w:val="20"/>
          <w:szCs w:val="20"/>
          <w:color w:val="auto"/>
        </w:rPr>
        <w:t>PARTY.</w:t>
      </w:r>
    </w:p>
    <w:p>
      <w:pPr>
        <w:spacing w:after="0" w:line="194" w:lineRule="exact"/>
        <w:rPr>
          <w:sz w:val="20"/>
          <w:szCs w:val="20"/>
          <w:color w:val="auto"/>
        </w:rPr>
      </w:pPr>
    </w:p>
    <w:p>
      <w:pPr>
        <w:jc w:val="both"/>
        <w:ind w:left="200" w:right="219" w:firstLine="1296"/>
        <w:spacing w:after="0" w:line="254" w:lineRule="auto"/>
        <w:rPr>
          <w:sz w:val="20"/>
          <w:szCs w:val="20"/>
          <w:color w:val="auto"/>
        </w:rPr>
      </w:pPr>
      <w:r>
        <w:rPr>
          <w:rFonts w:ascii="Times New Roman" w:cs="Times New Roman" w:eastAsia="Times New Roman" w:hAnsi="Times New Roman"/>
          <w:sz w:val="20"/>
          <w:szCs w:val="20"/>
          <w:color w:val="auto"/>
        </w:rPr>
        <w:t>Releasing Parties each have consulted with legal counsel prior to signing this release, or had an opportunity to obtain such counsel and knowingly chose not to do so, and each Releasing Party executes such release voluntarily, with the intention of fully and finally extinguishing all Released Matters.</w:t>
      </w:r>
    </w:p>
    <w:p>
      <w:pPr>
        <w:spacing w:after="0" w:line="170" w:lineRule="exact"/>
        <w:rPr>
          <w:sz w:val="20"/>
          <w:szCs w:val="20"/>
          <w:color w:val="auto"/>
        </w:rPr>
      </w:pPr>
    </w:p>
    <w:p>
      <w:pPr>
        <w:ind w:left="200" w:right="239" w:firstLine="657"/>
        <w:spacing w:after="0" w:line="273" w:lineRule="auto"/>
        <w:tabs>
          <w:tab w:leader="none" w:pos="1496"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Other Changes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modified hereby, all of the terms and provisions of the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shall remain in full force and effect.</w:t>
      </w:r>
    </w:p>
    <w:p>
      <w:pPr>
        <w:spacing w:after="0" w:line="124" w:lineRule="exact"/>
        <w:rPr>
          <w:rFonts w:ascii="Times New Roman" w:cs="Times New Roman" w:eastAsia="Times New Roman" w:hAnsi="Times New Roman"/>
          <w:sz w:val="20"/>
          <w:szCs w:val="20"/>
          <w:b w:val="1"/>
          <w:bCs w:val="1"/>
          <w:color w:val="auto"/>
        </w:rPr>
      </w:pPr>
    </w:p>
    <w:p>
      <w:pPr>
        <w:jc w:val="both"/>
        <w:ind w:left="200" w:right="219" w:firstLine="657"/>
        <w:spacing w:after="0" w:line="244" w:lineRule="auto"/>
        <w:tabs>
          <w:tab w:leader="none" w:pos="1496"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Counterparts; Electronic Delivery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may be executed in one or more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counterparts, each of which when so executed shall be deemed to be an original, but all of which when taken together shall constitute one and the same instrument. Delivery of an executed counterpart of this Amendment may be in the form of an Electronic Record, telefacsimile or other electronic method of transmission and may be executed using Electronic Signature (including, without limitation, facsimile and</w:t>
      </w:r>
    </w:p>
    <w:p>
      <w:pPr>
        <w:spacing w:after="0" w:line="4" w:lineRule="exact"/>
        <w:rPr>
          <w:rFonts w:ascii="Times New Roman" w:cs="Times New Roman" w:eastAsia="Times New Roman" w:hAnsi="Times New Roman"/>
          <w:sz w:val="20"/>
          <w:szCs w:val="20"/>
          <w:b w:val="1"/>
          <w:bCs w:val="1"/>
          <w:color w:val="auto"/>
        </w:rPr>
      </w:pPr>
    </w:p>
    <w:p>
      <w:pPr>
        <w:jc w:val="both"/>
        <w:ind w:left="200" w:right="219"/>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.pdf) and shall be equally as effective, valid and enforceable as delivery of an original executed counterpart of this Amendment. Any party delivering an executed counterpart of this Amendment by telefacsimile or other electronic method of transmission also shall deliver an original executed counterpart of this Amendment but the failure to deliver an original executed counterpart shall not affect the validity, enforceability, and binding effect of this Amendment. For the avoidance of doubt, the authorization under this paragraph may include, without limitation, use or acceptance by the Administrative Agent and Lenders of a manually signed paper which has been converted into electronic form (such as scanned into PDF format), or an electronically signed document converted into another format, for transmission, delivery and/or retention. For purposes hereof, “Electronic Record” and “Electronic Signature” shall have the meanings assigned to them, respectively, by 15 USC § 7006, as it may be amended from time to time.</w:t>
      </w:r>
    </w:p>
    <w:p>
      <w:pPr>
        <w:spacing w:after="0" w:line="171" w:lineRule="exact"/>
        <w:rPr>
          <w:rFonts w:ascii="Times New Roman" w:cs="Times New Roman" w:eastAsia="Times New Roman" w:hAnsi="Times New Roman"/>
          <w:sz w:val="20"/>
          <w:szCs w:val="20"/>
          <w:b w:val="1"/>
          <w:bCs w:val="1"/>
          <w:color w:val="auto"/>
        </w:rPr>
      </w:pPr>
    </w:p>
    <w:p>
      <w:pPr>
        <w:jc w:val="both"/>
        <w:ind w:left="200" w:right="219" w:firstLine="657"/>
        <w:spacing w:after="0" w:line="256" w:lineRule="auto"/>
        <w:tabs>
          <w:tab w:leader="none" w:pos="1496"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shall be deemed to be a contract made under, and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purposes shall be construed in accordance with, the laws of the State of California (without regards to principles of conflict of laws which would defer to the laws of another jurisdiction as governing).</w:t>
      </w:r>
    </w:p>
    <w:p>
      <w:pPr>
        <w:spacing w:after="0" w:line="155" w:lineRule="exact"/>
        <w:rPr>
          <w:rFonts w:ascii="Times New Roman" w:cs="Times New Roman" w:eastAsia="Times New Roman" w:hAnsi="Times New Roman"/>
          <w:sz w:val="20"/>
          <w:szCs w:val="20"/>
          <w:b w:val="1"/>
          <w:bCs w:val="1"/>
          <w:color w:val="auto"/>
        </w:rPr>
      </w:pPr>
    </w:p>
    <w:p>
      <w:pPr>
        <w:jc w:val="both"/>
        <w:ind w:left="200" w:right="219" w:firstLine="657"/>
        <w:spacing w:after="0" w:line="246" w:lineRule="auto"/>
        <w:tabs>
          <w:tab w:leader="none" w:pos="1496"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Jury Trial Waiver; California Judicial Reference</w:t>
      </w:r>
      <w:r>
        <w:rPr>
          <w:rFonts w:ascii="Times New Roman" w:cs="Times New Roman" w:eastAsia="Times New Roman" w:hAnsi="Times New Roman"/>
          <w:sz w:val="20"/>
          <w:szCs w:val="20"/>
          <w:b w:val="1"/>
          <w:bCs w:val="1"/>
          <w:color w:val="auto"/>
        </w:rPr>
        <w:t xml:space="preserve">. To the fullest extent permitted by applicable law, each of the parties hereto waives its right to trial by jury in any proceeding or dispute of any kind relating to this Amendment or the other Loan Documents, Obligations or Collateral. </w:t>
      </w:r>
      <w:r>
        <w:rPr>
          <w:rFonts w:ascii="Times New Roman" w:cs="Times New Roman" w:eastAsia="Times New Roman" w:hAnsi="Times New Roman"/>
          <w:sz w:val="20"/>
          <w:szCs w:val="20"/>
          <w:color w:val="auto"/>
        </w:rPr>
        <w:t xml:space="preserve">Without limiting the applicability of any other section of this Amendment,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11.17</w:t>
      </w:r>
      <w:r>
        <w:rPr>
          <w:rFonts w:ascii="Times New Roman" w:cs="Times New Roman" w:eastAsia="Times New Roman" w:hAnsi="Times New Roman"/>
          <w:sz w:val="20"/>
          <w:szCs w:val="20"/>
          <w:color w:val="auto"/>
        </w:rPr>
        <w:t xml:space="preserve"> of the Credit Agreement are hereby incorporated by this reference and shall apply to any action, proceeding, claim or controversy arising out of this Amendment.</w:t>
      </w:r>
    </w:p>
    <w:p>
      <w:pPr>
        <w:spacing w:after="0" w:line="151" w:lineRule="exact"/>
        <w:rPr>
          <w:rFonts w:ascii="Times New Roman" w:cs="Times New Roman" w:eastAsia="Times New Roman" w:hAnsi="Times New Roman"/>
          <w:sz w:val="20"/>
          <w:szCs w:val="20"/>
          <w:b w:val="1"/>
          <w:bCs w:val="1"/>
          <w:color w:val="auto"/>
        </w:rPr>
      </w:pPr>
    </w:p>
    <w:p>
      <w:pPr>
        <w:jc w:val="both"/>
        <w:ind w:left="200" w:right="219" w:firstLine="657"/>
        <w:spacing w:after="0" w:line="256" w:lineRule="auto"/>
        <w:tabs>
          <w:tab w:leader="none" w:pos="1496"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Total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the Credit Agreement, and all other Loan Documents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embody the entire understanding of the parties with respect to the subject matter thereof and supersede all prior understandings regarding the same subject matter.</w:t>
      </w:r>
    </w:p>
    <w:p>
      <w:pPr>
        <w:spacing w:after="0" w:line="155" w:lineRule="exact"/>
        <w:rPr>
          <w:rFonts w:ascii="Times New Roman" w:cs="Times New Roman" w:eastAsia="Times New Roman" w:hAnsi="Times New Roman"/>
          <w:sz w:val="20"/>
          <w:szCs w:val="20"/>
          <w:b w:val="1"/>
          <w:bCs w:val="1"/>
          <w:color w:val="auto"/>
        </w:rPr>
      </w:pPr>
    </w:p>
    <w:p>
      <w:pPr>
        <w:jc w:val="both"/>
        <w:ind w:left="200" w:right="219" w:firstLine="657"/>
        <w:spacing w:after="0" w:line="276" w:lineRule="auto"/>
        <w:tabs>
          <w:tab w:leader="none" w:pos="1496" w:val="left"/>
        </w:tabs>
        <w:numPr>
          <w:ilvl w:val="0"/>
          <w:numId w:val="1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Loan Document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Amendment along with any document and certificate executed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connection herein, including but not limited to the security and pledge agreements and certificates referenced in Section 6 herein shall constitute a Loan Document under the Credit Agreement. Any provision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451485</wp:posOffset>
            </wp:positionV>
            <wp:extent cx="54521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 w:name="page9"/>
    <w:bookmarkEnd w:id="8"/>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of any Loan Document which applies to Loan Documents generally shall apply to this Amendment. It shall be an Event of Default under the Credit Agreement if any Loan Party breaches any covenant contained herein (subject to any applicable cure period set forth in the Credit Agreement) or if any representation or warranty contained herein proves to be inaccurate or untrue in any material respect.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451485</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 w:name="page10"/>
    <w:bookmarkEnd w:id="9"/>
    <w:p>
      <w:pPr>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each of the parties hereto has caused a counterpart of this Amendment to be duly executed and delivered as of the date first above written.</w:t>
      </w:r>
    </w:p>
    <w:p>
      <w:pPr>
        <w:spacing w:after="0" w:line="12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BORROWER:</w:t>
            </w:r>
          </w:p>
        </w:tc>
        <w:tc>
          <w:tcPr>
            <w:tcW w:w="5680" w:type="dxa"/>
            <w:vAlign w:val="bottom"/>
            <w:gridSpan w:val="3"/>
          </w:tcPr>
          <w:p>
            <w:pPr>
              <w:ind w:left="1240"/>
              <w:spacing w:after="0"/>
              <w:rPr>
                <w:sz w:val="20"/>
                <w:szCs w:val="20"/>
                <w:color w:val="auto"/>
              </w:rPr>
            </w:pPr>
            <w:r>
              <w:rPr>
                <w:rFonts w:ascii="Times New Roman" w:cs="Times New Roman" w:eastAsia="Times New Roman" w:hAnsi="Times New Roman"/>
                <w:sz w:val="20"/>
                <w:szCs w:val="20"/>
                <w:b w:val="1"/>
                <w:bCs w:val="1"/>
                <w:color w:val="auto"/>
              </w:rPr>
              <w:t>CALAVO GROWERS, INC.,</w:t>
            </w:r>
          </w:p>
        </w:tc>
      </w:tr>
      <w:tr>
        <w:trPr>
          <w:trHeight w:val="256"/>
        </w:trPr>
        <w:tc>
          <w:tcPr>
            <w:tcW w:w="11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68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a California corporation</w:t>
            </w:r>
          </w:p>
        </w:tc>
      </w:tr>
      <w:tr>
        <w:trPr>
          <w:trHeight w:val="642"/>
        </w:trPr>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8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By:​</w:t>
            </w: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7"/>
        </w:trPr>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80" w:type="dxa"/>
            <w:vAlign w:val="bottom"/>
            <w:gridSpan w:val="3"/>
          </w:tcPr>
          <w:p>
            <w:pPr>
              <w:ind w:left="1240"/>
              <w:spacing w:after="0" w:line="228" w:lineRule="exact"/>
              <w:rPr>
                <w:sz w:val="20"/>
                <w:szCs w:val="20"/>
                <w:color w:val="auto"/>
              </w:rPr>
            </w:pPr>
            <w:r>
              <w:rPr>
                <w:rFonts w:ascii="Times New Roman" w:cs="Times New Roman" w:eastAsia="Times New Roman" w:hAnsi="Times New Roman"/>
                <w:sz w:val="20"/>
                <w:szCs w:val="20"/>
                <w:color w:val="auto"/>
              </w:rPr>
              <w:t>Name: Shawn Munsell</w:t>
            </w:r>
          </w:p>
        </w:tc>
      </w:tr>
      <w:tr>
        <w:trPr>
          <w:trHeight w:val="258"/>
        </w:trPr>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68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Title:  Chief Financial Officer</w:t>
            </w:r>
          </w:p>
        </w:tc>
      </w:tr>
      <w:tr>
        <w:trPr>
          <w:trHeight w:val="399"/>
        </w:trPr>
        <w:tc>
          <w:tcPr>
            <w:tcW w:w="2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GUARANTORS:</w:t>
            </w:r>
          </w:p>
        </w:tc>
        <w:tc>
          <w:tcPr>
            <w:tcW w:w="5680" w:type="dxa"/>
            <w:vAlign w:val="bottom"/>
            <w:gridSpan w:val="3"/>
          </w:tcPr>
          <w:p>
            <w:pPr>
              <w:ind w:left="1240"/>
              <w:spacing w:after="0"/>
              <w:rPr>
                <w:sz w:val="20"/>
                <w:szCs w:val="20"/>
                <w:color w:val="auto"/>
              </w:rPr>
            </w:pPr>
            <w:r>
              <w:rPr>
                <w:rFonts w:ascii="Times New Roman" w:cs="Times New Roman" w:eastAsia="Times New Roman" w:hAnsi="Times New Roman"/>
                <w:sz w:val="20"/>
                <w:szCs w:val="20"/>
                <w:b w:val="1"/>
                <w:bCs w:val="1"/>
                <w:color w:val="auto"/>
              </w:rPr>
              <w:t>RENAISSANCE FOOD GROUP, LLC</w:t>
            </w:r>
            <w:r>
              <w:rPr>
                <w:rFonts w:ascii="Times New Roman" w:cs="Times New Roman" w:eastAsia="Times New Roman" w:hAnsi="Times New Roman"/>
                <w:sz w:val="20"/>
                <w:szCs w:val="20"/>
                <w:color w:val="auto"/>
              </w:rPr>
              <w:t>,</w:t>
            </w:r>
          </w:p>
        </w:tc>
      </w:tr>
      <w:tr>
        <w:trPr>
          <w:trHeight w:val="256"/>
        </w:trPr>
        <w:tc>
          <w:tcPr>
            <w:tcW w:w="1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568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a Delaware limited liability company</w:t>
            </w:r>
          </w:p>
        </w:tc>
      </w:tr>
      <w:tr>
        <w:trPr>
          <w:trHeight w:val="413"/>
        </w:trPr>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8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By:​</w:t>
            </w: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7"/>
        </w:trPr>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80" w:type="dxa"/>
            <w:vAlign w:val="bottom"/>
            <w:gridSpan w:val="3"/>
          </w:tcPr>
          <w:p>
            <w:pPr>
              <w:ind w:left="1240"/>
              <w:spacing w:after="0" w:line="228" w:lineRule="exact"/>
              <w:rPr>
                <w:sz w:val="20"/>
                <w:szCs w:val="20"/>
                <w:color w:val="auto"/>
              </w:rPr>
            </w:pPr>
            <w:r>
              <w:rPr>
                <w:rFonts w:ascii="Times New Roman" w:cs="Times New Roman" w:eastAsia="Times New Roman" w:hAnsi="Times New Roman"/>
                <w:sz w:val="20"/>
                <w:szCs w:val="20"/>
                <w:color w:val="auto"/>
              </w:rPr>
              <w:t>Name: Shawn Munsell</w:t>
            </w:r>
          </w:p>
        </w:tc>
      </w:tr>
      <w:tr>
        <w:trPr>
          <w:trHeight w:val="258"/>
        </w:trPr>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68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Title:  Chief Financial Officer</w:t>
            </w:r>
          </w:p>
        </w:tc>
      </w:tr>
      <w:tr>
        <w:trPr>
          <w:trHeight w:val="413"/>
        </w:trPr>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80" w:type="dxa"/>
            <w:vAlign w:val="bottom"/>
            <w:gridSpan w:val="3"/>
          </w:tcPr>
          <w:p>
            <w:pPr>
              <w:ind w:left="1240"/>
              <w:spacing w:after="0"/>
              <w:rPr>
                <w:sz w:val="20"/>
                <w:szCs w:val="20"/>
                <w:color w:val="auto"/>
              </w:rPr>
            </w:pPr>
            <w:r>
              <w:rPr>
                <w:rFonts w:ascii="Times New Roman" w:cs="Times New Roman" w:eastAsia="Times New Roman" w:hAnsi="Times New Roman"/>
                <w:sz w:val="20"/>
                <w:szCs w:val="20"/>
                <w:b w:val="1"/>
                <w:bCs w:val="1"/>
                <w:color w:val="auto"/>
              </w:rPr>
              <w:t>CALAVO DE MEXICO, S.A. DE C.V.,</w:t>
            </w:r>
          </w:p>
        </w:tc>
      </w:tr>
      <w:tr>
        <w:trPr>
          <w:trHeight w:val="233"/>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68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w w:val="98"/>
              </w:rPr>
              <w:t xml:space="preserve">a </w:t>
            </w:r>
            <w:r>
              <w:rPr>
                <w:rFonts w:ascii="Times New Roman" w:cs="Times New Roman" w:eastAsia="Times New Roman" w:hAnsi="Times New Roman"/>
                <w:sz w:val="20"/>
                <w:szCs w:val="20"/>
                <w:i w:val="1"/>
                <w:iCs w:val="1"/>
                <w:color w:val="auto"/>
                <w:w w:val="98"/>
              </w:rPr>
              <w:t>sociedad anónima de capital variable</w:t>
            </w:r>
            <w:r>
              <w:rPr>
                <w:rFonts w:ascii="Times New Roman" w:cs="Times New Roman" w:eastAsia="Times New Roman" w:hAnsi="Times New Roman"/>
                <w:sz w:val="20"/>
                <w:szCs w:val="20"/>
                <w:color w:val="auto"/>
                <w:w w:val="98"/>
              </w:rPr>
              <w:t xml:space="preserve"> organized under</w:t>
            </w:r>
          </w:p>
        </w:tc>
      </w:tr>
      <w:tr>
        <w:trPr>
          <w:trHeight w:val="258"/>
        </w:trPr>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68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the laws of Mexico</w:t>
            </w:r>
          </w:p>
        </w:tc>
      </w:tr>
      <w:tr>
        <w:trPr>
          <w:trHeight w:val="413"/>
        </w:trPr>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8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By:​</w:t>
            </w: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7"/>
        </w:trPr>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80" w:type="dxa"/>
            <w:vAlign w:val="bottom"/>
            <w:gridSpan w:val="3"/>
          </w:tcPr>
          <w:p>
            <w:pPr>
              <w:ind w:left="1240"/>
              <w:spacing w:after="0" w:line="228" w:lineRule="exact"/>
              <w:rPr>
                <w:sz w:val="20"/>
                <w:szCs w:val="20"/>
                <w:color w:val="auto"/>
              </w:rPr>
            </w:pPr>
            <w:r>
              <w:rPr>
                <w:rFonts w:ascii="Times New Roman" w:cs="Times New Roman" w:eastAsia="Times New Roman" w:hAnsi="Times New Roman"/>
                <w:sz w:val="20"/>
                <w:szCs w:val="20"/>
                <w:color w:val="auto"/>
              </w:rPr>
              <w:t>Name: Dionisio Ortiz</w:t>
            </w:r>
          </w:p>
        </w:tc>
      </w:tr>
      <w:tr>
        <w:trPr>
          <w:trHeight w:val="258"/>
        </w:trPr>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68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Continue]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left="4240" w:right="219"/>
        <w:spacing w:after="0" w:line="298" w:lineRule="auto"/>
        <w:rPr>
          <w:sz w:val="20"/>
          <w:szCs w:val="20"/>
          <w:color w:val="auto"/>
        </w:rPr>
      </w:pPr>
      <w:r>
        <w:rPr>
          <w:rFonts w:ascii="Times New Roman" w:cs="Times New Roman" w:eastAsia="Times New Roman" w:hAnsi="Times New Roman"/>
          <w:sz w:val="16"/>
          <w:szCs w:val="16"/>
          <w:color w:val="auto"/>
        </w:rPr>
        <w:t>SEVENTH AMENDMENT TO CREDIT AGREEMENT (CALAVO)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318770</wp:posOffset>
            </wp:positionV>
            <wp:extent cx="54521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0" w:name="page11"/>
    <w:bookmarkEnd w:id="10"/>
    <w:tbl>
      <w:tblPr>
        <w:tblLayout w:type="fixed"/>
        <w:tblInd w:w="200" w:type="dxa"/>
        <w:tblCellMar>
          <w:top w:w="0" w:type="dxa"/>
          <w:left w:w="0" w:type="dxa"/>
          <w:bottom w:w="0" w:type="dxa"/>
          <w:right w:w="0" w:type="dxa"/>
        </w:tblCellMar>
      </w:tblPr>
      <w:tr>
        <w:trPr>
          <w:trHeight w:val="230"/>
        </w:trPr>
        <w:tc>
          <w:tcPr>
            <w:tcW w:w="32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ADMINISTRATIVE AGENT:</w:t>
            </w:r>
          </w:p>
        </w:tc>
        <w:tc>
          <w:tcPr>
            <w:tcW w:w="5360" w:type="dxa"/>
            <w:vAlign w:val="bottom"/>
            <w:gridSpan w:val="3"/>
          </w:tcPr>
          <w:p>
            <w:pPr>
              <w:ind w:left="640"/>
              <w:spacing w:after="0"/>
              <w:rPr>
                <w:sz w:val="20"/>
                <w:szCs w:val="20"/>
                <w:color w:val="auto"/>
              </w:rPr>
            </w:pPr>
            <w:r>
              <w:rPr>
                <w:rFonts w:ascii="Times New Roman" w:cs="Times New Roman" w:eastAsia="Times New Roman" w:hAnsi="Times New Roman"/>
                <w:sz w:val="20"/>
                <w:szCs w:val="20"/>
                <w:b w:val="1"/>
                <w:bCs w:val="1"/>
                <w:color w:val="auto"/>
              </w:rPr>
              <w:t>BANK OF AMERICA, N.A.,</w:t>
            </w:r>
          </w:p>
        </w:tc>
      </w:tr>
      <w:tr>
        <w:trPr>
          <w:trHeight w:val="256"/>
        </w:trPr>
        <w:tc>
          <w:tcPr>
            <w:tcW w:w="20" w:type="dxa"/>
            <w:vAlign w:val="bottom"/>
            <w:tcBorders>
              <w:top w:val="single" w:sz="8" w:color="auto"/>
            </w:tcBorders>
          </w:tcPr>
          <w:p>
            <w:pPr>
              <w:spacing w:after="0"/>
              <w:rPr>
                <w:sz w:val="22"/>
                <w:szCs w:val="22"/>
                <w:color w:val="auto"/>
              </w:rPr>
            </w:pPr>
          </w:p>
        </w:tc>
        <w:tc>
          <w:tcPr>
            <w:tcW w:w="2500" w:type="dxa"/>
            <w:vAlign w:val="bottom"/>
            <w:tcBorders>
              <w:top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53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as Administrative Agent</w:t>
            </w:r>
          </w:p>
        </w:tc>
      </w:tr>
      <w:tr>
        <w:trPr>
          <w:trHeight w:val="642"/>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3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By:​</w:t>
            </w: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360" w:type="dxa"/>
            <w:vAlign w:val="bottom"/>
            <w:gridSpan w:val="3"/>
          </w:tcPr>
          <w:p>
            <w:pPr>
              <w:ind w:left="660"/>
              <w:spacing w:after="0" w:line="228" w:lineRule="exact"/>
              <w:rPr>
                <w:sz w:val="20"/>
                <w:szCs w:val="20"/>
                <w:color w:val="auto"/>
              </w:rPr>
            </w:pPr>
            <w:r>
              <w:rPr>
                <w:rFonts w:ascii="Times New Roman" w:cs="Times New Roman" w:eastAsia="Times New Roman" w:hAnsi="Times New Roman"/>
                <w:sz w:val="20"/>
                <w:szCs w:val="20"/>
                <w:color w:val="auto"/>
              </w:rPr>
              <w:t>Name: Carolen Alfonso</w:t>
            </w:r>
          </w:p>
        </w:tc>
      </w:tr>
      <w:tr>
        <w:trPr>
          <w:trHeight w:val="258"/>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3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Title: Assistant Vice President</w:t>
            </w:r>
          </w:p>
        </w:tc>
      </w:tr>
      <w:tr>
        <w:trPr>
          <w:trHeight w:val="871"/>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SEVENTH AMENDMENT TO CREDIT AGREEMENT (CALAVO)</w:t>
            </w:r>
          </w:p>
        </w:tc>
      </w:tr>
      <w:tr>
        <w:trPr>
          <w:trHeight w:val="210"/>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SIGNATURE PAGE</w:t>
            </w:r>
          </w:p>
        </w:tc>
      </w:tr>
      <w:tr>
        <w:trPr>
          <w:trHeight w:val="566"/>
        </w:trPr>
        <w:tc>
          <w:tcPr>
            <w:tcW w:w="20" w:type="dxa"/>
            <w:vAlign w:val="bottom"/>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68" w:right="1440" w:bottom="1440" w:gutter="0" w:footer="0" w:header="0"/>
        </w:sectPr>
      </w:pPr>
    </w:p>
    <w:bookmarkStart w:id="11" w:name="page12"/>
    <w:bookmarkEnd w:id="11"/>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4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LENDERS</w:t>
            </w:r>
            <w:r>
              <w:rPr>
                <w:rFonts w:ascii="Times New Roman" w:cs="Times New Roman" w:eastAsia="Times New Roman" w:hAnsi="Times New Roman"/>
                <w:sz w:val="20"/>
                <w:szCs w:val="20"/>
                <w:color w:val="auto"/>
              </w:rPr>
              <w:t>:</w:t>
            </w:r>
          </w:p>
        </w:tc>
        <w:tc>
          <w:tcPr>
            <w:tcW w:w="6160" w:type="dxa"/>
            <w:vAlign w:val="bottom"/>
            <w:gridSpan w:val="3"/>
          </w:tcPr>
          <w:p>
            <w:pPr>
              <w:ind w:left="146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Lender, Non-Patronage</w:t>
            </w:r>
          </w:p>
        </w:tc>
      </w:tr>
      <w:tr>
        <w:trPr>
          <w:trHeight w:val="256"/>
        </w:trPr>
        <w:tc>
          <w:tcPr>
            <w:tcW w:w="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500" w:type="dxa"/>
            <w:vAlign w:val="bottom"/>
          </w:tcPr>
          <w:p>
            <w:pPr>
              <w:spacing w:after="0"/>
              <w:rPr>
                <w:sz w:val="22"/>
                <w:szCs w:val="22"/>
                <w:color w:val="auto"/>
              </w:rPr>
            </w:pPr>
          </w:p>
        </w:tc>
        <w:tc>
          <w:tcPr>
            <w:tcW w:w="6160" w:type="dxa"/>
            <w:vAlign w:val="bottom"/>
            <w:gridSpan w:val="3"/>
          </w:tcPr>
          <w:p>
            <w:pPr>
              <w:ind w:left="1460"/>
              <w:spacing w:after="0"/>
              <w:rPr>
                <w:sz w:val="20"/>
                <w:szCs w:val="20"/>
                <w:color w:val="auto"/>
              </w:rPr>
            </w:pPr>
            <w:r>
              <w:rPr>
                <w:rFonts w:ascii="Times New Roman" w:cs="Times New Roman" w:eastAsia="Times New Roman" w:hAnsi="Times New Roman"/>
                <w:sz w:val="20"/>
                <w:szCs w:val="20"/>
                <w:color w:val="auto"/>
              </w:rPr>
              <w:t>Lender, L/C Issuer and Swingline Lender</w:t>
            </w:r>
          </w:p>
        </w:tc>
      </w:tr>
      <w:tr>
        <w:trPr>
          <w:trHeight w:val="64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160" w:type="dxa"/>
            <w:vAlign w:val="bottom"/>
            <w:gridSpan w:val="3"/>
          </w:tcPr>
          <w:p>
            <w:pPr>
              <w:ind w:left="1460"/>
              <w:spacing w:after="0"/>
              <w:rPr>
                <w:sz w:val="20"/>
                <w:szCs w:val="20"/>
                <w:color w:val="auto"/>
              </w:rPr>
            </w:pPr>
            <w:r>
              <w:rPr>
                <w:rFonts w:ascii="Times New Roman" w:cs="Times New Roman" w:eastAsia="Times New Roman" w:hAnsi="Times New Roman"/>
                <w:sz w:val="20"/>
                <w:szCs w:val="20"/>
                <w:color w:val="auto"/>
              </w:rPr>
              <w:t>By:​</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160" w:type="dxa"/>
            <w:vAlign w:val="bottom"/>
            <w:gridSpan w:val="3"/>
          </w:tcPr>
          <w:p>
            <w:pPr>
              <w:ind w:left="1460"/>
              <w:spacing w:after="0" w:line="228" w:lineRule="exact"/>
              <w:rPr>
                <w:sz w:val="20"/>
                <w:szCs w:val="20"/>
                <w:color w:val="auto"/>
              </w:rPr>
            </w:pPr>
            <w:r>
              <w:rPr>
                <w:rFonts w:ascii="Times New Roman" w:cs="Times New Roman" w:eastAsia="Times New Roman" w:hAnsi="Times New Roman"/>
                <w:sz w:val="20"/>
                <w:szCs w:val="20"/>
                <w:color w:val="auto"/>
              </w:rPr>
              <w:t>Name: Maria Coronado</w:t>
            </w:r>
          </w:p>
        </w:tc>
      </w:tr>
      <w:tr>
        <w:trPr>
          <w:trHeight w:val="258"/>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160" w:type="dxa"/>
            <w:vAlign w:val="bottom"/>
            <w:gridSpan w:val="3"/>
          </w:tcPr>
          <w:p>
            <w:pPr>
              <w:ind w:left="1460"/>
              <w:spacing w:after="0"/>
              <w:rPr>
                <w:sz w:val="20"/>
                <w:szCs w:val="20"/>
                <w:color w:val="auto"/>
              </w:rPr>
            </w:pPr>
            <w:r>
              <w:rPr>
                <w:rFonts w:ascii="Times New Roman" w:cs="Times New Roman" w:eastAsia="Times New Roman" w:hAnsi="Times New Roman"/>
                <w:sz w:val="20"/>
                <w:szCs w:val="20"/>
                <w:color w:val="auto"/>
              </w:rPr>
              <w:t>Title: Vice President</w:t>
            </w:r>
          </w:p>
        </w:tc>
      </w:tr>
      <w:tr>
        <w:trPr>
          <w:trHeight w:val="871"/>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SEVENTH AMENDMENT TO CREDIT AGREEMENT (CALAVO)</w:t>
            </w: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SIGNATURE PAGE</w:t>
            </w:r>
          </w:p>
        </w:tc>
      </w:tr>
      <w:tr>
        <w:trPr>
          <w:trHeight w:val="566"/>
        </w:trPr>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68" w:right="1440" w:bottom="1440" w:gutter="0" w:footer="0" w:header="0"/>
        </w:sectPr>
      </w:pPr>
    </w:p>
    <w:bookmarkStart w:id="12" w:name="page13"/>
    <w:bookmarkEnd w:id="12"/>
    <w:p>
      <w:pPr>
        <w:ind w:left="4100"/>
        <w:spacing w:after="0"/>
        <w:rPr>
          <w:sz w:val="20"/>
          <w:szCs w:val="20"/>
          <w:color w:val="auto"/>
        </w:rPr>
      </w:pPr>
      <w:r>
        <w:rPr>
          <w:rFonts w:ascii="Times New Roman" w:cs="Times New Roman" w:eastAsia="Times New Roman" w:hAnsi="Times New Roman"/>
          <w:sz w:val="20"/>
          <w:szCs w:val="20"/>
          <w:b w:val="1"/>
          <w:bCs w:val="1"/>
          <w:color w:val="auto"/>
        </w:rPr>
        <w:t>FARM CREDIT WEST, PCA</w:t>
      </w:r>
    </w:p>
    <w:p>
      <w:pPr>
        <w:spacing w:after="0" w:line="2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as a Lender and Patronage Lender</w:t>
      </w:r>
    </w:p>
    <w:p>
      <w:pPr>
        <w:spacing w:after="0" w:line="200" w:lineRule="exact"/>
        <w:rPr>
          <w:sz w:val="20"/>
          <w:szCs w:val="20"/>
          <w:color w:val="auto"/>
        </w:rPr>
      </w:pPr>
    </w:p>
    <w:p>
      <w:pPr>
        <w:spacing w:after="0" w:line="23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-10795</wp:posOffset>
            </wp:positionV>
            <wp:extent cx="22860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86000" cy="8255"/>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jc w:val="center"/>
        <w:ind w:right="399"/>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left="4240" w:right="219"/>
        <w:spacing w:after="0" w:line="298" w:lineRule="auto"/>
        <w:rPr>
          <w:sz w:val="20"/>
          <w:szCs w:val="20"/>
          <w:color w:val="auto"/>
        </w:rPr>
      </w:pPr>
      <w:r>
        <w:rPr>
          <w:rFonts w:ascii="Times New Roman" w:cs="Times New Roman" w:eastAsia="Times New Roman" w:hAnsi="Times New Roman"/>
          <w:sz w:val="16"/>
          <w:szCs w:val="16"/>
          <w:color w:val="auto"/>
        </w:rPr>
        <w:t>SEVENTH AMENDMENT TO CREDIT AGREEMENT (CALAVO)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318770</wp:posOffset>
            </wp:positionV>
            <wp:extent cx="545211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GUARANTOR ACKNOWLEDGMENT AND CONSENT</w:t>
      </w:r>
    </w:p>
    <w:p>
      <w:pPr>
        <w:spacing w:after="0" w:line="206" w:lineRule="exact"/>
        <w:rPr>
          <w:sz w:val="20"/>
          <w:szCs w:val="20"/>
          <w:color w:val="auto"/>
        </w:rPr>
      </w:pPr>
    </w:p>
    <w:p>
      <w:pPr>
        <w:jc w:val="both"/>
        <w:ind w:left="200" w:right="219"/>
        <w:spacing w:after="0" w:line="256" w:lineRule="auto"/>
        <w:rPr>
          <w:sz w:val="20"/>
          <w:szCs w:val="20"/>
          <w:color w:val="auto"/>
        </w:rPr>
      </w:pPr>
      <w:r>
        <w:rPr>
          <w:rFonts w:ascii="Times New Roman" w:cs="Times New Roman" w:eastAsia="Times New Roman" w:hAnsi="Times New Roman"/>
          <w:sz w:val="19"/>
          <w:szCs w:val="19"/>
          <w:color w:val="auto"/>
        </w:rPr>
        <w:t>Guarantor hereby expressly: (a) consents to the execution by Borrower, Administrative Agent and Lenders of this Amendment; (b) acknowledges that the “Guaranteed Obligations” (as defined in the Credit Agreement) includes all of the obligations and liabilities owing from time to time by the Borrower under and/or in connection with the “Loan Documents” including, but not limited to, the obligations and liabilities of Borrower to Lenders under and pursuant to the Credit Agreement, as amended from time to time;</w:t>
      </w:r>
    </w:p>
    <w:p>
      <w:pPr>
        <w:spacing w:after="0" w:line="4" w:lineRule="exact"/>
        <w:rPr>
          <w:sz w:val="20"/>
          <w:szCs w:val="20"/>
          <w:color w:val="auto"/>
        </w:rPr>
      </w:pPr>
    </w:p>
    <w:p>
      <w:pPr>
        <w:jc w:val="both"/>
        <w:ind w:left="200" w:right="219" w:firstLine="9"/>
        <w:spacing w:after="0"/>
        <w:tabs>
          <w:tab w:leader="none" w:pos="4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that the Guarantor does not have any set-off, defense, or counterclaim to the payment or performance of any of the obligations of Borrower under the Credit Agreement or the Guarantor under the Guaranty (as defined in the Credit Agreement); (d) reaffirms, assumes, and binds itself in all respects to all of the obligations, liabilities, duties, covenants, terms, and conditions that are contained in the Guaranty; and (e) agrees that all such obligations and liabilities under the Guaranty shall continue in full force and that the execution and delivery of this Amendment to, and its acceptance by, Administrative Agent shall not in any manner whatsoever (i) impair or affect the liability of the Guarantor, (i) prejudice, waive, or be construed to impair, affect, prejudice, or waive the rights and abilities of Administrative Agent at law, in equity or by statute, against the Guarantor, and/or (ii) release or discharge, nor be construed to release or discharge, any of the obligations and liabilities owing to Administrative Agent or any Lender by the Guarantor.</w:t>
      </w:r>
    </w:p>
    <w:p>
      <w:pPr>
        <w:spacing w:after="0" w:line="158" w:lineRule="exact"/>
        <w:rPr>
          <w:sz w:val="20"/>
          <w:szCs w:val="20"/>
          <w:color w:val="auto"/>
        </w:rPr>
      </w:pPr>
    </w:p>
    <w:tbl>
      <w:tblPr>
        <w:tblLayout w:type="fixed"/>
        <w:tblInd w:w="200" w:type="dxa"/>
        <w:tblCellMar>
          <w:top w:w="0" w:type="dxa"/>
          <w:left w:w="0" w:type="dxa"/>
          <w:bottom w:w="0" w:type="dxa"/>
          <w:right w:w="0" w:type="dxa"/>
        </w:tblCellMar>
      </w:tblPr>
      <w:tr>
        <w:trPr>
          <w:trHeight w:val="262"/>
        </w:trPr>
        <w:tc>
          <w:tcPr>
            <w:tcW w:w="36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AGREED TO AND ACCEPTED BY:</w:t>
            </w:r>
          </w:p>
        </w:tc>
        <w:tc>
          <w:tcPr>
            <w:tcW w:w="11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403"/>
        </w:trPr>
        <w:tc>
          <w:tcPr>
            <w:tcW w:w="20" w:type="dxa"/>
            <w:vAlign w:val="bottom"/>
          </w:tcPr>
          <w:p>
            <w:pPr>
              <w:spacing w:after="0"/>
              <w:rPr>
                <w:sz w:val="24"/>
                <w:szCs w:val="24"/>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GUARANTOR:</w:t>
            </w:r>
          </w:p>
        </w:tc>
        <w:tc>
          <w:tcPr>
            <w:tcW w:w="5000" w:type="dxa"/>
            <w:vAlign w:val="bottom"/>
            <w:gridSpan w:val="3"/>
          </w:tcPr>
          <w:p>
            <w:pPr>
              <w:ind w:left="740"/>
              <w:spacing w:after="0"/>
              <w:rPr>
                <w:sz w:val="20"/>
                <w:szCs w:val="20"/>
                <w:color w:val="auto"/>
              </w:rPr>
            </w:pPr>
            <w:r>
              <w:rPr>
                <w:rFonts w:ascii="Times New Roman" w:cs="Times New Roman" w:eastAsia="Times New Roman" w:hAnsi="Times New Roman"/>
                <w:sz w:val="20"/>
                <w:szCs w:val="20"/>
                <w:b w:val="1"/>
                <w:bCs w:val="1"/>
                <w:color w:val="auto"/>
              </w:rPr>
              <w:t>RENAISSANCE FOOD GROUP, LLC</w:t>
            </w:r>
            <w:r>
              <w:rPr>
                <w:rFonts w:ascii="Times New Roman" w:cs="Times New Roman" w:eastAsia="Times New Roman" w:hAnsi="Times New Roman"/>
                <w:sz w:val="20"/>
                <w:szCs w:val="20"/>
                <w:color w:val="auto"/>
              </w:rPr>
              <w:t>,</w:t>
            </w:r>
          </w:p>
        </w:tc>
      </w:tr>
      <w:tr>
        <w:trPr>
          <w:trHeight w:val="258"/>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5000" w:type="dxa"/>
            <w:vAlign w:val="bottom"/>
            <w:gridSpan w:val="3"/>
          </w:tcPr>
          <w:p>
            <w:pPr>
              <w:ind w:left="740"/>
              <w:spacing w:after="0"/>
              <w:rPr>
                <w:sz w:val="20"/>
                <w:szCs w:val="20"/>
                <w:color w:val="auto"/>
              </w:rPr>
            </w:pPr>
            <w:r>
              <w:rPr>
                <w:rFonts w:ascii="Times New Roman" w:cs="Times New Roman" w:eastAsia="Times New Roman" w:hAnsi="Times New Roman"/>
                <w:sz w:val="20"/>
                <w:szCs w:val="20"/>
                <w:color w:val="auto"/>
              </w:rPr>
              <w:t>a Delaware limited liability company</w:t>
            </w:r>
          </w:p>
        </w:tc>
      </w:tr>
      <w:tr>
        <w:trPr>
          <w:trHeight w:val="642"/>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By:</w:t>
            </w:r>
          </w:p>
        </w:tc>
        <w:tc>
          <w:tcPr>
            <w:tcW w:w="306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5000" w:type="dxa"/>
            <w:vAlign w:val="bottom"/>
            <w:gridSpan w:val="3"/>
          </w:tcPr>
          <w:p>
            <w:pPr>
              <w:ind w:left="740"/>
              <w:spacing w:after="0" w:line="228" w:lineRule="exact"/>
              <w:rPr>
                <w:sz w:val="20"/>
                <w:szCs w:val="20"/>
                <w:color w:val="auto"/>
              </w:rPr>
            </w:pPr>
            <w:r>
              <w:rPr>
                <w:rFonts w:ascii="Times New Roman" w:cs="Times New Roman" w:eastAsia="Times New Roman" w:hAnsi="Times New Roman"/>
                <w:sz w:val="20"/>
                <w:szCs w:val="20"/>
                <w:color w:val="auto"/>
              </w:rPr>
              <w:t>Name: Shawn Munsell</w:t>
            </w:r>
          </w:p>
        </w:tc>
      </w:tr>
      <w:tr>
        <w:trPr>
          <w:trHeight w:val="258"/>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5000" w:type="dxa"/>
            <w:vAlign w:val="bottom"/>
            <w:gridSpan w:val="3"/>
          </w:tcPr>
          <w:p>
            <w:pPr>
              <w:ind w:left="740"/>
              <w:spacing w:after="0"/>
              <w:rPr>
                <w:sz w:val="20"/>
                <w:szCs w:val="20"/>
                <w:color w:val="auto"/>
              </w:rPr>
            </w:pPr>
            <w:r>
              <w:rPr>
                <w:rFonts w:ascii="Times New Roman" w:cs="Times New Roman" w:eastAsia="Times New Roman" w:hAnsi="Times New Roman"/>
                <w:sz w:val="20"/>
                <w:szCs w:val="20"/>
                <w:color w:val="auto"/>
              </w:rPr>
              <w:t>Title:  Chief Financial Officer</w:t>
            </w:r>
          </w:p>
        </w:tc>
      </w:tr>
      <w:tr>
        <w:trPr>
          <w:trHeight w:val="399"/>
        </w:trPr>
        <w:tc>
          <w:tcPr>
            <w:tcW w:w="20" w:type="dxa"/>
            <w:vAlign w:val="bottom"/>
          </w:tcPr>
          <w:p>
            <w:pPr>
              <w:spacing w:after="0"/>
              <w:rPr>
                <w:sz w:val="24"/>
                <w:szCs w:val="24"/>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GUARANTOR:</w:t>
            </w:r>
          </w:p>
        </w:tc>
        <w:tc>
          <w:tcPr>
            <w:tcW w:w="5000" w:type="dxa"/>
            <w:vAlign w:val="bottom"/>
            <w:gridSpan w:val="3"/>
          </w:tcPr>
          <w:p>
            <w:pPr>
              <w:ind w:left="740"/>
              <w:spacing w:after="0"/>
              <w:rPr>
                <w:sz w:val="20"/>
                <w:szCs w:val="20"/>
                <w:color w:val="auto"/>
              </w:rPr>
            </w:pPr>
            <w:r>
              <w:rPr>
                <w:rFonts w:ascii="Times New Roman" w:cs="Times New Roman" w:eastAsia="Times New Roman" w:hAnsi="Times New Roman"/>
                <w:sz w:val="20"/>
                <w:szCs w:val="20"/>
                <w:b w:val="1"/>
                <w:bCs w:val="1"/>
                <w:color w:val="auto"/>
              </w:rPr>
              <w:t>CALAVO DE MEXICO, S.A. DE C.V.,</w:t>
            </w:r>
          </w:p>
        </w:tc>
      </w:tr>
      <w:tr>
        <w:trPr>
          <w:trHeight w:val="233"/>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5000" w:type="dxa"/>
            <w:vAlign w:val="bottom"/>
            <w:gridSpan w:val="3"/>
          </w:tcPr>
          <w:p>
            <w:pPr>
              <w:ind w:left="74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i w:val="1"/>
                <w:iCs w:val="1"/>
                <w:color w:val="auto"/>
              </w:rPr>
              <w:t>sociedad anónima de capital variable</w:t>
            </w:r>
            <w:r>
              <w:rPr>
                <w:rFonts w:ascii="Times New Roman" w:cs="Times New Roman" w:eastAsia="Times New Roman" w:hAnsi="Times New Roman"/>
                <w:sz w:val="20"/>
                <w:szCs w:val="20"/>
                <w:color w:val="auto"/>
              </w:rPr>
              <w:t xml:space="preserve"> organized</w:t>
            </w:r>
          </w:p>
        </w:tc>
      </w:tr>
      <w:tr>
        <w:trPr>
          <w:trHeight w:val="258"/>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5000" w:type="dxa"/>
            <w:vAlign w:val="bottom"/>
            <w:gridSpan w:val="3"/>
          </w:tcPr>
          <w:p>
            <w:pPr>
              <w:ind w:left="740"/>
              <w:spacing w:after="0"/>
              <w:rPr>
                <w:sz w:val="20"/>
                <w:szCs w:val="20"/>
                <w:color w:val="auto"/>
              </w:rPr>
            </w:pPr>
            <w:r>
              <w:rPr>
                <w:rFonts w:ascii="Times New Roman" w:cs="Times New Roman" w:eastAsia="Times New Roman" w:hAnsi="Times New Roman"/>
                <w:sz w:val="20"/>
                <w:szCs w:val="20"/>
                <w:color w:val="auto"/>
              </w:rPr>
              <w:t>under the laws of Mexico</w:t>
            </w:r>
          </w:p>
        </w:tc>
      </w:tr>
      <w:tr>
        <w:trPr>
          <w:trHeight w:val="413"/>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By:</w:t>
            </w:r>
          </w:p>
        </w:tc>
        <w:tc>
          <w:tcPr>
            <w:tcW w:w="306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5000" w:type="dxa"/>
            <w:vAlign w:val="bottom"/>
            <w:gridSpan w:val="3"/>
          </w:tcPr>
          <w:p>
            <w:pPr>
              <w:ind w:left="740"/>
              <w:spacing w:after="0" w:line="228" w:lineRule="exact"/>
              <w:rPr>
                <w:sz w:val="20"/>
                <w:szCs w:val="20"/>
                <w:color w:val="auto"/>
              </w:rPr>
            </w:pPr>
            <w:r>
              <w:rPr>
                <w:rFonts w:ascii="Times New Roman" w:cs="Times New Roman" w:eastAsia="Times New Roman" w:hAnsi="Times New Roman"/>
                <w:sz w:val="20"/>
                <w:szCs w:val="20"/>
                <w:color w:val="auto"/>
              </w:rPr>
              <w:t>Name: Dionisio Ortiz</w:t>
            </w:r>
          </w:p>
        </w:tc>
      </w:tr>
      <w:tr>
        <w:trPr>
          <w:trHeight w:val="258"/>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5000" w:type="dxa"/>
            <w:vAlign w:val="bottom"/>
            <w:gridSpan w:val="3"/>
          </w:tcPr>
          <w:p>
            <w:pPr>
              <w:ind w:left="740"/>
              <w:spacing w:after="0"/>
              <w:rPr>
                <w:sz w:val="20"/>
                <w:szCs w:val="20"/>
                <w:color w:val="auto"/>
              </w:rPr>
            </w:pPr>
            <w:r>
              <w:rPr>
                <w:rFonts w:ascii="Times New Roman" w:cs="Times New Roman" w:eastAsia="Times New Roman" w:hAnsi="Times New Roman"/>
                <w:sz w:val="20"/>
                <w:szCs w:val="20"/>
                <w:color w:val="auto"/>
              </w:rPr>
              <w:t>Title:  Vice President</w:t>
            </w:r>
          </w:p>
        </w:tc>
      </w:tr>
      <w:tr>
        <w:trPr>
          <w:trHeight w:val="65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GUARANTOR ACKNOWLEDGMENT AND CONSENT TO</w:t>
            </w:r>
          </w:p>
        </w:tc>
      </w:tr>
      <w:tr>
        <w:trPr>
          <w:trHeight w:val="203"/>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SEVENTH AMENDMENT TO CREDIT AGREEMENT (CALAVO)</w:t>
            </w: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SIGNATURE PAGE</w:t>
            </w:r>
          </w:p>
        </w:tc>
      </w:tr>
      <w:tr>
        <w:trPr>
          <w:trHeight w:val="567"/>
        </w:trPr>
        <w:tc>
          <w:tcPr>
            <w:tcW w:w="2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8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4"/>
    </w:lvl>
  </w:abstractNum>
  <w:abstractNum w:abstractNumId="3">
    <w:nsid w:val="5BD062C2"/>
    <w:multiLevelType w:val="hybridMultilevel"/>
    <w:lvl w:ilvl="0">
      <w:lvlJc w:val="left"/>
      <w:lvlText w:val="%1."/>
      <w:numFmt w:val="decimal"/>
      <w:start w:val="1"/>
    </w:lvl>
    <w:lvl w:ilvl="1">
      <w:lvlJc w:val="left"/>
      <w:lvlText w:val="(%2)"/>
      <w:numFmt w:val="lowerLetter"/>
      <w:start w:val="1"/>
    </w:lvl>
  </w:abstractNum>
  <w:abstractNum w:abstractNumId="4">
    <w:nsid w:val="12200854"/>
    <w:multiLevelType w:val="hybridMultilevel"/>
    <w:lvl w:ilvl="0">
      <w:lvlJc w:val="left"/>
      <w:lvlText w:val="(%1)"/>
      <w:numFmt w:val="lowerRoman"/>
      <w:start w:val="5"/>
    </w:lvl>
  </w:abstractNum>
  <w:abstractNum w:abstractNumId="5">
    <w:nsid w:val="4DB127F8"/>
    <w:multiLevelType w:val="hybridMultilevel"/>
    <w:lvl w:ilvl="0">
      <w:lvlJc w:val="left"/>
      <w:lvlText w:val="(%1)"/>
      <w:numFmt w:val="lowerLetter"/>
      <w:start w:val="2"/>
    </w:lvl>
  </w:abstractNum>
  <w:abstractNum w:abstractNumId="6">
    <w:nsid w:val="216231B"/>
    <w:multiLevelType w:val="hybridMultilevel"/>
    <w:lvl w:ilvl="0">
      <w:lvlJc w:val="left"/>
      <w:lvlText w:val="%1"/>
      <w:numFmt w:val="lowerLetter"/>
      <w:start w:val="1"/>
    </w:lvl>
    <w:lvl w:ilvl="1">
      <w:lvlJc w:val="left"/>
      <w:lvlText w:val="(%2)"/>
      <w:numFmt w:val="lowerLetter"/>
      <w:start w:val="1"/>
    </w:lvl>
  </w:abstractNum>
  <w:abstractNum w:abstractNumId="7">
    <w:nsid w:val="1F16E9E8"/>
    <w:multiLevelType w:val="hybridMultilevel"/>
    <w:lvl w:ilvl="0">
      <w:lvlJc w:val="left"/>
      <w:lvlText w:val="(%1)"/>
      <w:numFmt w:val="lowerLetter"/>
      <w:start w:val="3"/>
    </w:lvl>
    <w:lvl w:ilvl="1">
      <w:lvlJc w:val="left"/>
      <w:lvlText w:val="%2"/>
      <w:numFmt w:val="lowerLetter"/>
      <w:start w:val="1"/>
    </w:lvl>
  </w:abstractNum>
  <w:abstractNum w:abstractNumId="8">
    <w:nsid w:val="1190CDE7"/>
    <w:multiLevelType w:val="hybridMultilevel"/>
    <w:lvl w:ilvl="0">
      <w:lvlJc w:val="left"/>
      <w:lvlText w:val="%1"/>
      <w:numFmt w:val="lowerLetter"/>
      <w:start w:val="1"/>
    </w:lvl>
    <w:lvl w:ilvl="1">
      <w:lvlJc w:val="left"/>
      <w:lvlText w:val="(%2)"/>
      <w:numFmt w:val="lowerLetter"/>
      <w:start w:val="2"/>
    </w:lvl>
  </w:abstractNum>
  <w:abstractNum w:abstractNumId="9">
    <w:nsid w:val="66EF438D"/>
    <w:multiLevelType w:val="hybridMultilevel"/>
    <w:lvl w:ilvl="0">
      <w:lvlJc w:val="left"/>
      <w:lvlText w:val="(%1)"/>
      <w:numFmt w:val="lowerLetter"/>
      <w:start w:val="61"/>
    </w:lvl>
    <w:lvl w:ilvl="1">
      <w:lvlJc w:val="left"/>
      <w:lvlText w:val="%2"/>
      <w:numFmt w:val="lowerLetter"/>
      <w:start w:val="1"/>
    </w:lvl>
  </w:abstractNum>
  <w:abstractNum w:abstractNumId="10">
    <w:nsid w:val="140E0F76"/>
    <w:multiLevelType w:val="hybridMultilevel"/>
    <w:lvl w:ilvl="0">
      <w:lvlJc w:val="left"/>
      <w:lvlText w:val="%1."/>
      <w:numFmt w:val="decimal"/>
      <w:start w:val="3"/>
    </w:lvl>
    <w:lvl w:ilvl="1">
      <w:lvlJc w:val="left"/>
      <w:lvlText w:val="(%2)"/>
      <w:numFmt w:val="lowerLetter"/>
      <w:start w:val="1"/>
    </w:lvl>
  </w:abstractNum>
  <w:abstractNum w:abstractNumId="11">
    <w:nsid w:val="3352255A"/>
    <w:multiLevelType w:val="hybridMultilevel"/>
    <w:lvl w:ilvl="0">
      <w:lvlJc w:val="left"/>
      <w:lvlText w:val="%1."/>
      <w:numFmt w:val="decimal"/>
      <w:start w:val="5"/>
    </w:lvl>
  </w:abstractNum>
  <w:abstractNum w:abstractNumId="12">
    <w:nsid w:val="109CF92E"/>
    <w:multiLevelType w:val="hybridMultilevel"/>
    <w:lvl w:ilvl="0">
      <w:lvlJc w:val="left"/>
      <w:lvlText w:val="%1."/>
      <w:numFmt w:val="decimal"/>
      <w:start w:val="8"/>
    </w:lvl>
  </w:abstractNum>
  <w:abstractNum w:abstractNumId="13">
    <w:nsid w:val="DED726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2022-11-02T08:03:07Z</dcterms:created>
  <dcterms:modified xsi:type="dcterms:W3CDTF">2022-11-02T08:03:07Z</dcterms:modified>
</cp:coreProperties>
</file>