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v18414e10vq.htm"/>
        <w:bookmarkStart w:id="1" w:name="ksv18414e10vq"/>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 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1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10-Q</w:t>
      </w:r>
      <w:r>
        <w:rPr>
          <w:rFonts w:ascii="Times New Roman;Times;serif" w:hAnsi="Times New Roman;Times;serif"/>
          <w:sz w:val="30"/>
        </w:rPr>
        <w:t xml:space="preserve"> </w:t>
      </w:r>
    </w:p>
    <w:tbl>
      <w:tblPr>
        <w:tblW w:w="5000" w:type="pct"/>
        <w:jc w:val="center"/>
        <w:tblInd w:w="0" w:type="dxa"/>
        <w:tblCellMar>
          <w:top w:w="0" w:type="dxa"/>
          <w:left w:w="0" w:type="dxa"/>
          <w:bottom w:w="0" w:type="dxa"/>
          <w:right w:w="0" w:type="dxa"/>
        </w:tblCellMar>
      </w:tblPr>
      <w:tblGrid>
        <w:gridCol w:w="713"/>
        <w:gridCol w:w="509"/>
        <w:gridCol w:w="8983"/>
      </w:tblGrid>
      <w:tr>
        <w:trPr/>
        <w:tc>
          <w:tcPr>
            <w:tcW w:w="713" w:type="dxa"/>
            <w:tcBorders/>
            <w:shd w:fill="auto" w:val="clear"/>
            <w:vAlign w:val="center"/>
          </w:tcPr>
          <w:p>
            <w:pPr>
              <w:pStyle w:val="TableContents"/>
              <w:spacing w:before="0" w:after="283"/>
              <w:rPr/>
            </w:pPr>
            <w:r>
              <w:rPr/>
              <w:t> </w:t>
            </w:r>
          </w:p>
        </w:tc>
        <w:tc>
          <w:tcPr>
            <w:tcW w:w="509" w:type="dxa"/>
            <w:tcBorders/>
            <w:shd w:fill="auto" w:val="clear"/>
            <w:vAlign w:val="center"/>
          </w:tcPr>
          <w:p>
            <w:pPr>
              <w:pStyle w:val="TableContents"/>
              <w:spacing w:before="0" w:after="283"/>
              <w:rPr/>
            </w:pPr>
            <w:r>
              <w:rPr/>
              <w:t> </w:t>
            </w:r>
          </w:p>
        </w:tc>
        <w:tc>
          <w:tcPr>
            <w:tcW w:w="8983" w:type="dxa"/>
            <w:tcBorders/>
            <w:shd w:fill="auto" w:val="clear"/>
            <w:vAlign w:val="center"/>
          </w:tcPr>
          <w:p>
            <w:pPr>
              <w:pStyle w:val="TableContents"/>
              <w:spacing w:before="0" w:after="283"/>
              <w:rPr/>
            </w:pPr>
            <w:r>
              <w:rPr/>
              <w:t> </w:t>
            </w:r>
          </w:p>
        </w:tc>
      </w:tr>
      <w:tr>
        <w:trPr/>
        <w:tc>
          <w:tcPr>
            <w:tcW w:w="713" w:type="dxa"/>
            <w:tcBorders/>
            <w:shd w:fill="auto" w:val="clear"/>
          </w:tcPr>
          <w:p>
            <w:pPr>
              <w:pStyle w:val="TableContents"/>
              <w:spacing w:before="0" w:after="283"/>
              <w:jc w:val="center"/>
              <w:rPr/>
            </w:pPr>
            <w:r>
              <w:rPr/>
              <w:t>☑</w:t>
            </w:r>
          </w:p>
        </w:tc>
        <w:tc>
          <w:tcPr>
            <w:tcW w:w="509" w:type="dxa"/>
            <w:tcBorders/>
            <w:shd w:fill="auto" w:val="clear"/>
          </w:tcPr>
          <w:p>
            <w:pPr>
              <w:pStyle w:val="TableContents"/>
              <w:spacing w:before="0" w:after="283"/>
              <w:rPr/>
            </w:pPr>
            <w:r>
              <w:rPr/>
              <w:t> </w:t>
            </w:r>
          </w:p>
        </w:tc>
        <w:tc>
          <w:tcPr>
            <w:tcW w:w="8983" w:type="dxa"/>
            <w:tcBorders/>
            <w:shd w:fill="auto" w:val="clear"/>
          </w:tcPr>
          <w:p>
            <w:pPr>
              <w:pStyle w:val="TableContents"/>
              <w:spacing w:before="0" w:after="283"/>
              <w:rPr>
                <w:b/>
              </w:rPr>
            </w:pPr>
            <w:r>
              <w:rPr>
                <w:b/>
              </w:rPr>
              <w:t>QUARTERLY REPORT PURSUANT TO SECTION 13 OR 15(d) OF THE SECURITIES EXCHANGE ACT OF 1934</w:t>
            </w:r>
          </w:p>
        </w:tc>
      </w:tr>
    </w:tbl>
    <w:p>
      <w:pPr>
        <w:pStyle w:val="TextBody"/>
        <w:spacing w:before="120" w:after="283"/>
        <w:jc w:val="left"/>
        <w:rPr>
          <w:rFonts w:ascii="Times New Roman;Times;serif" w:hAnsi="Times New Roman;Times;serif"/>
          <w:b/>
          <w:sz w:val="17"/>
        </w:rPr>
      </w:pPr>
      <w:r>
        <w:rPr>
          <w:rFonts w:ascii="Times New Roman;Times;serif" w:hAnsi="Times New Roman;Times;serif"/>
          <w:b/>
          <w:sz w:val="17"/>
        </w:rPr>
        <w:t xml:space="preserve">For the quarterly period ended January 31, 2006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OR</w:t>
      </w:r>
    </w:p>
    <w:tbl>
      <w:tblPr>
        <w:tblW w:w="5000" w:type="pct"/>
        <w:jc w:val="center"/>
        <w:tblInd w:w="0" w:type="dxa"/>
        <w:tblCellMar>
          <w:top w:w="0" w:type="dxa"/>
          <w:left w:w="0" w:type="dxa"/>
          <w:bottom w:w="0" w:type="dxa"/>
          <w:right w:w="0" w:type="dxa"/>
        </w:tblCellMar>
      </w:tblPr>
      <w:tblGrid>
        <w:gridCol w:w="714"/>
        <w:gridCol w:w="507"/>
        <w:gridCol w:w="8984"/>
      </w:tblGrid>
      <w:tr>
        <w:trPr/>
        <w:tc>
          <w:tcPr>
            <w:tcW w:w="714" w:type="dxa"/>
            <w:tcBorders/>
            <w:shd w:fill="auto" w:val="clear"/>
            <w:vAlign w:val="center"/>
          </w:tcPr>
          <w:p>
            <w:pPr>
              <w:pStyle w:val="TableContents"/>
              <w:spacing w:before="0" w:after="283"/>
              <w:rPr/>
            </w:pPr>
            <w:r>
              <w:rPr/>
              <w:t> </w:t>
            </w:r>
          </w:p>
        </w:tc>
        <w:tc>
          <w:tcPr>
            <w:tcW w:w="507" w:type="dxa"/>
            <w:tcBorders/>
            <w:shd w:fill="auto" w:val="clear"/>
            <w:vAlign w:val="center"/>
          </w:tcPr>
          <w:p>
            <w:pPr>
              <w:pStyle w:val="TableContents"/>
              <w:spacing w:before="0" w:after="283"/>
              <w:rPr/>
            </w:pPr>
            <w:r>
              <w:rPr/>
              <w:t> </w:t>
            </w:r>
          </w:p>
        </w:tc>
        <w:tc>
          <w:tcPr>
            <w:tcW w:w="8984" w:type="dxa"/>
            <w:tcBorders/>
            <w:shd w:fill="auto" w:val="clear"/>
            <w:vAlign w:val="center"/>
          </w:tcPr>
          <w:p>
            <w:pPr>
              <w:pStyle w:val="TableContents"/>
              <w:spacing w:before="0" w:after="283"/>
              <w:rPr/>
            </w:pPr>
            <w:r>
              <w:rPr/>
              <w:t> </w:t>
            </w:r>
          </w:p>
        </w:tc>
      </w:tr>
      <w:tr>
        <w:trPr/>
        <w:tc>
          <w:tcPr>
            <w:tcW w:w="714" w:type="dxa"/>
            <w:tcBorders/>
            <w:shd w:fill="auto" w:val="clear"/>
          </w:tcPr>
          <w:p>
            <w:pPr>
              <w:pStyle w:val="TableContents"/>
              <w:spacing w:before="0" w:after="283"/>
              <w:jc w:val="center"/>
              <w:rPr>
                <w:rFonts w:ascii="Wingdings" w:hAnsi="Wingdings"/>
              </w:rPr>
            </w:pPr>
            <w:r>
              <w:rPr>
                <w:rFonts w:ascii="Wingdings" w:hAnsi="Wingdings"/>
              </w:rPr>
              <w:t>o</w:t>
            </w:r>
          </w:p>
        </w:tc>
        <w:tc>
          <w:tcPr>
            <w:tcW w:w="507" w:type="dxa"/>
            <w:tcBorders/>
            <w:shd w:fill="auto" w:val="clear"/>
          </w:tcPr>
          <w:p>
            <w:pPr>
              <w:pStyle w:val="TableContents"/>
              <w:spacing w:before="0" w:after="283"/>
              <w:rPr/>
            </w:pPr>
            <w:r>
              <w:rPr/>
              <w:t> </w:t>
            </w:r>
          </w:p>
        </w:tc>
        <w:tc>
          <w:tcPr>
            <w:tcW w:w="8984" w:type="dxa"/>
            <w:tcBorders/>
            <w:shd w:fill="auto" w:val="clear"/>
          </w:tcPr>
          <w:p>
            <w:pPr>
              <w:pStyle w:val="TableContents"/>
              <w:spacing w:before="0" w:after="283"/>
              <w:rPr>
                <w:b/>
              </w:rPr>
            </w:pPr>
            <w:r>
              <w:rPr>
                <w:b/>
              </w:rPr>
              <w:t>TRANSITION REPORT PURSUANT TO SECTION 13 OR 15(d)OF THE SECURITIES EXCHANGE ACT OF 1934</w:t>
            </w:r>
          </w:p>
        </w:tc>
      </w:tr>
    </w:tbl>
    <w:p>
      <w:pPr>
        <w:pStyle w:val="TextBody"/>
        <w:spacing w:before="240" w:after="283"/>
        <w:jc w:val="center"/>
        <w:rPr>
          <w:rFonts w:ascii="Times New Roman;Times;serif" w:hAnsi="Times New Roman;Times;serif"/>
          <w:b/>
          <w:sz w:val="17"/>
        </w:rPr>
      </w:pPr>
      <w:r>
        <w:rPr>
          <w:rFonts w:ascii="Times New Roman;Times;serif" w:hAnsi="Times New Roman;Times;serif"/>
          <w:b/>
          <w:sz w:val="17"/>
        </w:rPr>
        <w:t>Commission file number: 000-33385</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CALAVO GROWERS,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(Exact name of registrant as specified in its charter)</w:t>
      </w:r>
    </w:p>
    <w:tbl>
      <w:tblPr>
        <w:tblW w:w="5000" w:type="pct"/>
        <w:jc w:val="center"/>
        <w:tblInd w:w="0" w:type="dxa"/>
        <w:tblCellMar>
          <w:top w:w="0" w:type="dxa"/>
          <w:left w:w="0" w:type="dxa"/>
          <w:bottom w:w="0" w:type="dxa"/>
          <w:right w:w="0" w:type="dxa"/>
        </w:tblCellMar>
      </w:tblPr>
      <w:tblGrid>
        <w:gridCol w:w="4844"/>
        <w:gridCol w:w="516"/>
        <w:gridCol w:w="4845"/>
      </w:tblGrid>
      <w:tr>
        <w:trPr/>
        <w:tc>
          <w:tcPr>
            <w:tcW w:w="4844"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4845" w:type="dxa"/>
            <w:tcBorders/>
            <w:shd w:fill="auto" w:val="clear"/>
            <w:vAlign w:val="bottom"/>
          </w:tcPr>
          <w:p>
            <w:pPr>
              <w:pStyle w:val="TableContents"/>
              <w:spacing w:before="0" w:after="283"/>
              <w:rPr/>
            </w:pPr>
            <w:r>
              <w:rPr/>
              <w:t> </w:t>
            </w:r>
          </w:p>
        </w:tc>
      </w:tr>
      <w:tr>
        <w:trPr/>
        <w:tc>
          <w:tcPr>
            <w:tcW w:w="4844" w:type="dxa"/>
            <w:tcBorders/>
            <w:shd w:fill="auto" w:val="clear"/>
          </w:tcPr>
          <w:p>
            <w:pPr>
              <w:pStyle w:val="TableContents"/>
              <w:spacing w:before="0" w:after="283"/>
              <w:jc w:val="center"/>
              <w:rPr/>
            </w:pPr>
            <w:r>
              <w:rPr>
                <w:b/>
              </w:rPr>
              <w:t>California</w:t>
            </w:r>
            <w:r>
              <w:rPr/>
              <w:t xml:space="preserve">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b/>
              </w:rPr>
            </w:pPr>
            <w:r>
              <w:rPr>
                <w:b/>
              </w:rPr>
              <w:t>33-0945304</w:t>
            </w:r>
          </w:p>
        </w:tc>
      </w:tr>
      <w:tr>
        <w:trPr/>
        <w:tc>
          <w:tcPr>
            <w:tcW w:w="4844" w:type="dxa"/>
            <w:tcBorders/>
            <w:shd w:fill="auto" w:val="clear"/>
          </w:tcPr>
          <w:p>
            <w:pPr>
              <w:pStyle w:val="TableContents"/>
              <w:spacing w:before="0" w:after="283"/>
              <w:jc w:val="center"/>
              <w:rPr/>
            </w:pPr>
            <w:r>
              <w:rPr/>
              <w:t xml:space="preserve">(State of incorporation)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pPr>
            <w:r>
              <w:rPr/>
              <w:t>(I.R.S. Employer 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1141-A Cummings Road</w:t>
        <w:br/>
        <w:t>Santa Paula, California 93060</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(805) 525-1245</w:t>
      </w:r>
      <w:r>
        <w:rPr>
          <w:rFonts w:ascii="Times New Roman;Times;serif" w:hAnsi="Times New Roman;Times;serif"/>
          <w:sz w:val="17"/>
        </w:rPr>
        <w:br/>
        <w:t>(Registrants telephone number, including area code)</w:t>
      </w:r>
    </w:p>
    <w:p>
      <w:pPr>
        <w:pStyle w:val="TextBody"/>
        <w:spacing w:before="120" w:after="283"/>
        <w:jc w:val="left"/>
        <w:rPr>
          <w:rFonts w:ascii="Times New Roman;Times;serif" w:hAnsi="Times New Roman;Times;serif"/>
          <w:sz w:val="17"/>
        </w:rPr>
      </w:pPr>
      <w:r>
        <w:rPr>
          <w:rFonts w:ascii="Times New Roman;Times;serif" w:hAnsi="Times New Roman;Times;serif"/>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br/>
        <w:t xml:space="preserve">Yes ☑ No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Indicate by check mark whether the registrant is a large accelerated filer, an accelerated filer, or a non-accelerated filer. See definition of accelerated filer and large accelerated filer in Rule 12b-2 of the Exchange Act.</w:t>
        <w:br/>
        <w:t xml:space="preserve">(Check one): Large accelerated filer </w:t>
      </w:r>
      <w:r>
        <w:rPr>
          <w:rFonts w:ascii="Wingdings" w:hAnsi="Wingdings"/>
          <w:sz w:val="17"/>
        </w:rPr>
        <w:t>o</w:t>
      </w:r>
      <w:r>
        <w:rPr>
          <w:rFonts w:ascii="Times New Roman;Times;serif" w:hAnsi="Times New Roman;Times;serif"/>
          <w:sz w:val="17"/>
        </w:rPr>
        <w:t xml:space="preserve"> Accelerated filer ☑ Non-accelerated filer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is a shell company (as defined in Rule 12b-2 of the Exchange Act).Yes </w:t>
      </w:r>
      <w:r>
        <w:rPr>
          <w:rFonts w:ascii="Wingdings" w:hAnsi="Wingdings"/>
          <w:sz w:val="17"/>
        </w:rPr>
        <w:t>o</w:t>
      </w:r>
      <w:r>
        <w:rPr>
          <w:rFonts w:ascii="Times New Roman;Times;serif" w:hAnsi="Times New Roman;Times;serif"/>
          <w:sz w:val="17"/>
        </w:rPr>
        <w:t xml:space="preserve"> No ☑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Registrants number of shares of common stock outstanding as of January 31, 2006 was 14,267,833.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CAUTIONARY STATEMENT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Quarterly Report on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and are subject to the safe harbor created by those sections. Forward-looking statements frequently are identifiable by the use of words such as believe, anticipate, expect, intend, will, and other similar expressions. Our actual results may differ materially from those projected as a result of certain risks and uncertainties. These risks and uncertainties include, but are not limited to: increased competition, conducting substantial amounts of business internationally, pricing pressures on agricultural products, adverse weather and growing conditions confronting avocado growers, new governmental regulations, as well as other risks and uncertainties, including but not limited to those set forth in Part I., Item 1A, </w:t>
      </w:r>
      <w:r>
        <w:rPr>
          <w:rFonts w:ascii="Times New Roman;Times;serif" w:hAnsi="Times New Roman;Times;serif"/>
          <w:i/>
          <w:sz w:val="17"/>
        </w:rPr>
        <w:t>Risk Factors</w:t>
      </w:r>
      <w:r>
        <w:rPr>
          <w:rFonts w:ascii="Times New Roman;Times;serif" w:hAnsi="Times New Roman;Times;serif"/>
          <w:sz w:val="17"/>
        </w:rPr>
        <w:t xml:space="preserve">, in our Annual Report on Form 10-K for the fiscal year ended October 31, 2005, and those detailed from time to time in our other filings with the Securities and Exchange Commission. These forward-looking statements are made only as of the date hereof, and we undertake no obligation to update or revise the forward-looking statements, whether as a result of new information, future events, or otherwise.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bookmarkStart w:id="2" w:name="tocpage"/>
      <w:bookmarkEnd w:id="2"/>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48"/>
        <w:gridCol w:w="529"/>
        <w:gridCol w:w="150"/>
        <w:gridCol w:w="117"/>
        <w:gridCol w:w="7812"/>
        <w:gridCol w:w="496"/>
        <w:gridCol w:w="143"/>
        <w:gridCol w:w="687"/>
        <w:gridCol w:w="123"/>
      </w:tblGrid>
      <w:tr>
        <w:trPr/>
        <w:tc>
          <w:tcPr>
            <w:tcW w:w="148"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148" w:type="dxa"/>
            <w:tcBorders/>
            <w:shd w:fill="auto" w:val="clear"/>
            <w:vAlign w:val="bottom"/>
          </w:tcPr>
          <w:p>
            <w:pPr>
              <w:pStyle w:val="TableContents"/>
              <w:spacing w:before="0" w:after="283"/>
              <w:rPr/>
            </w:pPr>
            <w:r>
              <w:rPr/>
              <w:t> </w:t>
            </w:r>
          </w:p>
        </w:tc>
        <w:tc>
          <w:tcPr>
            <w:tcW w:w="529"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283"/>
              <w:rPr/>
            </w:pPr>
            <w:r>
              <w:rPr/>
              <w:t> </w:t>
            </w:r>
          </w:p>
        </w:tc>
        <w:tc>
          <w:tcPr>
            <w:tcW w:w="496" w:type="dxa"/>
            <w:tcBorders/>
            <w:shd w:fill="auto" w:val="clear"/>
            <w:vAlign w:val="bottom"/>
          </w:tcPr>
          <w:p>
            <w:pPr>
              <w:pStyle w:val="TableContents"/>
              <w:spacing w:before="0" w:after="283"/>
              <w:rPr/>
            </w:pPr>
            <w:r>
              <w:rPr/>
              <w:t> </w:t>
            </w:r>
          </w:p>
        </w:tc>
        <w:tc>
          <w:tcPr>
            <w:tcW w:w="83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PAGE</w:t>
            </w:r>
          </w:p>
        </w:tc>
        <w:tc>
          <w:tcPr>
            <w:tcW w:w="123" w:type="dxa"/>
            <w:tcBorders/>
            <w:shd w:fill="auto" w:val="clear"/>
            <w:vAlign w:val="bottom"/>
          </w:tcPr>
          <w:p>
            <w:pPr>
              <w:pStyle w:val="TableContents"/>
              <w:spacing w:before="0" w:after="283"/>
              <w:rPr/>
            </w:pPr>
            <w:r>
              <w:rPr/>
              <w:t> </w:t>
            </w:r>
          </w:p>
        </w:tc>
      </w:tr>
      <w:tr>
        <w:trPr/>
        <w:tc>
          <w:tcPr>
            <w:tcW w:w="8756" w:type="dxa"/>
            <w:gridSpan w:val="5"/>
            <w:tcBorders/>
            <w:shd w:fill="auto" w:val="clear"/>
            <w:vAlign w:val="bottom"/>
          </w:tcPr>
          <w:p>
            <w:pPr>
              <w:pStyle w:val="TableContents"/>
              <w:spacing w:before="0" w:after="283"/>
              <w:jc w:val="left"/>
              <w:rPr/>
            </w:pPr>
            <w:hyperlink w:anchor="101">
              <w:r>
                <w:rPr>
                  <w:rStyle w:val="InternetLink"/>
                  <w:b/>
                </w:rPr>
                <w:t>PART I. FINANCIAL INFORMATION</w:t>
              </w:r>
            </w:hyperlink>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148" w:type="dxa"/>
            <w:tcBorders/>
            <w:shd w:fill="auto" w:val="clear"/>
          </w:tcPr>
          <w:p>
            <w:pPr>
              <w:pStyle w:val="TableContents"/>
              <w:spacing w:before="0" w:after="283"/>
              <w:jc w:val="left"/>
              <w:rPr/>
            </w:pPr>
            <w:r>
              <w:rPr/>
              <w:t> </w:t>
            </w:r>
          </w:p>
        </w:tc>
        <w:tc>
          <w:tcPr>
            <w:tcW w:w="529" w:type="dxa"/>
            <w:tcBorders/>
            <w:shd w:fill="auto" w:val="clear"/>
          </w:tcPr>
          <w:p>
            <w:pPr>
              <w:pStyle w:val="TableContents"/>
              <w:spacing w:before="0" w:after="283"/>
              <w:jc w:val="right"/>
              <w:rPr/>
            </w:pPr>
            <w:r>
              <w:rPr/>
              <w:t> </w:t>
            </w:r>
          </w:p>
        </w:tc>
        <w:tc>
          <w:tcPr>
            <w:tcW w:w="150"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0"/>
              <w:ind w:left="225" w:right="0" w:hanging="225"/>
              <w:rPr/>
            </w:pPr>
            <w:r>
              <w:rPr/>
              <w:t> </w:t>
            </w:r>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827" w:type="dxa"/>
            <w:gridSpan w:val="3"/>
            <w:tcBorders/>
            <w:shd w:fill="auto" w:val="clear"/>
          </w:tcPr>
          <w:p>
            <w:pPr>
              <w:pStyle w:val="TableContents"/>
              <w:spacing w:before="0" w:after="283"/>
              <w:jc w:val="center"/>
              <w:rPr/>
            </w:pPr>
            <w:hyperlink w:anchor="102">
              <w:r>
                <w:rPr>
                  <w:rStyle w:val="InternetLink"/>
                </w:rPr>
                <w:t>Item 1.</w:t>
              </w:r>
            </w:hyperlink>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0"/>
              <w:ind w:left="225" w:right="0" w:hanging="225"/>
              <w:rPr/>
            </w:pPr>
            <w:hyperlink w:anchor="102">
              <w:r>
                <w:rPr>
                  <w:rStyle w:val="InternetLink"/>
                </w:rPr>
                <w:t>Financial Statements (unaudited):</w:t>
              </w:r>
            </w:hyperlink>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148" w:type="dxa"/>
            <w:tcBorders/>
            <w:shd w:fill="auto" w:val="clear"/>
          </w:tcPr>
          <w:p>
            <w:pPr>
              <w:pStyle w:val="TableContents"/>
              <w:spacing w:before="0" w:after="283"/>
              <w:jc w:val="left"/>
              <w:rPr/>
            </w:pPr>
            <w:r>
              <w:rPr/>
              <w:t> </w:t>
            </w:r>
          </w:p>
        </w:tc>
        <w:tc>
          <w:tcPr>
            <w:tcW w:w="529" w:type="dxa"/>
            <w:tcBorders/>
            <w:shd w:fill="auto" w:val="clear"/>
          </w:tcPr>
          <w:p>
            <w:pPr>
              <w:pStyle w:val="TableContents"/>
              <w:spacing w:before="0" w:after="283"/>
              <w:jc w:val="right"/>
              <w:rPr/>
            </w:pPr>
            <w:r>
              <w:rPr/>
              <w:t> </w:t>
            </w:r>
          </w:p>
        </w:tc>
        <w:tc>
          <w:tcPr>
            <w:tcW w:w="150"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0"/>
              <w:ind w:left="225" w:right="0" w:hanging="225"/>
              <w:rPr/>
            </w:pPr>
            <w:r>
              <w:rPr/>
              <w:t> </w:t>
            </w:r>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148" w:type="dxa"/>
            <w:tcBorders/>
            <w:shd w:fill="auto" w:val="clear"/>
          </w:tcPr>
          <w:p>
            <w:pPr>
              <w:pStyle w:val="TableContents"/>
              <w:spacing w:before="0" w:after="283"/>
              <w:jc w:val="left"/>
              <w:rPr/>
            </w:pPr>
            <w:r>
              <w:rPr/>
              <w:t> </w:t>
            </w:r>
          </w:p>
        </w:tc>
        <w:tc>
          <w:tcPr>
            <w:tcW w:w="529" w:type="dxa"/>
            <w:tcBorders/>
            <w:shd w:fill="auto" w:val="clear"/>
          </w:tcPr>
          <w:p>
            <w:pPr>
              <w:pStyle w:val="TableContents"/>
              <w:spacing w:before="0" w:after="283"/>
              <w:jc w:val="right"/>
              <w:rPr/>
            </w:pPr>
            <w:r>
              <w:rPr/>
              <w:t> </w:t>
            </w:r>
          </w:p>
        </w:tc>
        <w:tc>
          <w:tcPr>
            <w:tcW w:w="150"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0"/>
              <w:ind w:left="225" w:right="0" w:hanging="225"/>
              <w:rPr/>
            </w:pPr>
            <w:hyperlink w:anchor="103">
              <w:r>
                <w:rPr>
                  <w:rStyle w:val="InternetLink"/>
                </w:rPr>
                <w:t>Consolidated Condensed Balance Sheets  January 31, 2006 and October 31, 2005</w:t>
              </w:r>
            </w:hyperlink>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4</w:t>
            </w:r>
          </w:p>
        </w:tc>
        <w:tc>
          <w:tcPr>
            <w:tcW w:w="123" w:type="dxa"/>
            <w:tcBorders/>
            <w:shd w:fill="auto" w:val="clear"/>
            <w:vAlign w:val="bottom"/>
          </w:tcPr>
          <w:p>
            <w:pPr>
              <w:pStyle w:val="TableContents"/>
              <w:spacing w:before="0" w:after="283"/>
              <w:rPr/>
            </w:pPr>
            <w:r>
              <w:rPr/>
              <w:t> </w:t>
            </w:r>
          </w:p>
        </w:tc>
      </w:tr>
      <w:tr>
        <w:trPr/>
        <w:tc>
          <w:tcPr>
            <w:tcW w:w="148" w:type="dxa"/>
            <w:tcBorders/>
            <w:shd w:fill="auto" w:val="clear"/>
          </w:tcPr>
          <w:p>
            <w:pPr>
              <w:pStyle w:val="TableContents"/>
              <w:spacing w:before="0" w:after="283"/>
              <w:jc w:val="left"/>
              <w:rPr/>
            </w:pPr>
            <w:r>
              <w:rPr/>
              <w:t> </w:t>
            </w:r>
          </w:p>
        </w:tc>
        <w:tc>
          <w:tcPr>
            <w:tcW w:w="529" w:type="dxa"/>
            <w:tcBorders/>
            <w:shd w:fill="auto" w:val="clear"/>
          </w:tcPr>
          <w:p>
            <w:pPr>
              <w:pStyle w:val="TableContents"/>
              <w:spacing w:before="0" w:after="283"/>
              <w:jc w:val="right"/>
              <w:rPr/>
            </w:pPr>
            <w:r>
              <w:rPr/>
              <w:t> </w:t>
            </w:r>
          </w:p>
        </w:tc>
        <w:tc>
          <w:tcPr>
            <w:tcW w:w="150"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0"/>
              <w:ind w:left="225" w:right="0" w:hanging="225"/>
              <w:rPr/>
            </w:pPr>
            <w:r>
              <w:rPr/>
              <w:t> </w:t>
            </w:r>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148" w:type="dxa"/>
            <w:tcBorders/>
            <w:shd w:fill="auto" w:val="clear"/>
          </w:tcPr>
          <w:p>
            <w:pPr>
              <w:pStyle w:val="TableContents"/>
              <w:spacing w:before="0" w:after="283"/>
              <w:jc w:val="left"/>
              <w:rPr/>
            </w:pPr>
            <w:r>
              <w:rPr/>
              <w:t> </w:t>
            </w:r>
          </w:p>
        </w:tc>
        <w:tc>
          <w:tcPr>
            <w:tcW w:w="529" w:type="dxa"/>
            <w:tcBorders/>
            <w:shd w:fill="auto" w:val="clear"/>
          </w:tcPr>
          <w:p>
            <w:pPr>
              <w:pStyle w:val="TableContents"/>
              <w:spacing w:before="0" w:after="283"/>
              <w:jc w:val="right"/>
              <w:rPr/>
            </w:pPr>
            <w:r>
              <w:rPr/>
              <w:t> </w:t>
            </w:r>
          </w:p>
        </w:tc>
        <w:tc>
          <w:tcPr>
            <w:tcW w:w="150"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0"/>
              <w:ind w:left="225" w:right="0" w:hanging="225"/>
              <w:rPr/>
            </w:pPr>
            <w:hyperlink w:anchor="104">
              <w:r>
                <w:rPr>
                  <w:rStyle w:val="InternetLink"/>
                </w:rPr>
                <w:t>Consolidated Condensed Statements of Operations  Three Months Ended January 31, 2006 and 2005</w:t>
              </w:r>
            </w:hyperlink>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5</w:t>
            </w:r>
          </w:p>
        </w:tc>
        <w:tc>
          <w:tcPr>
            <w:tcW w:w="123" w:type="dxa"/>
            <w:tcBorders/>
            <w:shd w:fill="auto" w:val="clear"/>
            <w:vAlign w:val="bottom"/>
          </w:tcPr>
          <w:p>
            <w:pPr>
              <w:pStyle w:val="TableContents"/>
              <w:spacing w:before="0" w:after="283"/>
              <w:rPr/>
            </w:pPr>
            <w:r>
              <w:rPr/>
              <w:t> </w:t>
            </w:r>
          </w:p>
        </w:tc>
      </w:tr>
      <w:tr>
        <w:trPr/>
        <w:tc>
          <w:tcPr>
            <w:tcW w:w="148" w:type="dxa"/>
            <w:tcBorders/>
            <w:shd w:fill="auto" w:val="clear"/>
          </w:tcPr>
          <w:p>
            <w:pPr>
              <w:pStyle w:val="TableContents"/>
              <w:spacing w:before="0" w:after="283"/>
              <w:jc w:val="left"/>
              <w:rPr/>
            </w:pPr>
            <w:r>
              <w:rPr/>
              <w:t> </w:t>
            </w:r>
          </w:p>
        </w:tc>
        <w:tc>
          <w:tcPr>
            <w:tcW w:w="529" w:type="dxa"/>
            <w:tcBorders/>
            <w:shd w:fill="auto" w:val="clear"/>
          </w:tcPr>
          <w:p>
            <w:pPr>
              <w:pStyle w:val="TableContents"/>
              <w:spacing w:before="0" w:after="283"/>
              <w:jc w:val="right"/>
              <w:rPr/>
            </w:pPr>
            <w:r>
              <w:rPr/>
              <w:t> </w:t>
            </w:r>
          </w:p>
        </w:tc>
        <w:tc>
          <w:tcPr>
            <w:tcW w:w="150"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0"/>
              <w:ind w:left="225" w:right="0" w:hanging="225"/>
              <w:rPr/>
            </w:pPr>
            <w:r>
              <w:rPr/>
              <w:t> </w:t>
            </w:r>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148" w:type="dxa"/>
            <w:tcBorders/>
            <w:shd w:fill="auto" w:val="clear"/>
          </w:tcPr>
          <w:p>
            <w:pPr>
              <w:pStyle w:val="TableContents"/>
              <w:spacing w:before="0" w:after="283"/>
              <w:jc w:val="left"/>
              <w:rPr/>
            </w:pPr>
            <w:r>
              <w:rPr/>
              <w:t> </w:t>
            </w:r>
          </w:p>
        </w:tc>
        <w:tc>
          <w:tcPr>
            <w:tcW w:w="529" w:type="dxa"/>
            <w:tcBorders/>
            <w:shd w:fill="auto" w:val="clear"/>
          </w:tcPr>
          <w:p>
            <w:pPr>
              <w:pStyle w:val="TableContents"/>
              <w:spacing w:before="0" w:after="283"/>
              <w:jc w:val="right"/>
              <w:rPr/>
            </w:pPr>
            <w:r>
              <w:rPr/>
              <w:t> </w:t>
            </w:r>
          </w:p>
        </w:tc>
        <w:tc>
          <w:tcPr>
            <w:tcW w:w="150"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0"/>
              <w:ind w:left="225" w:right="0" w:hanging="225"/>
              <w:rPr/>
            </w:pPr>
            <w:hyperlink w:anchor="105">
              <w:r>
                <w:rPr>
                  <w:rStyle w:val="InternetLink"/>
                </w:rPr>
                <w:t>Consolidated Condensed Statements of Comprehensive Loss  Three Months Ended January 31, 2006 and 2005</w:t>
              </w:r>
            </w:hyperlink>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6</w:t>
            </w:r>
          </w:p>
        </w:tc>
        <w:tc>
          <w:tcPr>
            <w:tcW w:w="123" w:type="dxa"/>
            <w:tcBorders/>
            <w:shd w:fill="auto" w:val="clear"/>
            <w:vAlign w:val="bottom"/>
          </w:tcPr>
          <w:p>
            <w:pPr>
              <w:pStyle w:val="TableContents"/>
              <w:spacing w:before="0" w:after="283"/>
              <w:rPr/>
            </w:pPr>
            <w:r>
              <w:rPr/>
              <w:t> </w:t>
            </w:r>
          </w:p>
        </w:tc>
      </w:tr>
      <w:tr>
        <w:trPr/>
        <w:tc>
          <w:tcPr>
            <w:tcW w:w="148" w:type="dxa"/>
            <w:tcBorders/>
            <w:shd w:fill="auto" w:val="clear"/>
          </w:tcPr>
          <w:p>
            <w:pPr>
              <w:pStyle w:val="TableContents"/>
              <w:spacing w:before="0" w:after="283"/>
              <w:jc w:val="left"/>
              <w:rPr/>
            </w:pPr>
            <w:r>
              <w:rPr/>
              <w:t> </w:t>
            </w:r>
          </w:p>
        </w:tc>
        <w:tc>
          <w:tcPr>
            <w:tcW w:w="529" w:type="dxa"/>
            <w:tcBorders/>
            <w:shd w:fill="auto" w:val="clear"/>
          </w:tcPr>
          <w:p>
            <w:pPr>
              <w:pStyle w:val="TableContents"/>
              <w:spacing w:before="0" w:after="283"/>
              <w:jc w:val="right"/>
              <w:rPr/>
            </w:pPr>
            <w:r>
              <w:rPr/>
              <w:t> </w:t>
            </w:r>
          </w:p>
        </w:tc>
        <w:tc>
          <w:tcPr>
            <w:tcW w:w="150"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0"/>
              <w:ind w:left="225" w:right="0" w:hanging="225"/>
              <w:rPr/>
            </w:pPr>
            <w:r>
              <w:rPr/>
              <w:t> </w:t>
            </w:r>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148" w:type="dxa"/>
            <w:tcBorders/>
            <w:shd w:fill="auto" w:val="clear"/>
          </w:tcPr>
          <w:p>
            <w:pPr>
              <w:pStyle w:val="TableContents"/>
              <w:spacing w:before="0" w:after="283"/>
              <w:jc w:val="left"/>
              <w:rPr/>
            </w:pPr>
            <w:r>
              <w:rPr/>
              <w:t> </w:t>
            </w:r>
          </w:p>
        </w:tc>
        <w:tc>
          <w:tcPr>
            <w:tcW w:w="529" w:type="dxa"/>
            <w:tcBorders/>
            <w:shd w:fill="auto" w:val="clear"/>
          </w:tcPr>
          <w:p>
            <w:pPr>
              <w:pStyle w:val="TableContents"/>
              <w:spacing w:before="0" w:after="283"/>
              <w:jc w:val="right"/>
              <w:rPr/>
            </w:pPr>
            <w:r>
              <w:rPr/>
              <w:t> </w:t>
            </w:r>
          </w:p>
        </w:tc>
        <w:tc>
          <w:tcPr>
            <w:tcW w:w="150"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0"/>
              <w:ind w:left="225" w:right="0" w:hanging="225"/>
              <w:rPr/>
            </w:pPr>
            <w:hyperlink w:anchor="106">
              <w:r>
                <w:rPr>
                  <w:rStyle w:val="InternetLink"/>
                </w:rPr>
                <w:t>Consolidated Condensed Statements of Cash Flows  Three Months Ended January 31, 2006 and 2005</w:t>
              </w:r>
            </w:hyperlink>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7</w:t>
            </w:r>
          </w:p>
        </w:tc>
        <w:tc>
          <w:tcPr>
            <w:tcW w:w="123" w:type="dxa"/>
            <w:tcBorders/>
            <w:shd w:fill="auto" w:val="clear"/>
            <w:vAlign w:val="bottom"/>
          </w:tcPr>
          <w:p>
            <w:pPr>
              <w:pStyle w:val="TableContents"/>
              <w:spacing w:before="0" w:after="283"/>
              <w:rPr/>
            </w:pPr>
            <w:r>
              <w:rPr/>
              <w:t> </w:t>
            </w:r>
          </w:p>
        </w:tc>
      </w:tr>
      <w:tr>
        <w:trPr/>
        <w:tc>
          <w:tcPr>
            <w:tcW w:w="148" w:type="dxa"/>
            <w:tcBorders/>
            <w:shd w:fill="auto" w:val="clear"/>
          </w:tcPr>
          <w:p>
            <w:pPr>
              <w:pStyle w:val="TableContents"/>
              <w:spacing w:before="0" w:after="283"/>
              <w:jc w:val="left"/>
              <w:rPr/>
            </w:pPr>
            <w:r>
              <w:rPr/>
              <w:t> </w:t>
            </w:r>
          </w:p>
        </w:tc>
        <w:tc>
          <w:tcPr>
            <w:tcW w:w="529" w:type="dxa"/>
            <w:tcBorders/>
            <w:shd w:fill="auto" w:val="clear"/>
          </w:tcPr>
          <w:p>
            <w:pPr>
              <w:pStyle w:val="TableContents"/>
              <w:spacing w:before="0" w:after="283"/>
              <w:jc w:val="right"/>
              <w:rPr/>
            </w:pPr>
            <w:r>
              <w:rPr/>
              <w:t> </w:t>
            </w:r>
          </w:p>
        </w:tc>
        <w:tc>
          <w:tcPr>
            <w:tcW w:w="150"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0"/>
              <w:ind w:left="225" w:right="0" w:hanging="225"/>
              <w:rPr/>
            </w:pPr>
            <w:r>
              <w:rPr/>
              <w:t> </w:t>
            </w:r>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148" w:type="dxa"/>
            <w:tcBorders/>
            <w:shd w:fill="auto" w:val="clear"/>
          </w:tcPr>
          <w:p>
            <w:pPr>
              <w:pStyle w:val="TableContents"/>
              <w:spacing w:before="0" w:after="283"/>
              <w:jc w:val="left"/>
              <w:rPr/>
            </w:pPr>
            <w:r>
              <w:rPr/>
              <w:t> </w:t>
            </w:r>
          </w:p>
        </w:tc>
        <w:tc>
          <w:tcPr>
            <w:tcW w:w="529" w:type="dxa"/>
            <w:tcBorders/>
            <w:shd w:fill="auto" w:val="clear"/>
          </w:tcPr>
          <w:p>
            <w:pPr>
              <w:pStyle w:val="TableContents"/>
              <w:spacing w:before="0" w:after="283"/>
              <w:jc w:val="right"/>
              <w:rPr/>
            </w:pPr>
            <w:r>
              <w:rPr/>
              <w:t> </w:t>
            </w:r>
          </w:p>
        </w:tc>
        <w:tc>
          <w:tcPr>
            <w:tcW w:w="150"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0"/>
              <w:ind w:left="225" w:right="0" w:hanging="225"/>
              <w:rPr/>
            </w:pPr>
            <w:hyperlink w:anchor="107">
              <w:r>
                <w:rPr>
                  <w:rStyle w:val="InternetLink"/>
                </w:rPr>
                <w:t>Notes to Consolidated Condensed Financial Statements</w:t>
              </w:r>
            </w:hyperlink>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8</w:t>
            </w:r>
          </w:p>
        </w:tc>
        <w:tc>
          <w:tcPr>
            <w:tcW w:w="123" w:type="dxa"/>
            <w:tcBorders/>
            <w:shd w:fill="auto" w:val="clear"/>
            <w:vAlign w:val="bottom"/>
          </w:tcPr>
          <w:p>
            <w:pPr>
              <w:pStyle w:val="TableContents"/>
              <w:spacing w:before="0" w:after="283"/>
              <w:rPr/>
            </w:pPr>
            <w:r>
              <w:rPr/>
              <w:t> </w:t>
            </w:r>
          </w:p>
        </w:tc>
      </w:tr>
      <w:tr>
        <w:trPr/>
        <w:tc>
          <w:tcPr>
            <w:tcW w:w="148" w:type="dxa"/>
            <w:tcBorders/>
            <w:shd w:fill="auto" w:val="clear"/>
          </w:tcPr>
          <w:p>
            <w:pPr>
              <w:pStyle w:val="TableContents"/>
              <w:spacing w:before="0" w:after="283"/>
              <w:jc w:val="left"/>
              <w:rPr/>
            </w:pPr>
            <w:r>
              <w:rPr/>
              <w:t> </w:t>
            </w:r>
          </w:p>
        </w:tc>
        <w:tc>
          <w:tcPr>
            <w:tcW w:w="529" w:type="dxa"/>
            <w:tcBorders/>
            <w:shd w:fill="auto" w:val="clear"/>
          </w:tcPr>
          <w:p>
            <w:pPr>
              <w:pStyle w:val="TableContents"/>
              <w:spacing w:before="0" w:after="283"/>
              <w:jc w:val="right"/>
              <w:rPr/>
            </w:pPr>
            <w:r>
              <w:rPr/>
              <w:t> </w:t>
            </w:r>
          </w:p>
        </w:tc>
        <w:tc>
          <w:tcPr>
            <w:tcW w:w="150"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0"/>
              <w:ind w:left="225" w:right="0" w:hanging="225"/>
              <w:rPr/>
            </w:pPr>
            <w:r>
              <w:rPr/>
              <w:t> </w:t>
            </w:r>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827" w:type="dxa"/>
            <w:gridSpan w:val="3"/>
            <w:tcBorders/>
            <w:shd w:fill="auto" w:val="clear"/>
          </w:tcPr>
          <w:p>
            <w:pPr>
              <w:pStyle w:val="TableContents"/>
              <w:spacing w:before="0" w:after="283"/>
              <w:jc w:val="center"/>
              <w:rPr/>
            </w:pPr>
            <w:hyperlink w:anchor="108">
              <w:r>
                <w:rPr>
                  <w:rStyle w:val="InternetLink"/>
                </w:rPr>
                <w:t>Item 2.</w:t>
              </w:r>
            </w:hyperlink>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0"/>
              <w:ind w:left="225" w:right="0" w:hanging="225"/>
              <w:rPr/>
            </w:pPr>
            <w:hyperlink w:anchor="108">
              <w:r>
                <w:rPr>
                  <w:rStyle w:val="InternetLink"/>
                </w:rPr>
                <w:t>Managements Discussion and Analysis of Financial Condition and Results of Operations</w:t>
              </w:r>
            </w:hyperlink>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13</w:t>
            </w:r>
          </w:p>
        </w:tc>
        <w:tc>
          <w:tcPr>
            <w:tcW w:w="123" w:type="dxa"/>
            <w:tcBorders/>
            <w:shd w:fill="auto" w:val="clear"/>
            <w:vAlign w:val="bottom"/>
          </w:tcPr>
          <w:p>
            <w:pPr>
              <w:pStyle w:val="TableContents"/>
              <w:spacing w:before="0" w:after="283"/>
              <w:rPr/>
            </w:pPr>
            <w:r>
              <w:rPr/>
              <w:t> </w:t>
            </w:r>
          </w:p>
        </w:tc>
      </w:tr>
      <w:tr>
        <w:trPr/>
        <w:tc>
          <w:tcPr>
            <w:tcW w:w="148" w:type="dxa"/>
            <w:tcBorders/>
            <w:shd w:fill="auto" w:val="clear"/>
          </w:tcPr>
          <w:p>
            <w:pPr>
              <w:pStyle w:val="TableContents"/>
              <w:spacing w:before="0" w:after="283"/>
              <w:jc w:val="left"/>
              <w:rPr/>
            </w:pPr>
            <w:r>
              <w:rPr/>
              <w:t> </w:t>
            </w:r>
          </w:p>
        </w:tc>
        <w:tc>
          <w:tcPr>
            <w:tcW w:w="529" w:type="dxa"/>
            <w:tcBorders/>
            <w:shd w:fill="auto" w:val="clear"/>
          </w:tcPr>
          <w:p>
            <w:pPr>
              <w:pStyle w:val="TableContents"/>
              <w:spacing w:before="0" w:after="283"/>
              <w:jc w:val="right"/>
              <w:rPr/>
            </w:pPr>
            <w:r>
              <w:rPr/>
              <w:t> </w:t>
            </w:r>
          </w:p>
        </w:tc>
        <w:tc>
          <w:tcPr>
            <w:tcW w:w="150"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0"/>
              <w:ind w:left="225" w:right="0" w:hanging="225"/>
              <w:rPr/>
            </w:pPr>
            <w:r>
              <w:rPr/>
              <w:t> </w:t>
            </w:r>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827" w:type="dxa"/>
            <w:gridSpan w:val="3"/>
            <w:tcBorders/>
            <w:shd w:fill="auto" w:val="clear"/>
          </w:tcPr>
          <w:p>
            <w:pPr>
              <w:pStyle w:val="TableContents"/>
              <w:spacing w:before="0" w:after="283"/>
              <w:jc w:val="center"/>
              <w:rPr/>
            </w:pPr>
            <w:hyperlink w:anchor="109">
              <w:r>
                <w:rPr>
                  <w:rStyle w:val="InternetLink"/>
                </w:rPr>
                <w:t>Item 3.</w:t>
              </w:r>
            </w:hyperlink>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0"/>
              <w:ind w:left="225" w:right="0" w:hanging="225"/>
              <w:rPr/>
            </w:pPr>
            <w:hyperlink w:anchor="109">
              <w:r>
                <w:rPr>
                  <w:rStyle w:val="InternetLink"/>
                </w:rPr>
                <w:t>Quantitative and Qualitative Disclosures about Market Risk</w:t>
              </w:r>
            </w:hyperlink>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19</w:t>
            </w:r>
          </w:p>
        </w:tc>
        <w:tc>
          <w:tcPr>
            <w:tcW w:w="123" w:type="dxa"/>
            <w:tcBorders/>
            <w:shd w:fill="auto" w:val="clear"/>
            <w:vAlign w:val="bottom"/>
          </w:tcPr>
          <w:p>
            <w:pPr>
              <w:pStyle w:val="TableContents"/>
              <w:spacing w:before="0" w:after="283"/>
              <w:rPr/>
            </w:pPr>
            <w:r>
              <w:rPr/>
              <w:t> </w:t>
            </w:r>
          </w:p>
        </w:tc>
      </w:tr>
      <w:tr>
        <w:trPr/>
        <w:tc>
          <w:tcPr>
            <w:tcW w:w="148" w:type="dxa"/>
            <w:tcBorders/>
            <w:shd w:fill="auto" w:val="clear"/>
          </w:tcPr>
          <w:p>
            <w:pPr>
              <w:pStyle w:val="TableContents"/>
              <w:spacing w:before="0" w:after="283"/>
              <w:jc w:val="left"/>
              <w:rPr/>
            </w:pPr>
            <w:r>
              <w:rPr/>
              <w:t> </w:t>
            </w:r>
          </w:p>
        </w:tc>
        <w:tc>
          <w:tcPr>
            <w:tcW w:w="529" w:type="dxa"/>
            <w:tcBorders/>
            <w:shd w:fill="auto" w:val="clear"/>
          </w:tcPr>
          <w:p>
            <w:pPr>
              <w:pStyle w:val="TableContents"/>
              <w:spacing w:before="0" w:after="283"/>
              <w:jc w:val="right"/>
              <w:rPr/>
            </w:pPr>
            <w:r>
              <w:rPr/>
              <w:t> </w:t>
            </w:r>
          </w:p>
        </w:tc>
        <w:tc>
          <w:tcPr>
            <w:tcW w:w="150"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0"/>
              <w:ind w:left="225" w:right="0" w:hanging="225"/>
              <w:rPr/>
            </w:pPr>
            <w:r>
              <w:rPr/>
              <w:t> </w:t>
            </w:r>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827" w:type="dxa"/>
            <w:gridSpan w:val="3"/>
            <w:tcBorders/>
            <w:shd w:fill="auto" w:val="clear"/>
          </w:tcPr>
          <w:p>
            <w:pPr>
              <w:pStyle w:val="TableContents"/>
              <w:spacing w:before="0" w:after="283"/>
              <w:jc w:val="center"/>
              <w:rPr/>
            </w:pPr>
            <w:hyperlink w:anchor="110">
              <w:r>
                <w:rPr>
                  <w:rStyle w:val="InternetLink"/>
                </w:rPr>
                <w:t>Item 4.</w:t>
              </w:r>
            </w:hyperlink>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0"/>
              <w:ind w:left="225" w:right="0" w:hanging="225"/>
              <w:rPr/>
            </w:pPr>
            <w:hyperlink w:anchor="110">
              <w:r>
                <w:rPr>
                  <w:rStyle w:val="InternetLink"/>
                </w:rPr>
                <w:t>Controls and Procedures</w:t>
              </w:r>
            </w:hyperlink>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20</w:t>
            </w:r>
          </w:p>
        </w:tc>
        <w:tc>
          <w:tcPr>
            <w:tcW w:w="123" w:type="dxa"/>
            <w:tcBorders/>
            <w:shd w:fill="auto" w:val="clear"/>
            <w:vAlign w:val="bottom"/>
          </w:tcPr>
          <w:p>
            <w:pPr>
              <w:pStyle w:val="TableContents"/>
              <w:spacing w:before="0" w:after="283"/>
              <w:rPr/>
            </w:pPr>
            <w:r>
              <w:rPr/>
              <w:t> </w:t>
            </w:r>
          </w:p>
        </w:tc>
      </w:tr>
      <w:tr>
        <w:trPr/>
        <w:tc>
          <w:tcPr>
            <w:tcW w:w="148" w:type="dxa"/>
            <w:tcBorders/>
            <w:shd w:fill="auto" w:val="clear"/>
          </w:tcPr>
          <w:p>
            <w:pPr>
              <w:pStyle w:val="TableContents"/>
              <w:spacing w:before="0" w:after="283"/>
              <w:jc w:val="left"/>
              <w:rPr/>
            </w:pPr>
            <w:r>
              <w:rPr/>
              <w:t> </w:t>
            </w:r>
          </w:p>
        </w:tc>
        <w:tc>
          <w:tcPr>
            <w:tcW w:w="529" w:type="dxa"/>
            <w:tcBorders/>
            <w:shd w:fill="auto" w:val="clear"/>
          </w:tcPr>
          <w:p>
            <w:pPr>
              <w:pStyle w:val="TableContents"/>
              <w:spacing w:before="0" w:after="283"/>
              <w:jc w:val="right"/>
              <w:rPr/>
            </w:pPr>
            <w:r>
              <w:rPr/>
              <w:t> </w:t>
            </w:r>
          </w:p>
        </w:tc>
        <w:tc>
          <w:tcPr>
            <w:tcW w:w="150"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0"/>
              <w:ind w:left="225" w:right="0" w:hanging="225"/>
              <w:rPr/>
            </w:pPr>
            <w:r>
              <w:rPr/>
              <w:t> </w:t>
            </w:r>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8756" w:type="dxa"/>
            <w:gridSpan w:val="5"/>
            <w:tcBorders/>
            <w:shd w:fill="auto" w:val="clear"/>
            <w:vAlign w:val="bottom"/>
          </w:tcPr>
          <w:p>
            <w:pPr>
              <w:pStyle w:val="TableContents"/>
              <w:spacing w:before="0" w:after="283"/>
              <w:jc w:val="left"/>
              <w:rPr/>
            </w:pPr>
            <w:hyperlink w:anchor="111">
              <w:r>
                <w:rPr>
                  <w:rStyle w:val="InternetLink"/>
                  <w:b/>
                </w:rPr>
                <w:t>PART II. OTHER INFORMATION</w:t>
              </w:r>
            </w:hyperlink>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148" w:type="dxa"/>
            <w:tcBorders/>
            <w:shd w:fill="auto" w:val="clear"/>
          </w:tcPr>
          <w:p>
            <w:pPr>
              <w:pStyle w:val="TableContents"/>
              <w:spacing w:before="0" w:after="283"/>
              <w:jc w:val="left"/>
              <w:rPr/>
            </w:pPr>
            <w:r>
              <w:rPr/>
              <w:t> </w:t>
            </w:r>
          </w:p>
        </w:tc>
        <w:tc>
          <w:tcPr>
            <w:tcW w:w="529" w:type="dxa"/>
            <w:tcBorders/>
            <w:shd w:fill="auto" w:val="clear"/>
          </w:tcPr>
          <w:p>
            <w:pPr>
              <w:pStyle w:val="TableContents"/>
              <w:spacing w:before="0" w:after="283"/>
              <w:jc w:val="right"/>
              <w:rPr/>
            </w:pPr>
            <w:r>
              <w:rPr/>
              <w:t> </w:t>
            </w:r>
          </w:p>
        </w:tc>
        <w:tc>
          <w:tcPr>
            <w:tcW w:w="150"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0"/>
              <w:ind w:left="225" w:right="0" w:hanging="225"/>
              <w:rPr/>
            </w:pPr>
            <w:r>
              <w:rPr/>
              <w:t> </w:t>
            </w:r>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827" w:type="dxa"/>
            <w:gridSpan w:val="3"/>
            <w:tcBorders/>
            <w:shd w:fill="auto" w:val="clear"/>
          </w:tcPr>
          <w:p>
            <w:pPr>
              <w:pStyle w:val="TableContents"/>
              <w:spacing w:before="0" w:after="283"/>
              <w:jc w:val="center"/>
              <w:rPr/>
            </w:pPr>
            <w:hyperlink w:anchor="112">
              <w:r>
                <w:rPr>
                  <w:rStyle w:val="InternetLink"/>
                </w:rPr>
                <w:t>Item 1.</w:t>
              </w:r>
            </w:hyperlink>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0"/>
              <w:ind w:left="225" w:right="0" w:hanging="225"/>
              <w:rPr/>
            </w:pPr>
            <w:hyperlink w:anchor="112">
              <w:r>
                <w:rPr>
                  <w:rStyle w:val="InternetLink"/>
                </w:rPr>
                <w:t>Legal Proceedings</w:t>
              </w:r>
            </w:hyperlink>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21</w:t>
            </w:r>
          </w:p>
        </w:tc>
        <w:tc>
          <w:tcPr>
            <w:tcW w:w="123" w:type="dxa"/>
            <w:tcBorders/>
            <w:shd w:fill="auto" w:val="clear"/>
            <w:vAlign w:val="bottom"/>
          </w:tcPr>
          <w:p>
            <w:pPr>
              <w:pStyle w:val="TableContents"/>
              <w:spacing w:before="0" w:after="283"/>
              <w:rPr/>
            </w:pPr>
            <w:r>
              <w:rPr/>
              <w:t> </w:t>
            </w:r>
          </w:p>
        </w:tc>
      </w:tr>
      <w:tr>
        <w:trPr/>
        <w:tc>
          <w:tcPr>
            <w:tcW w:w="148" w:type="dxa"/>
            <w:tcBorders/>
            <w:shd w:fill="auto" w:val="clear"/>
          </w:tcPr>
          <w:p>
            <w:pPr>
              <w:pStyle w:val="TableContents"/>
              <w:spacing w:before="0" w:after="283"/>
              <w:jc w:val="left"/>
              <w:rPr/>
            </w:pPr>
            <w:r>
              <w:rPr/>
              <w:t> </w:t>
            </w:r>
          </w:p>
        </w:tc>
        <w:tc>
          <w:tcPr>
            <w:tcW w:w="529" w:type="dxa"/>
            <w:tcBorders/>
            <w:shd w:fill="auto" w:val="clear"/>
          </w:tcPr>
          <w:p>
            <w:pPr>
              <w:pStyle w:val="TableContents"/>
              <w:spacing w:before="0" w:after="283"/>
              <w:jc w:val="right"/>
              <w:rPr/>
            </w:pPr>
            <w:r>
              <w:rPr/>
              <w:t> </w:t>
            </w:r>
          </w:p>
        </w:tc>
        <w:tc>
          <w:tcPr>
            <w:tcW w:w="150"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0"/>
              <w:ind w:left="225" w:right="0" w:hanging="225"/>
              <w:rPr/>
            </w:pPr>
            <w:r>
              <w:rPr/>
              <w:t> </w:t>
            </w:r>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827" w:type="dxa"/>
            <w:gridSpan w:val="3"/>
            <w:tcBorders/>
            <w:shd w:fill="auto" w:val="clear"/>
          </w:tcPr>
          <w:p>
            <w:pPr>
              <w:pStyle w:val="TableContents"/>
              <w:spacing w:before="0" w:after="283"/>
              <w:jc w:val="center"/>
              <w:rPr/>
            </w:pPr>
            <w:hyperlink w:anchor="113">
              <w:r>
                <w:rPr>
                  <w:rStyle w:val="InternetLink"/>
                </w:rPr>
                <w:t>Item 6.</w:t>
              </w:r>
            </w:hyperlink>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0"/>
              <w:ind w:left="225" w:right="0" w:hanging="225"/>
              <w:rPr/>
            </w:pPr>
            <w:hyperlink w:anchor="113">
              <w:r>
                <w:rPr>
                  <w:rStyle w:val="InternetLink"/>
                </w:rPr>
                <w:t>Exhibits</w:t>
              </w:r>
            </w:hyperlink>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22</w:t>
            </w:r>
          </w:p>
        </w:tc>
        <w:tc>
          <w:tcPr>
            <w:tcW w:w="123" w:type="dxa"/>
            <w:tcBorders/>
            <w:shd w:fill="auto" w:val="clear"/>
            <w:vAlign w:val="bottom"/>
          </w:tcPr>
          <w:p>
            <w:pPr>
              <w:pStyle w:val="TableContents"/>
              <w:spacing w:before="0" w:after="283"/>
              <w:rPr/>
            </w:pPr>
            <w:r>
              <w:rPr/>
              <w:t> </w:t>
            </w:r>
          </w:p>
        </w:tc>
      </w:tr>
      <w:tr>
        <w:trPr/>
        <w:tc>
          <w:tcPr>
            <w:tcW w:w="148" w:type="dxa"/>
            <w:tcBorders/>
            <w:shd w:fill="auto" w:val="clear"/>
          </w:tcPr>
          <w:p>
            <w:pPr>
              <w:pStyle w:val="TableContents"/>
              <w:spacing w:before="0" w:after="283"/>
              <w:jc w:val="left"/>
              <w:rPr/>
            </w:pPr>
            <w:r>
              <w:rPr/>
              <w:t> </w:t>
            </w:r>
          </w:p>
        </w:tc>
        <w:tc>
          <w:tcPr>
            <w:tcW w:w="529" w:type="dxa"/>
            <w:tcBorders/>
            <w:shd w:fill="auto" w:val="clear"/>
          </w:tcPr>
          <w:p>
            <w:pPr>
              <w:pStyle w:val="TableContents"/>
              <w:spacing w:before="0" w:after="283"/>
              <w:jc w:val="right"/>
              <w:rPr/>
            </w:pPr>
            <w:r>
              <w:rPr/>
              <w:t> </w:t>
            </w:r>
          </w:p>
        </w:tc>
        <w:tc>
          <w:tcPr>
            <w:tcW w:w="150"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0"/>
              <w:ind w:left="225" w:right="0" w:hanging="225"/>
              <w:rPr/>
            </w:pPr>
            <w:r>
              <w:rPr/>
              <w:t> </w:t>
            </w:r>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148" w:type="dxa"/>
            <w:tcBorders/>
            <w:shd w:fill="auto" w:val="clear"/>
          </w:tcPr>
          <w:p>
            <w:pPr>
              <w:pStyle w:val="TableContents"/>
              <w:spacing w:before="0" w:after="283"/>
              <w:jc w:val="left"/>
              <w:rPr/>
            </w:pPr>
            <w:r>
              <w:rPr/>
              <w:t> </w:t>
            </w:r>
          </w:p>
        </w:tc>
        <w:tc>
          <w:tcPr>
            <w:tcW w:w="529" w:type="dxa"/>
            <w:tcBorders/>
            <w:shd w:fill="auto" w:val="clear"/>
          </w:tcPr>
          <w:p>
            <w:pPr>
              <w:pStyle w:val="TableContents"/>
              <w:spacing w:before="0" w:after="283"/>
              <w:jc w:val="right"/>
              <w:rPr/>
            </w:pPr>
            <w:r>
              <w:rPr/>
              <w:t> </w:t>
            </w:r>
          </w:p>
        </w:tc>
        <w:tc>
          <w:tcPr>
            <w:tcW w:w="150" w:type="dxa"/>
            <w:tcBorders/>
            <w:shd w:fill="auto" w:val="clear"/>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7812" w:type="dxa"/>
            <w:tcBorders/>
            <w:shd w:fill="auto" w:val="clear"/>
            <w:vAlign w:val="bottom"/>
          </w:tcPr>
          <w:p>
            <w:pPr>
              <w:pStyle w:val="TableContents"/>
              <w:spacing w:before="0" w:after="0"/>
              <w:ind w:left="225" w:right="0" w:hanging="225"/>
              <w:rPr/>
            </w:pPr>
            <w:hyperlink w:anchor="114">
              <w:r>
                <w:rPr>
                  <w:rStyle w:val="InternetLink"/>
                </w:rPr>
                <w:t>Signatures</w:t>
              </w:r>
            </w:hyperlink>
          </w:p>
        </w:tc>
        <w:tc>
          <w:tcPr>
            <w:tcW w:w="496"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23</w:t>
            </w:r>
          </w:p>
        </w:tc>
        <w:tc>
          <w:tcPr>
            <w:tcW w:w="123" w:type="dxa"/>
            <w:tcBorders/>
            <w:shd w:fill="auto" w:val="clear"/>
            <w:vAlign w:val="bottom"/>
          </w:tcPr>
          <w:p>
            <w:pPr>
              <w:pStyle w:val="TableContents"/>
              <w:spacing w:before="0" w:after="283"/>
              <w:rPr/>
            </w:pPr>
            <w:r>
              <w:rPr/>
              <w:t> </w:t>
            </w:r>
          </w:p>
        </w:tc>
      </w:tr>
      <w:tr>
        <w:trPr/>
        <w:tc>
          <w:tcPr>
            <w:tcW w:w="10205" w:type="dxa"/>
            <w:gridSpan w:val="9"/>
            <w:tcBorders/>
            <w:shd w:fill="auto" w:val="clear"/>
            <w:vAlign w:val="center"/>
          </w:tcPr>
          <w:p>
            <w:pPr>
              <w:pStyle w:val="TableContents"/>
              <w:spacing w:before="0" w:after="283"/>
              <w:rPr/>
            </w:pPr>
            <w:r>
              <w:rPr/>
              <w:t> </w:t>
            </w:r>
            <w:hyperlink w:anchor="v18414exv31w1.htm">
              <w:r>
                <w:rPr>
                  <w:rStyle w:val="InternetLink"/>
                  <w:sz w:val="20"/>
                </w:rPr>
                <w:t>Exhibit 31.1</w:t>
              </w:r>
            </w:hyperlink>
          </w:p>
        </w:tc>
      </w:tr>
      <w:tr>
        <w:trPr/>
        <w:tc>
          <w:tcPr>
            <w:tcW w:w="10205" w:type="dxa"/>
            <w:gridSpan w:val="9"/>
            <w:tcBorders/>
            <w:shd w:fill="auto" w:val="clear"/>
            <w:vAlign w:val="center"/>
          </w:tcPr>
          <w:p>
            <w:pPr>
              <w:pStyle w:val="TableContents"/>
              <w:spacing w:before="0" w:after="283"/>
              <w:rPr/>
            </w:pPr>
            <w:r>
              <w:rPr/>
              <w:t> </w:t>
            </w:r>
            <w:hyperlink w:anchor="v18414exv31w2.htm">
              <w:r>
                <w:rPr>
                  <w:rStyle w:val="InternetLink"/>
                  <w:sz w:val="20"/>
                </w:rPr>
                <w:t>Exhibit 31.2</w:t>
              </w:r>
            </w:hyperlink>
          </w:p>
        </w:tc>
      </w:tr>
      <w:tr>
        <w:trPr/>
        <w:tc>
          <w:tcPr>
            <w:tcW w:w="10205" w:type="dxa"/>
            <w:gridSpan w:val="9"/>
            <w:tcBorders/>
            <w:shd w:fill="auto" w:val="clear"/>
            <w:vAlign w:val="center"/>
          </w:tcPr>
          <w:p>
            <w:pPr>
              <w:pStyle w:val="TableContents"/>
              <w:spacing w:before="0" w:after="283"/>
              <w:rPr/>
            </w:pPr>
            <w:r>
              <w:rPr/>
              <w:t> </w:t>
            </w:r>
            <w:hyperlink w:anchor="v18414exv32.htm">
              <w:r>
                <w:rPr>
                  <w:rStyle w:val="InternetLink"/>
                  <w:sz w:val="20"/>
                </w:rPr>
                <w:t>Exhibit 32</w:t>
              </w:r>
            </w:hyperlink>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3" w:name="101"/>
      <w:bookmarkEnd w:id="3"/>
      <w:r>
        <w:rPr>
          <w:rFonts w:ascii="Times New Roman;Times;serif" w:hAnsi="Times New Roman;Times;serif"/>
          <w:b/>
          <w:sz w:val="17"/>
        </w:rPr>
        <w:t>PART I. FINANCIAL INFORMATION</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4" w:name="102"/>
      <w:bookmarkEnd w:id="4"/>
      <w:r>
        <w:rPr>
          <w:rFonts w:ascii="Times New Roman;Times;serif" w:hAnsi="Times New Roman;Times;serif"/>
          <w:b/>
          <w:sz w:val="17"/>
        </w:rPr>
        <w:t>ITEM 1. FINANCIAL STATEMENTS</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5" w:name="103"/>
      <w:bookmarkEnd w:id="5"/>
      <w:r>
        <w:rPr>
          <w:rFonts w:ascii="Times New Roman;Times;serif" w:hAnsi="Times New Roman;Times;serif"/>
          <w:b/>
          <w:sz w:val="17"/>
        </w:rPr>
        <w:t>CONSOLIDATED CONDENSED BALANCE SHEETS (UNAUDITED)</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(in thousands, except per share amounts)</w:t>
      </w:r>
    </w:p>
    <w:tbl>
      <w:tblPr>
        <w:tblW w:w="5000" w:type="pct"/>
        <w:jc w:val="center"/>
        <w:tblInd w:w="0" w:type="dxa"/>
        <w:tblCellMar>
          <w:top w:w="0" w:type="dxa"/>
          <w:left w:w="0" w:type="dxa"/>
          <w:bottom w:w="0" w:type="dxa"/>
          <w:right w:w="0" w:type="dxa"/>
        </w:tblCellMar>
      </w:tblPr>
      <w:tblGrid>
        <w:gridCol w:w="6613"/>
        <w:gridCol w:w="419"/>
        <w:gridCol w:w="193"/>
        <w:gridCol w:w="1054"/>
        <w:gridCol w:w="137"/>
        <w:gridCol w:w="419"/>
        <w:gridCol w:w="190"/>
        <w:gridCol w:w="1038"/>
        <w:gridCol w:w="142"/>
      </w:tblGrid>
      <w:tr>
        <w:trPr/>
        <w:tc>
          <w:tcPr>
            <w:tcW w:w="6613"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247" w:type="dxa"/>
            <w:gridSpan w:val="2"/>
            <w:tcBorders/>
            <w:shd w:fill="auto" w:val="clear"/>
            <w:vAlign w:val="bottom"/>
          </w:tcPr>
          <w:p>
            <w:pPr>
              <w:pStyle w:val="TableContents"/>
              <w:spacing w:before="0" w:after="283"/>
              <w:jc w:val="center"/>
              <w:rPr>
                <w:b/>
              </w:rPr>
            </w:pPr>
            <w:r>
              <w:rPr>
                <w:b/>
              </w:rPr>
              <w:t>January 31,</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283"/>
              <w:jc w:val="center"/>
              <w:rPr>
                <w:b/>
              </w:rPr>
            </w:pPr>
            <w:r>
              <w:rPr>
                <w:b/>
              </w:rPr>
              <w:t>October 31,</w:t>
            </w:r>
          </w:p>
        </w:tc>
        <w:tc>
          <w:tcPr>
            <w:tcW w:w="142" w:type="dxa"/>
            <w:tcBorders/>
            <w:shd w:fill="auto"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24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22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225" w:right="0" w:hanging="225"/>
              <w:rPr>
                <w:b/>
              </w:rPr>
            </w:pPr>
            <w:r>
              <w:rPr>
                <w:b/>
              </w:rPr>
              <w:t>Assets</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225" w:right="0" w:hanging="225"/>
              <w:rPr/>
            </w:pPr>
            <w:r>
              <w:rPr/>
              <w:t>Current assets:</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450" w:right="0" w:hanging="225"/>
              <w:rPr/>
            </w:pPr>
            <w:r>
              <w:rPr/>
              <w:t>Cash and cash equivalents</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54" w:type="dxa"/>
            <w:tcBorders/>
            <w:shd w:fill="CCEEFF" w:val="clear"/>
            <w:vAlign w:val="bottom"/>
          </w:tcPr>
          <w:p>
            <w:pPr>
              <w:pStyle w:val="TableContents"/>
              <w:spacing w:before="0" w:after="283"/>
              <w:jc w:val="right"/>
              <w:rPr/>
            </w:pPr>
            <w:r>
              <w:rPr/>
              <w:t>238</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1038" w:type="dxa"/>
            <w:tcBorders/>
            <w:shd w:fill="CCEEFF" w:val="clear"/>
            <w:vAlign w:val="bottom"/>
          </w:tcPr>
          <w:p>
            <w:pPr>
              <w:pStyle w:val="TableContents"/>
              <w:spacing w:before="0" w:after="283"/>
              <w:jc w:val="right"/>
              <w:rPr/>
            </w:pPr>
            <w:r>
              <w:rPr/>
              <w:t>1,133</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450" w:right="0" w:hanging="225"/>
              <w:rPr/>
            </w:pPr>
            <w:r>
              <w:rPr/>
              <w:t>Accounts receivable, net of allowances of $2,871 (2006) and $2,688 (2005)</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23,568</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19,253</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450" w:right="0" w:hanging="225"/>
              <w:rPr/>
            </w:pPr>
            <w:r>
              <w:rPr/>
              <w:t>Inventories, net</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11,276</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10,096</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450" w:right="0" w:hanging="225"/>
              <w:rPr/>
            </w:pPr>
            <w:r>
              <w:rPr/>
              <w:t>Prepaid expenses and other current assets</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5,931</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5,879</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450" w:right="0" w:hanging="225"/>
              <w:rPr/>
            </w:pPr>
            <w:r>
              <w:rPr/>
              <w:t>Advances to suppliers</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588</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1,141</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450" w:right="0" w:hanging="225"/>
              <w:rPr/>
            </w:pPr>
            <w:r>
              <w:rPr/>
              <w:t>Income taxes receivable</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1,368</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893</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450" w:right="0" w:hanging="225"/>
              <w:rPr/>
            </w:pPr>
            <w:r>
              <w:rPr/>
              <w:t>Deferred income taxes</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2,651</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2,651</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613" w:type="dxa"/>
            <w:tcBorders/>
            <w:shd w:fill="auto" w:val="clear"/>
            <w:vAlign w:val="bottom"/>
          </w:tcPr>
          <w:p>
            <w:pPr>
              <w:pStyle w:val="TableContents"/>
              <w:spacing w:before="0" w:after="0"/>
              <w:ind w:left="675" w:right="0" w:hanging="225"/>
              <w:rPr/>
            </w:pPr>
            <w:r>
              <w:rPr/>
              <w:t>Total current assets</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45,620</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41,046</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225" w:right="0" w:hanging="225"/>
              <w:rPr/>
            </w:pPr>
            <w:r>
              <w:rPr/>
              <w:t>Property, plant, and equipment, net</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17,273</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16,897</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225" w:right="0" w:hanging="225"/>
              <w:rPr/>
            </w:pPr>
            <w:r>
              <w:rPr/>
              <w:t>Investment in Limoneira</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39,584</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45,634</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225" w:right="0" w:hanging="225"/>
              <w:rPr/>
            </w:pPr>
            <w:r>
              <w:rPr/>
              <w:t>Goodwill</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3,591</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3,591</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225" w:right="0" w:hanging="225"/>
              <w:rPr/>
            </w:pPr>
            <w:r>
              <w:rPr/>
              <w:t>Other assets</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1,902</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1,314</w:t>
            </w:r>
          </w:p>
        </w:tc>
        <w:tc>
          <w:tcPr>
            <w:tcW w:w="142" w:type="dxa"/>
            <w:tcBorders/>
            <w:shd w:fill="auto" w:val="clear"/>
            <w:vAlign w:val="bottom"/>
          </w:tcPr>
          <w:p>
            <w:pPr>
              <w:pStyle w:val="TableContents"/>
              <w:spacing w:before="0" w:after="283"/>
              <w:rPr/>
            </w:pPr>
            <w:r>
              <w:rPr/>
              <w:t> </w:t>
            </w:r>
          </w:p>
        </w:tc>
      </w:tr>
      <w:tr>
        <w:trPr/>
        <w:tc>
          <w:tcPr>
            <w:tcW w:w="6613"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225" w:right="0" w:hanging="225"/>
              <w:rPr/>
            </w:pPr>
            <w:r>
              <w:rPr/>
              <w:t> </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54" w:type="dxa"/>
            <w:tcBorders/>
            <w:shd w:fill="CCEEFF" w:val="clear"/>
            <w:vAlign w:val="bottom"/>
          </w:tcPr>
          <w:p>
            <w:pPr>
              <w:pStyle w:val="TableContents"/>
              <w:spacing w:before="0" w:after="283"/>
              <w:jc w:val="right"/>
              <w:rPr/>
            </w:pPr>
            <w:r>
              <w:rPr/>
              <w:t>107,970</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1038" w:type="dxa"/>
            <w:tcBorders/>
            <w:shd w:fill="CCEEFF" w:val="clear"/>
            <w:vAlign w:val="bottom"/>
          </w:tcPr>
          <w:p>
            <w:pPr>
              <w:pStyle w:val="TableContents"/>
              <w:spacing w:before="0" w:after="283"/>
              <w:jc w:val="right"/>
              <w:rPr/>
            </w:pPr>
            <w:r>
              <w:rPr/>
              <w:t>108,842</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2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613" w:type="dxa"/>
            <w:tcBorders/>
            <w:shd w:fill="auto" w:val="clear"/>
            <w:vAlign w:val="bottom"/>
          </w:tcPr>
          <w:p>
            <w:pPr>
              <w:pStyle w:val="TableContents"/>
              <w:spacing w:before="0" w:after="0"/>
              <w:ind w:left="225" w:right="0" w:hanging="225"/>
              <w:rPr/>
            </w:pPr>
            <w:r>
              <w:rPr/>
              <w:t> </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225" w:right="0" w:hanging="225"/>
              <w:rPr>
                <w:b/>
              </w:rPr>
            </w:pPr>
            <w:r>
              <w:rPr>
                <w:b/>
              </w:rPr>
              <w:t>Liabilities and shareholders equity</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225" w:right="0" w:hanging="225"/>
              <w:rPr/>
            </w:pPr>
            <w:r>
              <w:rPr/>
              <w:t>Current liabilities:</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450" w:right="0" w:hanging="225"/>
              <w:rPr/>
            </w:pPr>
            <w:r>
              <w:rPr/>
              <w:t>Payable to growers</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jc w:val="left"/>
              <w:rPr/>
            </w:pPr>
            <w:r>
              <w:rPr/>
              <w:t>$</w:t>
            </w:r>
          </w:p>
        </w:tc>
        <w:tc>
          <w:tcPr>
            <w:tcW w:w="1054" w:type="dxa"/>
            <w:tcBorders/>
            <w:shd w:fill="auto" w:val="clear"/>
            <w:vAlign w:val="bottom"/>
          </w:tcPr>
          <w:p>
            <w:pPr>
              <w:pStyle w:val="TableContents"/>
              <w:spacing w:before="0" w:after="283"/>
              <w:jc w:val="right"/>
              <w:rPr/>
            </w:pPr>
            <w:r>
              <w:rPr/>
              <w:t>6,740</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1038" w:type="dxa"/>
            <w:tcBorders/>
            <w:shd w:fill="auto" w:val="clear"/>
            <w:vAlign w:val="bottom"/>
          </w:tcPr>
          <w:p>
            <w:pPr>
              <w:pStyle w:val="TableContents"/>
              <w:spacing w:before="0" w:after="283"/>
              <w:jc w:val="right"/>
              <w:rPr/>
            </w:pPr>
            <w:r>
              <w:rPr/>
              <w:t>1,753</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450" w:right="0" w:hanging="225"/>
              <w:rPr/>
            </w:pPr>
            <w:r>
              <w:rPr/>
              <w:t>Trade accounts payable</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3,372</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1,892</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450" w:right="0" w:hanging="225"/>
              <w:rPr/>
            </w:pPr>
            <w:r>
              <w:rPr/>
              <w:t>Accrued expenses</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11,330</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12,482</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450" w:right="0" w:hanging="225"/>
              <w:rPr/>
            </w:pPr>
            <w:r>
              <w:rPr/>
              <w:t>Short-term borrowings</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7,841</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1,424</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450" w:right="0" w:hanging="225"/>
              <w:rPr/>
            </w:pPr>
            <w:r>
              <w:rPr/>
              <w:t>Dividend payable</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4,564</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450" w:right="0" w:hanging="225"/>
              <w:rPr/>
            </w:pPr>
            <w:r>
              <w:rPr/>
              <w:t>Current portion of long-term obligations</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1,312</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1,313</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613" w:type="dxa"/>
            <w:tcBorders/>
            <w:shd w:fill="auto" w:val="clear"/>
            <w:vAlign w:val="bottom"/>
          </w:tcPr>
          <w:p>
            <w:pPr>
              <w:pStyle w:val="TableContents"/>
              <w:spacing w:before="0" w:after="0"/>
              <w:ind w:left="675" w:right="0" w:hanging="225"/>
              <w:rPr/>
            </w:pPr>
            <w:r>
              <w:rPr/>
              <w:t>Total current liabilities</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30,595</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23,428</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225" w:right="0" w:hanging="225"/>
              <w:rPr/>
            </w:pPr>
            <w:r>
              <w:rPr/>
              <w:t>Long-term liabilities:</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450" w:right="0" w:hanging="225"/>
              <w:rPr/>
            </w:pPr>
            <w:r>
              <w:rPr/>
              <w:t>Long-term obligations, less current portion</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11,717</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11,719</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450" w:right="0" w:hanging="225"/>
              <w:rPr/>
            </w:pPr>
            <w:r>
              <w:rPr/>
              <w:t>Deferred income taxes</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6,190</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8,589</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613" w:type="dxa"/>
            <w:tcBorders/>
            <w:shd w:fill="auto" w:val="clear"/>
            <w:vAlign w:val="bottom"/>
          </w:tcPr>
          <w:p>
            <w:pPr>
              <w:pStyle w:val="TableContents"/>
              <w:spacing w:before="0" w:after="0"/>
              <w:ind w:left="675" w:right="0" w:hanging="225"/>
              <w:rPr/>
            </w:pPr>
            <w:r>
              <w:rPr/>
              <w:t>Total long-term liabilities</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17,907</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20,308</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225" w:right="0" w:hanging="225"/>
              <w:rPr/>
            </w:pPr>
            <w:r>
              <w:rPr/>
              <w:t>Commitments and contingencies</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225" w:right="0" w:hanging="225"/>
              <w:rPr/>
            </w:pPr>
            <w:r>
              <w:rPr/>
              <w:t>Shareholders equity:</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450" w:right="0" w:hanging="225"/>
              <w:rPr/>
            </w:pPr>
            <w:r>
              <w:rPr/>
              <w:t>Common stock, $0.001 par value; 100,000 shares authorized; 14,268 (2006) and 14,362 (2005) issued and outstanding</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14</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14</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bottom"/>
          </w:tcPr>
          <w:p>
            <w:pPr>
              <w:pStyle w:val="TableContents"/>
              <w:spacing w:before="0" w:after="0"/>
              <w:ind w:left="450" w:right="0" w:hanging="225"/>
              <w:rPr/>
            </w:pPr>
            <w:r>
              <w:rPr/>
              <w:t>Additional paid-in capital</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36,278</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37,240</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450" w:right="0" w:hanging="225"/>
              <w:rPr/>
            </w:pPr>
            <w:r>
              <w:rPr/>
              <w:t>Notes receivable from shareholders</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 </w:t>
            </w:r>
          </w:p>
        </w:tc>
        <w:tc>
          <w:tcPr>
            <w:tcW w:w="1054" w:type="dxa"/>
            <w:tcBorders/>
            <w:shd w:fill="CCEEFF" w:val="clear"/>
            <w:vAlign w:val="bottom"/>
          </w:tcPr>
          <w:p>
            <w:pPr>
              <w:pStyle w:val="TableContents"/>
              <w:spacing w:before="0" w:after="283"/>
              <w:jc w:val="right"/>
              <w:rPr/>
            </w:pPr>
            <w:r>
              <w:rPr/>
              <w:t>(2,636</w:t>
            </w:r>
          </w:p>
        </w:tc>
        <w:tc>
          <w:tcPr>
            <w:tcW w:w="137" w:type="dxa"/>
            <w:tcBorders/>
            <w:shd w:fill="CCEEFF" w:val="clear"/>
            <w:vAlign w:val="bottom"/>
          </w:tcPr>
          <w:p>
            <w:pPr>
              <w:pStyle w:val="TableContents"/>
              <w:spacing w:before="0" w:after="283"/>
              <w:rPr/>
            </w:pPr>
            <w:r>
              <w:rPr/>
              <w:t>)</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 </w:t>
            </w:r>
          </w:p>
        </w:tc>
        <w:tc>
          <w:tcPr>
            <w:tcW w:w="1038" w:type="dxa"/>
            <w:tcBorders/>
            <w:shd w:fill="CCEEFF" w:val="clear"/>
            <w:vAlign w:val="bottom"/>
          </w:tcPr>
          <w:p>
            <w:pPr>
              <w:pStyle w:val="TableContents"/>
              <w:spacing w:before="0" w:after="283"/>
              <w:jc w:val="right"/>
              <w:rPr/>
            </w:pPr>
            <w:r>
              <w:rPr/>
              <w:t>(2,636</w:t>
            </w:r>
          </w:p>
        </w:tc>
        <w:tc>
          <w:tcPr>
            <w:tcW w:w="142" w:type="dxa"/>
            <w:tcBorders/>
            <w:shd w:fill="CCEEFF" w:val="clear"/>
            <w:vAlign w:val="bottom"/>
          </w:tcPr>
          <w:p>
            <w:pPr>
              <w:pStyle w:val="TableContents"/>
              <w:spacing w:before="0" w:after="283"/>
              <w:rPr/>
            </w:pPr>
            <w:r>
              <w:rPr/>
              <w:t>)</w:t>
            </w:r>
          </w:p>
        </w:tc>
      </w:tr>
      <w:tr>
        <w:trPr/>
        <w:tc>
          <w:tcPr>
            <w:tcW w:w="6613" w:type="dxa"/>
            <w:tcBorders/>
            <w:shd w:fill="auto" w:val="clear"/>
            <w:vAlign w:val="bottom"/>
          </w:tcPr>
          <w:p>
            <w:pPr>
              <w:pStyle w:val="TableContents"/>
              <w:spacing w:before="0" w:after="0"/>
              <w:ind w:left="450" w:right="0" w:hanging="225"/>
              <w:rPr/>
            </w:pPr>
            <w:r>
              <w:rPr/>
              <w:t>Accumulated other comprehensive income</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9,735</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13,386</w:t>
            </w:r>
          </w:p>
        </w:tc>
        <w:tc>
          <w:tcPr>
            <w:tcW w:w="142" w:type="dxa"/>
            <w:tcBorders/>
            <w:shd w:fill="auto" w:val="clear"/>
            <w:vAlign w:val="bottom"/>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450" w:right="0" w:hanging="225"/>
              <w:rPr/>
            </w:pPr>
            <w:r>
              <w:rPr/>
              <w:t>Retained earnings</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16,077</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1038" w:type="dxa"/>
            <w:tcBorders/>
            <w:shd w:fill="CCEEFF" w:val="clear"/>
            <w:vAlign w:val="bottom"/>
          </w:tcPr>
          <w:p>
            <w:pPr>
              <w:pStyle w:val="TableContents"/>
              <w:spacing w:before="0" w:after="283"/>
              <w:jc w:val="right"/>
              <w:rPr/>
            </w:pPr>
            <w:r>
              <w:rPr/>
              <w:t>16,742</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613" w:type="dxa"/>
            <w:tcBorders/>
            <w:shd w:fill="auto" w:val="clear"/>
            <w:vAlign w:val="bottom"/>
          </w:tcPr>
          <w:p>
            <w:pPr>
              <w:pStyle w:val="TableContents"/>
              <w:spacing w:before="0" w:after="0"/>
              <w:ind w:left="675" w:right="0" w:hanging="225"/>
              <w:rPr/>
            </w:pPr>
            <w:r>
              <w:rPr/>
              <w:t>Total shareholders equity</w:t>
            </w:r>
          </w:p>
        </w:tc>
        <w:tc>
          <w:tcPr>
            <w:tcW w:w="419"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59,468</w:t>
            </w:r>
          </w:p>
        </w:tc>
        <w:tc>
          <w:tcPr>
            <w:tcW w:w="13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1038" w:type="dxa"/>
            <w:tcBorders/>
            <w:shd w:fill="auto" w:val="clear"/>
            <w:vAlign w:val="bottom"/>
          </w:tcPr>
          <w:p>
            <w:pPr>
              <w:pStyle w:val="TableContents"/>
              <w:spacing w:before="0" w:after="283"/>
              <w:jc w:val="right"/>
              <w:rPr/>
            </w:pPr>
            <w:r>
              <w:rPr/>
              <w:t>64,746</w:t>
            </w:r>
          </w:p>
        </w:tc>
        <w:tc>
          <w:tcPr>
            <w:tcW w:w="142" w:type="dxa"/>
            <w:tcBorders/>
            <w:shd w:fill="auto" w:val="clear"/>
            <w:vAlign w:val="bottom"/>
          </w:tcPr>
          <w:p>
            <w:pPr>
              <w:pStyle w:val="TableContents"/>
              <w:spacing w:before="0" w:after="283"/>
              <w:rPr/>
            </w:pPr>
            <w:r>
              <w:rPr/>
              <w:t> </w:t>
            </w:r>
          </w:p>
        </w:tc>
      </w:tr>
      <w:tr>
        <w:trPr/>
        <w:tc>
          <w:tcPr>
            <w:tcW w:w="6613"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6613" w:type="dxa"/>
            <w:tcBorders/>
            <w:shd w:fill="CCEEFF" w:val="clear"/>
            <w:vAlign w:val="bottom"/>
          </w:tcPr>
          <w:p>
            <w:pPr>
              <w:pStyle w:val="TableContents"/>
              <w:spacing w:before="0" w:after="0"/>
              <w:ind w:left="225" w:right="0" w:hanging="225"/>
              <w:rPr/>
            </w:pPr>
            <w:r>
              <w:rPr/>
              <w:t> </w:t>
            </w:r>
          </w:p>
        </w:tc>
        <w:tc>
          <w:tcPr>
            <w:tcW w:w="419"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jc w:val="left"/>
              <w:rPr/>
            </w:pPr>
            <w:r>
              <w:rPr/>
              <w:t>$</w:t>
            </w:r>
          </w:p>
        </w:tc>
        <w:tc>
          <w:tcPr>
            <w:tcW w:w="1054" w:type="dxa"/>
            <w:tcBorders/>
            <w:shd w:fill="CCEEFF" w:val="clear"/>
            <w:vAlign w:val="bottom"/>
          </w:tcPr>
          <w:p>
            <w:pPr>
              <w:pStyle w:val="TableContents"/>
              <w:spacing w:before="0" w:after="283"/>
              <w:jc w:val="right"/>
              <w:rPr/>
            </w:pPr>
            <w:r>
              <w:rPr/>
              <w:t>107,970</w:t>
            </w:r>
          </w:p>
        </w:tc>
        <w:tc>
          <w:tcPr>
            <w:tcW w:w="13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1038" w:type="dxa"/>
            <w:tcBorders/>
            <w:shd w:fill="CCEEFF" w:val="clear"/>
            <w:vAlign w:val="bottom"/>
          </w:tcPr>
          <w:p>
            <w:pPr>
              <w:pStyle w:val="TableContents"/>
              <w:spacing w:before="0" w:after="283"/>
              <w:jc w:val="right"/>
              <w:rPr/>
            </w:pPr>
            <w:r>
              <w:rPr/>
              <w:t>108,842</w:t>
            </w:r>
          </w:p>
        </w:tc>
        <w:tc>
          <w:tcPr>
            <w:tcW w:w="142" w:type="dxa"/>
            <w:tcBorders/>
            <w:shd w:fill="CCEEFF" w:val="clear"/>
            <w:vAlign w:val="bottom"/>
          </w:tcPr>
          <w:p>
            <w:pPr>
              <w:pStyle w:val="TableContents"/>
              <w:spacing w:before="0" w:after="283"/>
              <w:rPr/>
            </w:pPr>
            <w:r>
              <w:rPr/>
              <w:t> </w:t>
            </w:r>
          </w:p>
        </w:tc>
      </w:tr>
      <w:tr>
        <w:trPr/>
        <w:tc>
          <w:tcPr>
            <w:tcW w:w="6613"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2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7"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See accompanying notes to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6" w:name="104"/>
      <w:bookmarkEnd w:id="6"/>
      <w:r>
        <w:rPr>
          <w:rFonts w:ascii="Times New Roman;Times;serif" w:hAnsi="Times New Roman;Times;serif"/>
          <w:b/>
          <w:sz w:val="17"/>
        </w:rPr>
        <w:t>CONSOLIDATED CONDENSED STATEMENTS OF OPERATIONS (UNAUDITED)</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(in thousands, except per share amounts)</w:t>
      </w:r>
    </w:p>
    <w:tbl>
      <w:tblPr>
        <w:tblW w:w="5000" w:type="pct"/>
        <w:jc w:val="center"/>
        <w:tblInd w:w="0" w:type="dxa"/>
        <w:tblCellMar>
          <w:top w:w="0" w:type="dxa"/>
          <w:left w:w="0" w:type="dxa"/>
          <w:bottom w:w="0" w:type="dxa"/>
          <w:right w:w="0" w:type="dxa"/>
        </w:tblCellMar>
      </w:tblPr>
      <w:tblGrid>
        <w:gridCol w:w="7029"/>
        <w:gridCol w:w="455"/>
        <w:gridCol w:w="167"/>
        <w:gridCol w:w="825"/>
        <w:gridCol w:w="140"/>
        <w:gridCol w:w="460"/>
        <w:gridCol w:w="167"/>
        <w:gridCol w:w="826"/>
        <w:gridCol w:w="136"/>
      </w:tblGrid>
      <w:tr>
        <w:trPr/>
        <w:tc>
          <w:tcPr>
            <w:tcW w:w="7029"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7029"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585" w:type="dxa"/>
            <w:gridSpan w:val="6"/>
            <w:tcBorders/>
            <w:shd w:fill="auto" w:val="clear"/>
            <w:vAlign w:val="bottom"/>
          </w:tcPr>
          <w:p>
            <w:pPr>
              <w:pStyle w:val="TableContents"/>
              <w:spacing w:before="0" w:after="283"/>
              <w:jc w:val="center"/>
              <w:rPr>
                <w:b/>
              </w:rPr>
            </w:pPr>
            <w:r>
              <w:rPr>
                <w:b/>
              </w:rPr>
              <w:t>Three months ended</w:t>
            </w:r>
          </w:p>
        </w:tc>
        <w:tc>
          <w:tcPr>
            <w:tcW w:w="136" w:type="dxa"/>
            <w:tcBorders/>
            <w:shd w:fill="auto" w:val="clear"/>
            <w:vAlign w:val="bottom"/>
          </w:tcPr>
          <w:p>
            <w:pPr>
              <w:pStyle w:val="TableContents"/>
              <w:spacing w:before="0" w:after="283"/>
              <w:rPr/>
            </w:pPr>
            <w:r>
              <w:rPr/>
              <w:t> </w:t>
            </w:r>
          </w:p>
        </w:tc>
      </w:tr>
      <w:tr>
        <w:trPr/>
        <w:tc>
          <w:tcPr>
            <w:tcW w:w="7029"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2585"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January 31,</w:t>
            </w:r>
          </w:p>
        </w:tc>
        <w:tc>
          <w:tcPr>
            <w:tcW w:w="136" w:type="dxa"/>
            <w:tcBorders/>
            <w:shd w:fill="auto" w:val="clear"/>
            <w:vAlign w:val="bottom"/>
          </w:tcPr>
          <w:p>
            <w:pPr>
              <w:pStyle w:val="TableContents"/>
              <w:spacing w:before="0" w:after="283"/>
              <w:rPr/>
            </w:pPr>
            <w:r>
              <w:rPr/>
              <w:t> </w:t>
            </w:r>
          </w:p>
        </w:tc>
      </w:tr>
      <w:tr>
        <w:trPr/>
        <w:tc>
          <w:tcPr>
            <w:tcW w:w="7029"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pPr>
            <w:r>
              <w:rPr/>
              <w:t> </w:t>
            </w:r>
          </w:p>
        </w:tc>
        <w:tc>
          <w:tcPr>
            <w:tcW w:w="99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4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99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36" w:type="dxa"/>
            <w:tcBorders/>
            <w:shd w:fill="auto" w:val="clear"/>
            <w:vAlign w:val="bottom"/>
          </w:tcPr>
          <w:p>
            <w:pPr>
              <w:pStyle w:val="TableContents"/>
              <w:spacing w:before="0" w:after="283"/>
              <w:rPr/>
            </w:pPr>
            <w:r>
              <w:rPr/>
              <w:t> </w:t>
            </w:r>
          </w:p>
        </w:tc>
      </w:tr>
      <w:tr>
        <w:trPr/>
        <w:tc>
          <w:tcPr>
            <w:tcW w:w="7029" w:type="dxa"/>
            <w:tcBorders/>
            <w:shd w:fill="CCEEFF" w:val="clear"/>
            <w:vAlign w:val="bottom"/>
          </w:tcPr>
          <w:p>
            <w:pPr>
              <w:pStyle w:val="TableContents"/>
              <w:spacing w:before="0" w:after="0"/>
              <w:ind w:left="225" w:right="0" w:hanging="225"/>
              <w:rPr/>
            </w:pPr>
            <w:r>
              <w:rPr/>
              <w:t>Net sales</w:t>
            </w:r>
          </w:p>
        </w:tc>
        <w:tc>
          <w:tcPr>
            <w:tcW w:w="45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5" w:type="dxa"/>
            <w:tcBorders/>
            <w:shd w:fill="CCEEFF" w:val="clear"/>
            <w:vAlign w:val="bottom"/>
          </w:tcPr>
          <w:p>
            <w:pPr>
              <w:pStyle w:val="TableContents"/>
              <w:spacing w:before="0" w:after="283"/>
              <w:jc w:val="right"/>
              <w:rPr/>
            </w:pPr>
            <w:r>
              <w:rPr/>
              <w:t>50,647</w:t>
            </w:r>
          </w:p>
        </w:tc>
        <w:tc>
          <w:tcPr>
            <w:tcW w:w="140"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47,671</w:t>
            </w:r>
          </w:p>
        </w:tc>
        <w:tc>
          <w:tcPr>
            <w:tcW w:w="136" w:type="dxa"/>
            <w:tcBorders/>
            <w:shd w:fill="CCEEFF" w:val="clear"/>
            <w:vAlign w:val="bottom"/>
          </w:tcPr>
          <w:p>
            <w:pPr>
              <w:pStyle w:val="TableContents"/>
              <w:spacing w:before="0" w:after="283"/>
              <w:rPr/>
            </w:pPr>
            <w:r>
              <w:rPr/>
              <w:t> </w:t>
            </w:r>
          </w:p>
        </w:tc>
      </w:tr>
      <w:tr>
        <w:trPr/>
        <w:tc>
          <w:tcPr>
            <w:tcW w:w="7029" w:type="dxa"/>
            <w:tcBorders/>
            <w:shd w:fill="auto" w:val="clear"/>
            <w:vAlign w:val="bottom"/>
          </w:tcPr>
          <w:p>
            <w:pPr>
              <w:pStyle w:val="TableContents"/>
              <w:spacing w:before="0" w:after="0"/>
              <w:ind w:left="225" w:right="0" w:hanging="225"/>
              <w:rPr/>
            </w:pPr>
            <w:r>
              <w:rPr/>
              <w:t>Cost of sales</w:t>
            </w:r>
          </w:p>
        </w:tc>
        <w:tc>
          <w:tcPr>
            <w:tcW w:w="45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47,237</w:t>
            </w:r>
          </w:p>
        </w:tc>
        <w:tc>
          <w:tcPr>
            <w:tcW w:w="14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45,719</w:t>
            </w:r>
          </w:p>
        </w:tc>
        <w:tc>
          <w:tcPr>
            <w:tcW w:w="136" w:type="dxa"/>
            <w:tcBorders/>
            <w:shd w:fill="auto" w:val="clear"/>
            <w:vAlign w:val="bottom"/>
          </w:tcPr>
          <w:p>
            <w:pPr>
              <w:pStyle w:val="TableContents"/>
              <w:spacing w:before="0" w:after="283"/>
              <w:rPr/>
            </w:pPr>
            <w:r>
              <w:rPr/>
              <w:t> </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7029" w:type="dxa"/>
            <w:tcBorders/>
            <w:shd w:fill="CCEEFF" w:val="clear"/>
            <w:vAlign w:val="bottom"/>
          </w:tcPr>
          <w:p>
            <w:pPr>
              <w:pStyle w:val="TableContents"/>
              <w:spacing w:before="0" w:after="0"/>
              <w:ind w:left="225" w:right="0" w:hanging="225"/>
              <w:rPr/>
            </w:pPr>
            <w:r>
              <w:rPr/>
              <w:t>Gross margin</w:t>
            </w:r>
          </w:p>
        </w:tc>
        <w:tc>
          <w:tcPr>
            <w:tcW w:w="45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3,410</w:t>
            </w:r>
          </w:p>
        </w:tc>
        <w:tc>
          <w:tcPr>
            <w:tcW w:w="140"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1,952</w:t>
            </w:r>
          </w:p>
        </w:tc>
        <w:tc>
          <w:tcPr>
            <w:tcW w:w="136" w:type="dxa"/>
            <w:tcBorders/>
            <w:shd w:fill="CCEEFF" w:val="clear"/>
            <w:vAlign w:val="bottom"/>
          </w:tcPr>
          <w:p>
            <w:pPr>
              <w:pStyle w:val="TableContents"/>
              <w:spacing w:before="0" w:after="283"/>
              <w:rPr/>
            </w:pPr>
            <w:r>
              <w:rPr/>
              <w:t> </w:t>
            </w:r>
          </w:p>
        </w:tc>
      </w:tr>
      <w:tr>
        <w:trPr/>
        <w:tc>
          <w:tcPr>
            <w:tcW w:w="7029" w:type="dxa"/>
            <w:tcBorders/>
            <w:shd w:fill="auto" w:val="clear"/>
            <w:vAlign w:val="bottom"/>
          </w:tcPr>
          <w:p>
            <w:pPr>
              <w:pStyle w:val="TableContents"/>
              <w:spacing w:before="0" w:after="0"/>
              <w:ind w:left="225" w:right="0" w:hanging="225"/>
              <w:rPr/>
            </w:pPr>
            <w:r>
              <w:rPr/>
              <w:t>Selling, general and administrative</w:t>
            </w:r>
          </w:p>
        </w:tc>
        <w:tc>
          <w:tcPr>
            <w:tcW w:w="45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4,444</w:t>
            </w:r>
          </w:p>
        </w:tc>
        <w:tc>
          <w:tcPr>
            <w:tcW w:w="14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4,513</w:t>
            </w:r>
          </w:p>
        </w:tc>
        <w:tc>
          <w:tcPr>
            <w:tcW w:w="136" w:type="dxa"/>
            <w:tcBorders/>
            <w:shd w:fill="auto" w:val="clear"/>
            <w:vAlign w:val="bottom"/>
          </w:tcPr>
          <w:p>
            <w:pPr>
              <w:pStyle w:val="TableContents"/>
              <w:spacing w:before="0" w:after="283"/>
              <w:rPr/>
            </w:pPr>
            <w:r>
              <w:rPr/>
              <w:t> </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7029" w:type="dxa"/>
            <w:tcBorders/>
            <w:shd w:fill="CCEEFF" w:val="clear"/>
            <w:vAlign w:val="bottom"/>
          </w:tcPr>
          <w:p>
            <w:pPr>
              <w:pStyle w:val="TableContents"/>
              <w:spacing w:before="0" w:after="0"/>
              <w:ind w:left="225" w:right="0" w:hanging="225"/>
              <w:rPr/>
            </w:pPr>
            <w:r>
              <w:rPr/>
              <w:t>Operating loss</w:t>
            </w:r>
          </w:p>
        </w:tc>
        <w:tc>
          <w:tcPr>
            <w:tcW w:w="45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825" w:type="dxa"/>
            <w:tcBorders/>
            <w:shd w:fill="CCEEFF" w:val="clear"/>
            <w:vAlign w:val="bottom"/>
          </w:tcPr>
          <w:p>
            <w:pPr>
              <w:pStyle w:val="TableContents"/>
              <w:spacing w:before="0" w:after="283"/>
              <w:jc w:val="right"/>
              <w:rPr/>
            </w:pPr>
            <w:r>
              <w:rPr/>
              <w:t>(1,034</w:t>
            </w:r>
          </w:p>
        </w:tc>
        <w:tc>
          <w:tcPr>
            <w:tcW w:w="140" w:type="dxa"/>
            <w:tcBorders/>
            <w:shd w:fill="CCEEFF" w:val="clear"/>
            <w:vAlign w:val="bottom"/>
          </w:tcPr>
          <w:p>
            <w:pPr>
              <w:pStyle w:val="TableContents"/>
              <w:spacing w:before="0" w:after="283"/>
              <w:rPr/>
            </w:pPr>
            <w:r>
              <w:rPr/>
              <w:t>)</w:t>
            </w:r>
          </w:p>
        </w:tc>
        <w:tc>
          <w:tcPr>
            <w:tcW w:w="4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283"/>
              <w:jc w:val="right"/>
              <w:rPr/>
            </w:pPr>
            <w:r>
              <w:rPr/>
              <w:t>(2,561</w:t>
            </w:r>
          </w:p>
        </w:tc>
        <w:tc>
          <w:tcPr>
            <w:tcW w:w="136" w:type="dxa"/>
            <w:tcBorders/>
            <w:shd w:fill="CCEEFF" w:val="clear"/>
            <w:vAlign w:val="bottom"/>
          </w:tcPr>
          <w:p>
            <w:pPr>
              <w:pStyle w:val="TableContents"/>
              <w:spacing w:before="0" w:after="283"/>
              <w:rPr/>
            </w:pPr>
            <w:r>
              <w:rPr/>
              <w:t>)</w:t>
            </w:r>
          </w:p>
        </w:tc>
      </w:tr>
      <w:tr>
        <w:trPr/>
        <w:tc>
          <w:tcPr>
            <w:tcW w:w="7029" w:type="dxa"/>
            <w:tcBorders/>
            <w:shd w:fill="auto" w:val="clear"/>
            <w:vAlign w:val="bottom"/>
          </w:tcPr>
          <w:p>
            <w:pPr>
              <w:pStyle w:val="TableContents"/>
              <w:spacing w:before="0" w:after="0"/>
              <w:ind w:left="225" w:right="0" w:hanging="225"/>
              <w:rPr/>
            </w:pPr>
            <w:r>
              <w:rPr/>
              <w:t>Other income/(expense), net</w:t>
            </w:r>
          </w:p>
        </w:tc>
        <w:tc>
          <w:tcPr>
            <w:tcW w:w="45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825" w:type="dxa"/>
            <w:tcBorders/>
            <w:shd w:fill="auto" w:val="clear"/>
            <w:vAlign w:val="bottom"/>
          </w:tcPr>
          <w:p>
            <w:pPr>
              <w:pStyle w:val="TableContents"/>
              <w:spacing w:before="0" w:after="283"/>
              <w:jc w:val="right"/>
              <w:rPr/>
            </w:pPr>
            <w:r>
              <w:rPr/>
              <w:t>(75</w:t>
            </w:r>
          </w:p>
        </w:tc>
        <w:tc>
          <w:tcPr>
            <w:tcW w:w="140" w:type="dxa"/>
            <w:tcBorders/>
            <w:shd w:fill="auto" w:val="clear"/>
            <w:vAlign w:val="bottom"/>
          </w:tcPr>
          <w:p>
            <w:pPr>
              <w:pStyle w:val="TableContents"/>
              <w:spacing w:before="0" w:after="283"/>
              <w:rPr/>
            </w:pPr>
            <w:r>
              <w:rPr/>
              <w:t>)</w:t>
            </w:r>
          </w:p>
        </w:tc>
        <w:tc>
          <w:tcPr>
            <w:tcW w:w="4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82</w:t>
            </w:r>
          </w:p>
        </w:tc>
        <w:tc>
          <w:tcPr>
            <w:tcW w:w="136" w:type="dxa"/>
            <w:tcBorders/>
            <w:shd w:fill="auto" w:val="clear"/>
            <w:vAlign w:val="bottom"/>
          </w:tcPr>
          <w:p>
            <w:pPr>
              <w:pStyle w:val="TableContents"/>
              <w:spacing w:before="0" w:after="283"/>
              <w:rPr/>
            </w:pPr>
            <w:r>
              <w:rPr/>
              <w:t> </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7029" w:type="dxa"/>
            <w:tcBorders/>
            <w:shd w:fill="CCEEFF" w:val="clear"/>
            <w:vAlign w:val="bottom"/>
          </w:tcPr>
          <w:p>
            <w:pPr>
              <w:pStyle w:val="TableContents"/>
              <w:spacing w:before="0" w:after="0"/>
              <w:ind w:left="225" w:right="0" w:hanging="225"/>
              <w:rPr/>
            </w:pPr>
            <w:r>
              <w:rPr/>
              <w:t>Loss before benefit for income taxes</w:t>
            </w:r>
          </w:p>
        </w:tc>
        <w:tc>
          <w:tcPr>
            <w:tcW w:w="45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825" w:type="dxa"/>
            <w:tcBorders/>
            <w:shd w:fill="CCEEFF" w:val="clear"/>
            <w:vAlign w:val="bottom"/>
          </w:tcPr>
          <w:p>
            <w:pPr>
              <w:pStyle w:val="TableContents"/>
              <w:spacing w:before="0" w:after="283"/>
              <w:jc w:val="right"/>
              <w:rPr/>
            </w:pPr>
            <w:r>
              <w:rPr/>
              <w:t>(1,109</w:t>
            </w:r>
          </w:p>
        </w:tc>
        <w:tc>
          <w:tcPr>
            <w:tcW w:w="140" w:type="dxa"/>
            <w:tcBorders/>
            <w:shd w:fill="CCEEFF" w:val="clear"/>
            <w:vAlign w:val="bottom"/>
          </w:tcPr>
          <w:p>
            <w:pPr>
              <w:pStyle w:val="TableContents"/>
              <w:spacing w:before="0" w:after="283"/>
              <w:rPr/>
            </w:pPr>
            <w:r>
              <w:rPr/>
              <w:t>)</w:t>
            </w:r>
          </w:p>
        </w:tc>
        <w:tc>
          <w:tcPr>
            <w:tcW w:w="4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 </w:t>
            </w:r>
          </w:p>
        </w:tc>
        <w:tc>
          <w:tcPr>
            <w:tcW w:w="826" w:type="dxa"/>
            <w:tcBorders/>
            <w:shd w:fill="CCEEFF" w:val="clear"/>
            <w:vAlign w:val="bottom"/>
          </w:tcPr>
          <w:p>
            <w:pPr>
              <w:pStyle w:val="TableContents"/>
              <w:spacing w:before="0" w:after="283"/>
              <w:jc w:val="right"/>
              <w:rPr/>
            </w:pPr>
            <w:r>
              <w:rPr/>
              <w:t>(2,479</w:t>
            </w:r>
          </w:p>
        </w:tc>
        <w:tc>
          <w:tcPr>
            <w:tcW w:w="136" w:type="dxa"/>
            <w:tcBorders/>
            <w:shd w:fill="CCEEFF" w:val="clear"/>
            <w:vAlign w:val="bottom"/>
          </w:tcPr>
          <w:p>
            <w:pPr>
              <w:pStyle w:val="TableContents"/>
              <w:spacing w:before="0" w:after="283"/>
              <w:rPr/>
            </w:pPr>
            <w:r>
              <w:rPr/>
              <w:t>)</w:t>
            </w:r>
          </w:p>
        </w:tc>
      </w:tr>
      <w:tr>
        <w:trPr/>
        <w:tc>
          <w:tcPr>
            <w:tcW w:w="7029" w:type="dxa"/>
            <w:tcBorders/>
            <w:shd w:fill="auto" w:val="clear"/>
            <w:vAlign w:val="bottom"/>
          </w:tcPr>
          <w:p>
            <w:pPr>
              <w:pStyle w:val="TableContents"/>
              <w:spacing w:before="0" w:after="0"/>
              <w:ind w:left="225" w:right="0" w:hanging="225"/>
              <w:rPr/>
            </w:pPr>
            <w:r>
              <w:rPr/>
              <w:t>Benefit for income taxes</w:t>
            </w:r>
          </w:p>
        </w:tc>
        <w:tc>
          <w:tcPr>
            <w:tcW w:w="45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825" w:type="dxa"/>
            <w:tcBorders/>
            <w:shd w:fill="auto" w:val="clear"/>
            <w:vAlign w:val="bottom"/>
          </w:tcPr>
          <w:p>
            <w:pPr>
              <w:pStyle w:val="TableContents"/>
              <w:spacing w:before="0" w:after="283"/>
              <w:jc w:val="right"/>
              <w:rPr/>
            </w:pPr>
            <w:r>
              <w:rPr/>
              <w:t>(444</w:t>
            </w:r>
          </w:p>
        </w:tc>
        <w:tc>
          <w:tcPr>
            <w:tcW w:w="140" w:type="dxa"/>
            <w:tcBorders/>
            <w:shd w:fill="auto" w:val="clear"/>
            <w:vAlign w:val="bottom"/>
          </w:tcPr>
          <w:p>
            <w:pPr>
              <w:pStyle w:val="TableContents"/>
              <w:spacing w:before="0" w:after="283"/>
              <w:rPr/>
            </w:pPr>
            <w:r>
              <w:rPr/>
              <w:t>)</w:t>
            </w:r>
          </w:p>
        </w:tc>
        <w:tc>
          <w:tcPr>
            <w:tcW w:w="4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 </w:t>
            </w:r>
          </w:p>
        </w:tc>
        <w:tc>
          <w:tcPr>
            <w:tcW w:w="826" w:type="dxa"/>
            <w:tcBorders/>
            <w:shd w:fill="auto" w:val="clear"/>
            <w:vAlign w:val="bottom"/>
          </w:tcPr>
          <w:p>
            <w:pPr>
              <w:pStyle w:val="TableContents"/>
              <w:spacing w:before="0" w:after="283"/>
              <w:jc w:val="right"/>
              <w:rPr/>
            </w:pPr>
            <w:r>
              <w:rPr/>
              <w:t>(932</w:t>
            </w:r>
          </w:p>
        </w:tc>
        <w:tc>
          <w:tcPr>
            <w:tcW w:w="136" w:type="dxa"/>
            <w:tcBorders/>
            <w:shd w:fill="auto" w:val="clear"/>
            <w:vAlign w:val="bottom"/>
          </w:tcPr>
          <w:p>
            <w:pPr>
              <w:pStyle w:val="TableContents"/>
              <w:spacing w:before="0" w:after="283"/>
              <w:rPr/>
            </w:pPr>
            <w:r>
              <w:rPr/>
              <w:t>)</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7029" w:type="dxa"/>
            <w:tcBorders/>
            <w:shd w:fill="CCEEFF" w:val="clear"/>
            <w:vAlign w:val="bottom"/>
          </w:tcPr>
          <w:p>
            <w:pPr>
              <w:pStyle w:val="TableContents"/>
              <w:spacing w:before="0" w:after="0"/>
              <w:ind w:left="225" w:right="0" w:hanging="225"/>
              <w:rPr/>
            </w:pPr>
            <w:r>
              <w:rPr/>
              <w:t>Net loss</w:t>
            </w:r>
          </w:p>
        </w:tc>
        <w:tc>
          <w:tcPr>
            <w:tcW w:w="45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5" w:type="dxa"/>
            <w:tcBorders/>
            <w:shd w:fill="CCEEFF" w:val="clear"/>
            <w:vAlign w:val="bottom"/>
          </w:tcPr>
          <w:p>
            <w:pPr>
              <w:pStyle w:val="TableContents"/>
              <w:spacing w:before="0" w:after="283"/>
              <w:jc w:val="right"/>
              <w:rPr/>
            </w:pPr>
            <w:r>
              <w:rPr/>
              <w:t>(665</w:t>
            </w:r>
          </w:p>
        </w:tc>
        <w:tc>
          <w:tcPr>
            <w:tcW w:w="140" w:type="dxa"/>
            <w:tcBorders/>
            <w:shd w:fill="CCEEFF" w:val="clear"/>
            <w:vAlign w:val="bottom"/>
          </w:tcPr>
          <w:p>
            <w:pPr>
              <w:pStyle w:val="TableContents"/>
              <w:spacing w:before="0" w:after="283"/>
              <w:rPr/>
            </w:pPr>
            <w:r>
              <w:rPr/>
              <w:t>)</w:t>
            </w:r>
          </w:p>
        </w:tc>
        <w:tc>
          <w:tcPr>
            <w:tcW w:w="4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(1,547</w:t>
            </w:r>
          </w:p>
        </w:tc>
        <w:tc>
          <w:tcPr>
            <w:tcW w:w="136" w:type="dxa"/>
            <w:tcBorders/>
            <w:shd w:fill="CCEEFF" w:val="clear"/>
            <w:vAlign w:val="bottom"/>
          </w:tcPr>
          <w:p>
            <w:pPr>
              <w:pStyle w:val="TableContents"/>
              <w:spacing w:before="0" w:after="283"/>
              <w:rPr/>
            </w:pPr>
            <w:r>
              <w:rPr/>
              <w:t>)</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7029" w:type="dxa"/>
            <w:tcBorders/>
            <w:shd w:fill="auto" w:val="clear"/>
            <w:vAlign w:val="bottom"/>
          </w:tcPr>
          <w:p>
            <w:pPr>
              <w:pStyle w:val="TableContents"/>
              <w:spacing w:before="0" w:after="0"/>
              <w:ind w:left="225" w:right="0" w:hanging="225"/>
              <w:rPr/>
            </w:pPr>
            <w:r>
              <w:rPr/>
              <w:t>Net loss per share:</w:t>
            </w:r>
          </w:p>
        </w:tc>
        <w:tc>
          <w:tcPr>
            <w:tcW w:w="45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r>
      <w:tr>
        <w:trPr/>
        <w:tc>
          <w:tcPr>
            <w:tcW w:w="7029" w:type="dxa"/>
            <w:tcBorders/>
            <w:shd w:fill="CCEEFF" w:val="clear"/>
            <w:vAlign w:val="bottom"/>
          </w:tcPr>
          <w:p>
            <w:pPr>
              <w:pStyle w:val="TableContents"/>
              <w:spacing w:before="0" w:after="0"/>
              <w:ind w:left="450" w:right="0" w:hanging="225"/>
              <w:rPr/>
            </w:pPr>
            <w:r>
              <w:rPr/>
              <w:t>Basic</w:t>
            </w:r>
          </w:p>
        </w:tc>
        <w:tc>
          <w:tcPr>
            <w:tcW w:w="45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5" w:type="dxa"/>
            <w:tcBorders/>
            <w:shd w:fill="CCEEFF" w:val="clear"/>
            <w:vAlign w:val="bottom"/>
          </w:tcPr>
          <w:p>
            <w:pPr>
              <w:pStyle w:val="TableContents"/>
              <w:spacing w:before="0" w:after="283"/>
              <w:jc w:val="right"/>
              <w:rPr/>
            </w:pPr>
            <w:r>
              <w:rPr/>
              <w:t>(0.05</w:t>
            </w:r>
          </w:p>
        </w:tc>
        <w:tc>
          <w:tcPr>
            <w:tcW w:w="140" w:type="dxa"/>
            <w:tcBorders/>
            <w:shd w:fill="CCEEFF" w:val="clear"/>
            <w:vAlign w:val="bottom"/>
          </w:tcPr>
          <w:p>
            <w:pPr>
              <w:pStyle w:val="TableContents"/>
              <w:spacing w:before="0" w:after="283"/>
              <w:rPr/>
            </w:pPr>
            <w:r>
              <w:rPr/>
              <w:t>)</w:t>
            </w:r>
          </w:p>
        </w:tc>
        <w:tc>
          <w:tcPr>
            <w:tcW w:w="4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jc w:val="left"/>
              <w:rPr/>
            </w:pPr>
            <w:r>
              <w:rPr/>
              <w:t>$</w:t>
            </w:r>
          </w:p>
        </w:tc>
        <w:tc>
          <w:tcPr>
            <w:tcW w:w="826" w:type="dxa"/>
            <w:tcBorders/>
            <w:shd w:fill="CCEEFF" w:val="clear"/>
            <w:vAlign w:val="bottom"/>
          </w:tcPr>
          <w:p>
            <w:pPr>
              <w:pStyle w:val="TableContents"/>
              <w:spacing w:before="0" w:after="283"/>
              <w:jc w:val="right"/>
              <w:rPr/>
            </w:pPr>
            <w:r>
              <w:rPr/>
              <w:t>(0.11</w:t>
            </w:r>
          </w:p>
        </w:tc>
        <w:tc>
          <w:tcPr>
            <w:tcW w:w="136" w:type="dxa"/>
            <w:tcBorders/>
            <w:shd w:fill="CCEEFF" w:val="clear"/>
            <w:vAlign w:val="bottom"/>
          </w:tcPr>
          <w:p>
            <w:pPr>
              <w:pStyle w:val="TableContents"/>
              <w:spacing w:before="0" w:after="283"/>
              <w:rPr/>
            </w:pPr>
            <w:r>
              <w:rPr/>
              <w:t>)</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7029" w:type="dxa"/>
            <w:tcBorders/>
            <w:shd w:fill="auto" w:val="clear"/>
            <w:vAlign w:val="bottom"/>
          </w:tcPr>
          <w:p>
            <w:pPr>
              <w:pStyle w:val="TableContents"/>
              <w:spacing w:before="0" w:after="0"/>
              <w:ind w:left="450" w:right="0" w:hanging="225"/>
              <w:rPr/>
            </w:pPr>
            <w:r>
              <w:rPr/>
              <w:t>Diluted</w:t>
            </w:r>
          </w:p>
        </w:tc>
        <w:tc>
          <w:tcPr>
            <w:tcW w:w="45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825" w:type="dxa"/>
            <w:tcBorders/>
            <w:shd w:fill="auto" w:val="clear"/>
            <w:vAlign w:val="bottom"/>
          </w:tcPr>
          <w:p>
            <w:pPr>
              <w:pStyle w:val="TableContents"/>
              <w:spacing w:before="0" w:after="283"/>
              <w:jc w:val="right"/>
              <w:rPr/>
            </w:pPr>
            <w:r>
              <w:rPr/>
              <w:t>(0.05</w:t>
            </w:r>
          </w:p>
        </w:tc>
        <w:tc>
          <w:tcPr>
            <w:tcW w:w="140" w:type="dxa"/>
            <w:tcBorders/>
            <w:shd w:fill="auto" w:val="clear"/>
            <w:vAlign w:val="bottom"/>
          </w:tcPr>
          <w:p>
            <w:pPr>
              <w:pStyle w:val="TableContents"/>
              <w:spacing w:before="0" w:after="283"/>
              <w:rPr/>
            </w:pPr>
            <w:r>
              <w:rPr/>
              <w:t>)</w:t>
            </w:r>
          </w:p>
        </w:tc>
        <w:tc>
          <w:tcPr>
            <w:tcW w:w="4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jc w:val="left"/>
              <w:rPr/>
            </w:pPr>
            <w:r>
              <w:rPr/>
              <w:t>$</w:t>
            </w:r>
          </w:p>
        </w:tc>
        <w:tc>
          <w:tcPr>
            <w:tcW w:w="826" w:type="dxa"/>
            <w:tcBorders/>
            <w:shd w:fill="auto" w:val="clear"/>
            <w:vAlign w:val="bottom"/>
          </w:tcPr>
          <w:p>
            <w:pPr>
              <w:pStyle w:val="TableContents"/>
              <w:spacing w:before="0" w:after="283"/>
              <w:jc w:val="right"/>
              <w:rPr/>
            </w:pPr>
            <w:r>
              <w:rPr/>
              <w:t>(0.11</w:t>
            </w:r>
          </w:p>
        </w:tc>
        <w:tc>
          <w:tcPr>
            <w:tcW w:w="136" w:type="dxa"/>
            <w:tcBorders/>
            <w:shd w:fill="auto" w:val="clear"/>
            <w:vAlign w:val="bottom"/>
          </w:tcPr>
          <w:p>
            <w:pPr>
              <w:pStyle w:val="TableContents"/>
              <w:spacing w:before="0" w:after="283"/>
              <w:rPr/>
            </w:pPr>
            <w:r>
              <w:rPr/>
              <w:t>)</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7029" w:type="dxa"/>
            <w:tcBorders/>
            <w:shd w:fill="CCEEFF" w:val="clear"/>
            <w:vAlign w:val="bottom"/>
          </w:tcPr>
          <w:p>
            <w:pPr>
              <w:pStyle w:val="TableContents"/>
              <w:spacing w:before="0" w:after="0"/>
              <w:ind w:left="225" w:right="0" w:hanging="225"/>
              <w:rPr/>
            </w:pPr>
            <w:r>
              <w:rPr/>
              <w:t>Number of shares used in per share computation:</w:t>
            </w:r>
          </w:p>
        </w:tc>
        <w:tc>
          <w:tcPr>
            <w:tcW w:w="45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r>
      <w:tr>
        <w:trPr/>
        <w:tc>
          <w:tcPr>
            <w:tcW w:w="7029" w:type="dxa"/>
            <w:tcBorders/>
            <w:shd w:fill="auto" w:val="clear"/>
            <w:vAlign w:val="bottom"/>
          </w:tcPr>
          <w:p>
            <w:pPr>
              <w:pStyle w:val="TableContents"/>
              <w:spacing w:before="0" w:after="0"/>
              <w:ind w:left="450" w:right="0" w:hanging="225"/>
              <w:rPr/>
            </w:pPr>
            <w:r>
              <w:rPr/>
              <w:t>Basic</w:t>
            </w:r>
          </w:p>
        </w:tc>
        <w:tc>
          <w:tcPr>
            <w:tcW w:w="455"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5" w:type="dxa"/>
            <w:tcBorders/>
            <w:shd w:fill="auto" w:val="clear"/>
            <w:vAlign w:val="bottom"/>
          </w:tcPr>
          <w:p>
            <w:pPr>
              <w:pStyle w:val="TableContents"/>
              <w:spacing w:before="0" w:after="283"/>
              <w:jc w:val="right"/>
              <w:rPr/>
            </w:pPr>
            <w:r>
              <w:rPr/>
              <w:t>14,352</w:t>
            </w:r>
          </w:p>
        </w:tc>
        <w:tc>
          <w:tcPr>
            <w:tcW w:w="140" w:type="dxa"/>
            <w:tcBorders/>
            <w:shd w:fill="auto" w:val="clear"/>
            <w:vAlign w:val="bottom"/>
          </w:tcPr>
          <w:p>
            <w:pPr>
              <w:pStyle w:val="TableContents"/>
              <w:spacing w:before="0" w:after="283"/>
              <w:rPr/>
            </w:pPr>
            <w:r>
              <w:rPr/>
              <w:t> </w:t>
            </w:r>
          </w:p>
        </w:tc>
        <w:tc>
          <w:tcPr>
            <w:tcW w:w="46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826" w:type="dxa"/>
            <w:tcBorders/>
            <w:shd w:fill="auto" w:val="clear"/>
            <w:vAlign w:val="bottom"/>
          </w:tcPr>
          <w:p>
            <w:pPr>
              <w:pStyle w:val="TableContents"/>
              <w:spacing w:before="0" w:after="283"/>
              <w:jc w:val="right"/>
              <w:rPr/>
            </w:pPr>
            <w:r>
              <w:rPr/>
              <w:t>13,507</w:t>
            </w:r>
          </w:p>
        </w:tc>
        <w:tc>
          <w:tcPr>
            <w:tcW w:w="136" w:type="dxa"/>
            <w:tcBorders/>
            <w:shd w:fill="auto" w:val="clear"/>
            <w:vAlign w:val="bottom"/>
          </w:tcPr>
          <w:p>
            <w:pPr>
              <w:pStyle w:val="TableContents"/>
              <w:spacing w:before="0" w:after="283"/>
              <w:rPr/>
            </w:pPr>
            <w:r>
              <w:rPr/>
              <w:t> </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r>
        <w:trPr/>
        <w:tc>
          <w:tcPr>
            <w:tcW w:w="7029" w:type="dxa"/>
            <w:tcBorders/>
            <w:shd w:fill="CCEEFF" w:val="clear"/>
            <w:vAlign w:val="bottom"/>
          </w:tcPr>
          <w:p>
            <w:pPr>
              <w:pStyle w:val="TableContents"/>
              <w:spacing w:before="0" w:after="0"/>
              <w:ind w:left="450" w:right="0" w:hanging="225"/>
              <w:rPr/>
            </w:pPr>
            <w:r>
              <w:rPr/>
              <w:t>Diluted</w:t>
            </w:r>
          </w:p>
        </w:tc>
        <w:tc>
          <w:tcPr>
            <w:tcW w:w="455"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5" w:type="dxa"/>
            <w:tcBorders/>
            <w:shd w:fill="CCEEFF" w:val="clear"/>
            <w:vAlign w:val="bottom"/>
          </w:tcPr>
          <w:p>
            <w:pPr>
              <w:pStyle w:val="TableContents"/>
              <w:spacing w:before="0" w:after="283"/>
              <w:jc w:val="right"/>
              <w:rPr/>
            </w:pPr>
            <w:r>
              <w:rPr/>
              <w:t>14,352</w:t>
            </w:r>
          </w:p>
        </w:tc>
        <w:tc>
          <w:tcPr>
            <w:tcW w:w="140" w:type="dxa"/>
            <w:tcBorders/>
            <w:shd w:fill="CCEEFF" w:val="clear"/>
            <w:vAlign w:val="bottom"/>
          </w:tcPr>
          <w:p>
            <w:pPr>
              <w:pStyle w:val="TableContents"/>
              <w:spacing w:before="0" w:after="283"/>
              <w:rPr/>
            </w:pPr>
            <w:r>
              <w:rPr/>
              <w:t> </w:t>
            </w:r>
          </w:p>
        </w:tc>
        <w:tc>
          <w:tcPr>
            <w:tcW w:w="46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826" w:type="dxa"/>
            <w:tcBorders/>
            <w:shd w:fill="CCEEFF" w:val="clear"/>
            <w:vAlign w:val="bottom"/>
          </w:tcPr>
          <w:p>
            <w:pPr>
              <w:pStyle w:val="TableContents"/>
              <w:spacing w:before="0" w:after="283"/>
              <w:jc w:val="right"/>
              <w:rPr/>
            </w:pPr>
            <w:r>
              <w:rPr/>
              <w:t>13,507</w:t>
            </w:r>
          </w:p>
        </w:tc>
        <w:tc>
          <w:tcPr>
            <w:tcW w:w="136" w:type="dxa"/>
            <w:tcBorders/>
            <w:shd w:fill="CCEEFF" w:val="clear"/>
            <w:vAlign w:val="bottom"/>
          </w:tcPr>
          <w:p>
            <w:pPr>
              <w:pStyle w:val="TableContents"/>
              <w:spacing w:before="0" w:after="283"/>
              <w:rPr/>
            </w:pPr>
            <w:r>
              <w:rPr/>
              <w:t> </w:t>
            </w:r>
          </w:p>
        </w:tc>
      </w:tr>
      <w:tr>
        <w:trPr/>
        <w:tc>
          <w:tcPr>
            <w:tcW w:w="7029" w:type="dxa"/>
            <w:tcBorders/>
            <w:shd w:fill="auto" w:val="clear"/>
            <w:vAlign w:val="center"/>
          </w:tcPr>
          <w:p>
            <w:pPr>
              <w:pStyle w:val="TableContents"/>
              <w:spacing w:before="0" w:after="0"/>
              <w:ind w:left="225" w:right="0" w:hanging="225"/>
              <w:rPr/>
            </w:pPr>
            <w:r>
              <w:rPr/>
              <w:t> </w:t>
            </w:r>
          </w:p>
        </w:tc>
        <w:tc>
          <w:tcPr>
            <w:tcW w:w="455" w:type="dxa"/>
            <w:tcBorders/>
            <w:shd w:fill="auto" w:val="clear"/>
            <w:vAlign w:val="center"/>
          </w:tcPr>
          <w:p>
            <w:pPr>
              <w:pStyle w:val="TableContents"/>
              <w:spacing w:before="0" w:after="283"/>
              <w:rPr/>
            </w:pPr>
            <w:r>
              <w:rPr/>
              <w:t> </w:t>
            </w:r>
          </w:p>
        </w:tc>
        <w:tc>
          <w:tcPr>
            <w:tcW w:w="99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c>
          <w:tcPr>
            <w:tcW w:w="460" w:type="dxa"/>
            <w:tcBorders/>
            <w:shd w:fill="auto" w:val="clear"/>
            <w:vAlign w:val="center"/>
          </w:tcPr>
          <w:p>
            <w:pPr>
              <w:pStyle w:val="TableContents"/>
              <w:spacing w:before="0" w:after="283"/>
              <w:rPr/>
            </w:pPr>
            <w:r>
              <w:rPr/>
              <w:t> </w:t>
            </w:r>
          </w:p>
        </w:tc>
        <w:tc>
          <w:tcPr>
            <w:tcW w:w="99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See accompanying notes to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7" w:name="105"/>
      <w:bookmarkEnd w:id="7"/>
      <w:r>
        <w:rPr>
          <w:rFonts w:ascii="Times New Roman;Times;serif" w:hAnsi="Times New Roman;Times;serif"/>
          <w:b/>
          <w:sz w:val="17"/>
        </w:rPr>
        <w:t>CONSOLIDATED CONDENSED STATEMENTS OF COMPREHENSIVE LOSS (UNAUDITED)</w:t>
      </w:r>
    </w:p>
    <w:p>
      <w:pPr>
        <w:pStyle w:val="TextBody"/>
        <w:spacing w:before="0" w:after="0"/>
        <w:jc w:val="center"/>
        <w:rPr>
          <w:rFonts w:ascii="Times New Roman;Times;serif" w:hAnsi="Times New Roman;Times;serif"/>
          <w:b/>
          <w:sz w:val="17"/>
        </w:rPr>
      </w:pPr>
      <w:r>
        <w:rPr>
          <w:rFonts w:ascii="Times New Roman;Times;serif" w:hAnsi="Times New Roman;Times;serif"/>
          <w:b/>
          <w:sz w:val="17"/>
        </w:rPr>
        <w:t>(All amounts in thousands, except per share amounts)</w:t>
      </w:r>
    </w:p>
    <w:tbl>
      <w:tblPr>
        <w:tblW w:w="5000" w:type="pct"/>
        <w:jc w:val="center"/>
        <w:tblInd w:w="0" w:type="dxa"/>
        <w:tblCellMar>
          <w:top w:w="0" w:type="dxa"/>
          <w:left w:w="0" w:type="dxa"/>
          <w:bottom w:w="0" w:type="dxa"/>
          <w:right w:w="0" w:type="dxa"/>
        </w:tblCellMar>
      </w:tblPr>
      <w:tblGrid>
        <w:gridCol w:w="7000"/>
        <w:gridCol w:w="447"/>
        <w:gridCol w:w="175"/>
        <w:gridCol w:w="835"/>
        <w:gridCol w:w="145"/>
        <w:gridCol w:w="454"/>
        <w:gridCol w:w="175"/>
        <w:gridCol w:w="836"/>
        <w:gridCol w:w="138"/>
      </w:tblGrid>
      <w:tr>
        <w:trPr/>
        <w:tc>
          <w:tcPr>
            <w:tcW w:w="7000"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7000"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620" w:type="dxa"/>
            <w:gridSpan w:val="6"/>
            <w:tcBorders/>
            <w:shd w:fill="auto" w:val="clear"/>
            <w:vAlign w:val="bottom"/>
          </w:tcPr>
          <w:p>
            <w:pPr>
              <w:pStyle w:val="TableContents"/>
              <w:spacing w:before="0" w:after="283"/>
              <w:jc w:val="center"/>
              <w:rPr>
                <w:b/>
              </w:rPr>
            </w:pPr>
            <w:r>
              <w:rPr>
                <w:b/>
              </w:rPr>
              <w:t>Three months ended</w:t>
            </w:r>
          </w:p>
        </w:tc>
        <w:tc>
          <w:tcPr>
            <w:tcW w:w="138" w:type="dxa"/>
            <w:tcBorders/>
            <w:shd w:fill="auto" w:val="clear"/>
            <w:vAlign w:val="bottom"/>
          </w:tcPr>
          <w:p>
            <w:pPr>
              <w:pStyle w:val="TableContents"/>
              <w:spacing w:before="0" w:after="283"/>
              <w:rPr/>
            </w:pPr>
            <w:r>
              <w:rPr/>
              <w:t> </w:t>
            </w:r>
          </w:p>
        </w:tc>
      </w:tr>
      <w:tr>
        <w:trPr/>
        <w:tc>
          <w:tcPr>
            <w:tcW w:w="7000"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620"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January 31,</w:t>
            </w:r>
          </w:p>
        </w:tc>
        <w:tc>
          <w:tcPr>
            <w:tcW w:w="138" w:type="dxa"/>
            <w:tcBorders/>
            <w:shd w:fill="auto" w:val="clear"/>
            <w:vAlign w:val="bottom"/>
          </w:tcPr>
          <w:p>
            <w:pPr>
              <w:pStyle w:val="TableContents"/>
              <w:spacing w:before="0" w:after="283"/>
              <w:rPr/>
            </w:pPr>
            <w:r>
              <w:rPr/>
              <w:t> </w:t>
            </w:r>
          </w:p>
        </w:tc>
      </w:tr>
      <w:tr>
        <w:trPr/>
        <w:tc>
          <w:tcPr>
            <w:tcW w:w="7000"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01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45"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01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38" w:type="dxa"/>
            <w:tcBorders/>
            <w:shd w:fill="auto" w:val="clear"/>
            <w:vAlign w:val="bottom"/>
          </w:tcPr>
          <w:p>
            <w:pPr>
              <w:pStyle w:val="TableContents"/>
              <w:spacing w:before="0" w:after="283"/>
              <w:rPr/>
            </w:pPr>
            <w:r>
              <w:rPr/>
              <w:t> </w:t>
            </w:r>
          </w:p>
        </w:tc>
      </w:tr>
      <w:tr>
        <w:trPr/>
        <w:tc>
          <w:tcPr>
            <w:tcW w:w="7000" w:type="dxa"/>
            <w:tcBorders/>
            <w:shd w:fill="CCEEFF" w:val="clear"/>
            <w:vAlign w:val="bottom"/>
          </w:tcPr>
          <w:p>
            <w:pPr>
              <w:pStyle w:val="TableContents"/>
              <w:spacing w:before="0" w:after="0"/>
              <w:ind w:left="225" w:right="0" w:hanging="225"/>
              <w:rPr/>
            </w:pPr>
            <w:r>
              <w:rPr/>
              <w:t>Net loss</w:t>
            </w:r>
          </w:p>
        </w:tc>
        <w:tc>
          <w:tcPr>
            <w:tcW w:w="44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835" w:type="dxa"/>
            <w:tcBorders/>
            <w:shd w:fill="CCEEFF" w:val="clear"/>
            <w:vAlign w:val="bottom"/>
          </w:tcPr>
          <w:p>
            <w:pPr>
              <w:pStyle w:val="TableContents"/>
              <w:spacing w:before="0" w:after="283"/>
              <w:jc w:val="right"/>
              <w:rPr/>
            </w:pPr>
            <w:r>
              <w:rPr/>
              <w:t>(665</w:t>
            </w:r>
          </w:p>
        </w:tc>
        <w:tc>
          <w:tcPr>
            <w:tcW w:w="145" w:type="dxa"/>
            <w:tcBorders/>
            <w:shd w:fill="CCEEFF" w:val="clear"/>
            <w:vAlign w:val="bottom"/>
          </w:tcPr>
          <w:p>
            <w:pPr>
              <w:pStyle w:val="TableContents"/>
              <w:spacing w:before="0" w:after="283"/>
              <w:rPr/>
            </w:pPr>
            <w:r>
              <w:rPr/>
              <w:t>)</w:t>
            </w:r>
          </w:p>
        </w:tc>
        <w:tc>
          <w:tcPr>
            <w:tcW w:w="45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w:t>
            </w:r>
          </w:p>
        </w:tc>
        <w:tc>
          <w:tcPr>
            <w:tcW w:w="836" w:type="dxa"/>
            <w:tcBorders/>
            <w:shd w:fill="CCEEFF" w:val="clear"/>
            <w:vAlign w:val="bottom"/>
          </w:tcPr>
          <w:p>
            <w:pPr>
              <w:pStyle w:val="TableContents"/>
              <w:spacing w:before="0" w:after="283"/>
              <w:jc w:val="right"/>
              <w:rPr/>
            </w:pPr>
            <w:r>
              <w:rPr/>
              <w:t>(1,547</w:t>
            </w:r>
          </w:p>
        </w:tc>
        <w:tc>
          <w:tcPr>
            <w:tcW w:w="138" w:type="dxa"/>
            <w:tcBorders/>
            <w:shd w:fill="CCEEFF" w:val="clear"/>
            <w:vAlign w:val="bottom"/>
          </w:tcPr>
          <w:p>
            <w:pPr>
              <w:pStyle w:val="TableContents"/>
              <w:spacing w:before="0" w:after="283"/>
              <w:rPr/>
            </w:pPr>
            <w:r>
              <w:rPr/>
              <w:t>)</w:t>
            </w:r>
          </w:p>
        </w:tc>
      </w:tr>
      <w:tr>
        <w:trPr/>
        <w:tc>
          <w:tcPr>
            <w:tcW w:w="7000" w:type="dxa"/>
            <w:tcBorders/>
            <w:shd w:fill="auto" w:val="clear"/>
            <w:vAlign w:val="center"/>
          </w:tcPr>
          <w:p>
            <w:pPr>
              <w:pStyle w:val="TableContents"/>
              <w:spacing w:before="0" w:after="0"/>
              <w:ind w:left="225" w:right="0" w:hanging="225"/>
              <w:rPr/>
            </w:pPr>
            <w:r>
              <w:rPr/>
              <w:t> </w:t>
            </w:r>
          </w:p>
        </w:tc>
        <w:tc>
          <w:tcPr>
            <w:tcW w:w="447" w:type="dxa"/>
            <w:tcBorders/>
            <w:shd w:fill="auto" w:val="clear"/>
            <w:vAlign w:val="center"/>
          </w:tcPr>
          <w:p>
            <w:pPr>
              <w:pStyle w:val="TableContents"/>
              <w:spacing w:before="0" w:after="283"/>
              <w:rPr/>
            </w:pPr>
            <w:r>
              <w:rPr/>
              <w:t> </w:t>
            </w:r>
          </w:p>
        </w:tc>
        <w:tc>
          <w:tcPr>
            <w:tcW w:w="10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454" w:type="dxa"/>
            <w:tcBorders/>
            <w:shd w:fill="auto" w:val="clear"/>
            <w:vAlign w:val="center"/>
          </w:tcPr>
          <w:p>
            <w:pPr>
              <w:pStyle w:val="TableContents"/>
              <w:spacing w:before="0" w:after="283"/>
              <w:rPr/>
            </w:pPr>
            <w:r>
              <w:rPr/>
              <w:t> </w:t>
            </w:r>
          </w:p>
        </w:tc>
        <w:tc>
          <w:tcPr>
            <w:tcW w:w="10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7000" w:type="dxa"/>
            <w:tcBorders/>
            <w:shd w:fill="auto" w:val="clear"/>
            <w:vAlign w:val="bottom"/>
          </w:tcPr>
          <w:p>
            <w:pPr>
              <w:pStyle w:val="TableContents"/>
              <w:spacing w:before="0" w:after="0"/>
              <w:ind w:left="225" w:right="0" w:hanging="225"/>
              <w:rPr/>
            </w:pPr>
            <w:r>
              <w:rPr/>
              <w:t>Other comprehensive loss, before tax:</w:t>
            </w:r>
          </w:p>
        </w:tc>
        <w:tc>
          <w:tcPr>
            <w:tcW w:w="44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7000" w:type="dxa"/>
            <w:tcBorders/>
            <w:shd w:fill="CCEEFF" w:val="clear"/>
            <w:vAlign w:val="bottom"/>
          </w:tcPr>
          <w:p>
            <w:pPr>
              <w:pStyle w:val="TableContents"/>
              <w:spacing w:before="0" w:after="0"/>
              <w:ind w:left="450" w:right="0" w:hanging="225"/>
              <w:rPr/>
            </w:pPr>
            <w:r>
              <w:rPr/>
              <w:t>Unrealized holding losses arising during period</w:t>
            </w:r>
          </w:p>
        </w:tc>
        <w:tc>
          <w:tcPr>
            <w:tcW w:w="44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35" w:type="dxa"/>
            <w:tcBorders/>
            <w:shd w:fill="CCEEFF" w:val="clear"/>
            <w:vAlign w:val="bottom"/>
          </w:tcPr>
          <w:p>
            <w:pPr>
              <w:pStyle w:val="TableContents"/>
              <w:spacing w:before="0" w:after="283"/>
              <w:jc w:val="right"/>
              <w:rPr/>
            </w:pPr>
            <w:r>
              <w:rPr/>
              <w:t>(6,050</w:t>
            </w:r>
          </w:p>
        </w:tc>
        <w:tc>
          <w:tcPr>
            <w:tcW w:w="145" w:type="dxa"/>
            <w:tcBorders/>
            <w:shd w:fill="CCEEFF" w:val="clear"/>
            <w:vAlign w:val="bottom"/>
          </w:tcPr>
          <w:p>
            <w:pPr>
              <w:pStyle w:val="TableContents"/>
              <w:spacing w:before="0" w:after="283"/>
              <w:rPr/>
            </w:pPr>
            <w:r>
              <w:rPr/>
              <w:t>)</w:t>
            </w:r>
          </w:p>
        </w:tc>
        <w:tc>
          <w:tcPr>
            <w:tcW w:w="45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jc w:val="right"/>
              <w:rPr/>
            </w:pPr>
            <w:r>
              <w:rPr/>
              <w:t></w:t>
            </w:r>
          </w:p>
        </w:tc>
        <w:tc>
          <w:tcPr>
            <w:tcW w:w="138" w:type="dxa"/>
            <w:tcBorders/>
            <w:shd w:fill="CCEEFF" w:val="clear"/>
            <w:vAlign w:val="bottom"/>
          </w:tcPr>
          <w:p>
            <w:pPr>
              <w:pStyle w:val="TableContents"/>
              <w:spacing w:before="0" w:after="283"/>
              <w:rPr/>
            </w:pPr>
            <w:r>
              <w:rPr/>
              <w:t> </w:t>
            </w:r>
          </w:p>
        </w:tc>
      </w:tr>
      <w:tr>
        <w:trPr/>
        <w:tc>
          <w:tcPr>
            <w:tcW w:w="7000" w:type="dxa"/>
            <w:tcBorders/>
            <w:shd w:fill="auto" w:val="clear"/>
            <w:vAlign w:val="bottom"/>
          </w:tcPr>
          <w:p>
            <w:pPr>
              <w:pStyle w:val="TableContents"/>
              <w:spacing w:before="0" w:after="0"/>
              <w:ind w:left="450" w:right="0" w:hanging="225"/>
              <w:rPr/>
            </w:pPr>
            <w:r>
              <w:rPr/>
              <w:t>Income tax benefit related to items of other comprehensive loss</w:t>
            </w:r>
          </w:p>
        </w:tc>
        <w:tc>
          <w:tcPr>
            <w:tcW w:w="44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35" w:type="dxa"/>
            <w:tcBorders/>
            <w:shd w:fill="auto" w:val="clear"/>
            <w:vAlign w:val="bottom"/>
          </w:tcPr>
          <w:p>
            <w:pPr>
              <w:pStyle w:val="TableContents"/>
              <w:spacing w:before="0" w:after="283"/>
              <w:jc w:val="right"/>
              <w:rPr/>
            </w:pPr>
            <w:r>
              <w:rPr/>
              <w:t>2,399</w:t>
            </w:r>
          </w:p>
        </w:tc>
        <w:tc>
          <w:tcPr>
            <w:tcW w:w="145"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36" w:type="dxa"/>
            <w:tcBorders/>
            <w:shd w:fill="auto" w:val="clear"/>
            <w:vAlign w:val="bottom"/>
          </w:tcPr>
          <w:p>
            <w:pPr>
              <w:pStyle w:val="TableContents"/>
              <w:spacing w:before="0" w:after="283"/>
              <w:jc w:val="right"/>
              <w:rPr/>
            </w:pPr>
            <w:r>
              <w:rPr/>
              <w:t></w:t>
            </w:r>
          </w:p>
        </w:tc>
        <w:tc>
          <w:tcPr>
            <w:tcW w:w="138" w:type="dxa"/>
            <w:tcBorders/>
            <w:shd w:fill="auto" w:val="clear"/>
            <w:vAlign w:val="bottom"/>
          </w:tcPr>
          <w:p>
            <w:pPr>
              <w:pStyle w:val="TableContents"/>
              <w:spacing w:before="0" w:after="283"/>
              <w:rPr/>
            </w:pPr>
            <w:r>
              <w:rPr/>
              <w:t> </w:t>
            </w:r>
          </w:p>
        </w:tc>
      </w:tr>
      <w:tr>
        <w:trPr/>
        <w:tc>
          <w:tcPr>
            <w:tcW w:w="7000" w:type="dxa"/>
            <w:tcBorders/>
            <w:shd w:fill="auto" w:val="clear"/>
            <w:vAlign w:val="center"/>
          </w:tcPr>
          <w:p>
            <w:pPr>
              <w:pStyle w:val="TableContents"/>
              <w:spacing w:before="0" w:after="0"/>
              <w:ind w:left="225" w:right="0" w:hanging="225"/>
              <w:rPr/>
            </w:pPr>
            <w:r>
              <w:rPr/>
              <w:t> </w:t>
            </w:r>
          </w:p>
        </w:tc>
        <w:tc>
          <w:tcPr>
            <w:tcW w:w="447" w:type="dxa"/>
            <w:tcBorders/>
            <w:shd w:fill="auto" w:val="clear"/>
            <w:vAlign w:val="center"/>
          </w:tcPr>
          <w:p>
            <w:pPr>
              <w:pStyle w:val="TableContents"/>
              <w:spacing w:before="0" w:after="283"/>
              <w:rPr/>
            </w:pPr>
            <w:r>
              <w:rPr/>
              <w:t> </w:t>
            </w:r>
          </w:p>
        </w:tc>
        <w:tc>
          <w:tcPr>
            <w:tcW w:w="10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454" w:type="dxa"/>
            <w:tcBorders/>
            <w:shd w:fill="auto" w:val="clear"/>
            <w:vAlign w:val="center"/>
          </w:tcPr>
          <w:p>
            <w:pPr>
              <w:pStyle w:val="TableContents"/>
              <w:spacing w:before="0" w:after="283"/>
              <w:rPr/>
            </w:pPr>
            <w:r>
              <w:rPr/>
              <w:t> </w:t>
            </w:r>
          </w:p>
        </w:tc>
        <w:tc>
          <w:tcPr>
            <w:tcW w:w="10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7000" w:type="dxa"/>
            <w:tcBorders/>
            <w:shd w:fill="CCEEFF" w:val="clear"/>
            <w:vAlign w:val="bottom"/>
          </w:tcPr>
          <w:p>
            <w:pPr>
              <w:pStyle w:val="TableContents"/>
              <w:spacing w:before="0" w:after="0"/>
              <w:ind w:left="225" w:right="0" w:hanging="225"/>
              <w:rPr/>
            </w:pPr>
            <w:r>
              <w:rPr/>
              <w:t>Other comprehensive loss, net of tax</w:t>
            </w:r>
          </w:p>
        </w:tc>
        <w:tc>
          <w:tcPr>
            <w:tcW w:w="447"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jc w:val="left"/>
              <w:rPr/>
            </w:pPr>
            <w:r>
              <w:rPr/>
              <w:t> </w:t>
            </w:r>
          </w:p>
        </w:tc>
        <w:tc>
          <w:tcPr>
            <w:tcW w:w="835" w:type="dxa"/>
            <w:tcBorders/>
            <w:shd w:fill="CCEEFF" w:val="clear"/>
            <w:vAlign w:val="bottom"/>
          </w:tcPr>
          <w:p>
            <w:pPr>
              <w:pStyle w:val="TableContents"/>
              <w:spacing w:before="0" w:after="283"/>
              <w:jc w:val="right"/>
              <w:rPr/>
            </w:pPr>
            <w:r>
              <w:rPr/>
              <w:t>(3,651</w:t>
            </w:r>
          </w:p>
        </w:tc>
        <w:tc>
          <w:tcPr>
            <w:tcW w:w="145" w:type="dxa"/>
            <w:tcBorders/>
            <w:shd w:fill="CCEEFF" w:val="clear"/>
            <w:vAlign w:val="bottom"/>
          </w:tcPr>
          <w:p>
            <w:pPr>
              <w:pStyle w:val="TableContents"/>
              <w:spacing w:before="0" w:after="283"/>
              <w:rPr/>
            </w:pPr>
            <w:r>
              <w:rPr/>
              <w:t>)</w:t>
            </w:r>
          </w:p>
        </w:tc>
        <w:tc>
          <w:tcPr>
            <w:tcW w:w="45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36" w:type="dxa"/>
            <w:tcBorders/>
            <w:shd w:fill="CCEEFF" w:val="clear"/>
            <w:vAlign w:val="bottom"/>
          </w:tcPr>
          <w:p>
            <w:pPr>
              <w:pStyle w:val="TableContents"/>
              <w:spacing w:before="0" w:after="283"/>
              <w:jc w:val="right"/>
              <w:rPr/>
            </w:pPr>
            <w:r>
              <w:rPr/>
              <w:t></w:t>
            </w:r>
          </w:p>
        </w:tc>
        <w:tc>
          <w:tcPr>
            <w:tcW w:w="138" w:type="dxa"/>
            <w:tcBorders/>
            <w:shd w:fill="CCEEFF" w:val="clear"/>
            <w:vAlign w:val="bottom"/>
          </w:tcPr>
          <w:p>
            <w:pPr>
              <w:pStyle w:val="TableContents"/>
              <w:spacing w:before="0" w:after="283"/>
              <w:rPr/>
            </w:pPr>
            <w:r>
              <w:rPr/>
              <w:t> </w:t>
            </w:r>
          </w:p>
        </w:tc>
      </w:tr>
      <w:tr>
        <w:trPr/>
        <w:tc>
          <w:tcPr>
            <w:tcW w:w="7000" w:type="dxa"/>
            <w:tcBorders/>
            <w:shd w:fill="auto" w:val="clear"/>
            <w:vAlign w:val="center"/>
          </w:tcPr>
          <w:p>
            <w:pPr>
              <w:pStyle w:val="TableContents"/>
              <w:spacing w:before="0" w:after="0"/>
              <w:ind w:left="225" w:right="0" w:hanging="225"/>
              <w:rPr/>
            </w:pPr>
            <w:r>
              <w:rPr/>
              <w:t> </w:t>
            </w:r>
          </w:p>
        </w:tc>
        <w:tc>
          <w:tcPr>
            <w:tcW w:w="447" w:type="dxa"/>
            <w:tcBorders/>
            <w:shd w:fill="auto" w:val="clear"/>
            <w:vAlign w:val="center"/>
          </w:tcPr>
          <w:p>
            <w:pPr>
              <w:pStyle w:val="TableContents"/>
              <w:spacing w:before="0" w:after="283"/>
              <w:rPr/>
            </w:pPr>
            <w:r>
              <w:rPr/>
              <w:t> </w:t>
            </w:r>
          </w:p>
        </w:tc>
        <w:tc>
          <w:tcPr>
            <w:tcW w:w="101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454" w:type="dxa"/>
            <w:tcBorders/>
            <w:shd w:fill="auto" w:val="clear"/>
            <w:vAlign w:val="center"/>
          </w:tcPr>
          <w:p>
            <w:pPr>
              <w:pStyle w:val="TableContents"/>
              <w:spacing w:before="0" w:after="283"/>
              <w:rPr/>
            </w:pPr>
            <w:r>
              <w:rPr/>
              <w:t> </w:t>
            </w:r>
          </w:p>
        </w:tc>
        <w:tc>
          <w:tcPr>
            <w:tcW w:w="10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7000" w:type="dxa"/>
            <w:tcBorders/>
            <w:shd w:fill="auto" w:val="clear"/>
            <w:vAlign w:val="bottom"/>
          </w:tcPr>
          <w:p>
            <w:pPr>
              <w:pStyle w:val="TableContents"/>
              <w:spacing w:before="0" w:after="0"/>
              <w:ind w:left="225" w:right="0" w:hanging="225"/>
              <w:rPr/>
            </w:pPr>
            <w:r>
              <w:rPr/>
              <w:t>Comprehensive loss</w:t>
            </w:r>
          </w:p>
        </w:tc>
        <w:tc>
          <w:tcPr>
            <w:tcW w:w="447"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35" w:type="dxa"/>
            <w:tcBorders/>
            <w:shd w:fill="auto" w:val="clear"/>
            <w:vAlign w:val="bottom"/>
          </w:tcPr>
          <w:p>
            <w:pPr>
              <w:pStyle w:val="TableContents"/>
              <w:spacing w:before="0" w:after="283"/>
              <w:jc w:val="right"/>
              <w:rPr/>
            </w:pPr>
            <w:r>
              <w:rPr/>
              <w:t>(4,316</w:t>
            </w:r>
          </w:p>
        </w:tc>
        <w:tc>
          <w:tcPr>
            <w:tcW w:w="145" w:type="dxa"/>
            <w:tcBorders/>
            <w:shd w:fill="auto" w:val="clear"/>
            <w:vAlign w:val="bottom"/>
          </w:tcPr>
          <w:p>
            <w:pPr>
              <w:pStyle w:val="TableContents"/>
              <w:spacing w:before="0" w:after="283"/>
              <w:rPr/>
            </w:pPr>
            <w:r>
              <w:rPr/>
              <w:t>)</w:t>
            </w:r>
          </w:p>
        </w:tc>
        <w:tc>
          <w:tcPr>
            <w:tcW w:w="45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36" w:type="dxa"/>
            <w:tcBorders/>
            <w:shd w:fill="auto" w:val="clear"/>
            <w:vAlign w:val="bottom"/>
          </w:tcPr>
          <w:p>
            <w:pPr>
              <w:pStyle w:val="TableContents"/>
              <w:spacing w:before="0" w:after="283"/>
              <w:jc w:val="right"/>
              <w:rPr/>
            </w:pPr>
            <w:r>
              <w:rPr/>
              <w:t>(1,547</w:t>
            </w:r>
          </w:p>
        </w:tc>
        <w:tc>
          <w:tcPr>
            <w:tcW w:w="138" w:type="dxa"/>
            <w:tcBorders/>
            <w:shd w:fill="auto" w:val="clear"/>
            <w:vAlign w:val="bottom"/>
          </w:tcPr>
          <w:p>
            <w:pPr>
              <w:pStyle w:val="TableContents"/>
              <w:spacing w:before="0" w:after="283"/>
              <w:rPr/>
            </w:pPr>
            <w:r>
              <w:rPr/>
              <w:t>)</w:t>
            </w:r>
          </w:p>
        </w:tc>
      </w:tr>
      <w:tr>
        <w:trPr/>
        <w:tc>
          <w:tcPr>
            <w:tcW w:w="7000" w:type="dxa"/>
            <w:tcBorders/>
            <w:shd w:fill="auto" w:val="clear"/>
            <w:vAlign w:val="center"/>
          </w:tcPr>
          <w:p>
            <w:pPr>
              <w:pStyle w:val="TableContents"/>
              <w:spacing w:before="0" w:after="0"/>
              <w:ind w:left="225" w:right="0" w:hanging="225"/>
              <w:rPr/>
            </w:pPr>
            <w:r>
              <w:rPr/>
              <w:t> </w:t>
            </w:r>
          </w:p>
        </w:tc>
        <w:tc>
          <w:tcPr>
            <w:tcW w:w="447" w:type="dxa"/>
            <w:tcBorders/>
            <w:shd w:fill="auto" w:val="clear"/>
            <w:vAlign w:val="center"/>
          </w:tcPr>
          <w:p>
            <w:pPr>
              <w:pStyle w:val="TableContents"/>
              <w:spacing w:before="0" w:after="283"/>
              <w:rPr/>
            </w:pPr>
            <w:r>
              <w:rPr/>
              <w:t> </w:t>
            </w:r>
          </w:p>
        </w:tc>
        <w:tc>
          <w:tcPr>
            <w:tcW w:w="101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454" w:type="dxa"/>
            <w:tcBorders/>
            <w:shd w:fill="auto" w:val="clear"/>
            <w:vAlign w:val="center"/>
          </w:tcPr>
          <w:p>
            <w:pPr>
              <w:pStyle w:val="TableContents"/>
              <w:spacing w:before="0" w:after="283"/>
              <w:rPr/>
            </w:pPr>
            <w:r>
              <w:rPr/>
              <w:t> </w:t>
            </w:r>
          </w:p>
        </w:tc>
        <w:tc>
          <w:tcPr>
            <w:tcW w:w="101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The accompanying notes are an integral part of these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0" w:after="0"/>
        <w:jc w:val="center"/>
        <w:rPr>
          <w:rFonts w:ascii="Times New Roman;Times;serif" w:hAnsi="Times New Roman;Times;serif"/>
          <w:b/>
          <w:sz w:val="17"/>
        </w:rPr>
      </w:pPr>
      <w:bookmarkStart w:id="8" w:name="106"/>
      <w:bookmarkEnd w:id="8"/>
      <w:r>
        <w:rPr>
          <w:rFonts w:ascii="Times New Roman;Times;serif" w:hAnsi="Times New Roman;Times;serif"/>
          <w:b/>
          <w:sz w:val="17"/>
        </w:rPr>
        <w:t>CONSOLIDATED CONDENSED STATEMENTS OF CASH FLOWS (UNAUDITED)</w:t>
        <w:br/>
        <w:t>(in thousands)</w:t>
      </w:r>
    </w:p>
    <w:tbl>
      <w:tblPr>
        <w:tblW w:w="5000" w:type="pct"/>
        <w:jc w:val="center"/>
        <w:tblInd w:w="0" w:type="dxa"/>
        <w:tblCellMar>
          <w:top w:w="0" w:type="dxa"/>
          <w:left w:w="0" w:type="dxa"/>
          <w:bottom w:w="0" w:type="dxa"/>
          <w:right w:w="0" w:type="dxa"/>
        </w:tblCellMar>
      </w:tblPr>
      <w:tblGrid>
        <w:gridCol w:w="5912"/>
        <w:gridCol w:w="375"/>
        <w:gridCol w:w="278"/>
        <w:gridCol w:w="1294"/>
        <w:gridCol w:w="210"/>
        <w:gridCol w:w="420"/>
        <w:gridCol w:w="278"/>
        <w:gridCol w:w="1296"/>
        <w:gridCol w:w="142"/>
      </w:tblGrid>
      <w:tr>
        <w:trPr/>
        <w:tc>
          <w:tcPr>
            <w:tcW w:w="5912"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3776" w:type="dxa"/>
            <w:gridSpan w:val="6"/>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January 31,</w:t>
            </w:r>
          </w:p>
        </w:tc>
        <w:tc>
          <w:tcPr>
            <w:tcW w:w="142" w:type="dxa"/>
            <w:tcBorders/>
            <w:shd w:fill="auto"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57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10"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57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42" w:type="dxa"/>
            <w:tcBorders/>
            <w:shd w:fill="auto" w:val="clear"/>
            <w:vAlign w:val="bottom"/>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225" w:right="0" w:hanging="225"/>
              <w:rPr>
                <w:b/>
              </w:rPr>
            </w:pPr>
            <w:r>
              <w:rPr>
                <w:b/>
              </w:rPr>
              <w:t>Cash Flows from Operating Activities:</w:t>
            </w:r>
          </w:p>
        </w:tc>
        <w:tc>
          <w:tcPr>
            <w:tcW w:w="37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0"/>
              <w:ind w:left="225" w:right="0" w:hanging="225"/>
              <w:rPr/>
            </w:pPr>
            <w:r>
              <w:rPr/>
              <w:t>Net loss</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w:t>
            </w:r>
          </w:p>
        </w:tc>
        <w:tc>
          <w:tcPr>
            <w:tcW w:w="1294" w:type="dxa"/>
            <w:tcBorders/>
            <w:shd w:fill="auto" w:val="clear"/>
            <w:vAlign w:val="bottom"/>
          </w:tcPr>
          <w:p>
            <w:pPr>
              <w:pStyle w:val="TableContents"/>
              <w:spacing w:before="0" w:after="283"/>
              <w:jc w:val="right"/>
              <w:rPr/>
            </w:pPr>
            <w:r>
              <w:rPr/>
              <w:t>(665</w:t>
            </w:r>
          </w:p>
        </w:tc>
        <w:tc>
          <w:tcPr>
            <w:tcW w:w="210" w:type="dxa"/>
            <w:tcBorders/>
            <w:shd w:fill="auto" w:val="clear"/>
            <w:vAlign w:val="bottom"/>
          </w:tcPr>
          <w:p>
            <w:pPr>
              <w:pStyle w:val="TableContents"/>
              <w:spacing w:before="0" w:after="283"/>
              <w:rPr/>
            </w:pPr>
            <w:r>
              <w:rPr/>
              <w:t>)</w:t>
            </w:r>
          </w:p>
        </w:tc>
        <w:tc>
          <w:tcPr>
            <w:tcW w:w="420"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w:t>
            </w:r>
          </w:p>
        </w:tc>
        <w:tc>
          <w:tcPr>
            <w:tcW w:w="1296" w:type="dxa"/>
            <w:tcBorders/>
            <w:shd w:fill="auto" w:val="clear"/>
            <w:vAlign w:val="bottom"/>
          </w:tcPr>
          <w:p>
            <w:pPr>
              <w:pStyle w:val="TableContents"/>
              <w:spacing w:before="0" w:after="283"/>
              <w:jc w:val="right"/>
              <w:rPr/>
            </w:pPr>
            <w:r>
              <w:rPr/>
              <w:t>(1,547</w:t>
            </w:r>
          </w:p>
        </w:tc>
        <w:tc>
          <w:tcPr>
            <w:tcW w:w="142" w:type="dxa"/>
            <w:tcBorders/>
            <w:shd w:fill="auto" w:val="clear"/>
            <w:vAlign w:val="bottom"/>
          </w:tcPr>
          <w:p>
            <w:pPr>
              <w:pStyle w:val="TableContents"/>
              <w:spacing w:before="0" w:after="283"/>
              <w:rPr/>
            </w:pPr>
            <w:r>
              <w:rPr/>
              <w:t>)</w:t>
            </w:r>
          </w:p>
        </w:tc>
      </w:tr>
      <w:tr>
        <w:trPr/>
        <w:tc>
          <w:tcPr>
            <w:tcW w:w="5912" w:type="dxa"/>
            <w:tcBorders/>
            <w:shd w:fill="CCEEFF" w:val="clear"/>
            <w:vAlign w:val="bottom"/>
          </w:tcPr>
          <w:p>
            <w:pPr>
              <w:pStyle w:val="TableContents"/>
              <w:spacing w:before="0" w:after="0"/>
              <w:ind w:left="225" w:right="0" w:hanging="225"/>
              <w:rPr/>
            </w:pPr>
            <w:r>
              <w:rPr/>
              <w:t>Adjustments to reconcile net loss to net cash provided by (used in) operating activities:</w:t>
            </w:r>
          </w:p>
        </w:tc>
        <w:tc>
          <w:tcPr>
            <w:tcW w:w="37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0"/>
              <w:ind w:left="450" w:right="0" w:hanging="225"/>
              <w:rPr/>
            </w:pPr>
            <w:r>
              <w:rPr/>
              <w:t>Depreciation and amortization</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514</w:t>
            </w:r>
          </w:p>
        </w:tc>
        <w:tc>
          <w:tcPr>
            <w:tcW w:w="210"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6" w:type="dxa"/>
            <w:tcBorders/>
            <w:shd w:fill="auto" w:val="clear"/>
            <w:vAlign w:val="bottom"/>
          </w:tcPr>
          <w:p>
            <w:pPr>
              <w:pStyle w:val="TableContents"/>
              <w:spacing w:before="0" w:after="283"/>
              <w:jc w:val="right"/>
              <w:rPr/>
            </w:pPr>
            <w:r>
              <w:rPr/>
              <w:t>828</w:t>
            </w:r>
          </w:p>
        </w:tc>
        <w:tc>
          <w:tcPr>
            <w:tcW w:w="142" w:type="dxa"/>
            <w:tcBorders/>
            <w:shd w:fill="auto" w:val="clear"/>
            <w:vAlign w:val="bottom"/>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450" w:right="0" w:hanging="225"/>
              <w:rPr/>
            </w:pPr>
            <w:r>
              <w:rPr/>
              <w:t>Stock compensation expense</w:t>
            </w:r>
          </w:p>
        </w:tc>
        <w:tc>
          <w:tcPr>
            <w:tcW w:w="37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72</w:t>
            </w:r>
          </w:p>
        </w:tc>
        <w:tc>
          <w:tcPr>
            <w:tcW w:w="210"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6" w:type="dxa"/>
            <w:tcBorders/>
            <w:shd w:fill="CCEEFF" w:val="clear"/>
            <w:vAlign w:val="bottom"/>
          </w:tcPr>
          <w:p>
            <w:pPr>
              <w:pStyle w:val="TableContents"/>
              <w:spacing w:before="0" w:after="283"/>
              <w:jc w:val="right"/>
              <w:rPr/>
            </w:pPr>
            <w:r>
              <w:rPr/>
              <w:t>13</w:t>
            </w:r>
          </w:p>
        </w:tc>
        <w:tc>
          <w:tcPr>
            <w:tcW w:w="142" w:type="dxa"/>
            <w:tcBorders/>
            <w:shd w:fill="CCEEFF"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0"/>
              <w:ind w:left="450" w:right="0" w:hanging="225"/>
              <w:rPr/>
            </w:pPr>
            <w:r>
              <w:rPr/>
              <w:t>Provision for losses on accounts receivable</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12</w:t>
            </w:r>
          </w:p>
        </w:tc>
        <w:tc>
          <w:tcPr>
            <w:tcW w:w="210"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6" w:type="dxa"/>
            <w:tcBorders/>
            <w:shd w:fill="auto" w:val="clear"/>
            <w:vAlign w:val="bottom"/>
          </w:tcPr>
          <w:p>
            <w:pPr>
              <w:pStyle w:val="TableContents"/>
              <w:spacing w:before="0" w:after="283"/>
              <w:jc w:val="right"/>
              <w:rPr/>
            </w:pPr>
            <w:r>
              <w:rPr/>
              <w:t>4</w:t>
            </w:r>
          </w:p>
        </w:tc>
        <w:tc>
          <w:tcPr>
            <w:tcW w:w="142" w:type="dxa"/>
            <w:tcBorders/>
            <w:shd w:fill="auto" w:val="clear"/>
            <w:vAlign w:val="bottom"/>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225" w:right="0" w:hanging="225"/>
              <w:rPr/>
            </w:pPr>
            <w:r>
              <w:rPr/>
              <w:t>Effect on cash of changes in operating assets and liabilities:</w:t>
            </w:r>
          </w:p>
        </w:tc>
        <w:tc>
          <w:tcPr>
            <w:tcW w:w="37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0"/>
              <w:ind w:left="675" w:right="0" w:hanging="225"/>
              <w:rPr/>
            </w:pPr>
            <w:r>
              <w:rPr/>
              <w:t>Accounts receivable</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 </w:t>
            </w:r>
          </w:p>
        </w:tc>
        <w:tc>
          <w:tcPr>
            <w:tcW w:w="1294" w:type="dxa"/>
            <w:tcBorders/>
            <w:shd w:fill="auto" w:val="clear"/>
            <w:vAlign w:val="bottom"/>
          </w:tcPr>
          <w:p>
            <w:pPr>
              <w:pStyle w:val="TableContents"/>
              <w:spacing w:before="0" w:after="283"/>
              <w:jc w:val="right"/>
              <w:rPr/>
            </w:pPr>
            <w:r>
              <w:rPr/>
              <w:t>(4,327</w:t>
            </w:r>
          </w:p>
        </w:tc>
        <w:tc>
          <w:tcPr>
            <w:tcW w:w="210" w:type="dxa"/>
            <w:tcBorders/>
            <w:shd w:fill="auto" w:val="clear"/>
            <w:vAlign w:val="bottom"/>
          </w:tcPr>
          <w:p>
            <w:pPr>
              <w:pStyle w:val="TableContents"/>
              <w:spacing w:before="0" w:after="283"/>
              <w:rPr/>
            </w:pPr>
            <w:r>
              <w:rPr/>
              <w:t>)</w:t>
            </w:r>
          </w:p>
        </w:tc>
        <w:tc>
          <w:tcPr>
            <w:tcW w:w="420"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6" w:type="dxa"/>
            <w:tcBorders/>
            <w:shd w:fill="auto" w:val="clear"/>
            <w:vAlign w:val="bottom"/>
          </w:tcPr>
          <w:p>
            <w:pPr>
              <w:pStyle w:val="TableContents"/>
              <w:spacing w:before="0" w:after="283"/>
              <w:jc w:val="right"/>
              <w:rPr/>
            </w:pPr>
            <w:r>
              <w:rPr/>
              <w:t>2,399</w:t>
            </w:r>
          </w:p>
        </w:tc>
        <w:tc>
          <w:tcPr>
            <w:tcW w:w="142" w:type="dxa"/>
            <w:tcBorders/>
            <w:shd w:fill="auto" w:val="clear"/>
            <w:vAlign w:val="bottom"/>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675" w:right="0" w:hanging="225"/>
              <w:rPr/>
            </w:pPr>
            <w:r>
              <w:rPr/>
              <w:t>Inventories, net</w:t>
            </w:r>
          </w:p>
        </w:tc>
        <w:tc>
          <w:tcPr>
            <w:tcW w:w="37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jc w:val="left"/>
              <w:rPr/>
            </w:pPr>
            <w:r>
              <w:rPr/>
              <w:t> </w:t>
            </w:r>
          </w:p>
        </w:tc>
        <w:tc>
          <w:tcPr>
            <w:tcW w:w="1294" w:type="dxa"/>
            <w:tcBorders/>
            <w:shd w:fill="CCEEFF" w:val="clear"/>
            <w:vAlign w:val="bottom"/>
          </w:tcPr>
          <w:p>
            <w:pPr>
              <w:pStyle w:val="TableContents"/>
              <w:spacing w:before="0" w:after="283"/>
              <w:jc w:val="right"/>
              <w:rPr/>
            </w:pPr>
            <w:r>
              <w:rPr/>
              <w:t>(1,180</w:t>
            </w:r>
          </w:p>
        </w:tc>
        <w:tc>
          <w:tcPr>
            <w:tcW w:w="210" w:type="dxa"/>
            <w:tcBorders/>
            <w:shd w:fill="CCEEFF" w:val="clear"/>
            <w:vAlign w:val="bottom"/>
          </w:tcPr>
          <w:p>
            <w:pPr>
              <w:pStyle w:val="TableContents"/>
              <w:spacing w:before="0" w:after="283"/>
              <w:rPr/>
            </w:pPr>
            <w:r>
              <w:rPr/>
              <w:t>)</w:t>
            </w:r>
          </w:p>
        </w:tc>
        <w:tc>
          <w:tcPr>
            <w:tcW w:w="420"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6" w:type="dxa"/>
            <w:tcBorders/>
            <w:shd w:fill="CCEEFF" w:val="clear"/>
            <w:vAlign w:val="bottom"/>
          </w:tcPr>
          <w:p>
            <w:pPr>
              <w:pStyle w:val="TableContents"/>
              <w:spacing w:before="0" w:after="283"/>
              <w:jc w:val="right"/>
              <w:rPr/>
            </w:pPr>
            <w:r>
              <w:rPr/>
              <w:t>102</w:t>
            </w:r>
          </w:p>
        </w:tc>
        <w:tc>
          <w:tcPr>
            <w:tcW w:w="142" w:type="dxa"/>
            <w:tcBorders/>
            <w:shd w:fill="CCEEFF"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0"/>
              <w:ind w:left="675" w:right="0" w:hanging="225"/>
              <w:rPr/>
            </w:pPr>
            <w:r>
              <w:rPr/>
              <w:t>Prepaid expenses and other assets</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 </w:t>
            </w:r>
          </w:p>
        </w:tc>
        <w:tc>
          <w:tcPr>
            <w:tcW w:w="1294" w:type="dxa"/>
            <w:tcBorders/>
            <w:shd w:fill="auto" w:val="clear"/>
            <w:vAlign w:val="bottom"/>
          </w:tcPr>
          <w:p>
            <w:pPr>
              <w:pStyle w:val="TableContents"/>
              <w:spacing w:before="0" w:after="283"/>
              <w:jc w:val="right"/>
              <w:rPr/>
            </w:pPr>
            <w:r>
              <w:rPr/>
              <w:t>(670</w:t>
            </w:r>
          </w:p>
        </w:tc>
        <w:tc>
          <w:tcPr>
            <w:tcW w:w="210" w:type="dxa"/>
            <w:tcBorders/>
            <w:shd w:fill="auto" w:val="clear"/>
            <w:vAlign w:val="bottom"/>
          </w:tcPr>
          <w:p>
            <w:pPr>
              <w:pStyle w:val="TableContents"/>
              <w:spacing w:before="0" w:after="283"/>
              <w:rPr/>
            </w:pPr>
            <w:r>
              <w:rPr/>
              <w:t>)</w:t>
            </w:r>
          </w:p>
        </w:tc>
        <w:tc>
          <w:tcPr>
            <w:tcW w:w="420"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 </w:t>
            </w:r>
          </w:p>
        </w:tc>
        <w:tc>
          <w:tcPr>
            <w:tcW w:w="1296" w:type="dxa"/>
            <w:tcBorders/>
            <w:shd w:fill="auto" w:val="clear"/>
            <w:vAlign w:val="bottom"/>
          </w:tcPr>
          <w:p>
            <w:pPr>
              <w:pStyle w:val="TableContents"/>
              <w:spacing w:before="0" w:after="283"/>
              <w:jc w:val="right"/>
              <w:rPr/>
            </w:pPr>
            <w:r>
              <w:rPr/>
              <w:t>(33</w:t>
            </w:r>
          </w:p>
        </w:tc>
        <w:tc>
          <w:tcPr>
            <w:tcW w:w="142" w:type="dxa"/>
            <w:tcBorders/>
            <w:shd w:fill="auto" w:val="clear"/>
            <w:vAlign w:val="bottom"/>
          </w:tcPr>
          <w:p>
            <w:pPr>
              <w:pStyle w:val="TableContents"/>
              <w:spacing w:before="0" w:after="283"/>
              <w:rPr/>
            </w:pPr>
            <w:r>
              <w:rPr/>
              <w:t>)</w:t>
            </w:r>
          </w:p>
        </w:tc>
      </w:tr>
      <w:tr>
        <w:trPr/>
        <w:tc>
          <w:tcPr>
            <w:tcW w:w="5912" w:type="dxa"/>
            <w:tcBorders/>
            <w:shd w:fill="CCEEFF" w:val="clear"/>
            <w:vAlign w:val="bottom"/>
          </w:tcPr>
          <w:p>
            <w:pPr>
              <w:pStyle w:val="TableContents"/>
              <w:spacing w:before="0" w:after="0"/>
              <w:ind w:left="675" w:right="0" w:hanging="225"/>
              <w:rPr/>
            </w:pPr>
            <w:r>
              <w:rPr/>
              <w:t>Advances to suppliers</w:t>
            </w:r>
          </w:p>
        </w:tc>
        <w:tc>
          <w:tcPr>
            <w:tcW w:w="37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553</w:t>
            </w:r>
          </w:p>
        </w:tc>
        <w:tc>
          <w:tcPr>
            <w:tcW w:w="210"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6" w:type="dxa"/>
            <w:tcBorders/>
            <w:shd w:fill="CCEEFF" w:val="clear"/>
            <w:vAlign w:val="bottom"/>
          </w:tcPr>
          <w:p>
            <w:pPr>
              <w:pStyle w:val="TableContents"/>
              <w:spacing w:before="0" w:after="283"/>
              <w:jc w:val="right"/>
              <w:rPr/>
            </w:pPr>
            <w:r>
              <w:rPr/>
              <w:t>2,165</w:t>
            </w:r>
          </w:p>
        </w:tc>
        <w:tc>
          <w:tcPr>
            <w:tcW w:w="142" w:type="dxa"/>
            <w:tcBorders/>
            <w:shd w:fill="CCEEFF"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0"/>
              <w:ind w:left="675" w:right="0" w:hanging="225"/>
              <w:rPr/>
            </w:pPr>
            <w:r>
              <w:rPr/>
              <w:t>Income taxes receivable</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 </w:t>
            </w:r>
          </w:p>
        </w:tc>
        <w:tc>
          <w:tcPr>
            <w:tcW w:w="1294" w:type="dxa"/>
            <w:tcBorders/>
            <w:shd w:fill="auto" w:val="clear"/>
            <w:vAlign w:val="bottom"/>
          </w:tcPr>
          <w:p>
            <w:pPr>
              <w:pStyle w:val="TableContents"/>
              <w:spacing w:before="0" w:after="283"/>
              <w:jc w:val="right"/>
              <w:rPr/>
            </w:pPr>
            <w:r>
              <w:rPr/>
              <w:t>(439</w:t>
            </w:r>
          </w:p>
        </w:tc>
        <w:tc>
          <w:tcPr>
            <w:tcW w:w="210" w:type="dxa"/>
            <w:tcBorders/>
            <w:shd w:fill="auto" w:val="clear"/>
            <w:vAlign w:val="bottom"/>
          </w:tcPr>
          <w:p>
            <w:pPr>
              <w:pStyle w:val="TableContents"/>
              <w:spacing w:before="0" w:after="283"/>
              <w:rPr/>
            </w:pPr>
            <w:r>
              <w:rPr/>
              <w:t>)</w:t>
            </w:r>
          </w:p>
        </w:tc>
        <w:tc>
          <w:tcPr>
            <w:tcW w:w="420"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 </w:t>
            </w:r>
          </w:p>
        </w:tc>
        <w:tc>
          <w:tcPr>
            <w:tcW w:w="1296" w:type="dxa"/>
            <w:tcBorders/>
            <w:shd w:fill="auto" w:val="clear"/>
            <w:vAlign w:val="bottom"/>
          </w:tcPr>
          <w:p>
            <w:pPr>
              <w:pStyle w:val="TableContents"/>
              <w:spacing w:before="0" w:after="283"/>
              <w:jc w:val="right"/>
              <w:rPr/>
            </w:pPr>
            <w:r>
              <w:rPr/>
              <w:t>(896</w:t>
            </w:r>
          </w:p>
        </w:tc>
        <w:tc>
          <w:tcPr>
            <w:tcW w:w="142" w:type="dxa"/>
            <w:tcBorders/>
            <w:shd w:fill="auto" w:val="clear"/>
            <w:vAlign w:val="bottom"/>
          </w:tcPr>
          <w:p>
            <w:pPr>
              <w:pStyle w:val="TableContents"/>
              <w:spacing w:before="0" w:after="283"/>
              <w:rPr/>
            </w:pPr>
            <w:r>
              <w:rPr/>
              <w:t>)</w:t>
            </w:r>
          </w:p>
        </w:tc>
      </w:tr>
      <w:tr>
        <w:trPr/>
        <w:tc>
          <w:tcPr>
            <w:tcW w:w="5912" w:type="dxa"/>
            <w:tcBorders/>
            <w:shd w:fill="CCEEFF" w:val="clear"/>
            <w:vAlign w:val="bottom"/>
          </w:tcPr>
          <w:p>
            <w:pPr>
              <w:pStyle w:val="TableContents"/>
              <w:spacing w:before="0" w:after="0"/>
              <w:ind w:left="675" w:right="0" w:hanging="225"/>
              <w:rPr/>
            </w:pPr>
            <w:r>
              <w:rPr/>
              <w:t>Payable to growers</w:t>
            </w:r>
          </w:p>
        </w:tc>
        <w:tc>
          <w:tcPr>
            <w:tcW w:w="37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4,987</w:t>
            </w:r>
          </w:p>
        </w:tc>
        <w:tc>
          <w:tcPr>
            <w:tcW w:w="210"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jc w:val="left"/>
              <w:rPr/>
            </w:pPr>
            <w:r>
              <w:rPr/>
              <w:t> </w:t>
            </w:r>
          </w:p>
        </w:tc>
        <w:tc>
          <w:tcPr>
            <w:tcW w:w="1296" w:type="dxa"/>
            <w:tcBorders/>
            <w:shd w:fill="CCEEFF" w:val="clear"/>
            <w:vAlign w:val="bottom"/>
          </w:tcPr>
          <w:p>
            <w:pPr>
              <w:pStyle w:val="TableContents"/>
              <w:spacing w:before="0" w:after="283"/>
              <w:jc w:val="right"/>
              <w:rPr/>
            </w:pPr>
            <w:r>
              <w:rPr/>
              <w:t>(3,005</w:t>
            </w:r>
          </w:p>
        </w:tc>
        <w:tc>
          <w:tcPr>
            <w:tcW w:w="142" w:type="dxa"/>
            <w:tcBorders/>
            <w:shd w:fill="CCEEFF" w:val="clear"/>
            <w:vAlign w:val="bottom"/>
          </w:tcPr>
          <w:p>
            <w:pPr>
              <w:pStyle w:val="TableContents"/>
              <w:spacing w:before="0" w:after="283"/>
              <w:rPr/>
            </w:pPr>
            <w:r>
              <w:rPr/>
              <w:t>)</w:t>
            </w:r>
          </w:p>
        </w:tc>
      </w:tr>
      <w:tr>
        <w:trPr/>
        <w:tc>
          <w:tcPr>
            <w:tcW w:w="5912" w:type="dxa"/>
            <w:tcBorders/>
            <w:shd w:fill="auto" w:val="clear"/>
            <w:vAlign w:val="bottom"/>
          </w:tcPr>
          <w:p>
            <w:pPr>
              <w:pStyle w:val="TableContents"/>
              <w:spacing w:before="0" w:after="0"/>
              <w:ind w:left="675" w:right="0" w:hanging="225"/>
              <w:rPr/>
            </w:pPr>
            <w:r>
              <w:rPr/>
              <w:t>Trade accounts payable and accrued expenses</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jc w:val="right"/>
              <w:rPr/>
            </w:pPr>
            <w:r>
              <w:rPr/>
              <w:t>567</w:t>
            </w:r>
          </w:p>
        </w:tc>
        <w:tc>
          <w:tcPr>
            <w:tcW w:w="210"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6" w:type="dxa"/>
            <w:tcBorders/>
            <w:shd w:fill="auto" w:val="clear"/>
            <w:vAlign w:val="bottom"/>
          </w:tcPr>
          <w:p>
            <w:pPr>
              <w:pStyle w:val="TableContents"/>
              <w:spacing w:before="0" w:after="283"/>
              <w:jc w:val="right"/>
              <w:rPr/>
            </w:pPr>
            <w:r>
              <w:rPr/>
              <w:t>3,648</w:t>
            </w:r>
          </w:p>
        </w:tc>
        <w:tc>
          <w:tcPr>
            <w:tcW w:w="142" w:type="dxa"/>
            <w:tcBorders/>
            <w:shd w:fill="auto" w:val="clear"/>
            <w:vAlign w:val="bottom"/>
          </w:tcPr>
          <w:p>
            <w:pPr>
              <w:pStyle w:val="TableContents"/>
              <w:spacing w:before="0" w:after="283"/>
              <w:rPr/>
            </w:pPr>
            <w:r>
              <w:rPr/>
              <w:t> </w:t>
            </w:r>
          </w:p>
        </w:tc>
      </w:tr>
      <w:tr>
        <w:trPr/>
        <w:tc>
          <w:tcPr>
            <w:tcW w:w="5912" w:type="dxa"/>
            <w:tcBorders/>
            <w:shd w:fill="auto" w:val="clear"/>
            <w:vAlign w:val="center"/>
          </w:tcPr>
          <w:p>
            <w:pPr>
              <w:pStyle w:val="TableContents"/>
              <w:spacing w:before="0" w:after="0"/>
              <w:ind w:left="225" w:right="0" w:hanging="225"/>
              <w:rPr/>
            </w:pPr>
            <w:r>
              <w:rPr/>
              <w:t> </w:t>
            </w:r>
          </w:p>
        </w:tc>
        <w:tc>
          <w:tcPr>
            <w:tcW w:w="375" w:type="dxa"/>
            <w:tcBorders/>
            <w:shd w:fill="auto" w:val="clear"/>
            <w:vAlign w:val="center"/>
          </w:tcPr>
          <w:p>
            <w:pPr>
              <w:pStyle w:val="TableContents"/>
              <w:spacing w:before="0" w:after="283"/>
              <w:rPr/>
            </w:pPr>
            <w:r>
              <w:rPr/>
              <w:t> </w:t>
            </w:r>
          </w:p>
        </w:tc>
        <w:tc>
          <w:tcPr>
            <w:tcW w:w="15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0"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5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900" w:right="0" w:hanging="225"/>
              <w:rPr/>
            </w:pPr>
            <w:r>
              <w:rPr/>
              <w:t>Net cash provided by (used in) operating activities</w:t>
            </w:r>
          </w:p>
        </w:tc>
        <w:tc>
          <w:tcPr>
            <w:tcW w:w="37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jc w:val="left"/>
              <w:rPr/>
            </w:pPr>
            <w:r>
              <w:rPr/>
              <w:t> </w:t>
            </w:r>
          </w:p>
        </w:tc>
        <w:tc>
          <w:tcPr>
            <w:tcW w:w="1294" w:type="dxa"/>
            <w:tcBorders/>
            <w:shd w:fill="CCEEFF" w:val="clear"/>
            <w:vAlign w:val="bottom"/>
          </w:tcPr>
          <w:p>
            <w:pPr>
              <w:pStyle w:val="TableContents"/>
              <w:spacing w:before="0" w:after="283"/>
              <w:jc w:val="right"/>
              <w:rPr/>
            </w:pPr>
            <w:r>
              <w:rPr/>
              <w:t>(576</w:t>
            </w:r>
          </w:p>
        </w:tc>
        <w:tc>
          <w:tcPr>
            <w:tcW w:w="210" w:type="dxa"/>
            <w:tcBorders/>
            <w:shd w:fill="CCEEFF" w:val="clear"/>
            <w:vAlign w:val="bottom"/>
          </w:tcPr>
          <w:p>
            <w:pPr>
              <w:pStyle w:val="TableContents"/>
              <w:spacing w:before="0" w:after="283"/>
              <w:rPr/>
            </w:pPr>
            <w:r>
              <w:rPr/>
              <w:t>)</w:t>
            </w:r>
          </w:p>
        </w:tc>
        <w:tc>
          <w:tcPr>
            <w:tcW w:w="420"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6" w:type="dxa"/>
            <w:tcBorders/>
            <w:shd w:fill="CCEEFF" w:val="clear"/>
            <w:vAlign w:val="bottom"/>
          </w:tcPr>
          <w:p>
            <w:pPr>
              <w:pStyle w:val="TableContents"/>
              <w:spacing w:before="0" w:after="283"/>
              <w:jc w:val="right"/>
              <w:rPr/>
            </w:pPr>
            <w:r>
              <w:rPr/>
              <w:t>3,678</w:t>
            </w:r>
          </w:p>
        </w:tc>
        <w:tc>
          <w:tcPr>
            <w:tcW w:w="142" w:type="dxa"/>
            <w:tcBorders/>
            <w:shd w:fill="CCEEFF"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0"/>
              <w:ind w:left="225" w:right="0" w:hanging="225"/>
              <w:rPr>
                <w:b/>
              </w:rPr>
            </w:pPr>
            <w:r>
              <w:rPr>
                <w:b/>
              </w:rPr>
              <w:t>Cash Flows from Investing Activities:</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225" w:right="0" w:hanging="225"/>
              <w:rPr/>
            </w:pPr>
            <w:r>
              <w:rPr/>
              <w:t>Acquisitions of and deposits on property, plant, and equipment</w:t>
            </w:r>
          </w:p>
        </w:tc>
        <w:tc>
          <w:tcPr>
            <w:tcW w:w="37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jc w:val="left"/>
              <w:rPr/>
            </w:pPr>
            <w:r>
              <w:rPr/>
              <w:t> </w:t>
            </w:r>
          </w:p>
        </w:tc>
        <w:tc>
          <w:tcPr>
            <w:tcW w:w="1294" w:type="dxa"/>
            <w:tcBorders/>
            <w:shd w:fill="CCEEFF" w:val="clear"/>
            <w:vAlign w:val="bottom"/>
          </w:tcPr>
          <w:p>
            <w:pPr>
              <w:pStyle w:val="TableContents"/>
              <w:spacing w:before="0" w:after="283"/>
              <w:jc w:val="right"/>
              <w:rPr/>
            </w:pPr>
            <w:r>
              <w:rPr/>
              <w:t>(1,099</w:t>
            </w:r>
          </w:p>
        </w:tc>
        <w:tc>
          <w:tcPr>
            <w:tcW w:w="210" w:type="dxa"/>
            <w:tcBorders/>
            <w:shd w:fill="CCEEFF" w:val="clear"/>
            <w:vAlign w:val="bottom"/>
          </w:tcPr>
          <w:p>
            <w:pPr>
              <w:pStyle w:val="TableContents"/>
              <w:spacing w:before="0" w:after="283"/>
              <w:rPr/>
            </w:pPr>
            <w:r>
              <w:rPr/>
              <w:t>)</w:t>
            </w:r>
          </w:p>
        </w:tc>
        <w:tc>
          <w:tcPr>
            <w:tcW w:w="420"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jc w:val="left"/>
              <w:rPr/>
            </w:pPr>
            <w:r>
              <w:rPr/>
              <w:t> </w:t>
            </w:r>
          </w:p>
        </w:tc>
        <w:tc>
          <w:tcPr>
            <w:tcW w:w="1296" w:type="dxa"/>
            <w:tcBorders/>
            <w:shd w:fill="CCEEFF" w:val="clear"/>
            <w:vAlign w:val="bottom"/>
          </w:tcPr>
          <w:p>
            <w:pPr>
              <w:pStyle w:val="TableContents"/>
              <w:spacing w:before="0" w:after="283"/>
              <w:jc w:val="right"/>
              <w:rPr/>
            </w:pPr>
            <w:r>
              <w:rPr/>
              <w:t>(736</w:t>
            </w:r>
          </w:p>
        </w:tc>
        <w:tc>
          <w:tcPr>
            <w:tcW w:w="142" w:type="dxa"/>
            <w:tcBorders/>
            <w:shd w:fill="CCEEFF" w:val="clear"/>
            <w:vAlign w:val="bottom"/>
          </w:tcPr>
          <w:p>
            <w:pPr>
              <w:pStyle w:val="TableContents"/>
              <w:spacing w:before="0" w:after="283"/>
              <w:rPr/>
            </w:pPr>
            <w:r>
              <w:rPr/>
              <w:t>)</w:t>
            </w:r>
          </w:p>
        </w:tc>
      </w:tr>
      <w:tr>
        <w:trPr/>
        <w:tc>
          <w:tcPr>
            <w:tcW w:w="5912" w:type="dxa"/>
            <w:tcBorders/>
            <w:shd w:fill="auto" w:val="clear"/>
            <w:vAlign w:val="center"/>
          </w:tcPr>
          <w:p>
            <w:pPr>
              <w:pStyle w:val="TableContents"/>
              <w:spacing w:before="0" w:after="0"/>
              <w:ind w:left="225" w:right="0" w:hanging="225"/>
              <w:rPr/>
            </w:pPr>
            <w:r>
              <w:rPr/>
              <w:t> </w:t>
            </w:r>
          </w:p>
        </w:tc>
        <w:tc>
          <w:tcPr>
            <w:tcW w:w="375" w:type="dxa"/>
            <w:tcBorders/>
            <w:shd w:fill="auto" w:val="clear"/>
            <w:vAlign w:val="center"/>
          </w:tcPr>
          <w:p>
            <w:pPr>
              <w:pStyle w:val="TableContents"/>
              <w:spacing w:before="0" w:after="283"/>
              <w:rPr/>
            </w:pPr>
            <w:r>
              <w:rPr/>
              <w:t> </w:t>
            </w:r>
          </w:p>
        </w:tc>
        <w:tc>
          <w:tcPr>
            <w:tcW w:w="15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0"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5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5912" w:type="dxa"/>
            <w:tcBorders/>
            <w:shd w:fill="auto" w:val="clear"/>
            <w:vAlign w:val="bottom"/>
          </w:tcPr>
          <w:p>
            <w:pPr>
              <w:pStyle w:val="TableContents"/>
              <w:spacing w:before="0" w:after="0"/>
              <w:ind w:left="900" w:right="0" w:hanging="225"/>
              <w:rPr/>
            </w:pPr>
            <w:r>
              <w:rPr/>
              <w:t>Net cash used in investing activities</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 </w:t>
            </w:r>
          </w:p>
        </w:tc>
        <w:tc>
          <w:tcPr>
            <w:tcW w:w="1294" w:type="dxa"/>
            <w:tcBorders/>
            <w:shd w:fill="auto" w:val="clear"/>
            <w:vAlign w:val="bottom"/>
          </w:tcPr>
          <w:p>
            <w:pPr>
              <w:pStyle w:val="TableContents"/>
              <w:spacing w:before="0" w:after="283"/>
              <w:jc w:val="right"/>
              <w:rPr/>
            </w:pPr>
            <w:r>
              <w:rPr/>
              <w:t>(1,099</w:t>
            </w:r>
          </w:p>
        </w:tc>
        <w:tc>
          <w:tcPr>
            <w:tcW w:w="210" w:type="dxa"/>
            <w:tcBorders/>
            <w:shd w:fill="auto" w:val="clear"/>
            <w:vAlign w:val="bottom"/>
          </w:tcPr>
          <w:p>
            <w:pPr>
              <w:pStyle w:val="TableContents"/>
              <w:spacing w:before="0" w:after="283"/>
              <w:rPr/>
            </w:pPr>
            <w:r>
              <w:rPr/>
              <w:t>)</w:t>
            </w:r>
          </w:p>
        </w:tc>
        <w:tc>
          <w:tcPr>
            <w:tcW w:w="420"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 </w:t>
            </w:r>
          </w:p>
        </w:tc>
        <w:tc>
          <w:tcPr>
            <w:tcW w:w="1296" w:type="dxa"/>
            <w:tcBorders/>
            <w:shd w:fill="auto" w:val="clear"/>
            <w:vAlign w:val="bottom"/>
          </w:tcPr>
          <w:p>
            <w:pPr>
              <w:pStyle w:val="TableContents"/>
              <w:spacing w:before="0" w:after="283"/>
              <w:jc w:val="right"/>
              <w:rPr/>
            </w:pPr>
            <w:r>
              <w:rPr/>
              <w:t>(736</w:t>
            </w:r>
          </w:p>
        </w:tc>
        <w:tc>
          <w:tcPr>
            <w:tcW w:w="142" w:type="dxa"/>
            <w:tcBorders/>
            <w:shd w:fill="auto" w:val="clear"/>
            <w:vAlign w:val="bottom"/>
          </w:tcPr>
          <w:p>
            <w:pPr>
              <w:pStyle w:val="TableContents"/>
              <w:spacing w:before="0" w:after="283"/>
              <w:rPr/>
            </w:pPr>
            <w:r>
              <w:rPr/>
              <w:t>)</w:t>
            </w:r>
          </w:p>
        </w:tc>
      </w:tr>
      <w:tr>
        <w:trPr/>
        <w:tc>
          <w:tcPr>
            <w:tcW w:w="5912" w:type="dxa"/>
            <w:tcBorders/>
            <w:shd w:fill="CCEEFF" w:val="clear"/>
            <w:vAlign w:val="bottom"/>
          </w:tcPr>
          <w:p>
            <w:pPr>
              <w:pStyle w:val="TableContents"/>
              <w:spacing w:before="0" w:after="0"/>
              <w:ind w:left="225" w:right="0" w:hanging="225"/>
              <w:rPr>
                <w:b/>
              </w:rPr>
            </w:pPr>
            <w:r>
              <w:rPr>
                <w:b/>
              </w:rPr>
              <w:t>Cash Flows from Financing Activities:</w:t>
            </w:r>
          </w:p>
        </w:tc>
        <w:tc>
          <w:tcPr>
            <w:tcW w:w="37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0"/>
              <w:ind w:left="225" w:right="0" w:hanging="225"/>
              <w:rPr/>
            </w:pPr>
            <w:r>
              <w:rPr/>
              <w:t>Payment of dividend to shareholders</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 </w:t>
            </w:r>
          </w:p>
        </w:tc>
        <w:tc>
          <w:tcPr>
            <w:tcW w:w="1294" w:type="dxa"/>
            <w:tcBorders/>
            <w:shd w:fill="auto" w:val="clear"/>
            <w:vAlign w:val="bottom"/>
          </w:tcPr>
          <w:p>
            <w:pPr>
              <w:pStyle w:val="TableContents"/>
              <w:spacing w:before="0" w:after="283"/>
              <w:jc w:val="right"/>
              <w:rPr/>
            </w:pPr>
            <w:r>
              <w:rPr/>
              <w:t>(4,564</w:t>
            </w:r>
          </w:p>
        </w:tc>
        <w:tc>
          <w:tcPr>
            <w:tcW w:w="210" w:type="dxa"/>
            <w:tcBorders/>
            <w:shd w:fill="auto" w:val="clear"/>
            <w:vAlign w:val="bottom"/>
          </w:tcPr>
          <w:p>
            <w:pPr>
              <w:pStyle w:val="TableContents"/>
              <w:spacing w:before="0" w:after="283"/>
              <w:rPr/>
            </w:pPr>
            <w:r>
              <w:rPr/>
              <w:t>)</w:t>
            </w:r>
          </w:p>
        </w:tc>
        <w:tc>
          <w:tcPr>
            <w:tcW w:w="420"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 </w:t>
            </w:r>
          </w:p>
        </w:tc>
        <w:tc>
          <w:tcPr>
            <w:tcW w:w="1296" w:type="dxa"/>
            <w:tcBorders/>
            <w:shd w:fill="auto" w:val="clear"/>
            <w:vAlign w:val="bottom"/>
          </w:tcPr>
          <w:p>
            <w:pPr>
              <w:pStyle w:val="TableContents"/>
              <w:spacing w:before="0" w:after="283"/>
              <w:jc w:val="right"/>
              <w:rPr/>
            </w:pPr>
            <w:r>
              <w:rPr/>
              <w:t>(4,052</w:t>
            </w:r>
          </w:p>
        </w:tc>
        <w:tc>
          <w:tcPr>
            <w:tcW w:w="142" w:type="dxa"/>
            <w:tcBorders/>
            <w:shd w:fill="auto" w:val="clear"/>
            <w:vAlign w:val="bottom"/>
          </w:tcPr>
          <w:p>
            <w:pPr>
              <w:pStyle w:val="TableContents"/>
              <w:spacing w:before="0" w:after="283"/>
              <w:rPr/>
            </w:pPr>
            <w:r>
              <w:rPr/>
              <w:t>)</w:t>
            </w:r>
          </w:p>
        </w:tc>
      </w:tr>
      <w:tr>
        <w:trPr/>
        <w:tc>
          <w:tcPr>
            <w:tcW w:w="5912" w:type="dxa"/>
            <w:tcBorders/>
            <w:shd w:fill="CCEEFF" w:val="clear"/>
            <w:vAlign w:val="bottom"/>
          </w:tcPr>
          <w:p>
            <w:pPr>
              <w:pStyle w:val="TableContents"/>
              <w:spacing w:before="0" w:after="0"/>
              <w:ind w:left="225" w:right="0" w:hanging="225"/>
              <w:rPr/>
            </w:pPr>
            <w:r>
              <w:rPr/>
              <w:t>Proceeds from short-term borrowings, net</w:t>
            </w:r>
          </w:p>
        </w:tc>
        <w:tc>
          <w:tcPr>
            <w:tcW w:w="37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6,417</w:t>
            </w:r>
          </w:p>
        </w:tc>
        <w:tc>
          <w:tcPr>
            <w:tcW w:w="210"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6" w:type="dxa"/>
            <w:tcBorders/>
            <w:shd w:fill="CCEEFF" w:val="clear"/>
            <w:vAlign w:val="bottom"/>
          </w:tcPr>
          <w:p>
            <w:pPr>
              <w:pStyle w:val="TableContents"/>
              <w:spacing w:before="0" w:after="283"/>
              <w:jc w:val="right"/>
              <w:rPr/>
            </w:pPr>
            <w:r>
              <w:rPr/>
              <w:t>1,000</w:t>
            </w:r>
          </w:p>
        </w:tc>
        <w:tc>
          <w:tcPr>
            <w:tcW w:w="142" w:type="dxa"/>
            <w:tcBorders/>
            <w:shd w:fill="CCEEFF"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0"/>
              <w:ind w:left="225" w:right="0" w:hanging="225"/>
              <w:rPr/>
            </w:pPr>
            <w:r>
              <w:rPr/>
              <w:t>Retirement of common stock</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 </w:t>
            </w:r>
          </w:p>
        </w:tc>
        <w:tc>
          <w:tcPr>
            <w:tcW w:w="1294" w:type="dxa"/>
            <w:tcBorders/>
            <w:shd w:fill="auto" w:val="clear"/>
            <w:vAlign w:val="bottom"/>
          </w:tcPr>
          <w:p>
            <w:pPr>
              <w:pStyle w:val="TableContents"/>
              <w:spacing w:before="0" w:after="283"/>
              <w:jc w:val="right"/>
              <w:rPr/>
            </w:pPr>
            <w:r>
              <w:rPr/>
              <w:t>(1,200</w:t>
            </w:r>
          </w:p>
        </w:tc>
        <w:tc>
          <w:tcPr>
            <w:tcW w:w="210" w:type="dxa"/>
            <w:tcBorders/>
            <w:shd w:fill="auto" w:val="clear"/>
            <w:vAlign w:val="bottom"/>
          </w:tcPr>
          <w:p>
            <w:pPr>
              <w:pStyle w:val="TableContents"/>
              <w:spacing w:before="0" w:after="283"/>
              <w:rPr/>
            </w:pPr>
            <w:r>
              <w:rPr/>
              <w:t>)</w:t>
            </w:r>
          </w:p>
        </w:tc>
        <w:tc>
          <w:tcPr>
            <w:tcW w:w="420"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6" w:type="dxa"/>
            <w:tcBorders/>
            <w:shd w:fill="auto" w:val="clear"/>
            <w:vAlign w:val="bottom"/>
          </w:tcPr>
          <w:p>
            <w:pPr>
              <w:pStyle w:val="TableContents"/>
              <w:spacing w:before="0" w:after="283"/>
              <w:jc w:val="right"/>
              <w:rPr/>
            </w:pPr>
            <w:r>
              <w:rPr/>
              <w:t></w:t>
            </w:r>
          </w:p>
        </w:tc>
        <w:tc>
          <w:tcPr>
            <w:tcW w:w="142" w:type="dxa"/>
            <w:tcBorders/>
            <w:shd w:fill="auto" w:val="clear"/>
            <w:vAlign w:val="bottom"/>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225" w:right="0" w:hanging="225"/>
              <w:rPr/>
            </w:pPr>
            <w:r>
              <w:rPr/>
              <w:t>Exercise of stock options</w:t>
            </w:r>
          </w:p>
        </w:tc>
        <w:tc>
          <w:tcPr>
            <w:tcW w:w="37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130</w:t>
            </w:r>
          </w:p>
        </w:tc>
        <w:tc>
          <w:tcPr>
            <w:tcW w:w="210"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6" w:type="dxa"/>
            <w:tcBorders/>
            <w:shd w:fill="CCEEFF" w:val="clear"/>
            <w:vAlign w:val="bottom"/>
          </w:tcPr>
          <w:p>
            <w:pPr>
              <w:pStyle w:val="TableContents"/>
              <w:spacing w:before="0" w:after="283"/>
              <w:jc w:val="right"/>
              <w:rPr/>
            </w:pPr>
            <w:r>
              <w:rPr/>
              <w:t></w:t>
            </w:r>
          </w:p>
        </w:tc>
        <w:tc>
          <w:tcPr>
            <w:tcW w:w="142" w:type="dxa"/>
            <w:tcBorders/>
            <w:shd w:fill="CCEEFF"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0"/>
              <w:ind w:left="225" w:right="0" w:hanging="225"/>
              <w:rPr/>
            </w:pPr>
            <w:r>
              <w:rPr/>
              <w:t>Payments on long-term obligations</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 </w:t>
            </w:r>
          </w:p>
        </w:tc>
        <w:tc>
          <w:tcPr>
            <w:tcW w:w="1294" w:type="dxa"/>
            <w:tcBorders/>
            <w:shd w:fill="auto" w:val="clear"/>
            <w:vAlign w:val="bottom"/>
          </w:tcPr>
          <w:p>
            <w:pPr>
              <w:pStyle w:val="TableContents"/>
              <w:spacing w:before="0" w:after="283"/>
              <w:jc w:val="right"/>
              <w:rPr/>
            </w:pPr>
            <w:r>
              <w:rPr/>
              <w:t>(3</w:t>
            </w:r>
          </w:p>
        </w:tc>
        <w:tc>
          <w:tcPr>
            <w:tcW w:w="210" w:type="dxa"/>
            <w:tcBorders/>
            <w:shd w:fill="auto" w:val="clear"/>
            <w:vAlign w:val="bottom"/>
          </w:tcPr>
          <w:p>
            <w:pPr>
              <w:pStyle w:val="TableContents"/>
              <w:spacing w:before="0" w:after="283"/>
              <w:rPr/>
            </w:pPr>
            <w:r>
              <w:rPr/>
              <w:t>)</w:t>
            </w:r>
          </w:p>
        </w:tc>
        <w:tc>
          <w:tcPr>
            <w:tcW w:w="420"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 </w:t>
            </w:r>
          </w:p>
        </w:tc>
        <w:tc>
          <w:tcPr>
            <w:tcW w:w="1296" w:type="dxa"/>
            <w:tcBorders/>
            <w:shd w:fill="auto" w:val="clear"/>
            <w:vAlign w:val="bottom"/>
          </w:tcPr>
          <w:p>
            <w:pPr>
              <w:pStyle w:val="TableContents"/>
              <w:spacing w:before="0" w:after="283"/>
              <w:jc w:val="right"/>
              <w:rPr/>
            </w:pPr>
            <w:r>
              <w:rPr/>
              <w:t>(15</w:t>
            </w:r>
          </w:p>
        </w:tc>
        <w:tc>
          <w:tcPr>
            <w:tcW w:w="142" w:type="dxa"/>
            <w:tcBorders/>
            <w:shd w:fill="auto" w:val="clear"/>
            <w:vAlign w:val="bottom"/>
          </w:tcPr>
          <w:p>
            <w:pPr>
              <w:pStyle w:val="TableContents"/>
              <w:spacing w:before="0" w:after="283"/>
              <w:rPr/>
            </w:pPr>
            <w:r>
              <w:rPr/>
              <w:t>)</w:t>
            </w:r>
          </w:p>
        </w:tc>
      </w:tr>
      <w:tr>
        <w:trPr/>
        <w:tc>
          <w:tcPr>
            <w:tcW w:w="5912" w:type="dxa"/>
            <w:tcBorders/>
            <w:shd w:fill="auto" w:val="clear"/>
            <w:vAlign w:val="center"/>
          </w:tcPr>
          <w:p>
            <w:pPr>
              <w:pStyle w:val="TableContents"/>
              <w:spacing w:before="0" w:after="0"/>
              <w:ind w:left="225" w:right="0" w:hanging="225"/>
              <w:rPr/>
            </w:pPr>
            <w:r>
              <w:rPr/>
              <w:t> </w:t>
            </w:r>
          </w:p>
        </w:tc>
        <w:tc>
          <w:tcPr>
            <w:tcW w:w="375" w:type="dxa"/>
            <w:tcBorders/>
            <w:shd w:fill="auto" w:val="clear"/>
            <w:vAlign w:val="center"/>
          </w:tcPr>
          <w:p>
            <w:pPr>
              <w:pStyle w:val="TableContents"/>
              <w:spacing w:before="0" w:after="283"/>
              <w:rPr/>
            </w:pPr>
            <w:r>
              <w:rPr/>
              <w:t> </w:t>
            </w:r>
          </w:p>
        </w:tc>
        <w:tc>
          <w:tcPr>
            <w:tcW w:w="15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0"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5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900" w:right="0" w:hanging="225"/>
              <w:rPr/>
            </w:pPr>
            <w:r>
              <w:rPr/>
              <w:t>Net cash provided by (used in) financing activities</w:t>
            </w:r>
          </w:p>
        </w:tc>
        <w:tc>
          <w:tcPr>
            <w:tcW w:w="37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780</w:t>
            </w:r>
          </w:p>
        </w:tc>
        <w:tc>
          <w:tcPr>
            <w:tcW w:w="210"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jc w:val="left"/>
              <w:rPr/>
            </w:pPr>
            <w:r>
              <w:rPr/>
              <w:t> </w:t>
            </w:r>
          </w:p>
        </w:tc>
        <w:tc>
          <w:tcPr>
            <w:tcW w:w="1296" w:type="dxa"/>
            <w:tcBorders/>
            <w:shd w:fill="CCEEFF" w:val="clear"/>
            <w:vAlign w:val="bottom"/>
          </w:tcPr>
          <w:p>
            <w:pPr>
              <w:pStyle w:val="TableContents"/>
              <w:spacing w:before="0" w:after="283"/>
              <w:jc w:val="right"/>
              <w:rPr/>
            </w:pPr>
            <w:r>
              <w:rPr/>
              <w:t>(3,067</w:t>
            </w:r>
          </w:p>
        </w:tc>
        <w:tc>
          <w:tcPr>
            <w:tcW w:w="142" w:type="dxa"/>
            <w:tcBorders/>
            <w:shd w:fill="CCEEFF" w:val="clear"/>
            <w:vAlign w:val="bottom"/>
          </w:tcPr>
          <w:p>
            <w:pPr>
              <w:pStyle w:val="TableContents"/>
              <w:spacing w:before="0" w:after="283"/>
              <w:rPr/>
            </w:pPr>
            <w:r>
              <w:rPr/>
              <w:t>)</w:t>
            </w:r>
          </w:p>
        </w:tc>
      </w:tr>
      <w:tr>
        <w:trPr/>
        <w:tc>
          <w:tcPr>
            <w:tcW w:w="5912" w:type="dxa"/>
            <w:tcBorders/>
            <w:shd w:fill="auto" w:val="clear"/>
            <w:vAlign w:val="center"/>
          </w:tcPr>
          <w:p>
            <w:pPr>
              <w:pStyle w:val="TableContents"/>
              <w:spacing w:before="0" w:after="0"/>
              <w:ind w:left="225" w:right="0" w:hanging="225"/>
              <w:rPr/>
            </w:pPr>
            <w:r>
              <w:rPr/>
              <w:t> </w:t>
            </w:r>
          </w:p>
        </w:tc>
        <w:tc>
          <w:tcPr>
            <w:tcW w:w="375" w:type="dxa"/>
            <w:tcBorders/>
            <w:shd w:fill="auto" w:val="clear"/>
            <w:vAlign w:val="center"/>
          </w:tcPr>
          <w:p>
            <w:pPr>
              <w:pStyle w:val="TableContents"/>
              <w:spacing w:before="0" w:after="283"/>
              <w:rPr/>
            </w:pPr>
            <w:r>
              <w:rPr/>
              <w:t> </w:t>
            </w:r>
          </w:p>
        </w:tc>
        <w:tc>
          <w:tcPr>
            <w:tcW w:w="15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0"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5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5912" w:type="dxa"/>
            <w:tcBorders/>
            <w:shd w:fill="auto" w:val="clear"/>
            <w:vAlign w:val="bottom"/>
          </w:tcPr>
          <w:p>
            <w:pPr>
              <w:pStyle w:val="TableContents"/>
              <w:spacing w:before="0" w:after="0"/>
              <w:ind w:left="225" w:right="0" w:hanging="225"/>
              <w:rPr/>
            </w:pPr>
            <w:r>
              <w:rPr/>
              <w:t>Net decrease in cash and cash Equivalents</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 </w:t>
            </w:r>
          </w:p>
        </w:tc>
        <w:tc>
          <w:tcPr>
            <w:tcW w:w="1294" w:type="dxa"/>
            <w:tcBorders/>
            <w:shd w:fill="auto" w:val="clear"/>
            <w:vAlign w:val="bottom"/>
          </w:tcPr>
          <w:p>
            <w:pPr>
              <w:pStyle w:val="TableContents"/>
              <w:spacing w:before="0" w:after="283"/>
              <w:jc w:val="right"/>
              <w:rPr/>
            </w:pPr>
            <w:r>
              <w:rPr/>
              <w:t>(895</w:t>
            </w:r>
          </w:p>
        </w:tc>
        <w:tc>
          <w:tcPr>
            <w:tcW w:w="210" w:type="dxa"/>
            <w:tcBorders/>
            <w:shd w:fill="auto" w:val="clear"/>
            <w:vAlign w:val="bottom"/>
          </w:tcPr>
          <w:p>
            <w:pPr>
              <w:pStyle w:val="TableContents"/>
              <w:spacing w:before="0" w:after="283"/>
              <w:rPr/>
            </w:pPr>
            <w:r>
              <w:rPr/>
              <w:t>)</w:t>
            </w:r>
          </w:p>
        </w:tc>
        <w:tc>
          <w:tcPr>
            <w:tcW w:w="420"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 </w:t>
            </w:r>
          </w:p>
        </w:tc>
        <w:tc>
          <w:tcPr>
            <w:tcW w:w="1296" w:type="dxa"/>
            <w:tcBorders/>
            <w:shd w:fill="auto" w:val="clear"/>
            <w:vAlign w:val="bottom"/>
          </w:tcPr>
          <w:p>
            <w:pPr>
              <w:pStyle w:val="TableContents"/>
              <w:spacing w:before="0" w:after="283"/>
              <w:jc w:val="right"/>
              <w:rPr/>
            </w:pPr>
            <w:r>
              <w:rPr/>
              <w:t>(125</w:t>
            </w:r>
          </w:p>
        </w:tc>
        <w:tc>
          <w:tcPr>
            <w:tcW w:w="142" w:type="dxa"/>
            <w:tcBorders/>
            <w:shd w:fill="auto" w:val="clear"/>
            <w:vAlign w:val="bottom"/>
          </w:tcPr>
          <w:p>
            <w:pPr>
              <w:pStyle w:val="TableContents"/>
              <w:spacing w:before="0" w:after="283"/>
              <w:rPr/>
            </w:pPr>
            <w:r>
              <w:rPr/>
              <w:t>)</w:t>
            </w:r>
          </w:p>
        </w:tc>
      </w:tr>
      <w:tr>
        <w:trPr/>
        <w:tc>
          <w:tcPr>
            <w:tcW w:w="5912" w:type="dxa"/>
            <w:tcBorders/>
            <w:shd w:fill="CCEEFF" w:val="clear"/>
            <w:vAlign w:val="bottom"/>
          </w:tcPr>
          <w:p>
            <w:pPr>
              <w:pStyle w:val="TableContents"/>
              <w:spacing w:before="0" w:after="0"/>
              <w:ind w:left="225" w:right="0" w:hanging="225"/>
              <w:rPr/>
            </w:pPr>
            <w:r>
              <w:rPr/>
              <w:t>Cash and cash equivalents, beginning of period</w:t>
            </w:r>
          </w:p>
        </w:tc>
        <w:tc>
          <w:tcPr>
            <w:tcW w:w="37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jc w:val="right"/>
              <w:rPr/>
            </w:pPr>
            <w:r>
              <w:rPr/>
              <w:t>1,133</w:t>
            </w:r>
          </w:p>
        </w:tc>
        <w:tc>
          <w:tcPr>
            <w:tcW w:w="210"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6" w:type="dxa"/>
            <w:tcBorders/>
            <w:shd w:fill="CCEEFF" w:val="clear"/>
            <w:vAlign w:val="bottom"/>
          </w:tcPr>
          <w:p>
            <w:pPr>
              <w:pStyle w:val="TableContents"/>
              <w:spacing w:before="0" w:after="283"/>
              <w:jc w:val="right"/>
              <w:rPr/>
            </w:pPr>
            <w:r>
              <w:rPr/>
              <w:t>636</w:t>
            </w:r>
          </w:p>
        </w:tc>
        <w:tc>
          <w:tcPr>
            <w:tcW w:w="142" w:type="dxa"/>
            <w:tcBorders/>
            <w:shd w:fill="CCEEFF" w:val="clear"/>
            <w:vAlign w:val="bottom"/>
          </w:tcPr>
          <w:p>
            <w:pPr>
              <w:pStyle w:val="TableContents"/>
              <w:spacing w:before="0" w:after="283"/>
              <w:rPr/>
            </w:pPr>
            <w:r>
              <w:rPr/>
              <w:t> </w:t>
            </w:r>
          </w:p>
        </w:tc>
      </w:tr>
      <w:tr>
        <w:trPr/>
        <w:tc>
          <w:tcPr>
            <w:tcW w:w="5912" w:type="dxa"/>
            <w:tcBorders/>
            <w:shd w:fill="auto" w:val="clear"/>
            <w:vAlign w:val="center"/>
          </w:tcPr>
          <w:p>
            <w:pPr>
              <w:pStyle w:val="TableContents"/>
              <w:spacing w:before="0" w:after="0"/>
              <w:ind w:left="225" w:right="0" w:hanging="225"/>
              <w:rPr/>
            </w:pPr>
            <w:r>
              <w:rPr/>
              <w:t> </w:t>
            </w:r>
          </w:p>
        </w:tc>
        <w:tc>
          <w:tcPr>
            <w:tcW w:w="375" w:type="dxa"/>
            <w:tcBorders/>
            <w:shd w:fill="auto" w:val="clear"/>
            <w:vAlign w:val="center"/>
          </w:tcPr>
          <w:p>
            <w:pPr>
              <w:pStyle w:val="TableContents"/>
              <w:spacing w:before="0" w:after="283"/>
              <w:rPr/>
            </w:pPr>
            <w:r>
              <w:rPr/>
              <w:t> </w:t>
            </w:r>
          </w:p>
        </w:tc>
        <w:tc>
          <w:tcPr>
            <w:tcW w:w="15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0"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5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5912" w:type="dxa"/>
            <w:tcBorders/>
            <w:shd w:fill="auto" w:val="clear"/>
            <w:vAlign w:val="bottom"/>
          </w:tcPr>
          <w:p>
            <w:pPr>
              <w:pStyle w:val="TableContents"/>
              <w:spacing w:before="0" w:after="0"/>
              <w:ind w:left="225" w:right="0" w:hanging="225"/>
              <w:rPr/>
            </w:pPr>
            <w:r>
              <w:rPr/>
              <w:t>Cash and cash equivalents, end of period</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w:t>
            </w:r>
          </w:p>
        </w:tc>
        <w:tc>
          <w:tcPr>
            <w:tcW w:w="1294" w:type="dxa"/>
            <w:tcBorders/>
            <w:shd w:fill="auto" w:val="clear"/>
            <w:vAlign w:val="bottom"/>
          </w:tcPr>
          <w:p>
            <w:pPr>
              <w:pStyle w:val="TableContents"/>
              <w:spacing w:before="0" w:after="283"/>
              <w:jc w:val="right"/>
              <w:rPr/>
            </w:pPr>
            <w:r>
              <w:rPr/>
              <w:t>238</w:t>
            </w:r>
          </w:p>
        </w:tc>
        <w:tc>
          <w:tcPr>
            <w:tcW w:w="210"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w:t>
            </w:r>
          </w:p>
        </w:tc>
        <w:tc>
          <w:tcPr>
            <w:tcW w:w="1296" w:type="dxa"/>
            <w:tcBorders/>
            <w:shd w:fill="auto" w:val="clear"/>
            <w:vAlign w:val="bottom"/>
          </w:tcPr>
          <w:p>
            <w:pPr>
              <w:pStyle w:val="TableContents"/>
              <w:spacing w:before="0" w:after="283"/>
              <w:jc w:val="right"/>
              <w:rPr/>
            </w:pPr>
            <w:r>
              <w:rPr/>
              <w:t>511</w:t>
            </w:r>
          </w:p>
        </w:tc>
        <w:tc>
          <w:tcPr>
            <w:tcW w:w="142" w:type="dxa"/>
            <w:tcBorders/>
            <w:shd w:fill="auto" w:val="clear"/>
            <w:vAlign w:val="bottom"/>
          </w:tcPr>
          <w:p>
            <w:pPr>
              <w:pStyle w:val="TableContents"/>
              <w:spacing w:before="0" w:after="283"/>
              <w:rPr/>
            </w:pPr>
            <w:r>
              <w:rPr/>
              <w:t> </w:t>
            </w:r>
          </w:p>
        </w:tc>
      </w:tr>
      <w:tr>
        <w:trPr/>
        <w:tc>
          <w:tcPr>
            <w:tcW w:w="5912" w:type="dxa"/>
            <w:tcBorders/>
            <w:shd w:fill="auto" w:val="clear"/>
            <w:vAlign w:val="center"/>
          </w:tcPr>
          <w:p>
            <w:pPr>
              <w:pStyle w:val="TableContents"/>
              <w:spacing w:before="0" w:after="0"/>
              <w:ind w:left="225" w:right="0" w:hanging="225"/>
              <w:rPr/>
            </w:pPr>
            <w:r>
              <w:rPr/>
              <w:t> </w:t>
            </w:r>
          </w:p>
        </w:tc>
        <w:tc>
          <w:tcPr>
            <w:tcW w:w="375" w:type="dxa"/>
            <w:tcBorders/>
            <w:shd w:fill="auto" w:val="clear"/>
            <w:vAlign w:val="center"/>
          </w:tcPr>
          <w:p>
            <w:pPr>
              <w:pStyle w:val="TableContents"/>
              <w:spacing w:before="0" w:after="283"/>
              <w:rPr/>
            </w:pPr>
            <w:r>
              <w:rPr/>
              <w:t> </w:t>
            </w:r>
          </w:p>
        </w:tc>
        <w:tc>
          <w:tcPr>
            <w:tcW w:w="15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0"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5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225" w:right="0" w:hanging="225"/>
              <w:rPr>
                <w:b/>
              </w:rPr>
            </w:pPr>
            <w:r>
              <w:rPr>
                <w:b/>
              </w:rPr>
              <w:t>Supplemental Information -</w:t>
            </w:r>
          </w:p>
        </w:tc>
        <w:tc>
          <w:tcPr>
            <w:tcW w:w="37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0"/>
              <w:ind w:left="450" w:right="0" w:hanging="225"/>
              <w:rPr/>
            </w:pPr>
            <w:r>
              <w:rPr/>
              <w:t>Cash paid during the year for:</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675" w:right="0" w:hanging="225"/>
              <w:rPr/>
            </w:pPr>
            <w:r>
              <w:rPr/>
              <w:t>Interest</w:t>
            </w:r>
          </w:p>
        </w:tc>
        <w:tc>
          <w:tcPr>
            <w:tcW w:w="37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jc w:val="left"/>
              <w:rPr/>
            </w:pPr>
            <w:r>
              <w:rPr/>
              <w:t>$</w:t>
            </w:r>
          </w:p>
        </w:tc>
        <w:tc>
          <w:tcPr>
            <w:tcW w:w="1294" w:type="dxa"/>
            <w:tcBorders/>
            <w:shd w:fill="CCEEFF" w:val="clear"/>
            <w:vAlign w:val="bottom"/>
          </w:tcPr>
          <w:p>
            <w:pPr>
              <w:pStyle w:val="TableContents"/>
              <w:spacing w:before="0" w:after="283"/>
              <w:jc w:val="right"/>
              <w:rPr/>
            </w:pPr>
            <w:r>
              <w:rPr/>
              <w:t>248</w:t>
            </w:r>
          </w:p>
        </w:tc>
        <w:tc>
          <w:tcPr>
            <w:tcW w:w="210"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jc w:val="left"/>
              <w:rPr/>
            </w:pPr>
            <w:r>
              <w:rPr/>
              <w:t>$</w:t>
            </w:r>
          </w:p>
        </w:tc>
        <w:tc>
          <w:tcPr>
            <w:tcW w:w="1296" w:type="dxa"/>
            <w:tcBorders/>
            <w:shd w:fill="CCEEFF" w:val="clear"/>
            <w:vAlign w:val="bottom"/>
          </w:tcPr>
          <w:p>
            <w:pPr>
              <w:pStyle w:val="TableContents"/>
              <w:spacing w:before="0" w:after="283"/>
              <w:jc w:val="right"/>
              <w:rPr/>
            </w:pPr>
            <w:r>
              <w:rPr/>
              <w:t>27</w:t>
            </w:r>
          </w:p>
        </w:tc>
        <w:tc>
          <w:tcPr>
            <w:tcW w:w="142" w:type="dxa"/>
            <w:tcBorders/>
            <w:shd w:fill="CCEEFF" w:val="clear"/>
            <w:vAlign w:val="bottom"/>
          </w:tcPr>
          <w:p>
            <w:pPr>
              <w:pStyle w:val="TableContents"/>
              <w:spacing w:before="0" w:after="283"/>
              <w:rPr/>
            </w:pPr>
            <w:r>
              <w:rPr/>
              <w:t> </w:t>
            </w:r>
          </w:p>
        </w:tc>
      </w:tr>
      <w:tr>
        <w:trPr/>
        <w:tc>
          <w:tcPr>
            <w:tcW w:w="5912" w:type="dxa"/>
            <w:tcBorders/>
            <w:shd w:fill="auto" w:val="clear"/>
            <w:vAlign w:val="center"/>
          </w:tcPr>
          <w:p>
            <w:pPr>
              <w:pStyle w:val="TableContents"/>
              <w:spacing w:before="0" w:after="0"/>
              <w:ind w:left="225" w:right="0" w:hanging="225"/>
              <w:rPr/>
            </w:pPr>
            <w:r>
              <w:rPr/>
              <w:t> </w:t>
            </w:r>
          </w:p>
        </w:tc>
        <w:tc>
          <w:tcPr>
            <w:tcW w:w="375" w:type="dxa"/>
            <w:tcBorders/>
            <w:shd w:fill="auto" w:val="clear"/>
            <w:vAlign w:val="center"/>
          </w:tcPr>
          <w:p>
            <w:pPr>
              <w:pStyle w:val="TableContents"/>
              <w:spacing w:before="0" w:after="283"/>
              <w:rPr/>
            </w:pPr>
            <w:r>
              <w:rPr/>
              <w:t> </w:t>
            </w:r>
          </w:p>
        </w:tc>
        <w:tc>
          <w:tcPr>
            <w:tcW w:w="15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0"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5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5912" w:type="dxa"/>
            <w:tcBorders/>
            <w:shd w:fill="auto" w:val="clear"/>
            <w:vAlign w:val="bottom"/>
          </w:tcPr>
          <w:p>
            <w:pPr>
              <w:pStyle w:val="TableContents"/>
              <w:spacing w:before="0" w:after="0"/>
              <w:ind w:left="675" w:right="0" w:hanging="225"/>
              <w:rPr/>
            </w:pPr>
            <w:r>
              <w:rPr/>
              <w:t>Income taxes</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w:t>
            </w:r>
          </w:p>
        </w:tc>
        <w:tc>
          <w:tcPr>
            <w:tcW w:w="1294" w:type="dxa"/>
            <w:tcBorders/>
            <w:shd w:fill="auto" w:val="clear"/>
            <w:vAlign w:val="bottom"/>
          </w:tcPr>
          <w:p>
            <w:pPr>
              <w:pStyle w:val="TableContents"/>
              <w:spacing w:before="0" w:after="283"/>
              <w:jc w:val="right"/>
              <w:rPr/>
            </w:pPr>
            <w:r>
              <w:rPr/>
              <w:t>2</w:t>
            </w:r>
          </w:p>
        </w:tc>
        <w:tc>
          <w:tcPr>
            <w:tcW w:w="210"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w:t>
            </w:r>
          </w:p>
        </w:tc>
        <w:tc>
          <w:tcPr>
            <w:tcW w:w="1296" w:type="dxa"/>
            <w:tcBorders/>
            <w:shd w:fill="auto" w:val="clear"/>
            <w:vAlign w:val="bottom"/>
          </w:tcPr>
          <w:p>
            <w:pPr>
              <w:pStyle w:val="TableContents"/>
              <w:spacing w:before="0" w:after="283"/>
              <w:jc w:val="right"/>
              <w:rPr/>
            </w:pPr>
            <w:r>
              <w:rPr/>
              <w:t>17</w:t>
            </w:r>
          </w:p>
        </w:tc>
        <w:tc>
          <w:tcPr>
            <w:tcW w:w="142" w:type="dxa"/>
            <w:tcBorders/>
            <w:shd w:fill="auto" w:val="clear"/>
            <w:vAlign w:val="bottom"/>
          </w:tcPr>
          <w:p>
            <w:pPr>
              <w:pStyle w:val="TableContents"/>
              <w:spacing w:before="0" w:after="283"/>
              <w:rPr/>
            </w:pPr>
            <w:r>
              <w:rPr/>
              <w:t> </w:t>
            </w:r>
          </w:p>
        </w:tc>
      </w:tr>
      <w:tr>
        <w:trPr/>
        <w:tc>
          <w:tcPr>
            <w:tcW w:w="5912" w:type="dxa"/>
            <w:tcBorders/>
            <w:shd w:fill="auto" w:val="clear"/>
            <w:vAlign w:val="center"/>
          </w:tcPr>
          <w:p>
            <w:pPr>
              <w:pStyle w:val="TableContents"/>
              <w:spacing w:before="0" w:after="0"/>
              <w:ind w:left="225" w:right="0" w:hanging="225"/>
              <w:rPr/>
            </w:pPr>
            <w:r>
              <w:rPr/>
              <w:t> </w:t>
            </w:r>
          </w:p>
        </w:tc>
        <w:tc>
          <w:tcPr>
            <w:tcW w:w="375" w:type="dxa"/>
            <w:tcBorders/>
            <w:shd w:fill="auto" w:val="clear"/>
            <w:vAlign w:val="center"/>
          </w:tcPr>
          <w:p>
            <w:pPr>
              <w:pStyle w:val="TableContents"/>
              <w:spacing w:before="0" w:after="283"/>
              <w:rPr/>
            </w:pPr>
            <w:r>
              <w:rPr/>
              <w:t> </w:t>
            </w:r>
          </w:p>
        </w:tc>
        <w:tc>
          <w:tcPr>
            <w:tcW w:w="15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0"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5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2" w:type="dxa"/>
            <w:tcBorders/>
            <w:shd w:fill="auto" w:val="clear"/>
            <w:vAlign w:val="center"/>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225" w:right="0" w:hanging="225"/>
              <w:rPr>
                <w:b/>
              </w:rPr>
            </w:pPr>
            <w:r>
              <w:rPr>
                <w:b/>
              </w:rPr>
              <w:t>Noncash Investing and Financing Activities:</w:t>
            </w:r>
          </w:p>
        </w:tc>
        <w:tc>
          <w:tcPr>
            <w:tcW w:w="37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4"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5912" w:type="dxa"/>
            <w:tcBorders/>
            <w:shd w:fill="auto" w:val="clear"/>
            <w:vAlign w:val="bottom"/>
          </w:tcPr>
          <w:p>
            <w:pPr>
              <w:pStyle w:val="TableContents"/>
              <w:spacing w:before="0" w:after="0"/>
              <w:ind w:left="225" w:right="0" w:hanging="225"/>
              <w:rPr/>
            </w:pPr>
            <w:r>
              <w:rPr/>
              <w:t>Tax receivable increase related to stock option exercise</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w:t>
            </w:r>
          </w:p>
        </w:tc>
        <w:tc>
          <w:tcPr>
            <w:tcW w:w="1294" w:type="dxa"/>
            <w:tcBorders/>
            <w:shd w:fill="auto" w:val="clear"/>
            <w:vAlign w:val="bottom"/>
          </w:tcPr>
          <w:p>
            <w:pPr>
              <w:pStyle w:val="TableContents"/>
              <w:spacing w:before="0" w:after="283"/>
              <w:jc w:val="right"/>
              <w:rPr/>
            </w:pPr>
            <w:r>
              <w:rPr/>
              <w:t>36</w:t>
            </w:r>
          </w:p>
        </w:tc>
        <w:tc>
          <w:tcPr>
            <w:tcW w:w="210"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5912" w:type="dxa"/>
            <w:tcBorders/>
            <w:shd w:fill="auto" w:val="clear"/>
            <w:vAlign w:val="center"/>
          </w:tcPr>
          <w:p>
            <w:pPr>
              <w:pStyle w:val="TableContents"/>
              <w:spacing w:before="0" w:after="0"/>
              <w:ind w:left="225" w:right="0" w:hanging="225"/>
              <w:rPr/>
            </w:pPr>
            <w:r>
              <w:rPr/>
              <w:t> </w:t>
            </w:r>
          </w:p>
        </w:tc>
        <w:tc>
          <w:tcPr>
            <w:tcW w:w="375" w:type="dxa"/>
            <w:tcBorders/>
            <w:shd w:fill="auto" w:val="clear"/>
            <w:vAlign w:val="center"/>
          </w:tcPr>
          <w:p>
            <w:pPr>
              <w:pStyle w:val="TableContents"/>
              <w:spacing w:before="0" w:after="283"/>
              <w:rPr/>
            </w:pPr>
            <w:r>
              <w:rPr/>
              <w:t> </w:t>
            </w:r>
          </w:p>
        </w:tc>
        <w:tc>
          <w:tcPr>
            <w:tcW w:w="15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0"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278" w:type="dxa"/>
            <w:tcBorders/>
            <w:shd w:fill="auto" w:val="clear"/>
            <w:vAlign w:val="center"/>
          </w:tcPr>
          <w:p>
            <w:pPr>
              <w:pStyle w:val="TableContents"/>
              <w:spacing w:before="0" w:after="283"/>
              <w:rPr/>
            </w:pPr>
            <w:r>
              <w:rPr/>
              <w:t> </w:t>
            </w:r>
          </w:p>
        </w:tc>
        <w:tc>
          <w:tcPr>
            <w:tcW w:w="1296"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r>
      <w:tr>
        <w:trPr/>
        <w:tc>
          <w:tcPr>
            <w:tcW w:w="5912" w:type="dxa"/>
            <w:tcBorders/>
            <w:shd w:fill="CCEEFF" w:val="clear"/>
            <w:vAlign w:val="bottom"/>
          </w:tcPr>
          <w:p>
            <w:pPr>
              <w:pStyle w:val="TableContents"/>
              <w:spacing w:before="0" w:after="0"/>
              <w:ind w:left="225" w:right="0" w:hanging="225"/>
              <w:rPr/>
            </w:pPr>
            <w:r>
              <w:rPr/>
              <w:t>Construction in progress included in trade accounts payable and accrued expenses</w:t>
            </w:r>
          </w:p>
        </w:tc>
        <w:tc>
          <w:tcPr>
            <w:tcW w:w="375"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jc w:val="left"/>
              <w:rPr/>
            </w:pPr>
            <w:r>
              <w:rPr/>
              <w:t>$</w:t>
            </w:r>
          </w:p>
        </w:tc>
        <w:tc>
          <w:tcPr>
            <w:tcW w:w="1294" w:type="dxa"/>
            <w:tcBorders/>
            <w:shd w:fill="CCEEFF" w:val="clear"/>
            <w:vAlign w:val="bottom"/>
          </w:tcPr>
          <w:p>
            <w:pPr>
              <w:pStyle w:val="TableContents"/>
              <w:spacing w:before="0" w:after="283"/>
              <w:jc w:val="right"/>
              <w:rPr/>
            </w:pPr>
            <w:r>
              <w:rPr/>
              <w:t>157</w:t>
            </w:r>
          </w:p>
        </w:tc>
        <w:tc>
          <w:tcPr>
            <w:tcW w:w="210"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78" w:type="dxa"/>
            <w:tcBorders/>
            <w:shd w:fill="CCEEFF" w:val="clear"/>
            <w:vAlign w:val="bottom"/>
          </w:tcPr>
          <w:p>
            <w:pPr>
              <w:pStyle w:val="TableContents"/>
              <w:spacing w:before="0" w:after="283"/>
              <w:rPr/>
            </w:pPr>
            <w:r>
              <w:rPr/>
              <w:t> </w:t>
            </w:r>
          </w:p>
        </w:tc>
        <w:tc>
          <w:tcPr>
            <w:tcW w:w="1296"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 </w:t>
            </w:r>
          </w:p>
        </w:tc>
      </w:tr>
      <w:tr>
        <w:trPr/>
        <w:tc>
          <w:tcPr>
            <w:tcW w:w="5912" w:type="dxa"/>
            <w:tcBorders/>
            <w:shd w:fill="auto" w:val="clear"/>
            <w:vAlign w:val="center"/>
          </w:tcPr>
          <w:p>
            <w:pPr>
              <w:pStyle w:val="TableContents"/>
              <w:spacing w:before="0" w:after="0"/>
              <w:ind w:left="225" w:right="0" w:hanging="225"/>
              <w:rPr/>
            </w:pPr>
            <w:r>
              <w:rPr/>
              <w:t> </w:t>
            </w:r>
          </w:p>
        </w:tc>
        <w:tc>
          <w:tcPr>
            <w:tcW w:w="375" w:type="dxa"/>
            <w:tcBorders/>
            <w:shd w:fill="auto" w:val="clear"/>
            <w:vAlign w:val="center"/>
          </w:tcPr>
          <w:p>
            <w:pPr>
              <w:pStyle w:val="TableContents"/>
              <w:spacing w:before="0" w:after="283"/>
              <w:rPr/>
            </w:pPr>
            <w:r>
              <w:rPr/>
              <w:t> </w:t>
            </w:r>
          </w:p>
        </w:tc>
        <w:tc>
          <w:tcPr>
            <w:tcW w:w="15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0"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278" w:type="dxa"/>
            <w:tcBorders/>
            <w:shd w:fill="auto" w:val="clear"/>
            <w:vAlign w:val="center"/>
          </w:tcPr>
          <w:p>
            <w:pPr>
              <w:pStyle w:val="TableContents"/>
              <w:spacing w:before="0" w:after="283"/>
              <w:rPr/>
            </w:pPr>
            <w:r>
              <w:rPr/>
              <w:t> </w:t>
            </w:r>
          </w:p>
        </w:tc>
        <w:tc>
          <w:tcPr>
            <w:tcW w:w="1296"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r>
      <w:tr>
        <w:trPr/>
        <w:tc>
          <w:tcPr>
            <w:tcW w:w="5912" w:type="dxa"/>
            <w:tcBorders/>
            <w:shd w:fill="auto" w:val="clear"/>
            <w:vAlign w:val="bottom"/>
          </w:tcPr>
          <w:p>
            <w:pPr>
              <w:pStyle w:val="TableContents"/>
              <w:spacing w:before="0" w:after="0"/>
              <w:ind w:left="225" w:right="0" w:hanging="225"/>
              <w:rPr/>
            </w:pPr>
            <w:r>
              <w:rPr/>
              <w:t>Unrealized holding losses</w:t>
            </w:r>
          </w:p>
        </w:tc>
        <w:tc>
          <w:tcPr>
            <w:tcW w:w="375"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jc w:val="left"/>
              <w:rPr/>
            </w:pPr>
            <w:r>
              <w:rPr/>
              <w:t>$</w:t>
            </w:r>
          </w:p>
        </w:tc>
        <w:tc>
          <w:tcPr>
            <w:tcW w:w="1294" w:type="dxa"/>
            <w:tcBorders/>
            <w:shd w:fill="auto" w:val="clear"/>
            <w:vAlign w:val="bottom"/>
          </w:tcPr>
          <w:p>
            <w:pPr>
              <w:pStyle w:val="TableContents"/>
              <w:spacing w:before="0" w:after="283"/>
              <w:jc w:val="right"/>
              <w:rPr/>
            </w:pPr>
            <w:r>
              <w:rPr/>
              <w:t>6,050</w:t>
            </w:r>
          </w:p>
        </w:tc>
        <w:tc>
          <w:tcPr>
            <w:tcW w:w="210"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296"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r>
      <w:tr>
        <w:trPr/>
        <w:tc>
          <w:tcPr>
            <w:tcW w:w="5912" w:type="dxa"/>
            <w:tcBorders/>
            <w:shd w:fill="auto" w:val="clear"/>
            <w:vAlign w:val="center"/>
          </w:tcPr>
          <w:p>
            <w:pPr>
              <w:pStyle w:val="TableContents"/>
              <w:spacing w:before="0" w:after="0"/>
              <w:ind w:left="225" w:right="0" w:hanging="225"/>
              <w:rPr/>
            </w:pPr>
            <w:r>
              <w:rPr/>
              <w:t> </w:t>
            </w:r>
          </w:p>
        </w:tc>
        <w:tc>
          <w:tcPr>
            <w:tcW w:w="375" w:type="dxa"/>
            <w:tcBorders/>
            <w:shd w:fill="auto" w:val="clear"/>
            <w:vAlign w:val="center"/>
          </w:tcPr>
          <w:p>
            <w:pPr>
              <w:pStyle w:val="TableContents"/>
              <w:spacing w:before="0" w:after="283"/>
              <w:rPr/>
            </w:pPr>
            <w:r>
              <w:rPr/>
              <w:t> </w:t>
            </w:r>
          </w:p>
        </w:tc>
        <w:tc>
          <w:tcPr>
            <w:tcW w:w="15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0"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278" w:type="dxa"/>
            <w:tcBorders/>
            <w:shd w:fill="auto" w:val="clear"/>
            <w:vAlign w:val="center"/>
          </w:tcPr>
          <w:p>
            <w:pPr>
              <w:pStyle w:val="TableContents"/>
              <w:spacing w:before="0" w:after="283"/>
              <w:rPr/>
            </w:pPr>
            <w:r>
              <w:rPr/>
              <w:t> </w:t>
            </w:r>
          </w:p>
        </w:tc>
        <w:tc>
          <w:tcPr>
            <w:tcW w:w="1296"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See accompanying notes to consolidated condensed financial statements.</w:t>
      </w:r>
      <w:r>
        <w:rPr>
          <w:rFonts w:ascii="Times New Roman;Times;serif" w:hAnsi="Times New Roman;Times;serif"/>
          <w:sz w:val="17"/>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bookmarkStart w:id="9" w:name="107"/>
      <w:bookmarkEnd w:id="9"/>
      <w:r>
        <w:rPr>
          <w:rFonts w:ascii="Times New Roman;Times;serif" w:hAnsi="Times New Roman;Times;serif"/>
          <w:b/>
          <w:sz w:val="17"/>
        </w:rPr>
        <w:t>NOTES TO CONSOLIDATED CONDENSED FINANCIAL STATEMENTS (UNAUDITED)</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1. Description of the business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Business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Calavo Growers, Inc. (Calavo, the Company, we, us or our) procures and markets avocados and other perishable commodities and prepares and distributes processed avocado products. Our expertise in marketing and distributing avocados, processed avocados, and other perishable foods allows us to deliver a wide array of fresh and processed food products to food distributors, produce wholesalers, supermarkets, and restaurants on a worldwide basis. Through our three operating facilities in southern California and two facilities in Mexico, we sort and pack avocados procured in California and Mexico and prepare processed avocado products. Additionally, we procure avocados internationally, principally from Mexico, Chile, and the Dominican Republic, and distribute other perishable foods, such as Hawaiian grown papayas. We report these operations in three different business segments: (1) California avocados, (2) international avocados and perishable food products and (3) processed products. </w:t>
      </w:r>
    </w:p>
    <w:p>
      <w:pPr>
        <w:pStyle w:val="TextBody"/>
        <w:spacing w:before="120" w:after="283"/>
        <w:jc w:val="left"/>
        <w:rPr/>
      </w:pPr>
      <w:r>
        <w:rPr/>
        <w:t>     </w:t>
      </w:r>
      <w:r>
        <w:rPr>
          <w:rFonts w:ascii="Times New Roman;Times;serif" w:hAnsi="Times New Roman;Times;serif"/>
          <w:sz w:val="17"/>
        </w:rPr>
        <w:t xml:space="preserve">The accompanying consolidated condensed financial statements are unaudited. In the opinion of management, the accompanying consolidated condensed financial statements contain all adjustments necessary to present fairly our financial position, results of operations, and cash flows. Such adjustments consist of adjustments of a normal recurring nature. Interim results are subject to significant seasonal variations and are not necessarily indicative of the results of operations for a full year. Our operations are sensitive to a number of factors, including weather-related phenomena and their effects on industry volumes, prices, product quality, and costs. Operations are also sensitive to fluctuations in currency exchange rates in both sourcing and selling locations, as well as economic crises and security risks in developing countries. These statements should also be read in conjunction with the consolidated financial statements and notes thereto included in our Annual Report on Form 10-K for the fiscal year ended October 31, 2005.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Recent Accounting Standards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November 2005, the Financial Accounting Standards Board (FASB) issued FASB Staff Position (FSP) FAS 115-1/124-1, </w:t>
      </w:r>
      <w:r>
        <w:rPr>
          <w:rFonts w:ascii="Times New Roman;Times;serif" w:hAnsi="Times New Roman;Times;serif"/>
          <w:i/>
          <w:sz w:val="17"/>
        </w:rPr>
        <w:t>The Meaning of Other-Than-Temporary Impairment and Its Application to Certain Investments</w:t>
      </w:r>
      <w:r>
        <w:rPr>
          <w:rFonts w:ascii="Times New Roman;Times;serif" w:hAnsi="Times New Roman;Times;serif"/>
          <w:sz w:val="17"/>
        </w:rPr>
        <w:t xml:space="preserve">. This FSP addresses the determination as to when an investment is considered impaired, whether that impairment is other than temporary, and the measurement of an impairment loss. This FSP also includes accounting considerations subsequent to the recognition of an other-than-temporary impairment and requires certain disclosures about unrealized losses that have not been recognized as other-than-temporary impairments. The guidance in this FSP amends SFAS No. 115, </w:t>
      </w:r>
      <w:r>
        <w:rPr>
          <w:rFonts w:ascii="Times New Roman;Times;serif" w:hAnsi="Times New Roman;Times;serif"/>
          <w:i/>
          <w:sz w:val="17"/>
        </w:rPr>
        <w:t>Accounting for Certain Investments in Debt and Equity Securities</w:t>
      </w:r>
      <w:r>
        <w:rPr>
          <w:rFonts w:ascii="Times New Roman;Times;serif" w:hAnsi="Times New Roman;Times;serif"/>
          <w:sz w:val="17"/>
        </w:rPr>
        <w:t xml:space="preserve">, SFAS No. 124, </w:t>
      </w:r>
      <w:r>
        <w:rPr>
          <w:rFonts w:ascii="Times New Roman;Times;serif" w:hAnsi="Times New Roman;Times;serif"/>
          <w:i/>
          <w:sz w:val="17"/>
        </w:rPr>
        <w:t>Accounting for Certain Investments Held by Not-for-Profit Organizations</w:t>
      </w:r>
      <w:r>
        <w:rPr>
          <w:rFonts w:ascii="Times New Roman;Times;serif" w:hAnsi="Times New Roman;Times;serif"/>
          <w:sz w:val="17"/>
        </w:rPr>
        <w:t xml:space="preserve">, and Accounting Principles Board (APB) Opinion No. 18, </w:t>
      </w:r>
      <w:r>
        <w:rPr>
          <w:rFonts w:ascii="Times New Roman;Times;serif" w:hAnsi="Times New Roman;Times;serif"/>
          <w:i/>
          <w:sz w:val="17"/>
        </w:rPr>
        <w:t>The Equity Method of Accounting for Investments in Common Stock</w:t>
      </w:r>
      <w:r>
        <w:rPr>
          <w:rFonts w:ascii="Times New Roman;Times;serif" w:hAnsi="Times New Roman;Times;serif"/>
          <w:sz w:val="17"/>
        </w:rPr>
        <w:t xml:space="preserve">. This FSP is effective for reporting periods beginning after December 15, 2005. We do not expect that the adoption of this FSP will have a material impact on its financial position or results of operations. </w:t>
      </w:r>
    </w:p>
    <w:p>
      <w:pPr>
        <w:pStyle w:val="TextBody"/>
        <w:spacing w:before="120" w:after="283"/>
        <w:jc w:val="left"/>
        <w:rPr/>
      </w:pPr>
      <w:r>
        <w:rPr/>
        <w:t>     </w:t>
      </w:r>
      <w:r>
        <w:rPr>
          <w:rFonts w:ascii="Times New Roman;Times;serif" w:hAnsi="Times New Roman;Times;serif"/>
          <w:sz w:val="17"/>
        </w:rPr>
        <w:t xml:space="preserve">In May 2005, the FASB issued SFAS 154, </w:t>
      </w:r>
      <w:r>
        <w:rPr>
          <w:rFonts w:ascii="Times New Roman;Times;serif" w:hAnsi="Times New Roman;Times;serif"/>
          <w:i/>
          <w:sz w:val="17"/>
        </w:rPr>
        <w:t>Accounting changes and Error Corrections</w:t>
      </w:r>
      <w:r>
        <w:rPr>
          <w:rFonts w:ascii="Times New Roman;Times;serif" w:hAnsi="Times New Roman;Times;serif"/>
          <w:sz w:val="17"/>
        </w:rPr>
        <w:t xml:space="preserve">, which replaces APB Opinion No. 20, </w:t>
      </w:r>
      <w:r>
        <w:rPr>
          <w:rFonts w:ascii="Times New Roman;Times;serif" w:hAnsi="Times New Roman;Times;serif"/>
          <w:i/>
          <w:sz w:val="17"/>
        </w:rPr>
        <w:t>Accounting Changes</w:t>
      </w:r>
      <w:r>
        <w:rPr>
          <w:rFonts w:ascii="Times New Roman;Times;serif" w:hAnsi="Times New Roman;Times;serif"/>
          <w:sz w:val="17"/>
        </w:rPr>
        <w:t xml:space="preserve">, and SFAS No. 3, </w:t>
      </w:r>
      <w:r>
        <w:rPr>
          <w:rFonts w:ascii="Times New Roman;Times;serif" w:hAnsi="Times New Roman;Times;serif"/>
          <w:i/>
          <w:sz w:val="17"/>
        </w:rPr>
        <w:t>Reporting Accounting Changes in Interim Financial Statements</w:t>
      </w:r>
      <w:r>
        <w:rPr>
          <w:rFonts w:ascii="Times New Roman;Times;serif" w:hAnsi="Times New Roman;Times;serif"/>
          <w:sz w:val="17"/>
        </w:rPr>
        <w:t xml:space="preserve">. SFAS No. 154 applies to all voluntary changes in accounting principles and requires retrospective application (a term defined by the statement) to prior periods financial statements, unless it is impracticable to determine the effect of a change. It also applies to changes required by an accounting pronouncement that does not include specific transition provisions. SFAS No. 154 is effective for accounting changes and corrections of errors made in fiscal years beginning after December 15, 2005. We will adopt SFAS No. 154 as of the beginning of fiscal 2007 and do not expect that the adoption of SFAS No. 154 will have a material impact on our financial condition of results of operations.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Stock-Based Compensation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December 2004, the FASB issued SFAS No. 123(R), </w:t>
      </w:r>
      <w:r>
        <w:rPr>
          <w:rFonts w:ascii="Times New Roman;Times;serif" w:hAnsi="Times New Roman;Times;serif"/>
          <w:i/>
          <w:sz w:val="17"/>
        </w:rPr>
        <w:t>Share-Based Payment</w:t>
      </w:r>
      <w:r>
        <w:rPr>
          <w:rFonts w:ascii="Times New Roman;Times;serif" w:hAnsi="Times New Roman;Times;serif"/>
          <w:sz w:val="17"/>
        </w:rPr>
        <w:t xml:space="preserve">. This pronouncement amends SFAS No. 123, </w:t>
      </w:r>
      <w:r>
        <w:rPr>
          <w:rFonts w:ascii="Times New Roman;Times;serif" w:hAnsi="Times New Roman;Times;serif"/>
          <w:i/>
          <w:sz w:val="17"/>
        </w:rPr>
        <w:t>Accounting for Stock-Based Compensation</w:t>
      </w:r>
      <w:r>
        <w:rPr>
          <w:rFonts w:ascii="Times New Roman;Times;serif" w:hAnsi="Times New Roman;Times;serif"/>
          <w:sz w:val="17"/>
        </w:rPr>
        <w:t xml:space="preserve">, and supersedes APB Opinion No. 25, </w:t>
      </w:r>
      <w:r>
        <w:rPr>
          <w:rFonts w:ascii="Times New Roman;Times;serif" w:hAnsi="Times New Roman;Times;serif"/>
          <w:i/>
          <w:sz w:val="17"/>
        </w:rPr>
        <w:t>Accounting for Stock Issued to Employees</w:t>
      </w:r>
      <w:r>
        <w:rPr>
          <w:rFonts w:ascii="Times New Roman;Times;serif" w:hAnsi="Times New Roman;Times;serif"/>
          <w:sz w:val="17"/>
        </w:rPr>
        <w:t xml:space="preserve">. SFAS No. 123(R) requires that companies account for awards of equity instruments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CONDENSED FINANCIAL STATEMENTS (UNAUDITED)</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issued to employees under the fair value method of accounting and recognize such amounts in their statements of operations. We adopted SFAS No. 123(R) on November 1, 2005 using the modified prospective method and, accordingly, have not restated the consolidated statements of operations for prior interim periods or fiscal years. Under SFAS No. 123(R), we are required to measure compensation cost for all stock-based awards at fair value on the date of grant and recognize compensation expense in our consolidated statements of operations over the service period that the awards are expected to vest. </w:t>
      </w:r>
    </w:p>
    <w:p>
      <w:pPr>
        <w:pStyle w:val="TextBody"/>
        <w:spacing w:before="120" w:after="283"/>
        <w:jc w:val="left"/>
        <w:rPr/>
      </w:pPr>
      <w:r>
        <w:rPr/>
        <w:t>     </w:t>
      </w:r>
      <w:r>
        <w:rPr>
          <w:rFonts w:ascii="Times New Roman;Times;serif" w:hAnsi="Times New Roman;Times;serif"/>
          <w:sz w:val="17"/>
        </w:rPr>
        <w:t xml:space="preserve">Prior to the adoption of SFAS No. 123(R), we accounted for employee stock-based compensation using the intrinsic value method in accordance with APB Opinion No. 25, as permitted by SFAS No. 123 and SFAS No. 148, </w:t>
      </w:r>
      <w:r>
        <w:rPr>
          <w:rFonts w:ascii="Times New Roman;Times;serif" w:hAnsi="Times New Roman;Times;serif"/>
          <w:i/>
          <w:sz w:val="17"/>
        </w:rPr>
        <w:t>Accounting for Stock-Based Compensation  Transition and Disclosure</w:t>
      </w:r>
      <w:r>
        <w:rPr>
          <w:rFonts w:ascii="Times New Roman;Times;serif" w:hAnsi="Times New Roman;Times;serif"/>
          <w:sz w:val="17"/>
        </w:rPr>
        <w:t xml:space="preserve">. Under the intrinsic value method, the difference between the market price on the date of grant and the exercise price is charged to the statement of operations over the vesting period. Prior to the adoption of SFAS No. 123(R), we recognized compensation cost only for stock options issued with exercise prices set below market prices on the date of grant and provided the necessary pro forma disclosures required under SFAS No. 123. </w:t>
      </w:r>
    </w:p>
    <w:p>
      <w:pPr>
        <w:pStyle w:val="TextBody"/>
        <w:spacing w:before="120" w:after="283"/>
        <w:jc w:val="left"/>
        <w:rPr/>
      </w:pPr>
      <w:r>
        <w:rPr/>
        <w:t>     </w:t>
      </w:r>
      <w:r>
        <w:rPr>
          <w:rFonts w:ascii="Times New Roman;Times;serif" w:hAnsi="Times New Roman;Times;serif"/>
          <w:sz w:val="17"/>
        </w:rPr>
        <w:t xml:space="preserve">During the three months ended January 31, 2005, we recognized compensation expense of $13,000 for stock options under APB Opinion No. 25, which was charged to the consolidated statement of operations. For the three months ended January 31, 2005, had stock-based compensation been accounted for based on the estimated grant date fair values, as defined by SFAS No. 123, the Companys net loss and net loss per share would have been the following pro forma amounts (in thousands, except per share amounts): </w:t>
      </w:r>
    </w:p>
    <w:tbl>
      <w:tblPr>
        <w:tblW w:w="5000" w:type="pct"/>
        <w:jc w:val="center"/>
        <w:tblInd w:w="0" w:type="dxa"/>
        <w:tblCellMar>
          <w:top w:w="0" w:type="dxa"/>
          <w:left w:w="0" w:type="dxa"/>
          <w:bottom w:w="0" w:type="dxa"/>
          <w:right w:w="0" w:type="dxa"/>
        </w:tblCellMar>
      </w:tblPr>
      <w:tblGrid>
        <w:gridCol w:w="7382"/>
        <w:gridCol w:w="413"/>
        <w:gridCol w:w="400"/>
        <w:gridCol w:w="1855"/>
        <w:gridCol w:w="155"/>
      </w:tblGrid>
      <w:tr>
        <w:trPr/>
        <w:tc>
          <w:tcPr>
            <w:tcW w:w="7382"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85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7382"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2255" w:type="dxa"/>
            <w:gridSpan w:val="2"/>
            <w:tcBorders/>
            <w:shd w:fill="auto" w:val="clear"/>
            <w:vAlign w:val="bottom"/>
          </w:tcPr>
          <w:p>
            <w:pPr>
              <w:pStyle w:val="TableContents"/>
              <w:spacing w:before="0" w:after="283"/>
              <w:jc w:val="center"/>
              <w:rPr>
                <w:b/>
              </w:rPr>
            </w:pPr>
            <w:r>
              <w:rPr>
                <w:b/>
              </w:rPr>
              <w:t>Three months ended,</w:t>
            </w:r>
          </w:p>
        </w:tc>
        <w:tc>
          <w:tcPr>
            <w:tcW w:w="155" w:type="dxa"/>
            <w:tcBorders/>
            <w:shd w:fill="auto" w:val="clear"/>
            <w:vAlign w:val="bottom"/>
          </w:tcPr>
          <w:p>
            <w:pPr>
              <w:pStyle w:val="TableContents"/>
              <w:spacing w:before="0" w:after="283"/>
              <w:rPr/>
            </w:pPr>
            <w:r>
              <w:rPr/>
              <w:t> </w:t>
            </w:r>
          </w:p>
        </w:tc>
      </w:tr>
      <w:tr>
        <w:trPr/>
        <w:tc>
          <w:tcPr>
            <w:tcW w:w="7382" w:type="dxa"/>
            <w:tcBorders/>
            <w:shd w:fill="auto" w:val="clear"/>
            <w:vAlign w:val="bottom"/>
          </w:tcPr>
          <w:p>
            <w:pPr>
              <w:pStyle w:val="TableContents"/>
              <w:spacing w:before="0" w:after="283"/>
              <w:rPr/>
            </w:pPr>
            <w:r>
              <w:rPr/>
              <w:t> </w:t>
            </w:r>
          </w:p>
        </w:tc>
        <w:tc>
          <w:tcPr>
            <w:tcW w:w="413" w:type="dxa"/>
            <w:tcBorders/>
            <w:shd w:fill="auto" w:val="clear"/>
            <w:vAlign w:val="bottom"/>
          </w:tcPr>
          <w:p>
            <w:pPr>
              <w:pStyle w:val="TableContents"/>
              <w:spacing w:before="0" w:after="283"/>
              <w:rPr/>
            </w:pPr>
            <w:r>
              <w:rPr/>
              <w:t> </w:t>
            </w:r>
          </w:p>
        </w:tc>
        <w:tc>
          <w:tcPr>
            <w:tcW w:w="22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January 31, 2005</w:t>
            </w:r>
          </w:p>
        </w:tc>
        <w:tc>
          <w:tcPr>
            <w:tcW w:w="155" w:type="dxa"/>
            <w:tcBorders/>
            <w:shd w:fill="auto" w:val="clear"/>
            <w:vAlign w:val="bottom"/>
          </w:tcPr>
          <w:p>
            <w:pPr>
              <w:pStyle w:val="TableContents"/>
              <w:spacing w:before="0" w:after="283"/>
              <w:rPr/>
            </w:pPr>
            <w:r>
              <w:rPr/>
              <w:t> </w:t>
            </w:r>
          </w:p>
        </w:tc>
      </w:tr>
      <w:tr>
        <w:trPr/>
        <w:tc>
          <w:tcPr>
            <w:tcW w:w="7382" w:type="dxa"/>
            <w:tcBorders/>
            <w:shd w:fill="CCEEFF" w:val="clear"/>
            <w:vAlign w:val="bottom"/>
          </w:tcPr>
          <w:p>
            <w:pPr>
              <w:pStyle w:val="TableContents"/>
              <w:spacing w:before="0" w:after="0"/>
              <w:ind w:left="225" w:right="0" w:hanging="225"/>
              <w:rPr/>
            </w:pPr>
            <w:r>
              <w:rPr/>
              <w:t>Net loss:</w:t>
            </w:r>
          </w:p>
        </w:tc>
        <w:tc>
          <w:tcPr>
            <w:tcW w:w="413"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185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r>
      <w:tr>
        <w:trPr/>
        <w:tc>
          <w:tcPr>
            <w:tcW w:w="7382" w:type="dxa"/>
            <w:tcBorders/>
            <w:shd w:fill="auto" w:val="clear"/>
            <w:vAlign w:val="bottom"/>
          </w:tcPr>
          <w:p>
            <w:pPr>
              <w:pStyle w:val="TableContents"/>
              <w:spacing w:before="0" w:after="0"/>
              <w:ind w:left="225" w:right="0" w:hanging="225"/>
              <w:rPr/>
            </w:pPr>
            <w:r>
              <w:rPr/>
              <w:t>As reported</w:t>
            </w:r>
          </w:p>
        </w:tc>
        <w:tc>
          <w:tcPr>
            <w:tcW w:w="413"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left"/>
              <w:rPr/>
            </w:pPr>
            <w:r>
              <w:rPr/>
              <w:t>$</w:t>
            </w:r>
          </w:p>
        </w:tc>
        <w:tc>
          <w:tcPr>
            <w:tcW w:w="1855" w:type="dxa"/>
            <w:tcBorders/>
            <w:shd w:fill="auto" w:val="clear"/>
            <w:vAlign w:val="bottom"/>
          </w:tcPr>
          <w:p>
            <w:pPr>
              <w:pStyle w:val="TableContents"/>
              <w:spacing w:before="0" w:after="283"/>
              <w:jc w:val="right"/>
              <w:rPr/>
            </w:pPr>
            <w:r>
              <w:rPr/>
              <w:t>(1,547</w:t>
            </w:r>
          </w:p>
        </w:tc>
        <w:tc>
          <w:tcPr>
            <w:tcW w:w="155" w:type="dxa"/>
            <w:tcBorders/>
            <w:shd w:fill="auto" w:val="clear"/>
            <w:vAlign w:val="bottom"/>
          </w:tcPr>
          <w:p>
            <w:pPr>
              <w:pStyle w:val="TableContents"/>
              <w:spacing w:before="0" w:after="283"/>
              <w:rPr/>
            </w:pPr>
            <w:r>
              <w:rPr/>
              <w:t>)</w:t>
            </w:r>
          </w:p>
        </w:tc>
      </w:tr>
      <w:tr>
        <w:trPr/>
        <w:tc>
          <w:tcPr>
            <w:tcW w:w="7382" w:type="dxa"/>
            <w:tcBorders/>
            <w:shd w:fill="CCEEFF" w:val="clear"/>
            <w:vAlign w:val="bottom"/>
          </w:tcPr>
          <w:p>
            <w:pPr>
              <w:pStyle w:val="TableContents"/>
              <w:spacing w:before="0" w:after="0"/>
              <w:ind w:left="225" w:right="0" w:hanging="225"/>
              <w:rPr/>
            </w:pPr>
            <w:r>
              <w:rPr/>
              <w:t>Add: Total stock-based compensation expense determined under APB 25 and related interpretations, net of tax effects</w:t>
            </w:r>
          </w:p>
        </w:tc>
        <w:tc>
          <w:tcPr>
            <w:tcW w:w="413"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1855" w:type="dxa"/>
            <w:tcBorders/>
            <w:shd w:fill="CCEEFF" w:val="clear"/>
            <w:vAlign w:val="bottom"/>
          </w:tcPr>
          <w:p>
            <w:pPr>
              <w:pStyle w:val="TableContents"/>
              <w:spacing w:before="0" w:after="283"/>
              <w:jc w:val="right"/>
              <w:rPr/>
            </w:pPr>
            <w:r>
              <w:rPr/>
              <w:t>8</w:t>
            </w:r>
          </w:p>
        </w:tc>
        <w:tc>
          <w:tcPr>
            <w:tcW w:w="155" w:type="dxa"/>
            <w:tcBorders/>
            <w:shd w:fill="CCEEFF" w:val="clear"/>
            <w:vAlign w:val="bottom"/>
          </w:tcPr>
          <w:p>
            <w:pPr>
              <w:pStyle w:val="TableContents"/>
              <w:spacing w:before="0" w:after="283"/>
              <w:rPr/>
            </w:pPr>
            <w:r>
              <w:rPr/>
              <w:t> </w:t>
            </w:r>
          </w:p>
        </w:tc>
      </w:tr>
      <w:tr>
        <w:trPr/>
        <w:tc>
          <w:tcPr>
            <w:tcW w:w="7382" w:type="dxa"/>
            <w:tcBorders/>
            <w:shd w:fill="auto" w:val="clear"/>
            <w:vAlign w:val="bottom"/>
          </w:tcPr>
          <w:p>
            <w:pPr>
              <w:pStyle w:val="TableContents"/>
              <w:spacing w:before="0" w:after="0"/>
              <w:ind w:left="225" w:right="0" w:hanging="225"/>
              <w:rPr/>
            </w:pPr>
            <w:r>
              <w:rPr/>
              <w:t>Deduct: Total stock-based compensation expense determined under fair value based method for all awards, net of tax effects</w:t>
            </w:r>
          </w:p>
        </w:tc>
        <w:tc>
          <w:tcPr>
            <w:tcW w:w="413"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left"/>
              <w:rPr/>
            </w:pPr>
            <w:r>
              <w:rPr/>
              <w:t> </w:t>
            </w:r>
          </w:p>
        </w:tc>
        <w:tc>
          <w:tcPr>
            <w:tcW w:w="1855" w:type="dxa"/>
            <w:tcBorders/>
            <w:shd w:fill="auto" w:val="clear"/>
            <w:vAlign w:val="bottom"/>
          </w:tcPr>
          <w:p>
            <w:pPr>
              <w:pStyle w:val="TableContents"/>
              <w:spacing w:before="0" w:after="283"/>
              <w:jc w:val="right"/>
              <w:rPr/>
            </w:pPr>
            <w:r>
              <w:rPr/>
              <w:t>(8</w:t>
            </w:r>
          </w:p>
        </w:tc>
        <w:tc>
          <w:tcPr>
            <w:tcW w:w="155" w:type="dxa"/>
            <w:tcBorders/>
            <w:shd w:fill="auto" w:val="clear"/>
            <w:vAlign w:val="bottom"/>
          </w:tcPr>
          <w:p>
            <w:pPr>
              <w:pStyle w:val="TableContents"/>
              <w:spacing w:before="0" w:after="283"/>
              <w:rPr/>
            </w:pPr>
            <w:r>
              <w:rPr/>
              <w:t>)</w:t>
            </w:r>
          </w:p>
        </w:tc>
      </w:tr>
      <w:tr>
        <w:trPr/>
        <w:tc>
          <w:tcPr>
            <w:tcW w:w="7382" w:type="dxa"/>
            <w:tcBorders/>
            <w:shd w:fill="auto" w:val="clear"/>
            <w:vAlign w:val="center"/>
          </w:tcPr>
          <w:p>
            <w:pPr>
              <w:pStyle w:val="TableContents"/>
              <w:spacing w:before="0" w:after="0"/>
              <w:ind w:left="225" w:right="0" w:hanging="225"/>
              <w:rPr/>
            </w:pPr>
            <w:r>
              <w:rPr/>
              <w:t> </w:t>
            </w:r>
          </w:p>
        </w:tc>
        <w:tc>
          <w:tcPr>
            <w:tcW w:w="413" w:type="dxa"/>
            <w:tcBorders/>
            <w:shd w:fill="auto" w:val="clear"/>
            <w:vAlign w:val="center"/>
          </w:tcPr>
          <w:p>
            <w:pPr>
              <w:pStyle w:val="TableContents"/>
              <w:spacing w:before="0" w:after="283"/>
              <w:rPr/>
            </w:pPr>
            <w:r>
              <w:rPr/>
              <w:t> </w:t>
            </w:r>
          </w:p>
        </w:tc>
        <w:tc>
          <w:tcPr>
            <w:tcW w:w="2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r>
      <w:tr>
        <w:trPr/>
        <w:tc>
          <w:tcPr>
            <w:tcW w:w="7382" w:type="dxa"/>
            <w:tcBorders/>
            <w:shd w:fill="CCEEFF" w:val="clear"/>
            <w:vAlign w:val="bottom"/>
          </w:tcPr>
          <w:p>
            <w:pPr>
              <w:pStyle w:val="TableContents"/>
              <w:spacing w:before="0" w:after="0"/>
              <w:ind w:left="225" w:right="0" w:hanging="225"/>
              <w:rPr/>
            </w:pPr>
            <w:r>
              <w:rPr/>
              <w:t>Pro forma</w:t>
            </w:r>
          </w:p>
        </w:tc>
        <w:tc>
          <w:tcPr>
            <w:tcW w:w="413"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jc w:val="left"/>
              <w:rPr/>
            </w:pPr>
            <w:r>
              <w:rPr/>
              <w:t>$</w:t>
            </w:r>
          </w:p>
        </w:tc>
        <w:tc>
          <w:tcPr>
            <w:tcW w:w="1855" w:type="dxa"/>
            <w:tcBorders/>
            <w:shd w:fill="CCEEFF" w:val="clear"/>
            <w:vAlign w:val="bottom"/>
          </w:tcPr>
          <w:p>
            <w:pPr>
              <w:pStyle w:val="TableContents"/>
              <w:spacing w:before="0" w:after="283"/>
              <w:jc w:val="right"/>
              <w:rPr/>
            </w:pPr>
            <w:r>
              <w:rPr/>
              <w:t>(1,547</w:t>
            </w:r>
          </w:p>
        </w:tc>
        <w:tc>
          <w:tcPr>
            <w:tcW w:w="155" w:type="dxa"/>
            <w:tcBorders/>
            <w:shd w:fill="CCEEFF" w:val="clear"/>
            <w:vAlign w:val="bottom"/>
          </w:tcPr>
          <w:p>
            <w:pPr>
              <w:pStyle w:val="TableContents"/>
              <w:spacing w:before="0" w:after="283"/>
              <w:rPr/>
            </w:pPr>
            <w:r>
              <w:rPr/>
              <w:t>)</w:t>
            </w:r>
          </w:p>
        </w:tc>
      </w:tr>
      <w:tr>
        <w:trPr/>
        <w:tc>
          <w:tcPr>
            <w:tcW w:w="7382" w:type="dxa"/>
            <w:tcBorders/>
            <w:shd w:fill="auto" w:val="clear"/>
            <w:vAlign w:val="center"/>
          </w:tcPr>
          <w:p>
            <w:pPr>
              <w:pStyle w:val="TableContents"/>
              <w:spacing w:before="0" w:after="0"/>
              <w:ind w:left="225" w:right="0" w:hanging="225"/>
              <w:rPr/>
            </w:pPr>
            <w:r>
              <w:rPr/>
              <w:t> </w:t>
            </w:r>
          </w:p>
        </w:tc>
        <w:tc>
          <w:tcPr>
            <w:tcW w:w="413" w:type="dxa"/>
            <w:tcBorders/>
            <w:shd w:fill="auto" w:val="clear"/>
            <w:vAlign w:val="center"/>
          </w:tcPr>
          <w:p>
            <w:pPr>
              <w:pStyle w:val="TableContents"/>
              <w:spacing w:before="0" w:after="283"/>
              <w:rPr/>
            </w:pPr>
            <w:r>
              <w:rPr/>
              <w:t> </w:t>
            </w:r>
          </w:p>
        </w:tc>
        <w:tc>
          <w:tcPr>
            <w:tcW w:w="22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r>
      <w:tr>
        <w:trPr/>
        <w:tc>
          <w:tcPr>
            <w:tcW w:w="7382" w:type="dxa"/>
            <w:tcBorders/>
            <w:shd w:fill="auto" w:val="clear"/>
            <w:vAlign w:val="bottom"/>
          </w:tcPr>
          <w:p>
            <w:pPr>
              <w:pStyle w:val="TableContents"/>
              <w:spacing w:before="0" w:after="0"/>
              <w:ind w:left="225" w:right="0" w:hanging="225"/>
              <w:rPr/>
            </w:pPr>
            <w:r>
              <w:rPr/>
              <w:t> </w:t>
            </w:r>
          </w:p>
        </w:tc>
        <w:tc>
          <w:tcPr>
            <w:tcW w:w="413"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85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7382" w:type="dxa"/>
            <w:tcBorders/>
            <w:shd w:fill="auto" w:val="clear"/>
            <w:vAlign w:val="bottom"/>
          </w:tcPr>
          <w:p>
            <w:pPr>
              <w:pStyle w:val="TableContents"/>
              <w:spacing w:before="0" w:after="0"/>
              <w:ind w:left="225" w:right="0" w:hanging="225"/>
              <w:rPr/>
            </w:pPr>
            <w:r>
              <w:rPr/>
              <w:t>Net loss per share, as reported:</w:t>
            </w:r>
          </w:p>
        </w:tc>
        <w:tc>
          <w:tcPr>
            <w:tcW w:w="413"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85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7382" w:type="dxa"/>
            <w:tcBorders/>
            <w:shd w:fill="CCEEFF" w:val="clear"/>
            <w:vAlign w:val="bottom"/>
          </w:tcPr>
          <w:p>
            <w:pPr>
              <w:pStyle w:val="TableContents"/>
              <w:spacing w:before="0" w:after="0"/>
              <w:ind w:left="225" w:right="0" w:hanging="225"/>
              <w:rPr/>
            </w:pPr>
            <w:r>
              <w:rPr/>
              <w:t>Basic</w:t>
            </w:r>
          </w:p>
        </w:tc>
        <w:tc>
          <w:tcPr>
            <w:tcW w:w="413"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jc w:val="left"/>
              <w:rPr/>
            </w:pPr>
            <w:r>
              <w:rPr/>
              <w:t>$</w:t>
            </w:r>
          </w:p>
        </w:tc>
        <w:tc>
          <w:tcPr>
            <w:tcW w:w="1855" w:type="dxa"/>
            <w:tcBorders/>
            <w:shd w:fill="CCEEFF" w:val="clear"/>
            <w:vAlign w:val="bottom"/>
          </w:tcPr>
          <w:p>
            <w:pPr>
              <w:pStyle w:val="TableContents"/>
              <w:spacing w:before="0" w:after="283"/>
              <w:jc w:val="right"/>
              <w:rPr/>
            </w:pPr>
            <w:r>
              <w:rPr/>
              <w:t>(0.11</w:t>
            </w:r>
          </w:p>
        </w:tc>
        <w:tc>
          <w:tcPr>
            <w:tcW w:w="155" w:type="dxa"/>
            <w:tcBorders/>
            <w:shd w:fill="CCEEFF" w:val="clear"/>
            <w:vAlign w:val="bottom"/>
          </w:tcPr>
          <w:p>
            <w:pPr>
              <w:pStyle w:val="TableContents"/>
              <w:spacing w:before="0" w:after="283"/>
              <w:rPr/>
            </w:pPr>
            <w:r>
              <w:rPr/>
              <w:t>)</w:t>
            </w:r>
          </w:p>
        </w:tc>
      </w:tr>
      <w:tr>
        <w:trPr/>
        <w:tc>
          <w:tcPr>
            <w:tcW w:w="7382" w:type="dxa"/>
            <w:tcBorders/>
            <w:shd w:fill="auto" w:val="clear"/>
            <w:vAlign w:val="bottom"/>
          </w:tcPr>
          <w:p>
            <w:pPr>
              <w:pStyle w:val="TableContents"/>
              <w:spacing w:before="0" w:after="0"/>
              <w:ind w:left="225" w:right="0" w:hanging="225"/>
              <w:rPr/>
            </w:pPr>
            <w:r>
              <w:rPr/>
              <w:t>Diluted</w:t>
            </w:r>
          </w:p>
        </w:tc>
        <w:tc>
          <w:tcPr>
            <w:tcW w:w="413"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left"/>
              <w:rPr/>
            </w:pPr>
            <w:r>
              <w:rPr/>
              <w:t>$</w:t>
            </w:r>
          </w:p>
        </w:tc>
        <w:tc>
          <w:tcPr>
            <w:tcW w:w="1855" w:type="dxa"/>
            <w:tcBorders/>
            <w:shd w:fill="auto" w:val="clear"/>
            <w:vAlign w:val="bottom"/>
          </w:tcPr>
          <w:p>
            <w:pPr>
              <w:pStyle w:val="TableContents"/>
              <w:spacing w:before="0" w:after="283"/>
              <w:jc w:val="right"/>
              <w:rPr/>
            </w:pPr>
            <w:r>
              <w:rPr/>
              <w:t>(0.11</w:t>
            </w:r>
          </w:p>
        </w:tc>
        <w:tc>
          <w:tcPr>
            <w:tcW w:w="155" w:type="dxa"/>
            <w:tcBorders/>
            <w:shd w:fill="auto" w:val="clear"/>
            <w:vAlign w:val="bottom"/>
          </w:tcPr>
          <w:p>
            <w:pPr>
              <w:pStyle w:val="TableContents"/>
              <w:spacing w:before="0" w:after="283"/>
              <w:rPr/>
            </w:pPr>
            <w:r>
              <w:rPr/>
              <w:t>)</w:t>
            </w:r>
          </w:p>
        </w:tc>
      </w:tr>
      <w:tr>
        <w:trPr/>
        <w:tc>
          <w:tcPr>
            <w:tcW w:w="7382" w:type="dxa"/>
            <w:tcBorders/>
            <w:shd w:fill="auto" w:val="clear"/>
            <w:vAlign w:val="bottom"/>
          </w:tcPr>
          <w:p>
            <w:pPr>
              <w:pStyle w:val="TableContents"/>
              <w:spacing w:before="0" w:after="0"/>
              <w:ind w:left="225" w:right="0" w:hanging="225"/>
              <w:rPr/>
            </w:pPr>
            <w:r>
              <w:rPr/>
              <w:t> </w:t>
            </w:r>
          </w:p>
        </w:tc>
        <w:tc>
          <w:tcPr>
            <w:tcW w:w="413"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855"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r>
      <w:tr>
        <w:trPr/>
        <w:tc>
          <w:tcPr>
            <w:tcW w:w="7382" w:type="dxa"/>
            <w:tcBorders/>
            <w:shd w:fill="CCEEFF" w:val="clear"/>
            <w:vAlign w:val="bottom"/>
          </w:tcPr>
          <w:p>
            <w:pPr>
              <w:pStyle w:val="TableContents"/>
              <w:spacing w:before="0" w:after="0"/>
              <w:ind w:left="225" w:right="0" w:hanging="225"/>
              <w:rPr/>
            </w:pPr>
            <w:r>
              <w:rPr/>
              <w:t>Net loss per share, pro forma:</w:t>
            </w:r>
          </w:p>
        </w:tc>
        <w:tc>
          <w:tcPr>
            <w:tcW w:w="413"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rPr/>
            </w:pPr>
            <w:r>
              <w:rPr/>
              <w:t> </w:t>
            </w:r>
          </w:p>
        </w:tc>
        <w:tc>
          <w:tcPr>
            <w:tcW w:w="1855"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r>
      <w:tr>
        <w:trPr/>
        <w:tc>
          <w:tcPr>
            <w:tcW w:w="7382" w:type="dxa"/>
            <w:tcBorders/>
            <w:shd w:fill="auto" w:val="clear"/>
            <w:vAlign w:val="bottom"/>
          </w:tcPr>
          <w:p>
            <w:pPr>
              <w:pStyle w:val="TableContents"/>
              <w:spacing w:before="0" w:after="0"/>
              <w:ind w:left="225" w:right="0" w:hanging="225"/>
              <w:rPr/>
            </w:pPr>
            <w:r>
              <w:rPr/>
              <w:t>Basic</w:t>
            </w:r>
          </w:p>
        </w:tc>
        <w:tc>
          <w:tcPr>
            <w:tcW w:w="413"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left"/>
              <w:rPr/>
            </w:pPr>
            <w:r>
              <w:rPr/>
              <w:t>$</w:t>
            </w:r>
          </w:p>
        </w:tc>
        <w:tc>
          <w:tcPr>
            <w:tcW w:w="1855" w:type="dxa"/>
            <w:tcBorders/>
            <w:shd w:fill="auto" w:val="clear"/>
            <w:vAlign w:val="bottom"/>
          </w:tcPr>
          <w:p>
            <w:pPr>
              <w:pStyle w:val="TableContents"/>
              <w:spacing w:before="0" w:after="283"/>
              <w:jc w:val="right"/>
              <w:rPr/>
            </w:pPr>
            <w:r>
              <w:rPr/>
              <w:t>(0.11</w:t>
            </w:r>
          </w:p>
        </w:tc>
        <w:tc>
          <w:tcPr>
            <w:tcW w:w="155" w:type="dxa"/>
            <w:tcBorders/>
            <w:shd w:fill="auto" w:val="clear"/>
            <w:vAlign w:val="bottom"/>
          </w:tcPr>
          <w:p>
            <w:pPr>
              <w:pStyle w:val="TableContents"/>
              <w:spacing w:before="0" w:after="283"/>
              <w:rPr/>
            </w:pPr>
            <w:r>
              <w:rPr/>
              <w:t>)</w:t>
            </w:r>
          </w:p>
        </w:tc>
      </w:tr>
      <w:tr>
        <w:trPr/>
        <w:tc>
          <w:tcPr>
            <w:tcW w:w="7382" w:type="dxa"/>
            <w:tcBorders/>
            <w:shd w:fill="CCEEFF" w:val="clear"/>
            <w:vAlign w:val="bottom"/>
          </w:tcPr>
          <w:p>
            <w:pPr>
              <w:pStyle w:val="TableContents"/>
              <w:spacing w:before="0" w:after="0"/>
              <w:ind w:left="225" w:right="0" w:hanging="225"/>
              <w:rPr/>
            </w:pPr>
            <w:r>
              <w:rPr/>
              <w:t>Diluted</w:t>
            </w:r>
          </w:p>
        </w:tc>
        <w:tc>
          <w:tcPr>
            <w:tcW w:w="413" w:type="dxa"/>
            <w:tcBorders/>
            <w:shd w:fill="CCEEFF" w:val="clear"/>
            <w:vAlign w:val="bottom"/>
          </w:tcPr>
          <w:p>
            <w:pPr>
              <w:pStyle w:val="TableContents"/>
              <w:spacing w:before="0" w:after="283"/>
              <w:rPr/>
            </w:pPr>
            <w:r>
              <w:rPr/>
              <w:t> </w:t>
            </w:r>
          </w:p>
        </w:tc>
        <w:tc>
          <w:tcPr>
            <w:tcW w:w="400" w:type="dxa"/>
            <w:tcBorders/>
            <w:shd w:fill="CCEEFF" w:val="clear"/>
            <w:vAlign w:val="bottom"/>
          </w:tcPr>
          <w:p>
            <w:pPr>
              <w:pStyle w:val="TableContents"/>
              <w:spacing w:before="0" w:after="283"/>
              <w:jc w:val="left"/>
              <w:rPr/>
            </w:pPr>
            <w:r>
              <w:rPr/>
              <w:t>$</w:t>
            </w:r>
          </w:p>
        </w:tc>
        <w:tc>
          <w:tcPr>
            <w:tcW w:w="1855" w:type="dxa"/>
            <w:tcBorders/>
            <w:shd w:fill="CCEEFF" w:val="clear"/>
            <w:vAlign w:val="bottom"/>
          </w:tcPr>
          <w:p>
            <w:pPr>
              <w:pStyle w:val="TableContents"/>
              <w:spacing w:before="0" w:after="283"/>
              <w:jc w:val="right"/>
              <w:rPr/>
            </w:pPr>
            <w:r>
              <w:rPr/>
              <w:t>(0.11</w:t>
            </w:r>
          </w:p>
        </w:tc>
        <w:tc>
          <w:tcPr>
            <w:tcW w:w="155" w:type="dxa"/>
            <w:tcBorders/>
            <w:shd w:fill="CCEEFF" w:val="clear"/>
            <w:vAlign w:val="bottom"/>
          </w:tcPr>
          <w:p>
            <w:pPr>
              <w:pStyle w:val="TableContents"/>
              <w:spacing w:before="0" w:after="283"/>
              <w:rPr/>
            </w:pPr>
            <w:r>
              <w:rPr/>
              <w:t>)</w:t>
            </w:r>
          </w:p>
        </w:tc>
      </w:tr>
    </w:tbl>
    <w:p>
      <w:pPr>
        <w:pStyle w:val="TextBody"/>
        <w:spacing w:before="120" w:after="283"/>
        <w:jc w:val="left"/>
        <w:rPr/>
      </w:pPr>
      <w:r>
        <w:rPr/>
        <w:t>     </w:t>
      </w:r>
      <w:r>
        <w:rPr>
          <w:rFonts w:ascii="Times New Roman;Times;serif" w:hAnsi="Times New Roman;Times;serif"/>
          <w:sz w:val="17"/>
        </w:rPr>
        <w:t xml:space="preserve">In December 2003, our Board of Directors approved the issuance of options to acquire a total of 50,000 shares of our common stock to two members of our Board of Directors. Each option to acquire 25,000 shares vests in substantially equal installments over a three-year period, has an exercise price of $7.00 per share, and has a term of five years from the grant date. The market price of our common stock at the grant date was $10.01. In December 2005, however, these stock option agreements were modified to shorten the option terms, as defined. Such modifications were contemplated primarily as a result of Section 409A of the tax code and did not result in a significant change in fair value. </w:t>
      </w:r>
    </w:p>
    <w:p>
      <w:pPr>
        <w:pStyle w:val="TextBody"/>
        <w:spacing w:before="120" w:after="283"/>
        <w:jc w:val="left"/>
        <w:rPr/>
      </w:pPr>
      <w:r>
        <w:rPr/>
        <w:t>     </w:t>
      </w:r>
      <w:r>
        <w:rPr>
          <w:rFonts w:ascii="Times New Roman;Times;serif" w:hAnsi="Times New Roman;Times;serif"/>
          <w:sz w:val="17"/>
        </w:rPr>
        <w:t xml:space="preserve">Under SFAS No. 123(R), we now record in our consolidated statements of operations (i) compensation cost for options granted, modified, repurchased or cancelled on or after November 1, 2005 under the provisions of SFAS No. 123(R) and (ii) compensation cost for the unvested portion of options granted prior to November 1, 2005 over their remaining vesting periods using the amounts previously measured under SFAS No. 123 for pro forma disclosure purposes. During the three months ended January 31, 2006, we recognized compensation expense of $72,000 for stock options in our consolidated statement of operations. </w:t>
      </w:r>
    </w:p>
    <w:p>
      <w:pPr>
        <w:pStyle w:val="TextBody"/>
        <w:spacing w:before="120" w:after="283"/>
        <w:jc w:val="left"/>
        <w:rPr/>
      </w:pPr>
      <w:r>
        <w:rPr/>
        <w:t>     </w:t>
      </w:r>
      <w:r>
        <w:rPr>
          <w:rFonts w:ascii="Times New Roman;Times;serif" w:hAnsi="Times New Roman;Times;serif"/>
          <w:sz w:val="17"/>
        </w:rPr>
        <w:t xml:space="preserve">Consistent with the valuation method for the disclosure-only provisions of SFAS No. 123, we are using the Black-Scholes-Merton and binomial option models to value compensation expense associated with stock-based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CONDENSED FINANCIAL STATEMENTS (UNAUDITED)</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awards under SFAS No. 123(R). In addition, forfeitures are estimated when recognizing compensation expense, and the estimate of forfeitures will be adjusted over the requisite service period to the extent that actual forfeitures differ, or are expected to differ, from such estimates. Changes in estimated forfeitures will be recognized through a cumulative catch-up adjustment in the period of change and will also impact the amount of compensation expense to be recognized in future periods. </w:t>
      </w:r>
    </w:p>
    <w:p>
      <w:pPr>
        <w:pStyle w:val="TextBody"/>
        <w:spacing w:before="120" w:after="283"/>
        <w:jc w:val="left"/>
        <w:rPr/>
      </w:pPr>
      <w:r>
        <w:rPr/>
        <w:t>     </w:t>
      </w:r>
      <w:r>
        <w:rPr>
          <w:rFonts w:ascii="Times New Roman;Times;serif" w:hAnsi="Times New Roman;Times;serif"/>
          <w:sz w:val="17"/>
        </w:rPr>
        <w:t xml:space="preserve">There were no options granted during the quarters ended January 31, 2006 and January 31, 2005. </w:t>
      </w:r>
    </w:p>
    <w:p>
      <w:pPr>
        <w:pStyle w:val="TextBody"/>
        <w:spacing w:before="120" w:after="283"/>
        <w:jc w:val="left"/>
        <w:rPr/>
      </w:pPr>
      <w:r>
        <w:rPr/>
        <w:t>     </w:t>
      </w:r>
      <w:r>
        <w:rPr>
          <w:rFonts w:ascii="Times New Roman;Times;serif" w:hAnsi="Times New Roman;Times;serif"/>
          <w:sz w:val="17"/>
        </w:rPr>
        <w:t xml:space="preserve">The Black-Scholes-Merton and binomial option valuation models were developed for use in estimating the fair value of traded options that have no vesting restrictions and are fully transferable. In addition, option valuation models require the input of highly subjective assumptions, including the expected stock price volatility. Because options held by our directors and employees have characteristics significantly different from those of traded options, and because changes in the subjective input assumptions can materially affect the fair value estimate, in our opinion, the existing models do not necessarily provide a reliable single measure of the fair value of these options.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2. Information regarding our operations in different segments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operate and track results in three reportable segments  California avocados, international avocados and perishable foods products, and processed products. These three business segments are presented based on our management structure and information used by our president to measure performance and allocate resources. The California avocados segment includes all operations that involve the distribution of avocados grown in California. The international avocados and perishable foods products segment includes both operations related to distribution of fresh avocados grown outside of California, papayas, and the distribution of other perishable food items. The processed products segment represents all operations related to the purchase, manufacturing, and distribution of processed avocado products. Those costs that can be specifically identified with a particular product line are charged directly to that product line. Costs that are not segment specific are generally allocated based on two-year average sales dollars. We do not allocate assets or specifically identify them to our operating segments. </w:t>
      </w:r>
    </w:p>
    <w:tbl>
      <w:tblPr>
        <w:tblW w:w="5000" w:type="pct"/>
        <w:jc w:val="center"/>
        <w:tblInd w:w="0" w:type="dxa"/>
        <w:tblCellMar>
          <w:top w:w="0" w:type="dxa"/>
          <w:left w:w="0" w:type="dxa"/>
          <w:bottom w:w="0" w:type="dxa"/>
          <w:right w:w="0" w:type="dxa"/>
        </w:tblCellMar>
      </w:tblPr>
      <w:tblGrid>
        <w:gridCol w:w="2329"/>
        <w:gridCol w:w="221"/>
        <w:gridCol w:w="191"/>
        <w:gridCol w:w="934"/>
        <w:gridCol w:w="116"/>
        <w:gridCol w:w="221"/>
        <w:gridCol w:w="268"/>
        <w:gridCol w:w="1316"/>
        <w:gridCol w:w="116"/>
        <w:gridCol w:w="221"/>
        <w:gridCol w:w="212"/>
        <w:gridCol w:w="886"/>
        <w:gridCol w:w="116"/>
        <w:gridCol w:w="220"/>
        <w:gridCol w:w="259"/>
        <w:gridCol w:w="1193"/>
        <w:gridCol w:w="116"/>
        <w:gridCol w:w="221"/>
        <w:gridCol w:w="156"/>
        <w:gridCol w:w="763"/>
        <w:gridCol w:w="130"/>
      </w:tblGrid>
      <w:tr>
        <w:trPr/>
        <w:tc>
          <w:tcPr>
            <w:tcW w:w="23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r>
      <w:tr>
        <w:trPr/>
        <w:tc>
          <w:tcPr>
            <w:tcW w:w="23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584" w:type="dxa"/>
            <w:gridSpan w:val="2"/>
            <w:tcBorders/>
            <w:shd w:fill="auto" w:val="clear"/>
            <w:vAlign w:val="bottom"/>
          </w:tcPr>
          <w:p>
            <w:pPr>
              <w:pStyle w:val="TableContents"/>
              <w:spacing w:before="0" w:after="283"/>
              <w:jc w:val="center"/>
              <w:rPr>
                <w:b/>
              </w:rPr>
            </w:pPr>
            <w:r>
              <w:rPr>
                <w:b/>
              </w:rPr>
              <w:t>International</w:t>
            </w:r>
          </w:p>
        </w:tc>
        <w:tc>
          <w:tcPr>
            <w:tcW w:w="11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98"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52"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19" w:type="dxa"/>
            <w:gridSpan w:val="2"/>
            <w:tcBorders/>
            <w:shd w:fill="auto" w:val="clear"/>
            <w:vAlign w:val="bottom"/>
          </w:tcPr>
          <w:p>
            <w:pPr>
              <w:pStyle w:val="TableContents"/>
              <w:spacing w:before="0" w:after="283"/>
              <w:jc w:val="center"/>
              <w:rPr/>
            </w:pPr>
            <w:r>
              <w:rPr/>
              <w:t> </w:t>
            </w:r>
          </w:p>
        </w:tc>
        <w:tc>
          <w:tcPr>
            <w:tcW w:w="130" w:type="dxa"/>
            <w:tcBorders/>
            <w:shd w:fill="auto" w:val="clear"/>
            <w:vAlign w:val="bottom"/>
          </w:tcPr>
          <w:p>
            <w:pPr>
              <w:pStyle w:val="TableContents"/>
              <w:spacing w:before="0" w:after="283"/>
              <w:rPr/>
            </w:pPr>
            <w:r>
              <w:rPr/>
              <w:t> </w:t>
            </w:r>
          </w:p>
        </w:tc>
      </w:tr>
      <w:tr>
        <w:trPr/>
        <w:tc>
          <w:tcPr>
            <w:tcW w:w="23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34"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584" w:type="dxa"/>
            <w:gridSpan w:val="2"/>
            <w:tcBorders/>
            <w:shd w:fill="auto" w:val="clear"/>
            <w:vAlign w:val="bottom"/>
          </w:tcPr>
          <w:p>
            <w:pPr>
              <w:pStyle w:val="TableContents"/>
              <w:spacing w:before="0" w:after="283"/>
              <w:jc w:val="center"/>
              <w:rPr>
                <w:b/>
              </w:rPr>
            </w:pPr>
            <w:r>
              <w:rPr>
                <w:b/>
              </w:rPr>
              <w:t>avocados and</w:t>
            </w:r>
          </w:p>
        </w:tc>
        <w:tc>
          <w:tcPr>
            <w:tcW w:w="11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98"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52" w:type="dxa"/>
            <w:gridSpan w:val="2"/>
            <w:tcBorders/>
            <w:shd w:fill="auto" w:val="clear"/>
            <w:vAlign w:val="bottom"/>
          </w:tcPr>
          <w:p>
            <w:pPr>
              <w:pStyle w:val="TableContents"/>
              <w:spacing w:before="0" w:after="283"/>
              <w:jc w:val="center"/>
              <w:rPr/>
            </w:pPr>
            <w:r>
              <w:rPr/>
              <w:t> </w:t>
            </w:r>
          </w:p>
        </w:tc>
        <w:tc>
          <w:tcPr>
            <w:tcW w:w="11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19" w:type="dxa"/>
            <w:gridSpan w:val="2"/>
            <w:tcBorders/>
            <w:shd w:fill="auto" w:val="clear"/>
            <w:vAlign w:val="bottom"/>
          </w:tcPr>
          <w:p>
            <w:pPr>
              <w:pStyle w:val="TableContents"/>
              <w:spacing w:before="0" w:after="283"/>
              <w:jc w:val="center"/>
              <w:rPr/>
            </w:pPr>
            <w:r>
              <w:rPr/>
              <w:t> </w:t>
            </w:r>
          </w:p>
        </w:tc>
        <w:tc>
          <w:tcPr>
            <w:tcW w:w="130" w:type="dxa"/>
            <w:tcBorders/>
            <w:shd w:fill="auto" w:val="clear"/>
            <w:vAlign w:val="bottom"/>
          </w:tcPr>
          <w:p>
            <w:pPr>
              <w:pStyle w:val="TableContents"/>
              <w:spacing w:before="0" w:after="283"/>
              <w:rPr/>
            </w:pPr>
            <w:r>
              <w:rPr/>
              <w:t> </w:t>
            </w:r>
          </w:p>
        </w:tc>
      </w:tr>
      <w:tr>
        <w:trPr/>
        <w:tc>
          <w:tcPr>
            <w:tcW w:w="23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125" w:type="dxa"/>
            <w:gridSpan w:val="2"/>
            <w:tcBorders/>
            <w:shd w:fill="auto" w:val="clear"/>
            <w:vAlign w:val="bottom"/>
          </w:tcPr>
          <w:p>
            <w:pPr>
              <w:pStyle w:val="TableContents"/>
              <w:spacing w:before="0" w:after="283"/>
              <w:jc w:val="center"/>
              <w:rPr>
                <w:b/>
              </w:rPr>
            </w:pPr>
            <w:r>
              <w:rPr>
                <w:b/>
              </w:rPr>
              <w:t>California</w:t>
            </w:r>
          </w:p>
        </w:tc>
        <w:tc>
          <w:tcPr>
            <w:tcW w:w="11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584" w:type="dxa"/>
            <w:gridSpan w:val="2"/>
            <w:tcBorders/>
            <w:shd w:fill="auto" w:val="clear"/>
            <w:vAlign w:val="bottom"/>
          </w:tcPr>
          <w:p>
            <w:pPr>
              <w:pStyle w:val="TableContents"/>
              <w:spacing w:before="0" w:after="283"/>
              <w:jc w:val="center"/>
              <w:rPr>
                <w:b/>
              </w:rPr>
            </w:pPr>
            <w:r>
              <w:rPr>
                <w:b/>
              </w:rPr>
              <w:t>perishable food</w:t>
            </w:r>
          </w:p>
        </w:tc>
        <w:tc>
          <w:tcPr>
            <w:tcW w:w="11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98" w:type="dxa"/>
            <w:gridSpan w:val="2"/>
            <w:tcBorders/>
            <w:shd w:fill="auto" w:val="clear"/>
            <w:vAlign w:val="bottom"/>
          </w:tcPr>
          <w:p>
            <w:pPr>
              <w:pStyle w:val="TableContents"/>
              <w:spacing w:before="0" w:after="283"/>
              <w:jc w:val="center"/>
              <w:rPr>
                <w:b/>
              </w:rPr>
            </w:pPr>
            <w:r>
              <w:rPr>
                <w:b/>
              </w:rPr>
              <w:t>Processed</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52" w:type="dxa"/>
            <w:gridSpan w:val="2"/>
            <w:tcBorders/>
            <w:shd w:fill="auto" w:val="clear"/>
            <w:vAlign w:val="bottom"/>
          </w:tcPr>
          <w:p>
            <w:pPr>
              <w:pStyle w:val="TableContents"/>
              <w:spacing w:before="0" w:after="283"/>
              <w:jc w:val="center"/>
              <w:rPr>
                <w:b/>
              </w:rPr>
            </w:pPr>
            <w:r>
              <w:rPr>
                <w:b/>
              </w:rPr>
              <w:t>Inter-segment</w:t>
            </w:r>
          </w:p>
        </w:tc>
        <w:tc>
          <w:tcPr>
            <w:tcW w:w="11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19" w:type="dxa"/>
            <w:gridSpan w:val="2"/>
            <w:tcBorders/>
            <w:shd w:fill="auto" w:val="clear"/>
            <w:vAlign w:val="bottom"/>
          </w:tcPr>
          <w:p>
            <w:pPr>
              <w:pStyle w:val="TableContents"/>
              <w:spacing w:before="0" w:after="283"/>
              <w:jc w:val="center"/>
              <w:rPr/>
            </w:pPr>
            <w:r>
              <w:rPr/>
              <w:t> </w:t>
            </w:r>
          </w:p>
        </w:tc>
        <w:tc>
          <w:tcPr>
            <w:tcW w:w="130" w:type="dxa"/>
            <w:tcBorders/>
            <w:shd w:fill="auto" w:val="clear"/>
            <w:vAlign w:val="bottom"/>
          </w:tcPr>
          <w:p>
            <w:pPr>
              <w:pStyle w:val="TableContents"/>
              <w:spacing w:before="0" w:after="283"/>
              <w:rPr/>
            </w:pPr>
            <w:r>
              <w:rPr/>
              <w:t> </w:t>
            </w:r>
          </w:p>
        </w:tc>
      </w:tr>
      <w:tr>
        <w:trPr/>
        <w:tc>
          <w:tcPr>
            <w:tcW w:w="23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12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avocados</w:t>
            </w:r>
          </w:p>
        </w:tc>
        <w:tc>
          <w:tcPr>
            <w:tcW w:w="11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58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1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09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45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1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91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30" w:type="dxa"/>
            <w:tcBorders/>
            <w:shd w:fill="auto" w:val="clear"/>
            <w:vAlign w:val="bottom"/>
          </w:tcPr>
          <w:p>
            <w:pPr>
              <w:pStyle w:val="TableContents"/>
              <w:spacing w:before="0" w:after="283"/>
              <w:rPr/>
            </w:pPr>
            <w:r>
              <w:rPr/>
              <w:t> </w:t>
            </w:r>
          </w:p>
        </w:tc>
      </w:tr>
      <w:tr>
        <w:trPr/>
        <w:tc>
          <w:tcPr>
            <w:tcW w:w="2329"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525" w:type="dxa"/>
            <w:gridSpan w:val="18"/>
            <w:tcBorders/>
            <w:shd w:fill="auto" w:val="clear"/>
            <w:vAlign w:val="bottom"/>
          </w:tcPr>
          <w:p>
            <w:pPr>
              <w:pStyle w:val="TableContents"/>
              <w:spacing w:before="0" w:after="283"/>
              <w:jc w:val="center"/>
              <w:rPr>
                <w:b/>
              </w:rPr>
            </w:pPr>
            <w:r>
              <w:rPr>
                <w:b/>
              </w:rPr>
              <w:t>(in thousands)</w:t>
            </w:r>
          </w:p>
        </w:tc>
        <w:tc>
          <w:tcPr>
            <w:tcW w:w="130" w:type="dxa"/>
            <w:tcBorders/>
            <w:shd w:fill="auto" w:val="clear"/>
            <w:vAlign w:val="bottom"/>
          </w:tcPr>
          <w:p>
            <w:pPr>
              <w:pStyle w:val="TableContents"/>
              <w:spacing w:before="0" w:after="283"/>
              <w:rPr/>
            </w:pPr>
            <w:r>
              <w:rPr/>
              <w:t> </w:t>
            </w:r>
          </w:p>
        </w:tc>
      </w:tr>
      <w:tr>
        <w:trPr/>
        <w:tc>
          <w:tcPr>
            <w:tcW w:w="2329" w:type="dxa"/>
            <w:tcBorders/>
            <w:shd w:fill="CCEEFF" w:val="clear"/>
            <w:vAlign w:val="bottom"/>
          </w:tcPr>
          <w:p>
            <w:pPr>
              <w:pStyle w:val="TableContents"/>
              <w:spacing w:before="0" w:after="0"/>
              <w:ind w:left="225" w:right="0" w:hanging="225"/>
              <w:rPr>
                <w:b/>
              </w:rPr>
            </w:pPr>
            <w:r>
              <w:rPr>
                <w:b/>
              </w:rPr>
              <w:t>Three months ended January 31, 2006</w:t>
            </w:r>
          </w:p>
        </w:tc>
        <w:tc>
          <w:tcPr>
            <w:tcW w:w="22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r>
      <w:tr>
        <w:trPr/>
        <w:tc>
          <w:tcPr>
            <w:tcW w:w="2329" w:type="dxa"/>
            <w:tcBorders/>
            <w:shd w:fill="auto" w:val="clear"/>
            <w:vAlign w:val="bottom"/>
          </w:tcPr>
          <w:p>
            <w:pPr>
              <w:pStyle w:val="TableContents"/>
              <w:spacing w:before="0" w:after="0"/>
              <w:ind w:left="225" w:right="0" w:hanging="225"/>
              <w:rPr/>
            </w:pPr>
            <w:r>
              <w:rPr/>
              <w:t>Net sales</w:t>
            </w:r>
          </w:p>
        </w:tc>
        <w:tc>
          <w:tcPr>
            <w:tcW w:w="22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34" w:type="dxa"/>
            <w:tcBorders/>
            <w:shd w:fill="auto" w:val="clear"/>
            <w:vAlign w:val="bottom"/>
          </w:tcPr>
          <w:p>
            <w:pPr>
              <w:pStyle w:val="TableContents"/>
              <w:spacing w:before="0" w:after="283"/>
              <w:jc w:val="right"/>
              <w:rPr/>
            </w:pPr>
            <w:r>
              <w:rPr/>
              <w:t>10,763</w:t>
            </w:r>
          </w:p>
        </w:tc>
        <w:tc>
          <w:tcPr>
            <w:tcW w:w="11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16" w:type="dxa"/>
            <w:tcBorders/>
            <w:shd w:fill="auto" w:val="clear"/>
            <w:vAlign w:val="bottom"/>
          </w:tcPr>
          <w:p>
            <w:pPr>
              <w:pStyle w:val="TableContents"/>
              <w:spacing w:before="0" w:after="283"/>
              <w:jc w:val="right"/>
              <w:rPr/>
            </w:pPr>
            <w:r>
              <w:rPr/>
              <w:t>35,479</w:t>
            </w:r>
          </w:p>
        </w:tc>
        <w:tc>
          <w:tcPr>
            <w:tcW w:w="11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886" w:type="dxa"/>
            <w:tcBorders/>
            <w:shd w:fill="auto" w:val="clear"/>
            <w:vAlign w:val="bottom"/>
          </w:tcPr>
          <w:p>
            <w:pPr>
              <w:pStyle w:val="TableContents"/>
              <w:spacing w:before="0" w:after="283"/>
              <w:jc w:val="right"/>
              <w:rPr/>
            </w:pPr>
            <w:r>
              <w:rPr/>
              <w:t>9,280</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jc w:val="left"/>
              <w:rPr/>
            </w:pPr>
            <w:r>
              <w:rPr/>
              <w:t>$</w:t>
            </w:r>
          </w:p>
        </w:tc>
        <w:tc>
          <w:tcPr>
            <w:tcW w:w="1193" w:type="dxa"/>
            <w:tcBorders/>
            <w:shd w:fill="auto" w:val="clear"/>
            <w:vAlign w:val="bottom"/>
          </w:tcPr>
          <w:p>
            <w:pPr>
              <w:pStyle w:val="TableContents"/>
              <w:spacing w:before="0" w:after="283"/>
              <w:jc w:val="right"/>
              <w:rPr/>
            </w:pPr>
            <w:r>
              <w:rPr/>
              <w:t>(4,875</w:t>
            </w:r>
          </w:p>
        </w:tc>
        <w:tc>
          <w:tcPr>
            <w:tcW w:w="116" w:type="dxa"/>
            <w:tcBorders/>
            <w:shd w:fill="auto" w:val="clear"/>
            <w:vAlign w:val="bottom"/>
          </w:tcPr>
          <w:p>
            <w:pPr>
              <w:pStyle w:val="TableContents"/>
              <w:spacing w:before="0" w:after="283"/>
              <w:rPr/>
            </w:pPr>
            <w:r>
              <w:rPr/>
              <w:t>)</w:t>
            </w:r>
          </w:p>
        </w:tc>
        <w:tc>
          <w:tcPr>
            <w:tcW w:w="22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763" w:type="dxa"/>
            <w:tcBorders/>
            <w:shd w:fill="auto" w:val="clear"/>
            <w:vAlign w:val="bottom"/>
          </w:tcPr>
          <w:p>
            <w:pPr>
              <w:pStyle w:val="TableContents"/>
              <w:spacing w:before="0" w:after="283"/>
              <w:jc w:val="right"/>
              <w:rPr/>
            </w:pPr>
            <w:r>
              <w:rPr/>
              <w:t>50,647</w:t>
            </w:r>
          </w:p>
        </w:tc>
        <w:tc>
          <w:tcPr>
            <w:tcW w:w="130" w:type="dxa"/>
            <w:tcBorders/>
            <w:shd w:fill="auto" w:val="clear"/>
            <w:vAlign w:val="bottom"/>
          </w:tcPr>
          <w:p>
            <w:pPr>
              <w:pStyle w:val="TableContents"/>
              <w:spacing w:before="0" w:after="283"/>
              <w:rPr/>
            </w:pPr>
            <w:r>
              <w:rPr/>
              <w:t> </w:t>
            </w:r>
          </w:p>
        </w:tc>
      </w:tr>
      <w:tr>
        <w:trPr/>
        <w:tc>
          <w:tcPr>
            <w:tcW w:w="2329" w:type="dxa"/>
            <w:tcBorders/>
            <w:shd w:fill="CCEEFF" w:val="clear"/>
            <w:vAlign w:val="bottom"/>
          </w:tcPr>
          <w:p>
            <w:pPr>
              <w:pStyle w:val="TableContents"/>
              <w:spacing w:before="0" w:after="0"/>
              <w:ind w:left="225" w:right="0" w:hanging="225"/>
              <w:rPr/>
            </w:pPr>
            <w:r>
              <w:rPr/>
              <w:t>Cost of sales</w:t>
            </w:r>
          </w:p>
        </w:tc>
        <w:tc>
          <w:tcPr>
            <w:tcW w:w="22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jc w:val="right"/>
              <w:rPr/>
            </w:pPr>
            <w:r>
              <w:rPr/>
              <w:t>11,089</w:t>
            </w:r>
          </w:p>
        </w:tc>
        <w:tc>
          <w:tcPr>
            <w:tcW w:w="116"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6" w:type="dxa"/>
            <w:tcBorders/>
            <w:shd w:fill="CCEEFF" w:val="clear"/>
            <w:vAlign w:val="bottom"/>
          </w:tcPr>
          <w:p>
            <w:pPr>
              <w:pStyle w:val="TableContents"/>
              <w:spacing w:before="0" w:after="283"/>
              <w:jc w:val="right"/>
              <w:rPr/>
            </w:pPr>
            <w:r>
              <w:rPr/>
              <w:t>33,638</w:t>
            </w:r>
          </w:p>
        </w:tc>
        <w:tc>
          <w:tcPr>
            <w:tcW w:w="116"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7,385</w:t>
            </w:r>
          </w:p>
        </w:tc>
        <w:tc>
          <w:tcPr>
            <w:tcW w:w="11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jc w:val="left"/>
              <w:rPr/>
            </w:pPr>
            <w:r>
              <w:rPr/>
              <w:t> </w:t>
            </w:r>
          </w:p>
        </w:tc>
        <w:tc>
          <w:tcPr>
            <w:tcW w:w="1193" w:type="dxa"/>
            <w:tcBorders/>
            <w:shd w:fill="CCEEFF" w:val="clear"/>
            <w:vAlign w:val="bottom"/>
          </w:tcPr>
          <w:p>
            <w:pPr>
              <w:pStyle w:val="TableContents"/>
              <w:spacing w:before="0" w:after="283"/>
              <w:jc w:val="right"/>
              <w:rPr/>
            </w:pPr>
            <w:r>
              <w:rPr/>
              <w:t>(4,875</w:t>
            </w:r>
          </w:p>
        </w:tc>
        <w:tc>
          <w:tcPr>
            <w:tcW w:w="116" w:type="dxa"/>
            <w:tcBorders/>
            <w:shd w:fill="CCEEFF" w:val="clear"/>
            <w:vAlign w:val="bottom"/>
          </w:tcPr>
          <w:p>
            <w:pPr>
              <w:pStyle w:val="TableContents"/>
              <w:spacing w:before="0" w:after="283"/>
              <w:rPr/>
            </w:pPr>
            <w:r>
              <w:rPr/>
              <w:t>)</w:t>
            </w:r>
          </w:p>
        </w:tc>
        <w:tc>
          <w:tcPr>
            <w:tcW w:w="22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jc w:val="right"/>
              <w:rPr/>
            </w:pPr>
            <w:r>
              <w:rPr/>
              <w:t>47,237</w:t>
            </w:r>
          </w:p>
        </w:tc>
        <w:tc>
          <w:tcPr>
            <w:tcW w:w="130" w:type="dxa"/>
            <w:tcBorders/>
            <w:shd w:fill="CCEEFF" w:val="clear"/>
            <w:vAlign w:val="bottom"/>
          </w:tcPr>
          <w:p>
            <w:pPr>
              <w:pStyle w:val="TableContents"/>
              <w:spacing w:before="0" w:after="283"/>
              <w:rPr/>
            </w:pPr>
            <w:r>
              <w:rPr/>
              <w:t> </w:t>
            </w:r>
          </w:p>
        </w:tc>
      </w:tr>
      <w:tr>
        <w:trPr/>
        <w:tc>
          <w:tcPr>
            <w:tcW w:w="2329" w:type="dxa"/>
            <w:tcBorders/>
            <w:shd w:fill="auto" w:val="clear"/>
            <w:vAlign w:val="center"/>
          </w:tcPr>
          <w:p>
            <w:pPr>
              <w:pStyle w:val="TableContents"/>
              <w:spacing w:before="0" w:after="0"/>
              <w:ind w:left="225" w:right="0" w:hanging="225"/>
              <w:rPr/>
            </w:pPr>
            <w:r>
              <w:rPr/>
              <w:t> </w:t>
            </w:r>
          </w:p>
        </w:tc>
        <w:tc>
          <w:tcPr>
            <w:tcW w:w="221" w:type="dxa"/>
            <w:tcBorders/>
            <w:shd w:fill="auto" w:val="clear"/>
            <w:vAlign w:val="center"/>
          </w:tcPr>
          <w:p>
            <w:pPr>
              <w:pStyle w:val="TableContents"/>
              <w:spacing w:before="0" w:after="283"/>
              <w:rPr/>
            </w:pPr>
            <w:r>
              <w:rPr/>
              <w:t> </w:t>
            </w:r>
          </w:p>
        </w:tc>
        <w:tc>
          <w:tcPr>
            <w:tcW w:w="11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5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9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329" w:type="dxa"/>
            <w:tcBorders/>
            <w:shd w:fill="auto" w:val="clear"/>
            <w:vAlign w:val="bottom"/>
          </w:tcPr>
          <w:p>
            <w:pPr>
              <w:pStyle w:val="TableContents"/>
              <w:spacing w:before="0" w:after="0"/>
              <w:ind w:left="225" w:right="0" w:hanging="225"/>
              <w:rPr/>
            </w:pPr>
            <w:r>
              <w:rPr/>
              <w:t>Gross margin (deficit)</w:t>
            </w:r>
          </w:p>
        </w:tc>
        <w:tc>
          <w:tcPr>
            <w:tcW w:w="22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 </w:t>
            </w:r>
          </w:p>
        </w:tc>
        <w:tc>
          <w:tcPr>
            <w:tcW w:w="934" w:type="dxa"/>
            <w:tcBorders/>
            <w:shd w:fill="auto" w:val="clear"/>
            <w:vAlign w:val="bottom"/>
          </w:tcPr>
          <w:p>
            <w:pPr>
              <w:pStyle w:val="TableContents"/>
              <w:spacing w:before="0" w:after="283"/>
              <w:jc w:val="right"/>
              <w:rPr/>
            </w:pPr>
            <w:r>
              <w:rPr/>
              <w:t>(326</w:t>
            </w:r>
          </w:p>
        </w:tc>
        <w:tc>
          <w:tcPr>
            <w:tcW w:w="116" w:type="dxa"/>
            <w:tcBorders/>
            <w:shd w:fill="auto" w:val="clear"/>
            <w:vAlign w:val="bottom"/>
          </w:tcPr>
          <w:p>
            <w:pPr>
              <w:pStyle w:val="TableContents"/>
              <w:spacing w:before="0" w:after="283"/>
              <w:rPr/>
            </w:pPr>
            <w:r>
              <w:rPr/>
              <w:t>)</w:t>
            </w:r>
          </w:p>
        </w:tc>
        <w:tc>
          <w:tcPr>
            <w:tcW w:w="221"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6" w:type="dxa"/>
            <w:tcBorders/>
            <w:shd w:fill="auto" w:val="clear"/>
            <w:vAlign w:val="bottom"/>
          </w:tcPr>
          <w:p>
            <w:pPr>
              <w:pStyle w:val="TableContents"/>
              <w:spacing w:before="0" w:after="283"/>
              <w:jc w:val="right"/>
              <w:rPr/>
            </w:pPr>
            <w:r>
              <w:rPr/>
              <w:t>1,841</w:t>
            </w:r>
          </w:p>
        </w:tc>
        <w:tc>
          <w:tcPr>
            <w:tcW w:w="11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1,895</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pPr>
            <w:r>
              <w:rPr/>
              <w:t>3,410</w:t>
            </w:r>
          </w:p>
        </w:tc>
        <w:tc>
          <w:tcPr>
            <w:tcW w:w="130" w:type="dxa"/>
            <w:tcBorders/>
            <w:shd w:fill="auto" w:val="clear"/>
            <w:vAlign w:val="bottom"/>
          </w:tcPr>
          <w:p>
            <w:pPr>
              <w:pStyle w:val="TableContents"/>
              <w:spacing w:before="0" w:after="283"/>
              <w:rPr/>
            </w:pPr>
            <w:r>
              <w:rPr/>
              <w:t> </w:t>
            </w:r>
          </w:p>
        </w:tc>
      </w:tr>
      <w:tr>
        <w:trPr/>
        <w:tc>
          <w:tcPr>
            <w:tcW w:w="2329" w:type="dxa"/>
            <w:tcBorders/>
            <w:shd w:fill="CCEEFF" w:val="clear"/>
            <w:vAlign w:val="bottom"/>
          </w:tcPr>
          <w:p>
            <w:pPr>
              <w:pStyle w:val="TableContents"/>
              <w:spacing w:before="0" w:after="0"/>
              <w:ind w:left="225" w:right="0" w:hanging="225"/>
              <w:rPr/>
            </w:pPr>
            <w:r>
              <w:rPr/>
              <w:t>Selling, general and administrative</w:t>
            </w:r>
          </w:p>
        </w:tc>
        <w:tc>
          <w:tcPr>
            <w:tcW w:w="22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34" w:type="dxa"/>
            <w:tcBorders/>
            <w:shd w:fill="CCEEFF" w:val="clear"/>
            <w:vAlign w:val="bottom"/>
          </w:tcPr>
          <w:p>
            <w:pPr>
              <w:pStyle w:val="TableContents"/>
              <w:spacing w:before="0" w:after="283"/>
              <w:jc w:val="right"/>
              <w:rPr/>
            </w:pPr>
            <w:r>
              <w:rPr/>
              <w:t>1,663</w:t>
            </w:r>
          </w:p>
        </w:tc>
        <w:tc>
          <w:tcPr>
            <w:tcW w:w="116"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6" w:type="dxa"/>
            <w:tcBorders/>
            <w:shd w:fill="CCEEFF" w:val="clear"/>
            <w:vAlign w:val="bottom"/>
          </w:tcPr>
          <w:p>
            <w:pPr>
              <w:pStyle w:val="TableContents"/>
              <w:spacing w:before="0" w:after="283"/>
              <w:jc w:val="right"/>
              <w:rPr/>
            </w:pPr>
            <w:r>
              <w:rPr/>
              <w:t>1,610</w:t>
            </w:r>
          </w:p>
        </w:tc>
        <w:tc>
          <w:tcPr>
            <w:tcW w:w="116"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1,171</w:t>
            </w:r>
          </w:p>
        </w:tc>
        <w:tc>
          <w:tcPr>
            <w:tcW w:w="11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jc w:val="right"/>
              <w:rPr/>
            </w:pPr>
            <w:r>
              <w:rPr/>
              <w:t>4,444</w:t>
            </w:r>
          </w:p>
        </w:tc>
        <w:tc>
          <w:tcPr>
            <w:tcW w:w="130" w:type="dxa"/>
            <w:tcBorders/>
            <w:shd w:fill="CCEEFF" w:val="clear"/>
            <w:vAlign w:val="bottom"/>
          </w:tcPr>
          <w:p>
            <w:pPr>
              <w:pStyle w:val="TableContents"/>
              <w:spacing w:before="0" w:after="283"/>
              <w:rPr/>
            </w:pPr>
            <w:r>
              <w:rPr/>
              <w:t> </w:t>
            </w:r>
          </w:p>
        </w:tc>
      </w:tr>
      <w:tr>
        <w:trPr/>
        <w:tc>
          <w:tcPr>
            <w:tcW w:w="2329" w:type="dxa"/>
            <w:tcBorders/>
            <w:shd w:fill="auto" w:val="clear"/>
            <w:vAlign w:val="center"/>
          </w:tcPr>
          <w:p>
            <w:pPr>
              <w:pStyle w:val="TableContents"/>
              <w:spacing w:before="0" w:after="0"/>
              <w:ind w:left="225" w:right="0" w:hanging="225"/>
              <w:rPr/>
            </w:pPr>
            <w:r>
              <w:rPr/>
              <w:t> </w:t>
            </w:r>
          </w:p>
        </w:tc>
        <w:tc>
          <w:tcPr>
            <w:tcW w:w="221" w:type="dxa"/>
            <w:tcBorders/>
            <w:shd w:fill="auto" w:val="clear"/>
            <w:vAlign w:val="center"/>
          </w:tcPr>
          <w:p>
            <w:pPr>
              <w:pStyle w:val="TableContents"/>
              <w:spacing w:before="0" w:after="283"/>
              <w:rPr/>
            </w:pPr>
            <w:r>
              <w:rPr/>
              <w:t> </w:t>
            </w:r>
          </w:p>
        </w:tc>
        <w:tc>
          <w:tcPr>
            <w:tcW w:w="11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5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9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329" w:type="dxa"/>
            <w:tcBorders/>
            <w:shd w:fill="auto" w:val="clear"/>
            <w:vAlign w:val="bottom"/>
          </w:tcPr>
          <w:p>
            <w:pPr>
              <w:pStyle w:val="TableContents"/>
              <w:spacing w:before="0" w:after="0"/>
              <w:ind w:left="225" w:right="0" w:hanging="225"/>
              <w:rPr/>
            </w:pPr>
            <w:r>
              <w:rPr/>
              <w:t>Operating income (loss)</w:t>
            </w:r>
          </w:p>
        </w:tc>
        <w:tc>
          <w:tcPr>
            <w:tcW w:w="22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 </w:t>
            </w:r>
          </w:p>
        </w:tc>
        <w:tc>
          <w:tcPr>
            <w:tcW w:w="934" w:type="dxa"/>
            <w:tcBorders/>
            <w:shd w:fill="auto" w:val="clear"/>
            <w:vAlign w:val="bottom"/>
          </w:tcPr>
          <w:p>
            <w:pPr>
              <w:pStyle w:val="TableContents"/>
              <w:spacing w:before="0" w:after="283"/>
              <w:jc w:val="right"/>
              <w:rPr/>
            </w:pPr>
            <w:r>
              <w:rPr/>
              <w:t>(1,989</w:t>
            </w:r>
          </w:p>
        </w:tc>
        <w:tc>
          <w:tcPr>
            <w:tcW w:w="116" w:type="dxa"/>
            <w:tcBorders/>
            <w:shd w:fill="auto" w:val="clear"/>
            <w:vAlign w:val="bottom"/>
          </w:tcPr>
          <w:p>
            <w:pPr>
              <w:pStyle w:val="TableContents"/>
              <w:spacing w:before="0" w:after="283"/>
              <w:rPr/>
            </w:pPr>
            <w:r>
              <w:rPr/>
              <w:t>)</w:t>
            </w:r>
          </w:p>
        </w:tc>
        <w:tc>
          <w:tcPr>
            <w:tcW w:w="221"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6" w:type="dxa"/>
            <w:tcBorders/>
            <w:shd w:fill="auto" w:val="clear"/>
            <w:vAlign w:val="bottom"/>
          </w:tcPr>
          <w:p>
            <w:pPr>
              <w:pStyle w:val="TableContents"/>
              <w:spacing w:before="0" w:after="283"/>
              <w:jc w:val="right"/>
              <w:rPr/>
            </w:pPr>
            <w:r>
              <w:rPr/>
              <w:t>231</w:t>
            </w:r>
          </w:p>
        </w:tc>
        <w:tc>
          <w:tcPr>
            <w:tcW w:w="11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724</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763" w:type="dxa"/>
            <w:tcBorders/>
            <w:shd w:fill="auto" w:val="clear"/>
            <w:vAlign w:val="bottom"/>
          </w:tcPr>
          <w:p>
            <w:pPr>
              <w:pStyle w:val="TableContents"/>
              <w:spacing w:before="0" w:after="283"/>
              <w:jc w:val="right"/>
              <w:rPr/>
            </w:pPr>
            <w:r>
              <w:rPr/>
              <w:t>(1,034</w:t>
            </w:r>
          </w:p>
        </w:tc>
        <w:tc>
          <w:tcPr>
            <w:tcW w:w="130" w:type="dxa"/>
            <w:tcBorders/>
            <w:shd w:fill="auto" w:val="clear"/>
            <w:vAlign w:val="bottom"/>
          </w:tcPr>
          <w:p>
            <w:pPr>
              <w:pStyle w:val="TableContents"/>
              <w:spacing w:before="0" w:after="283"/>
              <w:rPr/>
            </w:pPr>
            <w:r>
              <w:rPr/>
              <w:t>)</w:t>
            </w:r>
          </w:p>
        </w:tc>
      </w:tr>
      <w:tr>
        <w:trPr/>
        <w:tc>
          <w:tcPr>
            <w:tcW w:w="2329" w:type="dxa"/>
            <w:tcBorders/>
            <w:shd w:fill="CCEEFF" w:val="clear"/>
            <w:vAlign w:val="bottom"/>
          </w:tcPr>
          <w:p>
            <w:pPr>
              <w:pStyle w:val="TableContents"/>
              <w:spacing w:before="0" w:after="0"/>
              <w:ind w:left="225" w:right="0" w:hanging="225"/>
              <w:rPr/>
            </w:pPr>
            <w:r>
              <w:rPr/>
              <w:t>Other expense, net</w:t>
            </w:r>
          </w:p>
        </w:tc>
        <w:tc>
          <w:tcPr>
            <w:tcW w:w="22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 </w:t>
            </w:r>
          </w:p>
        </w:tc>
        <w:tc>
          <w:tcPr>
            <w:tcW w:w="934" w:type="dxa"/>
            <w:tcBorders/>
            <w:shd w:fill="CCEEFF" w:val="clear"/>
            <w:vAlign w:val="bottom"/>
          </w:tcPr>
          <w:p>
            <w:pPr>
              <w:pStyle w:val="TableContents"/>
              <w:spacing w:before="0" w:after="283"/>
              <w:jc w:val="right"/>
              <w:rPr/>
            </w:pPr>
            <w:r>
              <w:rPr/>
              <w:t>(11</w:t>
            </w:r>
          </w:p>
        </w:tc>
        <w:tc>
          <w:tcPr>
            <w:tcW w:w="116" w:type="dxa"/>
            <w:tcBorders/>
            <w:shd w:fill="CCEEFF" w:val="clear"/>
            <w:vAlign w:val="bottom"/>
          </w:tcPr>
          <w:p>
            <w:pPr>
              <w:pStyle w:val="TableContents"/>
              <w:spacing w:before="0" w:after="283"/>
              <w:rPr/>
            </w:pPr>
            <w:r>
              <w:rPr/>
              <w:t>)</w:t>
            </w:r>
          </w:p>
        </w:tc>
        <w:tc>
          <w:tcPr>
            <w:tcW w:w="221"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jc w:val="left"/>
              <w:rPr/>
            </w:pPr>
            <w:r>
              <w:rPr/>
              <w:t> </w:t>
            </w:r>
          </w:p>
        </w:tc>
        <w:tc>
          <w:tcPr>
            <w:tcW w:w="1316" w:type="dxa"/>
            <w:tcBorders/>
            <w:shd w:fill="CCEEFF" w:val="clear"/>
            <w:vAlign w:val="bottom"/>
          </w:tcPr>
          <w:p>
            <w:pPr>
              <w:pStyle w:val="TableContents"/>
              <w:spacing w:before="0" w:after="283"/>
              <w:jc w:val="right"/>
              <w:rPr/>
            </w:pPr>
            <w:r>
              <w:rPr/>
              <w:t>(31</w:t>
            </w:r>
          </w:p>
        </w:tc>
        <w:tc>
          <w:tcPr>
            <w:tcW w:w="116" w:type="dxa"/>
            <w:tcBorders/>
            <w:shd w:fill="CCEEFF" w:val="clear"/>
            <w:vAlign w:val="bottom"/>
          </w:tcPr>
          <w:p>
            <w:pPr>
              <w:pStyle w:val="TableContents"/>
              <w:spacing w:before="0" w:after="283"/>
              <w:rPr/>
            </w:pPr>
            <w:r>
              <w:rPr/>
              <w:t>)</w:t>
            </w:r>
          </w:p>
        </w:tc>
        <w:tc>
          <w:tcPr>
            <w:tcW w:w="221"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 </w:t>
            </w:r>
          </w:p>
        </w:tc>
        <w:tc>
          <w:tcPr>
            <w:tcW w:w="886" w:type="dxa"/>
            <w:tcBorders/>
            <w:shd w:fill="CCEEFF" w:val="clear"/>
            <w:vAlign w:val="bottom"/>
          </w:tcPr>
          <w:p>
            <w:pPr>
              <w:pStyle w:val="TableContents"/>
              <w:spacing w:before="0" w:after="283"/>
              <w:jc w:val="right"/>
              <w:rPr/>
            </w:pPr>
            <w:r>
              <w:rPr/>
              <w:t>(33</w:t>
            </w:r>
          </w:p>
        </w:tc>
        <w:tc>
          <w:tcPr>
            <w:tcW w:w="116" w:type="dxa"/>
            <w:tcBorders/>
            <w:shd w:fill="CCEEFF" w:val="clear"/>
            <w:vAlign w:val="bottom"/>
          </w:tcPr>
          <w:p>
            <w:pPr>
              <w:pStyle w:val="TableContents"/>
              <w:spacing w:before="0" w:after="283"/>
              <w:rPr/>
            </w:pPr>
            <w:r>
              <w:rPr/>
              <w:t>)</w:t>
            </w:r>
          </w:p>
        </w:tc>
        <w:tc>
          <w:tcPr>
            <w:tcW w:w="22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763" w:type="dxa"/>
            <w:tcBorders/>
            <w:shd w:fill="CCEEFF" w:val="clear"/>
            <w:vAlign w:val="bottom"/>
          </w:tcPr>
          <w:p>
            <w:pPr>
              <w:pStyle w:val="TableContents"/>
              <w:spacing w:before="0" w:after="283"/>
              <w:jc w:val="right"/>
              <w:rPr/>
            </w:pPr>
            <w:r>
              <w:rPr/>
              <w:t>(75</w:t>
            </w:r>
          </w:p>
        </w:tc>
        <w:tc>
          <w:tcPr>
            <w:tcW w:w="130" w:type="dxa"/>
            <w:tcBorders/>
            <w:shd w:fill="CCEEFF" w:val="clear"/>
            <w:vAlign w:val="bottom"/>
          </w:tcPr>
          <w:p>
            <w:pPr>
              <w:pStyle w:val="TableContents"/>
              <w:spacing w:before="0" w:after="283"/>
              <w:rPr/>
            </w:pPr>
            <w:r>
              <w:rPr/>
              <w:t>)</w:t>
            </w:r>
          </w:p>
        </w:tc>
      </w:tr>
      <w:tr>
        <w:trPr/>
        <w:tc>
          <w:tcPr>
            <w:tcW w:w="2329" w:type="dxa"/>
            <w:tcBorders/>
            <w:shd w:fill="auto" w:val="clear"/>
            <w:vAlign w:val="center"/>
          </w:tcPr>
          <w:p>
            <w:pPr>
              <w:pStyle w:val="TableContents"/>
              <w:spacing w:before="0" w:after="0"/>
              <w:ind w:left="225" w:right="0" w:hanging="225"/>
              <w:rPr/>
            </w:pPr>
            <w:r>
              <w:rPr/>
              <w:t> </w:t>
            </w:r>
          </w:p>
        </w:tc>
        <w:tc>
          <w:tcPr>
            <w:tcW w:w="221" w:type="dxa"/>
            <w:tcBorders/>
            <w:shd w:fill="auto" w:val="clear"/>
            <w:vAlign w:val="center"/>
          </w:tcPr>
          <w:p>
            <w:pPr>
              <w:pStyle w:val="TableContents"/>
              <w:spacing w:before="0" w:after="283"/>
              <w:rPr/>
            </w:pPr>
            <w:r>
              <w:rPr/>
              <w:t> </w:t>
            </w:r>
          </w:p>
        </w:tc>
        <w:tc>
          <w:tcPr>
            <w:tcW w:w="11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5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9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329" w:type="dxa"/>
            <w:tcBorders/>
            <w:shd w:fill="auto" w:val="clear"/>
            <w:vAlign w:val="bottom"/>
          </w:tcPr>
          <w:p>
            <w:pPr>
              <w:pStyle w:val="TableContents"/>
              <w:spacing w:before="0" w:after="0"/>
              <w:ind w:left="225" w:right="0" w:hanging="225"/>
              <w:rPr/>
            </w:pPr>
            <w:r>
              <w:rPr/>
              <w:t>Income (loss) before provision (benefit) for income taxes</w:t>
            </w:r>
          </w:p>
        </w:tc>
        <w:tc>
          <w:tcPr>
            <w:tcW w:w="22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 </w:t>
            </w:r>
          </w:p>
        </w:tc>
        <w:tc>
          <w:tcPr>
            <w:tcW w:w="934" w:type="dxa"/>
            <w:tcBorders/>
            <w:shd w:fill="auto" w:val="clear"/>
            <w:vAlign w:val="bottom"/>
          </w:tcPr>
          <w:p>
            <w:pPr>
              <w:pStyle w:val="TableContents"/>
              <w:spacing w:before="0" w:after="283"/>
              <w:jc w:val="right"/>
              <w:rPr/>
            </w:pPr>
            <w:r>
              <w:rPr/>
              <w:t>(2,000</w:t>
            </w:r>
          </w:p>
        </w:tc>
        <w:tc>
          <w:tcPr>
            <w:tcW w:w="116" w:type="dxa"/>
            <w:tcBorders/>
            <w:shd w:fill="auto" w:val="clear"/>
            <w:vAlign w:val="bottom"/>
          </w:tcPr>
          <w:p>
            <w:pPr>
              <w:pStyle w:val="TableContents"/>
              <w:spacing w:before="0" w:after="283"/>
              <w:rPr/>
            </w:pPr>
            <w:r>
              <w:rPr/>
              <w:t>)</w:t>
            </w:r>
          </w:p>
        </w:tc>
        <w:tc>
          <w:tcPr>
            <w:tcW w:w="221"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6" w:type="dxa"/>
            <w:tcBorders/>
            <w:shd w:fill="auto" w:val="clear"/>
            <w:vAlign w:val="bottom"/>
          </w:tcPr>
          <w:p>
            <w:pPr>
              <w:pStyle w:val="TableContents"/>
              <w:spacing w:before="0" w:after="283"/>
              <w:jc w:val="right"/>
              <w:rPr/>
            </w:pPr>
            <w:r>
              <w:rPr/>
              <w:t>200</w:t>
            </w:r>
          </w:p>
        </w:tc>
        <w:tc>
          <w:tcPr>
            <w:tcW w:w="11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jc w:val="right"/>
              <w:rPr/>
            </w:pPr>
            <w:r>
              <w:rPr/>
              <w:t>691</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763" w:type="dxa"/>
            <w:tcBorders/>
            <w:shd w:fill="auto" w:val="clear"/>
            <w:vAlign w:val="bottom"/>
          </w:tcPr>
          <w:p>
            <w:pPr>
              <w:pStyle w:val="TableContents"/>
              <w:spacing w:before="0" w:after="283"/>
              <w:jc w:val="right"/>
              <w:rPr/>
            </w:pPr>
            <w:r>
              <w:rPr/>
              <w:t>(1,109</w:t>
            </w:r>
          </w:p>
        </w:tc>
        <w:tc>
          <w:tcPr>
            <w:tcW w:w="130" w:type="dxa"/>
            <w:tcBorders/>
            <w:shd w:fill="auto" w:val="clear"/>
            <w:vAlign w:val="bottom"/>
          </w:tcPr>
          <w:p>
            <w:pPr>
              <w:pStyle w:val="TableContents"/>
              <w:spacing w:before="0" w:after="283"/>
              <w:rPr/>
            </w:pPr>
            <w:r>
              <w:rPr/>
              <w:t>)</w:t>
            </w:r>
          </w:p>
        </w:tc>
      </w:tr>
      <w:tr>
        <w:trPr/>
        <w:tc>
          <w:tcPr>
            <w:tcW w:w="2329" w:type="dxa"/>
            <w:tcBorders/>
            <w:shd w:fill="CCEEFF" w:val="clear"/>
            <w:vAlign w:val="bottom"/>
          </w:tcPr>
          <w:p>
            <w:pPr>
              <w:pStyle w:val="TableContents"/>
              <w:spacing w:before="0" w:after="0"/>
              <w:ind w:left="225" w:right="0" w:hanging="225"/>
              <w:rPr/>
            </w:pPr>
            <w:r>
              <w:rPr/>
              <w:t>Provision (benefit) for income taxes</w:t>
            </w:r>
          </w:p>
        </w:tc>
        <w:tc>
          <w:tcPr>
            <w:tcW w:w="221"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 </w:t>
            </w:r>
          </w:p>
        </w:tc>
        <w:tc>
          <w:tcPr>
            <w:tcW w:w="934" w:type="dxa"/>
            <w:tcBorders/>
            <w:shd w:fill="CCEEFF" w:val="clear"/>
            <w:vAlign w:val="bottom"/>
          </w:tcPr>
          <w:p>
            <w:pPr>
              <w:pStyle w:val="TableContents"/>
              <w:spacing w:before="0" w:after="283"/>
              <w:jc w:val="right"/>
              <w:rPr/>
            </w:pPr>
            <w:r>
              <w:rPr/>
              <w:t>(800</w:t>
            </w:r>
          </w:p>
        </w:tc>
        <w:tc>
          <w:tcPr>
            <w:tcW w:w="116" w:type="dxa"/>
            <w:tcBorders/>
            <w:shd w:fill="CCEEFF" w:val="clear"/>
            <w:vAlign w:val="bottom"/>
          </w:tcPr>
          <w:p>
            <w:pPr>
              <w:pStyle w:val="TableContents"/>
              <w:spacing w:before="0" w:after="283"/>
              <w:rPr/>
            </w:pPr>
            <w:r>
              <w:rPr/>
              <w:t>)</w:t>
            </w:r>
          </w:p>
        </w:tc>
        <w:tc>
          <w:tcPr>
            <w:tcW w:w="221"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6" w:type="dxa"/>
            <w:tcBorders/>
            <w:shd w:fill="CCEEFF" w:val="clear"/>
            <w:vAlign w:val="bottom"/>
          </w:tcPr>
          <w:p>
            <w:pPr>
              <w:pStyle w:val="TableContents"/>
              <w:spacing w:before="0" w:after="283"/>
              <w:jc w:val="right"/>
              <w:rPr/>
            </w:pPr>
            <w:r>
              <w:rPr/>
              <w:t>80</w:t>
            </w:r>
          </w:p>
        </w:tc>
        <w:tc>
          <w:tcPr>
            <w:tcW w:w="116"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jc w:val="right"/>
              <w:rPr/>
            </w:pPr>
            <w:r>
              <w:rPr/>
              <w:t>276</w:t>
            </w:r>
          </w:p>
        </w:tc>
        <w:tc>
          <w:tcPr>
            <w:tcW w:w="116"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w:t>
            </w:r>
          </w:p>
        </w:tc>
        <w:tc>
          <w:tcPr>
            <w:tcW w:w="116"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763" w:type="dxa"/>
            <w:tcBorders/>
            <w:shd w:fill="CCEEFF" w:val="clear"/>
            <w:vAlign w:val="bottom"/>
          </w:tcPr>
          <w:p>
            <w:pPr>
              <w:pStyle w:val="TableContents"/>
              <w:spacing w:before="0" w:after="283"/>
              <w:jc w:val="right"/>
              <w:rPr/>
            </w:pPr>
            <w:r>
              <w:rPr/>
              <w:t>(444</w:t>
            </w:r>
          </w:p>
        </w:tc>
        <w:tc>
          <w:tcPr>
            <w:tcW w:w="130" w:type="dxa"/>
            <w:tcBorders/>
            <w:shd w:fill="CCEEFF" w:val="clear"/>
            <w:vAlign w:val="bottom"/>
          </w:tcPr>
          <w:p>
            <w:pPr>
              <w:pStyle w:val="TableContents"/>
              <w:spacing w:before="0" w:after="283"/>
              <w:rPr/>
            </w:pPr>
            <w:r>
              <w:rPr/>
              <w:t>)</w:t>
            </w:r>
          </w:p>
        </w:tc>
      </w:tr>
      <w:tr>
        <w:trPr/>
        <w:tc>
          <w:tcPr>
            <w:tcW w:w="2329" w:type="dxa"/>
            <w:tcBorders/>
            <w:shd w:fill="auto" w:val="clear"/>
            <w:vAlign w:val="center"/>
          </w:tcPr>
          <w:p>
            <w:pPr>
              <w:pStyle w:val="TableContents"/>
              <w:spacing w:before="0" w:after="0"/>
              <w:ind w:left="225" w:right="0" w:hanging="225"/>
              <w:rPr/>
            </w:pPr>
            <w:r>
              <w:rPr/>
              <w:t> </w:t>
            </w:r>
          </w:p>
        </w:tc>
        <w:tc>
          <w:tcPr>
            <w:tcW w:w="221" w:type="dxa"/>
            <w:tcBorders/>
            <w:shd w:fill="auto" w:val="clear"/>
            <w:vAlign w:val="center"/>
          </w:tcPr>
          <w:p>
            <w:pPr>
              <w:pStyle w:val="TableContents"/>
              <w:spacing w:before="0" w:after="283"/>
              <w:rPr/>
            </w:pPr>
            <w:r>
              <w:rPr/>
              <w:t> </w:t>
            </w:r>
          </w:p>
        </w:tc>
        <w:tc>
          <w:tcPr>
            <w:tcW w:w="11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58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0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4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9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r>
        <w:trPr/>
        <w:tc>
          <w:tcPr>
            <w:tcW w:w="2329" w:type="dxa"/>
            <w:tcBorders/>
            <w:shd w:fill="auto" w:val="clear"/>
            <w:vAlign w:val="bottom"/>
          </w:tcPr>
          <w:p>
            <w:pPr>
              <w:pStyle w:val="TableContents"/>
              <w:spacing w:before="0" w:after="0"/>
              <w:ind w:left="225" w:right="0" w:hanging="225"/>
              <w:rPr/>
            </w:pPr>
            <w:r>
              <w:rPr/>
              <w:t>Net income (loss)</w:t>
            </w:r>
          </w:p>
        </w:tc>
        <w:tc>
          <w:tcPr>
            <w:tcW w:w="221"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34" w:type="dxa"/>
            <w:tcBorders/>
            <w:shd w:fill="auto" w:val="clear"/>
            <w:vAlign w:val="bottom"/>
          </w:tcPr>
          <w:p>
            <w:pPr>
              <w:pStyle w:val="TableContents"/>
              <w:spacing w:before="0" w:after="283"/>
              <w:jc w:val="right"/>
              <w:rPr/>
            </w:pPr>
            <w:r>
              <w:rPr/>
              <w:t>(1,200</w:t>
            </w:r>
          </w:p>
        </w:tc>
        <w:tc>
          <w:tcPr>
            <w:tcW w:w="116" w:type="dxa"/>
            <w:tcBorders/>
            <w:shd w:fill="auto" w:val="clear"/>
            <w:vAlign w:val="bottom"/>
          </w:tcPr>
          <w:p>
            <w:pPr>
              <w:pStyle w:val="TableContents"/>
              <w:spacing w:before="0" w:after="283"/>
              <w:rPr/>
            </w:pPr>
            <w:r>
              <w:rPr/>
              <w:t>)</w:t>
            </w:r>
          </w:p>
        </w:tc>
        <w:tc>
          <w:tcPr>
            <w:tcW w:w="221"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16" w:type="dxa"/>
            <w:tcBorders/>
            <w:shd w:fill="auto" w:val="clear"/>
            <w:vAlign w:val="bottom"/>
          </w:tcPr>
          <w:p>
            <w:pPr>
              <w:pStyle w:val="TableContents"/>
              <w:spacing w:before="0" w:after="283"/>
              <w:jc w:val="right"/>
              <w:rPr/>
            </w:pPr>
            <w:r>
              <w:rPr/>
              <w:t>120</w:t>
            </w:r>
          </w:p>
        </w:tc>
        <w:tc>
          <w:tcPr>
            <w:tcW w:w="11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886" w:type="dxa"/>
            <w:tcBorders/>
            <w:shd w:fill="auto" w:val="clear"/>
            <w:vAlign w:val="bottom"/>
          </w:tcPr>
          <w:p>
            <w:pPr>
              <w:pStyle w:val="TableContents"/>
              <w:spacing w:before="0" w:after="283"/>
              <w:jc w:val="right"/>
              <w:rPr/>
            </w:pPr>
            <w:r>
              <w:rPr/>
              <w:t>415</w:t>
            </w:r>
          </w:p>
        </w:tc>
        <w:tc>
          <w:tcPr>
            <w:tcW w:w="11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jc w:val="left"/>
              <w:rPr/>
            </w:pPr>
            <w:r>
              <w:rPr/>
              <w:t>$</w:t>
            </w:r>
          </w:p>
        </w:tc>
        <w:tc>
          <w:tcPr>
            <w:tcW w:w="1193" w:type="dxa"/>
            <w:tcBorders/>
            <w:shd w:fill="auto" w:val="clear"/>
            <w:vAlign w:val="bottom"/>
          </w:tcPr>
          <w:p>
            <w:pPr>
              <w:pStyle w:val="TableContents"/>
              <w:spacing w:before="0" w:after="283"/>
              <w:jc w:val="right"/>
              <w:rPr/>
            </w:pPr>
            <w:r>
              <w:rPr/>
              <w:t></w:t>
            </w:r>
          </w:p>
        </w:tc>
        <w:tc>
          <w:tcPr>
            <w:tcW w:w="116"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763" w:type="dxa"/>
            <w:tcBorders/>
            <w:shd w:fill="auto" w:val="clear"/>
            <w:vAlign w:val="bottom"/>
          </w:tcPr>
          <w:p>
            <w:pPr>
              <w:pStyle w:val="TableContents"/>
              <w:spacing w:before="0" w:after="283"/>
              <w:jc w:val="right"/>
              <w:rPr/>
            </w:pPr>
            <w:r>
              <w:rPr/>
              <w:t>(665</w:t>
            </w:r>
          </w:p>
        </w:tc>
        <w:tc>
          <w:tcPr>
            <w:tcW w:w="130" w:type="dxa"/>
            <w:tcBorders/>
            <w:shd w:fill="auto" w:val="clear"/>
            <w:vAlign w:val="bottom"/>
          </w:tcPr>
          <w:p>
            <w:pPr>
              <w:pStyle w:val="TableContents"/>
              <w:spacing w:before="0" w:after="283"/>
              <w:rPr/>
            </w:pPr>
            <w:r>
              <w:rPr/>
              <w:t>)</w:t>
            </w:r>
          </w:p>
        </w:tc>
      </w:tr>
      <w:tr>
        <w:trPr/>
        <w:tc>
          <w:tcPr>
            <w:tcW w:w="2329" w:type="dxa"/>
            <w:tcBorders/>
            <w:shd w:fill="auto" w:val="clear"/>
            <w:vAlign w:val="center"/>
          </w:tcPr>
          <w:p>
            <w:pPr>
              <w:pStyle w:val="TableContents"/>
              <w:spacing w:before="0" w:after="0"/>
              <w:ind w:left="225" w:right="0" w:hanging="225"/>
              <w:rPr/>
            </w:pPr>
            <w:r>
              <w:rPr/>
              <w:t> </w:t>
            </w:r>
          </w:p>
        </w:tc>
        <w:tc>
          <w:tcPr>
            <w:tcW w:w="221" w:type="dxa"/>
            <w:tcBorders/>
            <w:shd w:fill="auto" w:val="clear"/>
            <w:vAlign w:val="center"/>
          </w:tcPr>
          <w:p>
            <w:pPr>
              <w:pStyle w:val="TableContents"/>
              <w:spacing w:before="0" w:after="283"/>
              <w:rPr/>
            </w:pPr>
            <w:r>
              <w:rPr/>
              <w:t> </w:t>
            </w:r>
          </w:p>
        </w:tc>
        <w:tc>
          <w:tcPr>
            <w:tcW w:w="11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58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09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0" w:type="dxa"/>
            <w:tcBorders/>
            <w:shd w:fill="auto" w:val="clear"/>
            <w:vAlign w:val="center"/>
          </w:tcPr>
          <w:p>
            <w:pPr>
              <w:pStyle w:val="TableContents"/>
              <w:spacing w:before="0" w:after="283"/>
              <w:rPr/>
            </w:pPr>
            <w:r>
              <w:rPr/>
              <w:t> </w:t>
            </w:r>
          </w:p>
        </w:tc>
        <w:tc>
          <w:tcPr>
            <w:tcW w:w="14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6"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9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CONDENSED FINANCIAL STATEMENTS (UNAUDITED)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333"/>
        <w:gridCol w:w="222"/>
        <w:gridCol w:w="200"/>
        <w:gridCol w:w="928"/>
        <w:gridCol w:w="117"/>
        <w:gridCol w:w="222"/>
        <w:gridCol w:w="269"/>
        <w:gridCol w:w="1321"/>
        <w:gridCol w:w="86"/>
        <w:gridCol w:w="222"/>
        <w:gridCol w:w="213"/>
        <w:gridCol w:w="889"/>
        <w:gridCol w:w="117"/>
        <w:gridCol w:w="221"/>
        <w:gridCol w:w="260"/>
        <w:gridCol w:w="1198"/>
        <w:gridCol w:w="117"/>
        <w:gridCol w:w="222"/>
        <w:gridCol w:w="156"/>
        <w:gridCol w:w="766"/>
        <w:gridCol w:w="126"/>
      </w:tblGrid>
      <w:tr>
        <w:trPr/>
        <w:tc>
          <w:tcPr>
            <w:tcW w:w="233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233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590" w:type="dxa"/>
            <w:gridSpan w:val="2"/>
            <w:tcBorders/>
            <w:shd w:fill="auto" w:val="clear"/>
            <w:vAlign w:val="bottom"/>
          </w:tcPr>
          <w:p>
            <w:pPr>
              <w:pStyle w:val="TableContents"/>
              <w:spacing w:before="0" w:after="283"/>
              <w:jc w:val="center"/>
              <w:rPr>
                <w:b/>
              </w:rPr>
            </w:pPr>
            <w:r>
              <w:rPr>
                <w:b/>
              </w:rPr>
              <w:t>International</w:t>
            </w:r>
          </w:p>
        </w:tc>
        <w:tc>
          <w:tcPr>
            <w:tcW w:w="8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102"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458"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922" w:type="dxa"/>
            <w:gridSpan w:val="2"/>
            <w:tcBorders/>
            <w:shd w:fill="auto" w:val="clear"/>
            <w:vAlign w:val="bottom"/>
          </w:tcPr>
          <w:p>
            <w:pPr>
              <w:pStyle w:val="TableContents"/>
              <w:spacing w:before="0" w:after="283"/>
              <w:jc w:val="center"/>
              <w:rPr/>
            </w:pPr>
            <w:r>
              <w:rPr/>
              <w:t> </w:t>
            </w:r>
          </w:p>
        </w:tc>
        <w:tc>
          <w:tcPr>
            <w:tcW w:w="126" w:type="dxa"/>
            <w:tcBorders/>
            <w:shd w:fill="auto" w:val="clear"/>
            <w:vAlign w:val="bottom"/>
          </w:tcPr>
          <w:p>
            <w:pPr>
              <w:pStyle w:val="TableContents"/>
              <w:spacing w:before="0" w:after="283"/>
              <w:rPr/>
            </w:pPr>
            <w:r>
              <w:rPr/>
              <w:t> </w:t>
            </w:r>
          </w:p>
        </w:tc>
      </w:tr>
      <w:tr>
        <w:trPr/>
        <w:tc>
          <w:tcPr>
            <w:tcW w:w="233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928"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590" w:type="dxa"/>
            <w:gridSpan w:val="2"/>
            <w:tcBorders/>
            <w:shd w:fill="auto" w:val="clear"/>
            <w:vAlign w:val="bottom"/>
          </w:tcPr>
          <w:p>
            <w:pPr>
              <w:pStyle w:val="TableContents"/>
              <w:spacing w:before="0" w:after="283"/>
              <w:jc w:val="center"/>
              <w:rPr>
                <w:b/>
              </w:rPr>
            </w:pPr>
            <w:r>
              <w:rPr>
                <w:b/>
              </w:rPr>
              <w:t>avocados and</w:t>
            </w:r>
          </w:p>
        </w:tc>
        <w:tc>
          <w:tcPr>
            <w:tcW w:w="8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102"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458" w:type="dxa"/>
            <w:gridSpan w:val="2"/>
            <w:tcBorders/>
            <w:shd w:fill="auto" w:val="clear"/>
            <w:vAlign w:val="bottom"/>
          </w:tcPr>
          <w:p>
            <w:pPr>
              <w:pStyle w:val="TableContents"/>
              <w:spacing w:before="0" w:after="283"/>
              <w:jc w:val="center"/>
              <w:rPr/>
            </w:pPr>
            <w:r>
              <w:rPr/>
              <w:t> </w:t>
            </w:r>
          </w:p>
        </w:tc>
        <w:tc>
          <w:tcPr>
            <w:tcW w:w="11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922" w:type="dxa"/>
            <w:gridSpan w:val="2"/>
            <w:tcBorders/>
            <w:shd w:fill="auto" w:val="clear"/>
            <w:vAlign w:val="bottom"/>
          </w:tcPr>
          <w:p>
            <w:pPr>
              <w:pStyle w:val="TableContents"/>
              <w:spacing w:before="0" w:after="283"/>
              <w:jc w:val="center"/>
              <w:rPr/>
            </w:pPr>
            <w:r>
              <w:rPr/>
              <w:t> </w:t>
            </w:r>
          </w:p>
        </w:tc>
        <w:tc>
          <w:tcPr>
            <w:tcW w:w="126" w:type="dxa"/>
            <w:tcBorders/>
            <w:shd w:fill="auto" w:val="clear"/>
            <w:vAlign w:val="bottom"/>
          </w:tcPr>
          <w:p>
            <w:pPr>
              <w:pStyle w:val="TableContents"/>
              <w:spacing w:before="0" w:after="283"/>
              <w:rPr/>
            </w:pPr>
            <w:r>
              <w:rPr/>
              <w:t> </w:t>
            </w:r>
          </w:p>
        </w:tc>
      </w:tr>
      <w:tr>
        <w:trPr/>
        <w:tc>
          <w:tcPr>
            <w:tcW w:w="233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128" w:type="dxa"/>
            <w:gridSpan w:val="2"/>
            <w:tcBorders/>
            <w:shd w:fill="auto" w:val="clear"/>
            <w:vAlign w:val="bottom"/>
          </w:tcPr>
          <w:p>
            <w:pPr>
              <w:pStyle w:val="TableContents"/>
              <w:spacing w:before="0" w:after="283"/>
              <w:jc w:val="center"/>
              <w:rPr>
                <w:b/>
              </w:rPr>
            </w:pPr>
            <w:r>
              <w:rPr>
                <w:b/>
              </w:rPr>
              <w:t>California</w:t>
            </w:r>
          </w:p>
        </w:tc>
        <w:tc>
          <w:tcPr>
            <w:tcW w:w="11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590" w:type="dxa"/>
            <w:gridSpan w:val="2"/>
            <w:tcBorders/>
            <w:shd w:fill="auto" w:val="clear"/>
            <w:vAlign w:val="bottom"/>
          </w:tcPr>
          <w:p>
            <w:pPr>
              <w:pStyle w:val="TableContents"/>
              <w:spacing w:before="0" w:after="283"/>
              <w:jc w:val="center"/>
              <w:rPr>
                <w:b/>
              </w:rPr>
            </w:pPr>
            <w:r>
              <w:rPr>
                <w:b/>
              </w:rPr>
              <w:t>perishable food</w:t>
            </w:r>
          </w:p>
        </w:tc>
        <w:tc>
          <w:tcPr>
            <w:tcW w:w="8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102" w:type="dxa"/>
            <w:gridSpan w:val="2"/>
            <w:tcBorders/>
            <w:shd w:fill="auto" w:val="clear"/>
            <w:vAlign w:val="bottom"/>
          </w:tcPr>
          <w:p>
            <w:pPr>
              <w:pStyle w:val="TableContents"/>
              <w:spacing w:before="0" w:after="283"/>
              <w:jc w:val="center"/>
              <w:rPr>
                <w:b/>
              </w:rPr>
            </w:pPr>
            <w:r>
              <w:rPr>
                <w:b/>
              </w:rPr>
              <w:t>Processed</w:t>
            </w:r>
          </w:p>
        </w:tc>
        <w:tc>
          <w:tcPr>
            <w:tcW w:w="11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458" w:type="dxa"/>
            <w:gridSpan w:val="2"/>
            <w:tcBorders/>
            <w:shd w:fill="auto" w:val="clear"/>
            <w:vAlign w:val="bottom"/>
          </w:tcPr>
          <w:p>
            <w:pPr>
              <w:pStyle w:val="TableContents"/>
              <w:spacing w:before="0" w:after="283"/>
              <w:jc w:val="center"/>
              <w:rPr>
                <w:b/>
              </w:rPr>
            </w:pPr>
            <w:r>
              <w:rPr>
                <w:b/>
              </w:rPr>
              <w:t>Inter-segment</w:t>
            </w:r>
          </w:p>
        </w:tc>
        <w:tc>
          <w:tcPr>
            <w:tcW w:w="11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922" w:type="dxa"/>
            <w:gridSpan w:val="2"/>
            <w:tcBorders/>
            <w:shd w:fill="auto" w:val="clear"/>
            <w:vAlign w:val="bottom"/>
          </w:tcPr>
          <w:p>
            <w:pPr>
              <w:pStyle w:val="TableContents"/>
              <w:spacing w:before="0" w:after="283"/>
              <w:jc w:val="center"/>
              <w:rPr/>
            </w:pPr>
            <w:r>
              <w:rPr/>
              <w:t> </w:t>
            </w:r>
          </w:p>
        </w:tc>
        <w:tc>
          <w:tcPr>
            <w:tcW w:w="126" w:type="dxa"/>
            <w:tcBorders/>
            <w:shd w:fill="auto" w:val="clear"/>
            <w:vAlign w:val="bottom"/>
          </w:tcPr>
          <w:p>
            <w:pPr>
              <w:pStyle w:val="TableContents"/>
              <w:spacing w:before="0" w:after="283"/>
              <w:rPr/>
            </w:pPr>
            <w:r>
              <w:rPr/>
              <w:t> </w:t>
            </w:r>
          </w:p>
        </w:tc>
      </w:tr>
      <w:tr>
        <w:trPr/>
        <w:tc>
          <w:tcPr>
            <w:tcW w:w="233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12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avocados</w:t>
            </w:r>
          </w:p>
        </w:tc>
        <w:tc>
          <w:tcPr>
            <w:tcW w:w="11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59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8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10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1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45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eliminations</w:t>
            </w:r>
          </w:p>
        </w:tc>
        <w:tc>
          <w:tcPr>
            <w:tcW w:w="11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922"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126" w:type="dxa"/>
            <w:tcBorders/>
            <w:shd w:fill="auto" w:val="clear"/>
            <w:vAlign w:val="bottom"/>
          </w:tcPr>
          <w:p>
            <w:pPr>
              <w:pStyle w:val="TableContents"/>
              <w:spacing w:before="0" w:after="283"/>
              <w:rPr/>
            </w:pPr>
            <w:r>
              <w:rPr/>
              <w:t> </w:t>
            </w:r>
          </w:p>
        </w:tc>
      </w:tr>
      <w:tr>
        <w:trPr/>
        <w:tc>
          <w:tcPr>
            <w:tcW w:w="2333"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7524" w:type="dxa"/>
            <w:gridSpan w:val="18"/>
            <w:tcBorders/>
            <w:shd w:fill="auto" w:val="clear"/>
            <w:vAlign w:val="bottom"/>
          </w:tcPr>
          <w:p>
            <w:pPr>
              <w:pStyle w:val="TableContents"/>
              <w:spacing w:before="0" w:after="283"/>
              <w:jc w:val="center"/>
              <w:rPr>
                <w:b/>
              </w:rPr>
            </w:pPr>
            <w:r>
              <w:rPr>
                <w:b/>
              </w:rPr>
              <w:t>(in thousands)</w:t>
            </w:r>
          </w:p>
        </w:tc>
        <w:tc>
          <w:tcPr>
            <w:tcW w:w="126" w:type="dxa"/>
            <w:tcBorders/>
            <w:shd w:fill="auto" w:val="clear"/>
            <w:vAlign w:val="bottom"/>
          </w:tcPr>
          <w:p>
            <w:pPr>
              <w:pStyle w:val="TableContents"/>
              <w:spacing w:before="0" w:after="283"/>
              <w:rPr/>
            </w:pPr>
            <w:r>
              <w:rPr/>
              <w:t> </w:t>
            </w:r>
          </w:p>
        </w:tc>
      </w:tr>
      <w:tr>
        <w:trPr/>
        <w:tc>
          <w:tcPr>
            <w:tcW w:w="2333" w:type="dxa"/>
            <w:tcBorders/>
            <w:shd w:fill="CCEEFF" w:val="clear"/>
            <w:vAlign w:val="bottom"/>
          </w:tcPr>
          <w:p>
            <w:pPr>
              <w:pStyle w:val="TableContents"/>
              <w:spacing w:before="0" w:after="0"/>
              <w:ind w:left="225" w:right="0" w:hanging="225"/>
              <w:rPr>
                <w:b/>
              </w:rPr>
            </w:pPr>
            <w:r>
              <w:rPr>
                <w:b/>
              </w:rPr>
              <w:t>Three months ended January 31, 2005</w:t>
            </w:r>
          </w:p>
        </w:tc>
        <w:tc>
          <w:tcPr>
            <w:tcW w:w="22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rPr/>
            </w:pPr>
            <w:r>
              <w:rPr/>
              <w:t> </w:t>
            </w:r>
          </w:p>
        </w:tc>
      </w:tr>
      <w:tr>
        <w:trPr/>
        <w:tc>
          <w:tcPr>
            <w:tcW w:w="2333" w:type="dxa"/>
            <w:tcBorders/>
            <w:shd w:fill="auto" w:val="clear"/>
            <w:vAlign w:val="bottom"/>
          </w:tcPr>
          <w:p>
            <w:pPr>
              <w:pStyle w:val="TableContents"/>
              <w:spacing w:before="0" w:after="0"/>
              <w:ind w:left="225" w:right="0" w:hanging="225"/>
              <w:rPr/>
            </w:pPr>
            <w:r>
              <w:rPr/>
              <w:t>Net sales</w:t>
            </w:r>
          </w:p>
        </w:tc>
        <w:tc>
          <w:tcPr>
            <w:tcW w:w="2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left"/>
              <w:rPr/>
            </w:pPr>
            <w:r>
              <w:rPr/>
              <w:t>$</w:t>
            </w:r>
          </w:p>
        </w:tc>
        <w:tc>
          <w:tcPr>
            <w:tcW w:w="928" w:type="dxa"/>
            <w:tcBorders/>
            <w:shd w:fill="auto" w:val="clear"/>
            <w:vAlign w:val="bottom"/>
          </w:tcPr>
          <w:p>
            <w:pPr>
              <w:pStyle w:val="TableContents"/>
              <w:spacing w:before="0" w:after="283"/>
              <w:jc w:val="right"/>
              <w:rPr/>
            </w:pPr>
            <w:r>
              <w:rPr/>
              <w:t>8,677</w:t>
            </w:r>
          </w:p>
        </w:tc>
        <w:tc>
          <w:tcPr>
            <w:tcW w:w="11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jc w:val="left"/>
              <w:rPr/>
            </w:pPr>
            <w:r>
              <w:rPr/>
              <w:t>$</w:t>
            </w:r>
          </w:p>
        </w:tc>
        <w:tc>
          <w:tcPr>
            <w:tcW w:w="1321" w:type="dxa"/>
            <w:tcBorders/>
            <w:shd w:fill="auto" w:val="clear"/>
            <w:vAlign w:val="bottom"/>
          </w:tcPr>
          <w:p>
            <w:pPr>
              <w:pStyle w:val="TableContents"/>
              <w:spacing w:before="0" w:after="283"/>
              <w:jc w:val="right"/>
              <w:rPr/>
            </w:pPr>
            <w:r>
              <w:rPr/>
              <w:t>36,387</w:t>
            </w:r>
          </w:p>
        </w:tc>
        <w:tc>
          <w:tcPr>
            <w:tcW w:w="8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889" w:type="dxa"/>
            <w:tcBorders/>
            <w:shd w:fill="auto" w:val="clear"/>
            <w:vAlign w:val="bottom"/>
          </w:tcPr>
          <w:p>
            <w:pPr>
              <w:pStyle w:val="TableContents"/>
              <w:spacing w:before="0" w:after="283"/>
              <w:jc w:val="right"/>
              <w:rPr/>
            </w:pPr>
            <w:r>
              <w:rPr/>
              <w:t>7,502</w:t>
            </w:r>
          </w:p>
        </w:tc>
        <w:tc>
          <w:tcPr>
            <w:tcW w:w="11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left"/>
              <w:rPr/>
            </w:pPr>
            <w:r>
              <w:rPr/>
              <w:t>$</w:t>
            </w:r>
          </w:p>
        </w:tc>
        <w:tc>
          <w:tcPr>
            <w:tcW w:w="1198" w:type="dxa"/>
            <w:tcBorders/>
            <w:shd w:fill="auto" w:val="clear"/>
            <w:vAlign w:val="bottom"/>
          </w:tcPr>
          <w:p>
            <w:pPr>
              <w:pStyle w:val="TableContents"/>
              <w:spacing w:before="0" w:after="283"/>
              <w:jc w:val="right"/>
              <w:rPr/>
            </w:pPr>
            <w:r>
              <w:rPr/>
              <w:t>(4,895</w:t>
            </w:r>
          </w:p>
        </w:tc>
        <w:tc>
          <w:tcPr>
            <w:tcW w:w="117" w:type="dxa"/>
            <w:tcBorders/>
            <w:shd w:fill="auto" w:val="clear"/>
            <w:vAlign w:val="bottom"/>
          </w:tcPr>
          <w:p>
            <w:pPr>
              <w:pStyle w:val="TableContents"/>
              <w:spacing w:before="0" w:after="283"/>
              <w:rPr/>
            </w:pPr>
            <w:r>
              <w:rPr/>
              <w:t>)</w:t>
            </w:r>
          </w:p>
        </w:tc>
        <w:tc>
          <w:tcPr>
            <w:tcW w:w="222"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766" w:type="dxa"/>
            <w:tcBorders/>
            <w:shd w:fill="auto" w:val="clear"/>
            <w:vAlign w:val="bottom"/>
          </w:tcPr>
          <w:p>
            <w:pPr>
              <w:pStyle w:val="TableContents"/>
              <w:spacing w:before="0" w:after="283"/>
              <w:jc w:val="right"/>
              <w:rPr/>
            </w:pPr>
            <w:r>
              <w:rPr/>
              <w:t>47,671</w:t>
            </w:r>
          </w:p>
        </w:tc>
        <w:tc>
          <w:tcPr>
            <w:tcW w:w="126" w:type="dxa"/>
            <w:tcBorders/>
            <w:shd w:fill="auto" w:val="clear"/>
            <w:vAlign w:val="bottom"/>
          </w:tcPr>
          <w:p>
            <w:pPr>
              <w:pStyle w:val="TableContents"/>
              <w:spacing w:before="0" w:after="283"/>
              <w:rPr/>
            </w:pPr>
            <w:r>
              <w:rPr/>
              <w:t> </w:t>
            </w:r>
          </w:p>
        </w:tc>
      </w:tr>
      <w:tr>
        <w:trPr/>
        <w:tc>
          <w:tcPr>
            <w:tcW w:w="2333" w:type="dxa"/>
            <w:tcBorders/>
            <w:shd w:fill="CCEEFF" w:val="clear"/>
            <w:vAlign w:val="bottom"/>
          </w:tcPr>
          <w:p>
            <w:pPr>
              <w:pStyle w:val="TableContents"/>
              <w:spacing w:before="0" w:after="0"/>
              <w:ind w:left="225" w:right="0" w:hanging="225"/>
              <w:rPr/>
            </w:pPr>
            <w:r>
              <w:rPr/>
              <w:t>Cost of sales</w:t>
            </w:r>
          </w:p>
        </w:tc>
        <w:tc>
          <w:tcPr>
            <w:tcW w:w="22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8,685</w:t>
            </w:r>
          </w:p>
        </w:tc>
        <w:tc>
          <w:tcPr>
            <w:tcW w:w="117"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spacing w:before="0" w:after="283"/>
              <w:jc w:val="right"/>
              <w:rPr/>
            </w:pPr>
            <w:r>
              <w:rPr/>
              <w:t>34,935</w:t>
            </w:r>
          </w:p>
        </w:tc>
        <w:tc>
          <w:tcPr>
            <w:tcW w:w="86"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6,994</w:t>
            </w:r>
          </w:p>
        </w:tc>
        <w:tc>
          <w:tcPr>
            <w:tcW w:w="11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jc w:val="left"/>
              <w:rPr/>
            </w:pPr>
            <w:r>
              <w:rPr/>
              <w:t> </w:t>
            </w:r>
          </w:p>
        </w:tc>
        <w:tc>
          <w:tcPr>
            <w:tcW w:w="1198" w:type="dxa"/>
            <w:tcBorders/>
            <w:shd w:fill="CCEEFF" w:val="clear"/>
            <w:vAlign w:val="bottom"/>
          </w:tcPr>
          <w:p>
            <w:pPr>
              <w:pStyle w:val="TableContents"/>
              <w:spacing w:before="0" w:after="283"/>
              <w:jc w:val="right"/>
              <w:rPr/>
            </w:pPr>
            <w:r>
              <w:rPr/>
              <w:t>(4,895</w:t>
            </w:r>
          </w:p>
        </w:tc>
        <w:tc>
          <w:tcPr>
            <w:tcW w:w="117" w:type="dxa"/>
            <w:tcBorders/>
            <w:shd w:fill="CCEEFF" w:val="clear"/>
            <w:vAlign w:val="bottom"/>
          </w:tcPr>
          <w:p>
            <w:pPr>
              <w:pStyle w:val="TableContents"/>
              <w:spacing w:before="0" w:after="283"/>
              <w:rPr/>
            </w:pPr>
            <w:r>
              <w:rPr/>
              <w:t>)</w:t>
            </w:r>
          </w:p>
        </w:tc>
        <w:tc>
          <w:tcPr>
            <w:tcW w:w="222"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45,719</w:t>
            </w:r>
          </w:p>
        </w:tc>
        <w:tc>
          <w:tcPr>
            <w:tcW w:w="126" w:type="dxa"/>
            <w:tcBorders/>
            <w:shd w:fill="CCEEFF" w:val="clear"/>
            <w:vAlign w:val="bottom"/>
          </w:tcPr>
          <w:p>
            <w:pPr>
              <w:pStyle w:val="TableContents"/>
              <w:spacing w:before="0" w:after="283"/>
              <w:rPr/>
            </w:pPr>
            <w:r>
              <w:rPr/>
              <w:t> </w:t>
            </w:r>
          </w:p>
        </w:tc>
      </w:tr>
      <w:tr>
        <w:trPr/>
        <w:tc>
          <w:tcPr>
            <w:tcW w:w="2333" w:type="dxa"/>
            <w:tcBorders/>
            <w:shd w:fill="auto" w:val="clear"/>
            <w:vAlign w:val="center"/>
          </w:tcPr>
          <w:p>
            <w:pPr>
              <w:pStyle w:val="TableContents"/>
              <w:spacing w:before="0" w:after="0"/>
              <w:ind w:left="225" w:right="0" w:hanging="225"/>
              <w:rPr/>
            </w:pPr>
            <w:r>
              <w:rPr/>
              <w:t> </w:t>
            </w:r>
          </w:p>
        </w:tc>
        <w:tc>
          <w:tcPr>
            <w:tcW w:w="222" w:type="dxa"/>
            <w:tcBorders/>
            <w:shd w:fill="auto" w:val="clear"/>
            <w:vAlign w:val="center"/>
          </w:tcPr>
          <w:p>
            <w:pPr>
              <w:pStyle w:val="TableContents"/>
              <w:spacing w:before="0" w:after="283"/>
              <w:rPr/>
            </w:pPr>
            <w:r>
              <w:rPr/>
              <w:t> </w:t>
            </w:r>
          </w:p>
        </w:tc>
        <w:tc>
          <w:tcPr>
            <w:tcW w:w="11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rPr/>
            </w:pPr>
            <w:r>
              <w:rPr/>
              <w:t> </w:t>
            </w:r>
          </w:p>
        </w:tc>
        <w:tc>
          <w:tcPr>
            <w:tcW w:w="15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rPr/>
            </w:pPr>
            <w:r>
              <w:rPr/>
              <w:t> </w:t>
            </w:r>
          </w:p>
        </w:tc>
        <w:tc>
          <w:tcPr>
            <w:tcW w:w="11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4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rPr/>
            </w:pPr>
            <w:r>
              <w:rPr/>
              <w:t> </w:t>
            </w:r>
          </w:p>
        </w:tc>
        <w:tc>
          <w:tcPr>
            <w:tcW w:w="9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333" w:type="dxa"/>
            <w:tcBorders/>
            <w:shd w:fill="auto" w:val="clear"/>
            <w:vAlign w:val="bottom"/>
          </w:tcPr>
          <w:p>
            <w:pPr>
              <w:pStyle w:val="TableContents"/>
              <w:spacing w:before="0" w:after="0"/>
              <w:ind w:left="225" w:right="0" w:hanging="225"/>
              <w:rPr/>
            </w:pPr>
            <w:r>
              <w:rPr/>
              <w:t>Gross margin</w:t>
            </w:r>
          </w:p>
        </w:tc>
        <w:tc>
          <w:tcPr>
            <w:tcW w:w="2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left"/>
              <w:rPr/>
            </w:pPr>
            <w:r>
              <w:rPr/>
              <w:t> </w:t>
            </w:r>
          </w:p>
        </w:tc>
        <w:tc>
          <w:tcPr>
            <w:tcW w:w="928" w:type="dxa"/>
            <w:tcBorders/>
            <w:shd w:fill="auto" w:val="clear"/>
            <w:vAlign w:val="bottom"/>
          </w:tcPr>
          <w:p>
            <w:pPr>
              <w:pStyle w:val="TableContents"/>
              <w:spacing w:before="0" w:after="283"/>
              <w:jc w:val="right"/>
              <w:rPr/>
            </w:pPr>
            <w:r>
              <w:rPr/>
              <w:t>(8</w:t>
            </w:r>
          </w:p>
        </w:tc>
        <w:tc>
          <w:tcPr>
            <w:tcW w:w="117" w:type="dxa"/>
            <w:tcBorders/>
            <w:shd w:fill="auto" w:val="clear"/>
            <w:vAlign w:val="bottom"/>
          </w:tcPr>
          <w:p>
            <w:pPr>
              <w:pStyle w:val="TableContents"/>
              <w:spacing w:before="0" w:after="283"/>
              <w:rPr/>
            </w:pPr>
            <w:r>
              <w:rPr/>
              <w:t>)</w:t>
            </w:r>
          </w:p>
        </w:tc>
        <w:tc>
          <w:tcPr>
            <w:tcW w:w="222"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spacing w:before="0" w:after="283"/>
              <w:jc w:val="right"/>
              <w:rPr/>
            </w:pPr>
            <w:r>
              <w:rPr/>
              <w:t>1,452</w:t>
            </w:r>
          </w:p>
        </w:tc>
        <w:tc>
          <w:tcPr>
            <w:tcW w:w="8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283"/>
              <w:jc w:val="right"/>
              <w:rPr/>
            </w:pPr>
            <w:r>
              <w:rPr/>
              <w:t>508</w:t>
            </w:r>
          </w:p>
        </w:tc>
        <w:tc>
          <w:tcPr>
            <w:tcW w:w="117"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1,952</w:t>
            </w:r>
          </w:p>
        </w:tc>
        <w:tc>
          <w:tcPr>
            <w:tcW w:w="126" w:type="dxa"/>
            <w:tcBorders/>
            <w:shd w:fill="auto" w:val="clear"/>
            <w:vAlign w:val="bottom"/>
          </w:tcPr>
          <w:p>
            <w:pPr>
              <w:pStyle w:val="TableContents"/>
              <w:spacing w:before="0" w:after="283"/>
              <w:rPr/>
            </w:pPr>
            <w:r>
              <w:rPr/>
              <w:t> </w:t>
            </w:r>
          </w:p>
        </w:tc>
      </w:tr>
      <w:tr>
        <w:trPr/>
        <w:tc>
          <w:tcPr>
            <w:tcW w:w="2333" w:type="dxa"/>
            <w:tcBorders/>
            <w:shd w:fill="CCEEFF" w:val="clear"/>
            <w:vAlign w:val="bottom"/>
          </w:tcPr>
          <w:p>
            <w:pPr>
              <w:pStyle w:val="TableContents"/>
              <w:spacing w:before="0" w:after="0"/>
              <w:ind w:left="225" w:right="0" w:hanging="225"/>
              <w:rPr/>
            </w:pPr>
            <w:r>
              <w:rPr/>
              <w:t>Selling, general and administrative</w:t>
            </w:r>
          </w:p>
        </w:tc>
        <w:tc>
          <w:tcPr>
            <w:tcW w:w="22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1,773</w:t>
            </w:r>
          </w:p>
        </w:tc>
        <w:tc>
          <w:tcPr>
            <w:tcW w:w="117"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spacing w:before="0" w:after="283"/>
              <w:jc w:val="right"/>
              <w:rPr/>
            </w:pPr>
            <w:r>
              <w:rPr/>
              <w:t>1,386</w:t>
            </w:r>
          </w:p>
        </w:tc>
        <w:tc>
          <w:tcPr>
            <w:tcW w:w="86"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283"/>
              <w:jc w:val="right"/>
              <w:rPr/>
            </w:pPr>
            <w:r>
              <w:rPr/>
              <w:t>1,354</w:t>
            </w:r>
          </w:p>
        </w:tc>
        <w:tc>
          <w:tcPr>
            <w:tcW w:w="117"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4,513</w:t>
            </w:r>
          </w:p>
        </w:tc>
        <w:tc>
          <w:tcPr>
            <w:tcW w:w="126" w:type="dxa"/>
            <w:tcBorders/>
            <w:shd w:fill="CCEEFF" w:val="clear"/>
            <w:vAlign w:val="bottom"/>
          </w:tcPr>
          <w:p>
            <w:pPr>
              <w:pStyle w:val="TableContents"/>
              <w:spacing w:before="0" w:after="283"/>
              <w:rPr/>
            </w:pPr>
            <w:r>
              <w:rPr/>
              <w:t> </w:t>
            </w:r>
          </w:p>
        </w:tc>
      </w:tr>
      <w:tr>
        <w:trPr/>
        <w:tc>
          <w:tcPr>
            <w:tcW w:w="2333" w:type="dxa"/>
            <w:tcBorders/>
            <w:shd w:fill="auto" w:val="clear"/>
            <w:vAlign w:val="center"/>
          </w:tcPr>
          <w:p>
            <w:pPr>
              <w:pStyle w:val="TableContents"/>
              <w:spacing w:before="0" w:after="0"/>
              <w:ind w:left="225" w:right="0" w:hanging="225"/>
              <w:rPr/>
            </w:pPr>
            <w:r>
              <w:rPr/>
              <w:t> </w:t>
            </w:r>
          </w:p>
        </w:tc>
        <w:tc>
          <w:tcPr>
            <w:tcW w:w="222" w:type="dxa"/>
            <w:tcBorders/>
            <w:shd w:fill="auto" w:val="clear"/>
            <w:vAlign w:val="center"/>
          </w:tcPr>
          <w:p>
            <w:pPr>
              <w:pStyle w:val="TableContents"/>
              <w:spacing w:before="0" w:after="283"/>
              <w:rPr/>
            </w:pPr>
            <w:r>
              <w:rPr/>
              <w:t> </w:t>
            </w:r>
          </w:p>
        </w:tc>
        <w:tc>
          <w:tcPr>
            <w:tcW w:w="11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rPr/>
            </w:pPr>
            <w:r>
              <w:rPr/>
              <w:t> </w:t>
            </w:r>
          </w:p>
        </w:tc>
        <w:tc>
          <w:tcPr>
            <w:tcW w:w="15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rPr/>
            </w:pPr>
            <w:r>
              <w:rPr/>
              <w:t> </w:t>
            </w:r>
          </w:p>
        </w:tc>
        <w:tc>
          <w:tcPr>
            <w:tcW w:w="11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4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rPr/>
            </w:pPr>
            <w:r>
              <w:rPr/>
              <w:t> </w:t>
            </w:r>
          </w:p>
        </w:tc>
        <w:tc>
          <w:tcPr>
            <w:tcW w:w="9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333" w:type="dxa"/>
            <w:tcBorders/>
            <w:shd w:fill="auto" w:val="clear"/>
            <w:vAlign w:val="bottom"/>
          </w:tcPr>
          <w:p>
            <w:pPr>
              <w:pStyle w:val="TableContents"/>
              <w:spacing w:before="0" w:after="0"/>
              <w:ind w:left="225" w:right="0" w:hanging="225"/>
              <w:rPr/>
            </w:pPr>
            <w:r>
              <w:rPr/>
              <w:t>Operating income (loss)</w:t>
            </w:r>
          </w:p>
        </w:tc>
        <w:tc>
          <w:tcPr>
            <w:tcW w:w="2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left"/>
              <w:rPr/>
            </w:pPr>
            <w:r>
              <w:rPr/>
              <w:t> </w:t>
            </w:r>
          </w:p>
        </w:tc>
        <w:tc>
          <w:tcPr>
            <w:tcW w:w="928" w:type="dxa"/>
            <w:tcBorders/>
            <w:shd w:fill="auto" w:val="clear"/>
            <w:vAlign w:val="bottom"/>
          </w:tcPr>
          <w:p>
            <w:pPr>
              <w:pStyle w:val="TableContents"/>
              <w:spacing w:before="0" w:after="283"/>
              <w:jc w:val="right"/>
              <w:rPr/>
            </w:pPr>
            <w:r>
              <w:rPr/>
              <w:t>(1,781</w:t>
            </w:r>
          </w:p>
        </w:tc>
        <w:tc>
          <w:tcPr>
            <w:tcW w:w="117" w:type="dxa"/>
            <w:tcBorders/>
            <w:shd w:fill="auto" w:val="clear"/>
            <w:vAlign w:val="bottom"/>
          </w:tcPr>
          <w:p>
            <w:pPr>
              <w:pStyle w:val="TableContents"/>
              <w:spacing w:before="0" w:after="283"/>
              <w:rPr/>
            </w:pPr>
            <w:r>
              <w:rPr/>
              <w:t>)</w:t>
            </w:r>
          </w:p>
        </w:tc>
        <w:tc>
          <w:tcPr>
            <w:tcW w:w="222"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spacing w:before="0" w:after="283"/>
              <w:jc w:val="right"/>
              <w:rPr/>
            </w:pPr>
            <w:r>
              <w:rPr/>
              <w:t>66</w:t>
            </w:r>
          </w:p>
        </w:tc>
        <w:tc>
          <w:tcPr>
            <w:tcW w:w="8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 </w:t>
            </w:r>
          </w:p>
        </w:tc>
        <w:tc>
          <w:tcPr>
            <w:tcW w:w="889" w:type="dxa"/>
            <w:tcBorders/>
            <w:shd w:fill="auto" w:val="clear"/>
            <w:vAlign w:val="bottom"/>
          </w:tcPr>
          <w:p>
            <w:pPr>
              <w:pStyle w:val="TableContents"/>
              <w:spacing w:before="0" w:after="283"/>
              <w:jc w:val="right"/>
              <w:rPr/>
            </w:pPr>
            <w:r>
              <w:rPr/>
              <w:t>(846</w:t>
            </w:r>
          </w:p>
        </w:tc>
        <w:tc>
          <w:tcPr>
            <w:tcW w:w="117" w:type="dxa"/>
            <w:tcBorders/>
            <w:shd w:fill="auto" w:val="clear"/>
            <w:vAlign w:val="bottom"/>
          </w:tcPr>
          <w:p>
            <w:pPr>
              <w:pStyle w:val="TableContents"/>
              <w:spacing w:before="0" w:after="283"/>
              <w:rPr/>
            </w:pPr>
            <w:r>
              <w:rPr/>
              <w:t>)</w:t>
            </w:r>
          </w:p>
        </w:tc>
        <w:tc>
          <w:tcPr>
            <w:tcW w:w="22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766" w:type="dxa"/>
            <w:tcBorders/>
            <w:shd w:fill="auto" w:val="clear"/>
            <w:vAlign w:val="bottom"/>
          </w:tcPr>
          <w:p>
            <w:pPr>
              <w:pStyle w:val="TableContents"/>
              <w:spacing w:before="0" w:after="283"/>
              <w:jc w:val="right"/>
              <w:rPr/>
            </w:pPr>
            <w:r>
              <w:rPr/>
              <w:t>(2,561</w:t>
            </w:r>
          </w:p>
        </w:tc>
        <w:tc>
          <w:tcPr>
            <w:tcW w:w="126" w:type="dxa"/>
            <w:tcBorders/>
            <w:shd w:fill="auto" w:val="clear"/>
            <w:vAlign w:val="bottom"/>
          </w:tcPr>
          <w:p>
            <w:pPr>
              <w:pStyle w:val="TableContents"/>
              <w:spacing w:before="0" w:after="283"/>
              <w:rPr/>
            </w:pPr>
            <w:r>
              <w:rPr/>
              <w:t>)</w:t>
            </w:r>
          </w:p>
        </w:tc>
      </w:tr>
      <w:tr>
        <w:trPr/>
        <w:tc>
          <w:tcPr>
            <w:tcW w:w="2333" w:type="dxa"/>
            <w:tcBorders/>
            <w:shd w:fill="CCEEFF" w:val="clear"/>
            <w:vAlign w:val="bottom"/>
          </w:tcPr>
          <w:p>
            <w:pPr>
              <w:pStyle w:val="TableContents"/>
              <w:spacing w:before="0" w:after="0"/>
              <w:ind w:left="225" w:right="0" w:hanging="225"/>
              <w:rPr/>
            </w:pPr>
            <w:r>
              <w:rPr/>
              <w:t>Other income (expense), net</w:t>
            </w:r>
          </w:p>
        </w:tc>
        <w:tc>
          <w:tcPr>
            <w:tcW w:w="22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928" w:type="dxa"/>
            <w:tcBorders/>
            <w:shd w:fill="CCEEFF" w:val="clear"/>
            <w:vAlign w:val="bottom"/>
          </w:tcPr>
          <w:p>
            <w:pPr>
              <w:pStyle w:val="TableContents"/>
              <w:spacing w:before="0" w:after="283"/>
              <w:jc w:val="right"/>
              <w:rPr/>
            </w:pPr>
            <w:r>
              <w:rPr/>
              <w:t>56</w:t>
            </w:r>
          </w:p>
        </w:tc>
        <w:tc>
          <w:tcPr>
            <w:tcW w:w="117"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spacing w:before="0" w:after="283"/>
              <w:jc w:val="right"/>
              <w:rPr/>
            </w:pPr>
            <w:r>
              <w:rPr/>
              <w:t>29</w:t>
            </w:r>
          </w:p>
        </w:tc>
        <w:tc>
          <w:tcPr>
            <w:tcW w:w="86"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889" w:type="dxa"/>
            <w:tcBorders/>
            <w:shd w:fill="CCEEFF" w:val="clear"/>
            <w:vAlign w:val="bottom"/>
          </w:tcPr>
          <w:p>
            <w:pPr>
              <w:pStyle w:val="TableContents"/>
              <w:spacing w:before="0" w:after="283"/>
              <w:jc w:val="right"/>
              <w:rPr/>
            </w:pPr>
            <w:r>
              <w:rPr/>
              <w:t>(3</w:t>
            </w:r>
          </w:p>
        </w:tc>
        <w:tc>
          <w:tcPr>
            <w:tcW w:w="117" w:type="dxa"/>
            <w:tcBorders/>
            <w:shd w:fill="CCEEFF" w:val="clear"/>
            <w:vAlign w:val="bottom"/>
          </w:tcPr>
          <w:p>
            <w:pPr>
              <w:pStyle w:val="TableContents"/>
              <w:spacing w:before="0" w:after="283"/>
              <w:rPr/>
            </w:pPr>
            <w:r>
              <w:rPr/>
              <w:t>)</w:t>
            </w:r>
          </w:p>
        </w:tc>
        <w:tc>
          <w:tcPr>
            <w:tcW w:w="221"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82</w:t>
            </w:r>
          </w:p>
        </w:tc>
        <w:tc>
          <w:tcPr>
            <w:tcW w:w="126" w:type="dxa"/>
            <w:tcBorders/>
            <w:shd w:fill="CCEEFF" w:val="clear"/>
            <w:vAlign w:val="bottom"/>
          </w:tcPr>
          <w:p>
            <w:pPr>
              <w:pStyle w:val="TableContents"/>
              <w:spacing w:before="0" w:after="283"/>
              <w:rPr/>
            </w:pPr>
            <w:r>
              <w:rPr/>
              <w:t> </w:t>
            </w:r>
          </w:p>
        </w:tc>
      </w:tr>
      <w:tr>
        <w:trPr/>
        <w:tc>
          <w:tcPr>
            <w:tcW w:w="2333" w:type="dxa"/>
            <w:tcBorders/>
            <w:shd w:fill="auto" w:val="clear"/>
            <w:vAlign w:val="center"/>
          </w:tcPr>
          <w:p>
            <w:pPr>
              <w:pStyle w:val="TableContents"/>
              <w:spacing w:before="0" w:after="0"/>
              <w:ind w:left="225" w:right="0" w:hanging="225"/>
              <w:rPr/>
            </w:pPr>
            <w:r>
              <w:rPr/>
              <w:t> </w:t>
            </w:r>
          </w:p>
        </w:tc>
        <w:tc>
          <w:tcPr>
            <w:tcW w:w="222" w:type="dxa"/>
            <w:tcBorders/>
            <w:shd w:fill="auto" w:val="clear"/>
            <w:vAlign w:val="center"/>
          </w:tcPr>
          <w:p>
            <w:pPr>
              <w:pStyle w:val="TableContents"/>
              <w:spacing w:before="0" w:after="283"/>
              <w:rPr/>
            </w:pPr>
            <w:r>
              <w:rPr/>
              <w:t> </w:t>
            </w:r>
          </w:p>
        </w:tc>
        <w:tc>
          <w:tcPr>
            <w:tcW w:w="11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rPr/>
            </w:pPr>
            <w:r>
              <w:rPr/>
              <w:t> </w:t>
            </w:r>
          </w:p>
        </w:tc>
        <w:tc>
          <w:tcPr>
            <w:tcW w:w="15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rPr/>
            </w:pPr>
            <w:r>
              <w:rPr/>
              <w:t> </w:t>
            </w:r>
          </w:p>
        </w:tc>
        <w:tc>
          <w:tcPr>
            <w:tcW w:w="11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4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rPr/>
            </w:pPr>
            <w:r>
              <w:rPr/>
              <w:t> </w:t>
            </w:r>
          </w:p>
        </w:tc>
        <w:tc>
          <w:tcPr>
            <w:tcW w:w="9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333" w:type="dxa"/>
            <w:tcBorders/>
            <w:shd w:fill="auto" w:val="clear"/>
            <w:vAlign w:val="bottom"/>
          </w:tcPr>
          <w:p>
            <w:pPr>
              <w:pStyle w:val="TableContents"/>
              <w:spacing w:before="0" w:after="0"/>
              <w:ind w:left="225" w:right="0" w:hanging="225"/>
              <w:rPr/>
            </w:pPr>
            <w:r>
              <w:rPr/>
              <w:t>Income (loss) before provision (benefit) for income taxes</w:t>
            </w:r>
          </w:p>
        </w:tc>
        <w:tc>
          <w:tcPr>
            <w:tcW w:w="2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left"/>
              <w:rPr/>
            </w:pPr>
            <w:r>
              <w:rPr/>
              <w:t> </w:t>
            </w:r>
          </w:p>
        </w:tc>
        <w:tc>
          <w:tcPr>
            <w:tcW w:w="928" w:type="dxa"/>
            <w:tcBorders/>
            <w:shd w:fill="auto" w:val="clear"/>
            <w:vAlign w:val="bottom"/>
          </w:tcPr>
          <w:p>
            <w:pPr>
              <w:pStyle w:val="TableContents"/>
              <w:spacing w:before="0" w:after="283"/>
              <w:jc w:val="right"/>
              <w:rPr/>
            </w:pPr>
            <w:r>
              <w:rPr/>
              <w:t>(1,725</w:t>
            </w:r>
          </w:p>
        </w:tc>
        <w:tc>
          <w:tcPr>
            <w:tcW w:w="117" w:type="dxa"/>
            <w:tcBorders/>
            <w:shd w:fill="auto" w:val="clear"/>
            <w:vAlign w:val="bottom"/>
          </w:tcPr>
          <w:p>
            <w:pPr>
              <w:pStyle w:val="TableContents"/>
              <w:spacing w:before="0" w:after="283"/>
              <w:rPr/>
            </w:pPr>
            <w:r>
              <w:rPr/>
              <w:t>)</w:t>
            </w:r>
          </w:p>
        </w:tc>
        <w:tc>
          <w:tcPr>
            <w:tcW w:w="222"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321" w:type="dxa"/>
            <w:tcBorders/>
            <w:shd w:fill="auto" w:val="clear"/>
            <w:vAlign w:val="bottom"/>
          </w:tcPr>
          <w:p>
            <w:pPr>
              <w:pStyle w:val="TableContents"/>
              <w:spacing w:before="0" w:after="283"/>
              <w:jc w:val="right"/>
              <w:rPr/>
            </w:pPr>
            <w:r>
              <w:rPr/>
              <w:t>95</w:t>
            </w:r>
          </w:p>
        </w:tc>
        <w:tc>
          <w:tcPr>
            <w:tcW w:w="8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 </w:t>
            </w:r>
          </w:p>
        </w:tc>
        <w:tc>
          <w:tcPr>
            <w:tcW w:w="889" w:type="dxa"/>
            <w:tcBorders/>
            <w:shd w:fill="auto" w:val="clear"/>
            <w:vAlign w:val="bottom"/>
          </w:tcPr>
          <w:p>
            <w:pPr>
              <w:pStyle w:val="TableContents"/>
              <w:spacing w:before="0" w:after="283"/>
              <w:jc w:val="right"/>
              <w:rPr/>
            </w:pPr>
            <w:r>
              <w:rPr/>
              <w:t>(849</w:t>
            </w:r>
          </w:p>
        </w:tc>
        <w:tc>
          <w:tcPr>
            <w:tcW w:w="117" w:type="dxa"/>
            <w:tcBorders/>
            <w:shd w:fill="auto" w:val="clear"/>
            <w:vAlign w:val="bottom"/>
          </w:tcPr>
          <w:p>
            <w:pPr>
              <w:pStyle w:val="TableContents"/>
              <w:spacing w:before="0" w:after="283"/>
              <w:rPr/>
            </w:pPr>
            <w:r>
              <w:rPr/>
              <w:t>)</w:t>
            </w:r>
          </w:p>
        </w:tc>
        <w:tc>
          <w:tcPr>
            <w:tcW w:w="22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98"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766" w:type="dxa"/>
            <w:tcBorders/>
            <w:shd w:fill="auto" w:val="clear"/>
            <w:vAlign w:val="bottom"/>
          </w:tcPr>
          <w:p>
            <w:pPr>
              <w:pStyle w:val="TableContents"/>
              <w:spacing w:before="0" w:after="283"/>
              <w:jc w:val="right"/>
              <w:rPr/>
            </w:pPr>
            <w:r>
              <w:rPr/>
              <w:t>(2,479</w:t>
            </w:r>
          </w:p>
        </w:tc>
        <w:tc>
          <w:tcPr>
            <w:tcW w:w="126" w:type="dxa"/>
            <w:tcBorders/>
            <w:shd w:fill="auto" w:val="clear"/>
            <w:vAlign w:val="bottom"/>
          </w:tcPr>
          <w:p>
            <w:pPr>
              <w:pStyle w:val="TableContents"/>
              <w:spacing w:before="0" w:after="283"/>
              <w:rPr/>
            </w:pPr>
            <w:r>
              <w:rPr/>
              <w:t>)</w:t>
            </w:r>
          </w:p>
        </w:tc>
      </w:tr>
      <w:tr>
        <w:trPr/>
        <w:tc>
          <w:tcPr>
            <w:tcW w:w="2333" w:type="dxa"/>
            <w:tcBorders/>
            <w:shd w:fill="CCEEFF" w:val="clear"/>
            <w:vAlign w:val="bottom"/>
          </w:tcPr>
          <w:p>
            <w:pPr>
              <w:pStyle w:val="TableContents"/>
              <w:spacing w:before="0" w:after="0"/>
              <w:ind w:left="225" w:right="0" w:hanging="225"/>
              <w:rPr/>
            </w:pPr>
            <w:r>
              <w:rPr/>
              <w:t>Provision (benefit) for income taxes</w:t>
            </w:r>
          </w:p>
        </w:tc>
        <w:tc>
          <w:tcPr>
            <w:tcW w:w="222"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jc w:val="left"/>
              <w:rPr/>
            </w:pPr>
            <w:r>
              <w:rPr/>
              <w:t> </w:t>
            </w:r>
          </w:p>
        </w:tc>
        <w:tc>
          <w:tcPr>
            <w:tcW w:w="928" w:type="dxa"/>
            <w:tcBorders/>
            <w:shd w:fill="CCEEFF" w:val="clear"/>
            <w:vAlign w:val="bottom"/>
          </w:tcPr>
          <w:p>
            <w:pPr>
              <w:pStyle w:val="TableContents"/>
              <w:spacing w:before="0" w:after="283"/>
              <w:jc w:val="right"/>
              <w:rPr/>
            </w:pPr>
            <w:r>
              <w:rPr/>
              <w:t>(649</w:t>
            </w:r>
          </w:p>
        </w:tc>
        <w:tc>
          <w:tcPr>
            <w:tcW w:w="117" w:type="dxa"/>
            <w:tcBorders/>
            <w:shd w:fill="CCEEFF" w:val="clear"/>
            <w:vAlign w:val="bottom"/>
          </w:tcPr>
          <w:p>
            <w:pPr>
              <w:pStyle w:val="TableContents"/>
              <w:spacing w:before="0" w:after="283"/>
              <w:rPr/>
            </w:pPr>
            <w:r>
              <w:rPr/>
              <w:t>)</w:t>
            </w:r>
          </w:p>
        </w:tc>
        <w:tc>
          <w:tcPr>
            <w:tcW w:w="222"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321" w:type="dxa"/>
            <w:tcBorders/>
            <w:shd w:fill="CCEEFF" w:val="clear"/>
            <w:vAlign w:val="bottom"/>
          </w:tcPr>
          <w:p>
            <w:pPr>
              <w:pStyle w:val="TableContents"/>
              <w:spacing w:before="0" w:after="283"/>
              <w:jc w:val="right"/>
              <w:rPr/>
            </w:pPr>
            <w:r>
              <w:rPr/>
              <w:t>36</w:t>
            </w:r>
          </w:p>
        </w:tc>
        <w:tc>
          <w:tcPr>
            <w:tcW w:w="86"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889" w:type="dxa"/>
            <w:tcBorders/>
            <w:shd w:fill="CCEEFF" w:val="clear"/>
            <w:vAlign w:val="bottom"/>
          </w:tcPr>
          <w:p>
            <w:pPr>
              <w:pStyle w:val="TableContents"/>
              <w:spacing w:before="0" w:after="283"/>
              <w:jc w:val="right"/>
              <w:rPr/>
            </w:pPr>
            <w:r>
              <w:rPr/>
              <w:t>(319</w:t>
            </w:r>
          </w:p>
        </w:tc>
        <w:tc>
          <w:tcPr>
            <w:tcW w:w="117" w:type="dxa"/>
            <w:tcBorders/>
            <w:shd w:fill="CCEEFF" w:val="clear"/>
            <w:vAlign w:val="bottom"/>
          </w:tcPr>
          <w:p>
            <w:pPr>
              <w:pStyle w:val="TableContents"/>
              <w:spacing w:before="0" w:after="283"/>
              <w:rPr/>
            </w:pPr>
            <w:r>
              <w:rPr/>
              <w:t>)</w:t>
            </w:r>
          </w:p>
        </w:tc>
        <w:tc>
          <w:tcPr>
            <w:tcW w:w="221"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rPr/>
            </w:pPr>
            <w:r>
              <w:rPr/>
              <w:t> </w:t>
            </w:r>
          </w:p>
        </w:tc>
        <w:tc>
          <w:tcPr>
            <w:tcW w:w="1198"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c>
          <w:tcPr>
            <w:tcW w:w="222"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766" w:type="dxa"/>
            <w:tcBorders/>
            <w:shd w:fill="CCEEFF" w:val="clear"/>
            <w:vAlign w:val="bottom"/>
          </w:tcPr>
          <w:p>
            <w:pPr>
              <w:pStyle w:val="TableContents"/>
              <w:spacing w:before="0" w:after="283"/>
              <w:jc w:val="right"/>
              <w:rPr/>
            </w:pPr>
            <w:r>
              <w:rPr/>
              <w:t>(932</w:t>
            </w:r>
          </w:p>
        </w:tc>
        <w:tc>
          <w:tcPr>
            <w:tcW w:w="126" w:type="dxa"/>
            <w:tcBorders/>
            <w:shd w:fill="CCEEFF" w:val="clear"/>
            <w:vAlign w:val="bottom"/>
          </w:tcPr>
          <w:p>
            <w:pPr>
              <w:pStyle w:val="TableContents"/>
              <w:spacing w:before="0" w:after="283"/>
              <w:rPr/>
            </w:pPr>
            <w:r>
              <w:rPr/>
              <w:t>)</w:t>
            </w:r>
          </w:p>
        </w:tc>
      </w:tr>
      <w:tr>
        <w:trPr/>
        <w:tc>
          <w:tcPr>
            <w:tcW w:w="2333" w:type="dxa"/>
            <w:tcBorders/>
            <w:shd w:fill="auto" w:val="clear"/>
            <w:vAlign w:val="center"/>
          </w:tcPr>
          <w:p>
            <w:pPr>
              <w:pStyle w:val="TableContents"/>
              <w:spacing w:before="0" w:after="0"/>
              <w:ind w:left="225" w:right="0" w:hanging="225"/>
              <w:rPr/>
            </w:pPr>
            <w:r>
              <w:rPr/>
              <w:t> </w:t>
            </w:r>
          </w:p>
        </w:tc>
        <w:tc>
          <w:tcPr>
            <w:tcW w:w="222" w:type="dxa"/>
            <w:tcBorders/>
            <w:shd w:fill="auto" w:val="clear"/>
            <w:vAlign w:val="center"/>
          </w:tcPr>
          <w:p>
            <w:pPr>
              <w:pStyle w:val="TableContents"/>
              <w:spacing w:before="0" w:after="283"/>
              <w:rPr/>
            </w:pPr>
            <w:r>
              <w:rPr/>
              <w:t> </w:t>
            </w:r>
          </w:p>
        </w:tc>
        <w:tc>
          <w:tcPr>
            <w:tcW w:w="11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rPr/>
            </w:pPr>
            <w:r>
              <w:rPr/>
              <w:t> </w:t>
            </w:r>
          </w:p>
        </w:tc>
        <w:tc>
          <w:tcPr>
            <w:tcW w:w="15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rPr/>
            </w:pPr>
            <w:r>
              <w:rPr/>
              <w:t> </w:t>
            </w:r>
          </w:p>
        </w:tc>
        <w:tc>
          <w:tcPr>
            <w:tcW w:w="110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45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rPr/>
            </w:pPr>
            <w:r>
              <w:rPr/>
              <w:t> </w:t>
            </w:r>
          </w:p>
        </w:tc>
        <w:tc>
          <w:tcPr>
            <w:tcW w:w="9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r>
        <w:trPr/>
        <w:tc>
          <w:tcPr>
            <w:tcW w:w="2333" w:type="dxa"/>
            <w:tcBorders/>
            <w:shd w:fill="auto" w:val="clear"/>
            <w:vAlign w:val="bottom"/>
          </w:tcPr>
          <w:p>
            <w:pPr>
              <w:pStyle w:val="TableContents"/>
              <w:spacing w:before="0" w:after="0"/>
              <w:ind w:left="225" w:right="0" w:hanging="225"/>
              <w:rPr/>
            </w:pPr>
            <w:r>
              <w:rPr/>
              <w:t>Net income (loss)</w:t>
            </w:r>
          </w:p>
        </w:tc>
        <w:tc>
          <w:tcPr>
            <w:tcW w:w="222"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left"/>
              <w:rPr/>
            </w:pPr>
            <w:r>
              <w:rPr/>
              <w:t>$</w:t>
            </w:r>
          </w:p>
        </w:tc>
        <w:tc>
          <w:tcPr>
            <w:tcW w:w="928" w:type="dxa"/>
            <w:tcBorders/>
            <w:shd w:fill="auto" w:val="clear"/>
            <w:vAlign w:val="bottom"/>
          </w:tcPr>
          <w:p>
            <w:pPr>
              <w:pStyle w:val="TableContents"/>
              <w:spacing w:before="0" w:after="283"/>
              <w:jc w:val="right"/>
              <w:rPr/>
            </w:pPr>
            <w:r>
              <w:rPr/>
              <w:t>(1,076</w:t>
            </w:r>
          </w:p>
        </w:tc>
        <w:tc>
          <w:tcPr>
            <w:tcW w:w="117" w:type="dxa"/>
            <w:tcBorders/>
            <w:shd w:fill="auto" w:val="clear"/>
            <w:vAlign w:val="bottom"/>
          </w:tcPr>
          <w:p>
            <w:pPr>
              <w:pStyle w:val="TableContents"/>
              <w:spacing w:before="0" w:after="283"/>
              <w:rPr/>
            </w:pPr>
            <w:r>
              <w:rPr/>
              <w:t>)</w:t>
            </w:r>
          </w:p>
        </w:tc>
        <w:tc>
          <w:tcPr>
            <w:tcW w:w="222"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jc w:val="left"/>
              <w:rPr/>
            </w:pPr>
            <w:r>
              <w:rPr/>
              <w:t>$</w:t>
            </w:r>
          </w:p>
        </w:tc>
        <w:tc>
          <w:tcPr>
            <w:tcW w:w="1321" w:type="dxa"/>
            <w:tcBorders/>
            <w:shd w:fill="auto" w:val="clear"/>
            <w:vAlign w:val="bottom"/>
          </w:tcPr>
          <w:p>
            <w:pPr>
              <w:pStyle w:val="TableContents"/>
              <w:spacing w:before="0" w:after="283"/>
              <w:jc w:val="right"/>
              <w:rPr/>
            </w:pPr>
            <w:r>
              <w:rPr/>
              <w:t>59</w:t>
            </w:r>
          </w:p>
        </w:tc>
        <w:tc>
          <w:tcPr>
            <w:tcW w:w="86"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889" w:type="dxa"/>
            <w:tcBorders/>
            <w:shd w:fill="auto" w:val="clear"/>
            <w:vAlign w:val="bottom"/>
          </w:tcPr>
          <w:p>
            <w:pPr>
              <w:pStyle w:val="TableContents"/>
              <w:spacing w:before="0" w:after="283"/>
              <w:jc w:val="right"/>
              <w:rPr/>
            </w:pPr>
            <w:r>
              <w:rPr/>
              <w:t>(530</w:t>
            </w:r>
          </w:p>
        </w:tc>
        <w:tc>
          <w:tcPr>
            <w:tcW w:w="117" w:type="dxa"/>
            <w:tcBorders/>
            <w:shd w:fill="auto" w:val="clear"/>
            <w:vAlign w:val="bottom"/>
          </w:tcPr>
          <w:p>
            <w:pPr>
              <w:pStyle w:val="TableContents"/>
              <w:spacing w:before="0" w:after="283"/>
              <w:rPr/>
            </w:pPr>
            <w:r>
              <w:rPr/>
              <w:t>)</w:t>
            </w:r>
          </w:p>
        </w:tc>
        <w:tc>
          <w:tcPr>
            <w:tcW w:w="22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left"/>
              <w:rPr/>
            </w:pPr>
            <w:r>
              <w:rPr/>
              <w:t>$</w:t>
            </w:r>
          </w:p>
        </w:tc>
        <w:tc>
          <w:tcPr>
            <w:tcW w:w="1198" w:type="dxa"/>
            <w:tcBorders/>
            <w:shd w:fill="auto" w:val="clear"/>
            <w:vAlign w:val="bottom"/>
          </w:tcPr>
          <w:p>
            <w:pPr>
              <w:pStyle w:val="TableContents"/>
              <w:spacing w:before="0" w:after="283"/>
              <w:jc w:val="right"/>
              <w:rPr/>
            </w:pPr>
            <w:r>
              <w:rPr/>
              <w:t></w:t>
            </w:r>
          </w:p>
        </w:tc>
        <w:tc>
          <w:tcPr>
            <w:tcW w:w="117" w:type="dxa"/>
            <w:tcBorders/>
            <w:shd w:fill="auto" w:val="clear"/>
            <w:vAlign w:val="bottom"/>
          </w:tcPr>
          <w:p>
            <w:pPr>
              <w:pStyle w:val="TableContents"/>
              <w:spacing w:before="0" w:after="283"/>
              <w:rPr/>
            </w:pPr>
            <w:r>
              <w:rPr/>
              <w:t> </w:t>
            </w:r>
          </w:p>
        </w:tc>
        <w:tc>
          <w:tcPr>
            <w:tcW w:w="222"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w:t>
            </w:r>
          </w:p>
        </w:tc>
        <w:tc>
          <w:tcPr>
            <w:tcW w:w="766" w:type="dxa"/>
            <w:tcBorders/>
            <w:shd w:fill="auto" w:val="clear"/>
            <w:vAlign w:val="bottom"/>
          </w:tcPr>
          <w:p>
            <w:pPr>
              <w:pStyle w:val="TableContents"/>
              <w:spacing w:before="0" w:after="283"/>
              <w:jc w:val="right"/>
              <w:rPr/>
            </w:pPr>
            <w:r>
              <w:rPr/>
              <w:t>(1,547</w:t>
            </w:r>
          </w:p>
        </w:tc>
        <w:tc>
          <w:tcPr>
            <w:tcW w:w="126" w:type="dxa"/>
            <w:tcBorders/>
            <w:shd w:fill="auto" w:val="clear"/>
            <w:vAlign w:val="bottom"/>
          </w:tcPr>
          <w:p>
            <w:pPr>
              <w:pStyle w:val="TableContents"/>
              <w:spacing w:before="0" w:after="283"/>
              <w:rPr/>
            </w:pPr>
            <w:r>
              <w:rPr/>
              <w:t>)</w:t>
            </w:r>
          </w:p>
        </w:tc>
      </w:tr>
      <w:tr>
        <w:trPr/>
        <w:tc>
          <w:tcPr>
            <w:tcW w:w="2333" w:type="dxa"/>
            <w:tcBorders/>
            <w:shd w:fill="auto" w:val="clear"/>
            <w:vAlign w:val="center"/>
          </w:tcPr>
          <w:p>
            <w:pPr>
              <w:pStyle w:val="TableContents"/>
              <w:spacing w:before="0" w:after="0"/>
              <w:ind w:left="225" w:right="0" w:hanging="225"/>
              <w:rPr/>
            </w:pPr>
            <w:r>
              <w:rPr/>
              <w:t> </w:t>
            </w:r>
          </w:p>
        </w:tc>
        <w:tc>
          <w:tcPr>
            <w:tcW w:w="222" w:type="dxa"/>
            <w:tcBorders/>
            <w:shd w:fill="auto" w:val="clear"/>
            <w:vAlign w:val="center"/>
          </w:tcPr>
          <w:p>
            <w:pPr>
              <w:pStyle w:val="TableContents"/>
              <w:spacing w:before="0" w:after="283"/>
              <w:rPr/>
            </w:pPr>
            <w:r>
              <w:rPr/>
              <w:t> </w:t>
            </w:r>
          </w:p>
        </w:tc>
        <w:tc>
          <w:tcPr>
            <w:tcW w:w="11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rPr/>
            </w:pPr>
            <w:r>
              <w:rPr/>
              <w:t> </w:t>
            </w:r>
          </w:p>
        </w:tc>
        <w:tc>
          <w:tcPr>
            <w:tcW w:w="15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rPr/>
            </w:pPr>
            <w:r>
              <w:rPr/>
              <w:t> </w:t>
            </w:r>
          </w:p>
        </w:tc>
        <w:tc>
          <w:tcPr>
            <w:tcW w:w="110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45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222" w:type="dxa"/>
            <w:tcBorders/>
            <w:shd w:fill="auto" w:val="clear"/>
            <w:vAlign w:val="center"/>
          </w:tcPr>
          <w:p>
            <w:pPr>
              <w:pStyle w:val="TableContents"/>
              <w:spacing w:before="0" w:after="283"/>
              <w:rPr/>
            </w:pPr>
            <w:r>
              <w:rPr/>
              <w:t> </w:t>
            </w:r>
          </w:p>
        </w:tc>
        <w:tc>
          <w:tcPr>
            <w:tcW w:w="9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6"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The following table sets forth sales by product category, by segment (in thousands): </w:t>
      </w:r>
    </w:p>
    <w:tbl>
      <w:tblPr>
        <w:tblW w:w="11491" w:type="dxa"/>
        <w:jc w:val="center"/>
        <w:tblInd w:w="0" w:type="dxa"/>
        <w:tblCellMar>
          <w:top w:w="0" w:type="dxa"/>
          <w:left w:w="0" w:type="dxa"/>
          <w:bottom w:w="0" w:type="dxa"/>
          <w:right w:w="0" w:type="dxa"/>
        </w:tblCellMar>
      </w:tblPr>
      <w:tblGrid>
        <w:gridCol w:w="1100"/>
        <w:gridCol w:w="60"/>
        <w:gridCol w:w="179"/>
        <w:gridCol w:w="876"/>
        <w:gridCol w:w="101"/>
        <w:gridCol w:w="63"/>
        <w:gridCol w:w="267"/>
        <w:gridCol w:w="1313"/>
        <w:gridCol w:w="101"/>
        <w:gridCol w:w="63"/>
        <w:gridCol w:w="184"/>
        <w:gridCol w:w="841"/>
        <w:gridCol w:w="101"/>
        <w:gridCol w:w="63"/>
        <w:gridCol w:w="148"/>
        <w:gridCol w:w="730"/>
        <w:gridCol w:w="95"/>
        <w:gridCol w:w="60"/>
        <w:gridCol w:w="210"/>
        <w:gridCol w:w="845"/>
        <w:gridCol w:w="105"/>
        <w:gridCol w:w="66"/>
        <w:gridCol w:w="268"/>
        <w:gridCol w:w="1312"/>
        <w:gridCol w:w="66"/>
        <w:gridCol w:w="66"/>
        <w:gridCol w:w="184"/>
        <w:gridCol w:w="841"/>
        <w:gridCol w:w="105"/>
        <w:gridCol w:w="66"/>
        <w:gridCol w:w="155"/>
        <w:gridCol w:w="762"/>
        <w:gridCol w:w="95"/>
      </w:tblGrid>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30" w:type="dxa"/>
            <w:gridSpan w:val="14"/>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January 31, 2006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51" w:type="dxa"/>
            <w:gridSpan w:val="14"/>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January 31, 2005</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spacing w:before="0" w:after="283"/>
              <w:jc w:val="center"/>
              <w:rPr>
                <w:b/>
              </w:rPr>
            </w:pPr>
            <w:r>
              <w:rPr>
                <w:b/>
              </w:rPr>
              <w:t>International</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spacing w:before="0" w:after="283"/>
              <w:jc w:val="center"/>
              <w:rPr>
                <w:b/>
              </w:rPr>
            </w:pPr>
            <w:r>
              <w:rPr>
                <w:b/>
              </w:rPr>
              <w:t>International</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917"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spacing w:before="0" w:after="283"/>
              <w:jc w:val="center"/>
              <w:rPr>
                <w:b/>
              </w:rPr>
            </w:pPr>
            <w:r>
              <w:rPr>
                <w:b/>
              </w:rPr>
              <w:t>avocados and</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spacing w:before="0" w:after="283"/>
              <w:jc w:val="center"/>
              <w:rPr>
                <w:b/>
              </w:rPr>
            </w:pPr>
            <w:r>
              <w:rPr>
                <w:b/>
              </w:rPr>
              <w:t>avocados and</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917"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b/>
              </w:rPr>
            </w:pPr>
            <w:r>
              <w:rPr>
                <w:b/>
              </w:rPr>
              <w:t>California</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spacing w:before="0" w:after="283"/>
              <w:jc w:val="center"/>
              <w:rPr>
                <w:b/>
              </w:rPr>
            </w:pPr>
            <w:r>
              <w:rPr>
                <w:b/>
              </w:rPr>
              <w:t>perishable food</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b/>
              </w:rPr>
            </w:pPr>
            <w:r>
              <w:rPr>
                <w:b/>
              </w:rPr>
              <w:t>Processed</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shd w:fill="auto" w:val="clear"/>
            <w:vAlign w:val="bottom"/>
          </w:tcPr>
          <w:p>
            <w:pPr>
              <w:pStyle w:val="TableContents"/>
              <w:spacing w:before="0" w:after="283"/>
              <w:jc w:val="center"/>
              <w:rPr>
                <w:b/>
              </w:rPr>
            </w:pPr>
            <w:r>
              <w:rPr>
                <w:b/>
              </w:rPr>
              <w:t>California</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80" w:type="dxa"/>
            <w:gridSpan w:val="2"/>
            <w:tcBorders/>
            <w:shd w:fill="auto" w:val="clear"/>
            <w:vAlign w:val="bottom"/>
          </w:tcPr>
          <w:p>
            <w:pPr>
              <w:pStyle w:val="TableContents"/>
              <w:spacing w:before="0" w:after="283"/>
              <w:jc w:val="center"/>
              <w:rPr>
                <w:b/>
              </w:rPr>
            </w:pPr>
            <w:r>
              <w:rPr>
                <w:b/>
              </w:rPr>
              <w:t>perishable food</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jc w:val="center"/>
              <w:rPr>
                <w:b/>
              </w:rPr>
            </w:pPr>
            <w:r>
              <w:rPr>
                <w:b/>
              </w:rPr>
              <w:t>Processed</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917" w:type="dxa"/>
            <w:gridSpan w:val="2"/>
            <w:tcBorders/>
            <w:shd w:fill="auto" w:val="clear"/>
            <w:vAlign w:val="bottom"/>
          </w:tcPr>
          <w:p>
            <w:pPr>
              <w:pStyle w:val="TableContents"/>
              <w:spacing w:before="0" w:after="283"/>
              <w:jc w:val="center"/>
              <w:rPr/>
            </w:pPr>
            <w:r>
              <w:rPr/>
              <w:t> </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avocados</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58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2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87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5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Avocados</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80"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2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products</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91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Total</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Third-party sales:</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California avocados</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876" w:type="dxa"/>
            <w:tcBorders/>
            <w:shd w:fill="auto" w:val="clear"/>
            <w:vAlign w:val="bottom"/>
          </w:tcPr>
          <w:p>
            <w:pPr>
              <w:pStyle w:val="TableContents"/>
              <w:spacing w:before="0" w:after="283"/>
              <w:jc w:val="right"/>
              <w:rPr/>
            </w:pPr>
            <w:r>
              <w:rPr/>
              <w:t>9,658</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left"/>
              <w:rPr/>
            </w:pPr>
            <w:r>
              <w:rPr/>
              <w:t>$</w:t>
            </w:r>
          </w:p>
        </w:tc>
        <w:tc>
          <w:tcPr>
            <w:tcW w:w="1313"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841"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w:t>
            </w:r>
          </w:p>
        </w:tc>
        <w:tc>
          <w:tcPr>
            <w:tcW w:w="730" w:type="dxa"/>
            <w:tcBorders/>
            <w:shd w:fill="auto" w:val="clear"/>
            <w:vAlign w:val="bottom"/>
          </w:tcPr>
          <w:p>
            <w:pPr>
              <w:pStyle w:val="TableContents"/>
              <w:spacing w:before="0" w:after="283"/>
              <w:jc w:val="right"/>
              <w:rPr/>
            </w:pPr>
            <w:r>
              <w:rPr/>
              <w:t>9,658</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845" w:type="dxa"/>
            <w:tcBorders/>
            <w:shd w:fill="auto" w:val="clear"/>
            <w:vAlign w:val="bottom"/>
          </w:tcPr>
          <w:p>
            <w:pPr>
              <w:pStyle w:val="TableContents"/>
              <w:spacing w:before="0" w:after="283"/>
              <w:jc w:val="right"/>
              <w:rPr/>
            </w:pPr>
            <w:r>
              <w:rPr/>
              <w:t>7,545</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12"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841"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762" w:type="dxa"/>
            <w:tcBorders/>
            <w:shd w:fill="auto" w:val="clear"/>
            <w:vAlign w:val="bottom"/>
          </w:tcPr>
          <w:p>
            <w:pPr>
              <w:pStyle w:val="TableContents"/>
              <w:spacing w:before="0" w:after="283"/>
              <w:jc w:val="right"/>
              <w:rPr/>
            </w:pPr>
            <w:r>
              <w:rPr/>
              <w:t>7,545</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Imported avocados</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23,587</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23,587</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24,074</w:t>
            </w:r>
          </w:p>
        </w:tc>
        <w:tc>
          <w:tcPr>
            <w:tcW w:w="66"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24,074</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Papayas</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1,267</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pPr>
            <w:r>
              <w:rPr/>
              <w:t>1,267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1,820</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1,820</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Specialties and Tropicals</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2,405</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2,405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3,449</w:t>
            </w:r>
          </w:p>
        </w:tc>
        <w:tc>
          <w:tcPr>
            <w:tcW w:w="66"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3,449</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Processed  food service</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7,335</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pPr>
            <w:r>
              <w:rPr/>
              <w:t>7,335</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6,025</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6,025</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Processed  retail and club</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2,331</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2,331</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1,406</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1,406</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5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8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5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9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Total fruit and product sales to third parties</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9,658</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27,259</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9,666</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pPr>
            <w:r>
              <w:rPr/>
              <w:t>46,583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7,545</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29,343</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7,431</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44,319</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Freight and other charges</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1,109</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4,738</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136</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5,983</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599</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4,467</w:t>
            </w:r>
          </w:p>
        </w:tc>
        <w:tc>
          <w:tcPr>
            <w:tcW w:w="66"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283"/>
              <w:jc w:val="right"/>
              <w:rPr/>
            </w:pPr>
            <w:r>
              <w:rPr/>
              <w:t>(64</w:t>
            </w:r>
          </w:p>
        </w:tc>
        <w:tc>
          <w:tcPr>
            <w:tcW w:w="105" w:type="dxa"/>
            <w:tcBorders/>
            <w:shd w:fill="CCEEFF" w:val="clear"/>
            <w:vAlign w:val="bottom"/>
          </w:tcPr>
          <w:p>
            <w:pPr>
              <w:pStyle w:val="TableContents"/>
              <w:spacing w:before="0" w:after="283"/>
              <w:rPr/>
            </w:pPr>
            <w:r>
              <w:rPr/>
              <w:t>)</w:t>
            </w:r>
          </w:p>
        </w:tc>
        <w:tc>
          <w:tcPr>
            <w:tcW w:w="6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5,002</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5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8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5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9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Total third-party sales</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10,767</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31,997</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9,802</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pPr>
            <w:r>
              <w:rPr/>
              <w:t>52,566</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8,144</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33,810</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7,367</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49,321</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Less sales incentives</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jc w:val="left"/>
              <w:rPr/>
            </w:pPr>
            <w:r>
              <w:rPr/>
              <w:t> </w:t>
            </w:r>
          </w:p>
        </w:tc>
        <w:tc>
          <w:tcPr>
            <w:tcW w:w="876" w:type="dxa"/>
            <w:tcBorders/>
            <w:shd w:fill="CCEEFF" w:val="clear"/>
            <w:vAlign w:val="bottom"/>
          </w:tcPr>
          <w:p>
            <w:pPr>
              <w:pStyle w:val="TableContents"/>
              <w:spacing w:before="0" w:after="283"/>
              <w:jc w:val="right"/>
              <w:rPr/>
            </w:pPr>
            <w:r>
              <w:rPr/>
              <w:t>(4</w:t>
            </w:r>
          </w:p>
        </w:tc>
        <w:tc>
          <w:tcPr>
            <w:tcW w:w="101" w:type="dxa"/>
            <w:tcBorders/>
            <w:shd w:fill="CCEEFF" w:val="clear"/>
            <w:vAlign w:val="bottom"/>
          </w:tcPr>
          <w:p>
            <w:pPr>
              <w:pStyle w:val="TableContents"/>
              <w:spacing w:before="0" w:after="283"/>
              <w:rPr/>
            </w:pPr>
            <w:r>
              <w:rPr/>
              <w:t>)</w:t>
            </w:r>
          </w:p>
        </w:tc>
        <w:tc>
          <w:tcPr>
            <w:tcW w:w="63"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jc w:val="left"/>
              <w:rPr/>
            </w:pPr>
            <w:r>
              <w:rPr/>
              <w:t> </w:t>
            </w:r>
          </w:p>
        </w:tc>
        <w:tc>
          <w:tcPr>
            <w:tcW w:w="1313" w:type="dxa"/>
            <w:tcBorders/>
            <w:shd w:fill="CCEEFF" w:val="clear"/>
            <w:vAlign w:val="bottom"/>
          </w:tcPr>
          <w:p>
            <w:pPr>
              <w:pStyle w:val="TableContents"/>
              <w:spacing w:before="0" w:after="283"/>
              <w:jc w:val="right"/>
              <w:rPr/>
            </w:pPr>
            <w:r>
              <w:rPr/>
              <w:t>(2</w:t>
            </w:r>
          </w:p>
        </w:tc>
        <w:tc>
          <w:tcPr>
            <w:tcW w:w="101" w:type="dxa"/>
            <w:tcBorders/>
            <w:shd w:fill="CCEEFF" w:val="clear"/>
            <w:vAlign w:val="bottom"/>
          </w:tcPr>
          <w:p>
            <w:pPr>
              <w:pStyle w:val="TableContents"/>
              <w:spacing w:before="0" w:after="283"/>
              <w:rPr/>
            </w:pPr>
            <w:r>
              <w:rPr/>
              <w:t>)</w:t>
            </w:r>
          </w:p>
        </w:tc>
        <w:tc>
          <w:tcPr>
            <w:tcW w:w="6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283"/>
              <w:jc w:val="right"/>
              <w:rPr/>
            </w:pPr>
            <w:r>
              <w:rPr/>
              <w:t>(1,913</w:t>
            </w:r>
          </w:p>
        </w:tc>
        <w:tc>
          <w:tcPr>
            <w:tcW w:w="101" w:type="dxa"/>
            <w:tcBorders/>
            <w:shd w:fill="CCEEFF" w:val="clear"/>
            <w:vAlign w:val="bottom"/>
          </w:tcPr>
          <w:p>
            <w:pPr>
              <w:pStyle w:val="TableContents"/>
              <w:spacing w:before="0" w:after="283"/>
              <w:rPr/>
            </w:pPr>
            <w:r>
              <w:rPr/>
              <w:t>)</w:t>
            </w:r>
          </w:p>
        </w:tc>
        <w:tc>
          <w:tcPr>
            <w:tcW w:w="6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730" w:type="dxa"/>
            <w:tcBorders/>
            <w:shd w:fill="CCEEFF" w:val="clear"/>
            <w:vAlign w:val="bottom"/>
          </w:tcPr>
          <w:p>
            <w:pPr>
              <w:pStyle w:val="TableContents"/>
              <w:spacing w:before="0" w:after="283"/>
              <w:jc w:val="right"/>
              <w:rPr/>
            </w:pPr>
            <w:r>
              <w:rPr/>
              <w:t>(1,919</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(17</w:t>
            </w:r>
          </w:p>
        </w:tc>
        <w:tc>
          <w:tcPr>
            <w:tcW w:w="105" w:type="dxa"/>
            <w:tcBorders/>
            <w:shd w:fill="CCEEFF" w:val="clear"/>
            <w:vAlign w:val="bottom"/>
          </w:tcPr>
          <w:p>
            <w:pPr>
              <w:pStyle w:val="TableContents"/>
              <w:spacing w:before="0" w:after="283"/>
              <w:rPr/>
            </w:pPr>
            <w:r>
              <w:rPr/>
              <w:t>)</w:t>
            </w:r>
          </w:p>
        </w:tc>
        <w:tc>
          <w:tcPr>
            <w:tcW w:w="66"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841" w:type="dxa"/>
            <w:tcBorders/>
            <w:shd w:fill="CCEEFF" w:val="clear"/>
            <w:vAlign w:val="bottom"/>
          </w:tcPr>
          <w:p>
            <w:pPr>
              <w:pStyle w:val="TableContents"/>
              <w:spacing w:before="0" w:after="283"/>
              <w:jc w:val="right"/>
              <w:rPr/>
            </w:pPr>
            <w:r>
              <w:rPr/>
              <w:t>(1,633</w:t>
            </w:r>
          </w:p>
        </w:tc>
        <w:tc>
          <w:tcPr>
            <w:tcW w:w="105" w:type="dxa"/>
            <w:tcBorders/>
            <w:shd w:fill="CCEEFF" w:val="clear"/>
            <w:vAlign w:val="bottom"/>
          </w:tcPr>
          <w:p>
            <w:pPr>
              <w:pStyle w:val="TableContents"/>
              <w:spacing w:before="0" w:after="283"/>
              <w:rPr/>
            </w:pPr>
            <w:r>
              <w:rPr/>
              <w:t>)</w:t>
            </w:r>
          </w:p>
        </w:tc>
        <w:tc>
          <w:tcPr>
            <w:tcW w:w="6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62" w:type="dxa"/>
            <w:tcBorders/>
            <w:shd w:fill="CCEEFF" w:val="clear"/>
            <w:vAlign w:val="bottom"/>
          </w:tcPr>
          <w:p>
            <w:pPr>
              <w:pStyle w:val="TableContents"/>
              <w:spacing w:before="0" w:after="283"/>
              <w:jc w:val="right"/>
              <w:rPr/>
            </w:pPr>
            <w:r>
              <w:rPr/>
              <w:t>(1,650</w:t>
            </w:r>
          </w:p>
        </w:tc>
        <w:tc>
          <w:tcPr>
            <w:tcW w:w="95" w:type="dxa"/>
            <w:tcBorders/>
            <w:shd w:fill="CCEEFF" w:val="clear"/>
            <w:vAlign w:val="bottom"/>
          </w:tcPr>
          <w:p>
            <w:pPr>
              <w:pStyle w:val="TableContents"/>
              <w:spacing w:before="0" w:after="283"/>
              <w:rPr/>
            </w:pPr>
            <w:r>
              <w:rPr/>
              <w:t>)</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5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8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5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9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Total net sales to third parties</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jc w:val="right"/>
              <w:rPr/>
            </w:pPr>
            <w:r>
              <w:rPr/>
              <w:t>10,763</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jc w:val="right"/>
              <w:rPr/>
            </w:pPr>
            <w:r>
              <w:rPr/>
              <w:t>31,995</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7,889</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pPr>
            <w:r>
              <w:rPr/>
              <w:t>50,647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pPr>
            <w:r>
              <w:rPr/>
              <w:t>8,127</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jc w:val="right"/>
              <w:rPr/>
            </w:pPr>
            <w:r>
              <w:rPr/>
              <w:t>33,810</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jc w:val="right"/>
              <w:rPr/>
            </w:pPr>
            <w:r>
              <w:rPr/>
              <w:t>5,734</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47,671</w:t>
            </w:r>
          </w:p>
        </w:tc>
        <w:tc>
          <w:tcPr>
            <w:tcW w:w="95" w:type="dxa"/>
            <w:tcBorders/>
            <w:shd w:fill="auto" w:val="clear"/>
            <w:vAlign w:val="bottom"/>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Intercompany sales</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jc w:val="right"/>
              <w:rPr/>
            </w:pPr>
            <w:r>
              <w:rPr/>
              <w:t></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jc w:val="right"/>
              <w:rPr/>
            </w:pPr>
            <w:r>
              <w:rPr/>
              <w:t>3,484</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1,391</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4,875</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pPr>
            <w:r>
              <w:rPr/>
              <w:t>550</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jc w:val="right"/>
              <w:rPr/>
            </w:pPr>
            <w:r>
              <w:rPr/>
              <w:t>2,577</w:t>
            </w:r>
          </w:p>
        </w:tc>
        <w:tc>
          <w:tcPr>
            <w:tcW w:w="66"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jc w:val="right"/>
              <w:rPr/>
            </w:pPr>
            <w:r>
              <w:rPr/>
              <w:t>1,768</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2" w:type="dxa"/>
            <w:tcBorders/>
            <w:shd w:fill="CCEEFF" w:val="clear"/>
            <w:vAlign w:val="bottom"/>
          </w:tcPr>
          <w:p>
            <w:pPr>
              <w:pStyle w:val="TableContents"/>
              <w:spacing w:before="0" w:after="283"/>
              <w:jc w:val="right"/>
              <w:rPr/>
            </w:pPr>
            <w:r>
              <w:rPr/>
              <w:t>4,895</w:t>
            </w:r>
          </w:p>
        </w:tc>
        <w:tc>
          <w:tcPr>
            <w:tcW w:w="95" w:type="dxa"/>
            <w:tcBorders/>
            <w:shd w:fill="CCEEFF"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5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8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5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2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9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Net sales before eliminations</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jc w:val="left"/>
              <w:rPr/>
            </w:pPr>
            <w:r>
              <w:rPr/>
              <w:t>$</w:t>
            </w:r>
          </w:p>
        </w:tc>
        <w:tc>
          <w:tcPr>
            <w:tcW w:w="876" w:type="dxa"/>
            <w:tcBorders/>
            <w:shd w:fill="auto" w:val="clear"/>
            <w:vAlign w:val="bottom"/>
          </w:tcPr>
          <w:p>
            <w:pPr>
              <w:pStyle w:val="TableContents"/>
              <w:spacing w:before="0" w:after="283"/>
              <w:jc w:val="right"/>
              <w:rPr/>
            </w:pPr>
            <w:r>
              <w:rPr/>
              <w:t>10,763</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jc w:val="left"/>
              <w:rPr/>
            </w:pPr>
            <w:r>
              <w:rPr/>
              <w:t>$</w:t>
            </w:r>
          </w:p>
        </w:tc>
        <w:tc>
          <w:tcPr>
            <w:tcW w:w="1313" w:type="dxa"/>
            <w:tcBorders/>
            <w:shd w:fill="auto" w:val="clear"/>
            <w:vAlign w:val="bottom"/>
          </w:tcPr>
          <w:p>
            <w:pPr>
              <w:pStyle w:val="TableContents"/>
              <w:spacing w:before="0" w:after="283"/>
              <w:jc w:val="right"/>
              <w:rPr/>
            </w:pPr>
            <w:r>
              <w:rPr/>
              <w:t>35,479</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841" w:type="dxa"/>
            <w:tcBorders/>
            <w:shd w:fill="auto" w:val="clear"/>
            <w:vAlign w:val="bottom"/>
          </w:tcPr>
          <w:p>
            <w:pPr>
              <w:pStyle w:val="TableContents"/>
              <w:spacing w:before="0" w:after="283"/>
              <w:jc w:val="right"/>
              <w:rPr/>
            </w:pPr>
            <w:r>
              <w:rPr/>
              <w:t>9,280</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pPr>
            <w:r>
              <w:rPr/>
              <w:t>55,522</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845" w:type="dxa"/>
            <w:tcBorders/>
            <w:shd w:fill="auto" w:val="clear"/>
            <w:vAlign w:val="bottom"/>
          </w:tcPr>
          <w:p>
            <w:pPr>
              <w:pStyle w:val="TableContents"/>
              <w:spacing w:before="0" w:after="283"/>
              <w:jc w:val="right"/>
              <w:rPr/>
            </w:pPr>
            <w:r>
              <w:rPr/>
              <w:t>8,677</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jc w:val="left"/>
              <w:rPr/>
            </w:pPr>
            <w:r>
              <w:rPr/>
              <w:t>$</w:t>
            </w:r>
          </w:p>
        </w:tc>
        <w:tc>
          <w:tcPr>
            <w:tcW w:w="1312" w:type="dxa"/>
            <w:tcBorders/>
            <w:shd w:fill="auto" w:val="clear"/>
            <w:vAlign w:val="bottom"/>
          </w:tcPr>
          <w:p>
            <w:pPr>
              <w:pStyle w:val="TableContents"/>
              <w:spacing w:before="0" w:after="283"/>
              <w:jc w:val="right"/>
              <w:rPr/>
            </w:pPr>
            <w:r>
              <w:rPr/>
              <w:t>36,387</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w:t>
            </w:r>
          </w:p>
        </w:tc>
        <w:tc>
          <w:tcPr>
            <w:tcW w:w="841" w:type="dxa"/>
            <w:tcBorders/>
            <w:shd w:fill="auto" w:val="clear"/>
            <w:vAlign w:val="bottom"/>
          </w:tcPr>
          <w:p>
            <w:pPr>
              <w:pStyle w:val="TableContents"/>
              <w:spacing w:before="0" w:after="283"/>
              <w:jc w:val="right"/>
              <w:rPr/>
            </w:pPr>
            <w:r>
              <w:rPr/>
              <w:t>7,502</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2" w:type="dxa"/>
            <w:tcBorders/>
            <w:shd w:fill="auto" w:val="clear"/>
            <w:vAlign w:val="bottom"/>
          </w:tcPr>
          <w:p>
            <w:pPr>
              <w:pStyle w:val="TableContents"/>
              <w:spacing w:before="0" w:after="283"/>
              <w:jc w:val="right"/>
              <w:rPr/>
            </w:pPr>
            <w:r>
              <w:rPr/>
              <w:t>52,566</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5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0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48" w:type="dxa"/>
            <w:tcBorders/>
            <w:shd w:fill="auto" w:val="clear"/>
            <w:vAlign w:val="center"/>
          </w:tcPr>
          <w:p>
            <w:pPr>
              <w:pStyle w:val="TableContents"/>
              <w:spacing w:before="0" w:after="283"/>
              <w:rPr/>
            </w:pPr>
            <w:r>
              <w:rPr/>
              <w:t> </w:t>
            </w:r>
          </w:p>
        </w:tc>
        <w:tc>
          <w:tcPr>
            <w:tcW w:w="730"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5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02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762"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CCEEFF" w:val="clear"/>
            <w:vAlign w:val="bottom"/>
          </w:tcPr>
          <w:p>
            <w:pPr>
              <w:pStyle w:val="TableContents"/>
              <w:spacing w:before="0" w:after="0"/>
              <w:ind w:left="225" w:right="0" w:hanging="225"/>
              <w:rPr/>
            </w:pPr>
            <w:r>
              <w:rPr/>
              <w:t>Intercompany sales eliminations</w:t>
            </w:r>
          </w:p>
        </w:tc>
        <w:tc>
          <w:tcPr>
            <w:tcW w:w="60" w:type="dxa"/>
            <w:tcBorders/>
            <w:shd w:fill="CCEEFF" w:val="clear"/>
            <w:vAlign w:val="bottom"/>
          </w:tcPr>
          <w:p>
            <w:pPr>
              <w:pStyle w:val="TableContents"/>
              <w:spacing w:before="0" w:after="283"/>
              <w:rPr/>
            </w:pPr>
            <w:r>
              <w:rPr/>
              <w:t> </w:t>
            </w:r>
          </w:p>
        </w:tc>
        <w:tc>
          <w:tcPr>
            <w:tcW w:w="17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313"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48" w:type="dxa"/>
            <w:tcBorders/>
            <w:shd w:fill="CCEEFF" w:val="clear"/>
            <w:vAlign w:val="bottom"/>
          </w:tcPr>
          <w:p>
            <w:pPr>
              <w:pStyle w:val="TableContents"/>
              <w:spacing w:before="0" w:after="283"/>
              <w:jc w:val="left"/>
              <w:rPr/>
            </w:pPr>
            <w:r>
              <w:rPr/>
              <w:t> </w:t>
            </w:r>
          </w:p>
        </w:tc>
        <w:tc>
          <w:tcPr>
            <w:tcW w:w="730" w:type="dxa"/>
            <w:tcBorders/>
            <w:shd w:fill="CCEEFF" w:val="clear"/>
            <w:vAlign w:val="bottom"/>
          </w:tcPr>
          <w:p>
            <w:pPr>
              <w:pStyle w:val="TableContents"/>
              <w:spacing w:before="0" w:after="283"/>
              <w:jc w:val="right"/>
              <w:rPr/>
            </w:pPr>
            <w:r>
              <w:rPr/>
              <w:t>(4,875</w:t>
            </w:r>
          </w:p>
        </w:tc>
        <w:tc>
          <w:tcPr>
            <w:tcW w:w="95" w:type="dxa"/>
            <w:tcBorders/>
            <w:shd w:fill="CCEEFF" w:val="clear"/>
            <w:vAlign w:val="bottom"/>
          </w:tcPr>
          <w:p>
            <w:pPr>
              <w:pStyle w:val="TableContents"/>
              <w:spacing w:before="0" w:after="283"/>
              <w:rPr/>
            </w:pPr>
            <w:r>
              <w:rPr/>
              <w:t>)</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312"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841"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62" w:type="dxa"/>
            <w:tcBorders/>
            <w:shd w:fill="CCEEFF" w:val="clear"/>
            <w:vAlign w:val="bottom"/>
          </w:tcPr>
          <w:p>
            <w:pPr>
              <w:pStyle w:val="TableContents"/>
              <w:spacing w:before="0" w:after="283"/>
              <w:jc w:val="right"/>
              <w:rPr/>
            </w:pPr>
            <w:r>
              <w:rPr/>
              <w:t>(4,895</w:t>
            </w:r>
          </w:p>
        </w:tc>
        <w:tc>
          <w:tcPr>
            <w:tcW w:w="95" w:type="dxa"/>
            <w:tcBorders/>
            <w:shd w:fill="CCEEFF" w:val="clear"/>
            <w:vAlign w:val="bottom"/>
          </w:tcPr>
          <w:p>
            <w:pPr>
              <w:pStyle w:val="TableContents"/>
              <w:spacing w:before="0" w:after="283"/>
              <w:rPr/>
            </w:pPr>
            <w:r>
              <w:rPr/>
              <w:t>)</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876"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1313"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841"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87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1312"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841"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91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r>
        <w:trPr/>
        <w:tc>
          <w:tcPr>
            <w:tcW w:w="1100" w:type="dxa"/>
            <w:tcBorders/>
            <w:shd w:fill="auto" w:val="clear"/>
            <w:vAlign w:val="bottom"/>
          </w:tcPr>
          <w:p>
            <w:pPr>
              <w:pStyle w:val="TableContents"/>
              <w:spacing w:before="0" w:after="0"/>
              <w:ind w:left="225" w:right="0" w:hanging="225"/>
              <w:rPr/>
            </w:pPr>
            <w:r>
              <w:rPr/>
              <w:t>Consolidated net sales</w:t>
            </w:r>
          </w:p>
        </w:tc>
        <w:tc>
          <w:tcPr>
            <w:tcW w:w="60"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313"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48" w:type="dxa"/>
            <w:tcBorders/>
            <w:shd w:fill="auto" w:val="clear"/>
            <w:vAlign w:val="bottom"/>
          </w:tcPr>
          <w:p>
            <w:pPr>
              <w:pStyle w:val="TableContents"/>
              <w:spacing w:before="0" w:after="283"/>
              <w:jc w:val="left"/>
              <w:rPr/>
            </w:pPr>
            <w:r>
              <w:rPr/>
              <w:t>$</w:t>
            </w:r>
          </w:p>
        </w:tc>
        <w:tc>
          <w:tcPr>
            <w:tcW w:w="730" w:type="dxa"/>
            <w:tcBorders/>
            <w:shd w:fill="auto" w:val="clear"/>
            <w:vAlign w:val="bottom"/>
          </w:tcPr>
          <w:p>
            <w:pPr>
              <w:pStyle w:val="TableContents"/>
              <w:spacing w:before="0" w:after="283"/>
              <w:jc w:val="right"/>
              <w:rPr/>
            </w:pPr>
            <w:r>
              <w:rPr/>
              <w:t>50,647</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312"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41"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762" w:type="dxa"/>
            <w:tcBorders/>
            <w:shd w:fill="auto" w:val="clear"/>
            <w:vAlign w:val="bottom"/>
          </w:tcPr>
          <w:p>
            <w:pPr>
              <w:pStyle w:val="TableContents"/>
              <w:spacing w:before="0" w:after="283"/>
              <w:jc w:val="right"/>
              <w:rPr/>
            </w:pPr>
            <w:r>
              <w:rPr/>
              <w:t>47,671</w:t>
            </w:r>
          </w:p>
        </w:tc>
        <w:tc>
          <w:tcPr>
            <w:tcW w:w="95" w:type="dxa"/>
            <w:tcBorders/>
            <w:shd w:fill="auto" w:val="clear"/>
            <w:vAlign w:val="bottom"/>
          </w:tcPr>
          <w:p>
            <w:pPr>
              <w:pStyle w:val="TableContents"/>
              <w:spacing w:before="0" w:after="283"/>
              <w:rPr/>
            </w:pPr>
            <w:r>
              <w:rPr/>
              <w:t> </w:t>
            </w:r>
          </w:p>
        </w:tc>
      </w:tr>
      <w:tr>
        <w:trPr/>
        <w:tc>
          <w:tcPr>
            <w:tcW w:w="1100" w:type="dxa"/>
            <w:tcBorders/>
            <w:shd w:fill="auto" w:val="clear"/>
            <w:vAlign w:val="center"/>
          </w:tcPr>
          <w:p>
            <w:pPr>
              <w:pStyle w:val="TableContents"/>
              <w:spacing w:before="0" w:after="0"/>
              <w:ind w:left="225" w:right="0" w:hanging="225"/>
              <w:rPr/>
            </w:pPr>
            <w:r>
              <w:rPr/>
              <w:t> </w:t>
            </w:r>
          </w:p>
        </w:tc>
        <w:tc>
          <w:tcPr>
            <w:tcW w:w="60"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876"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 </w:t>
            </w:r>
          </w:p>
        </w:tc>
        <w:tc>
          <w:tcPr>
            <w:tcW w:w="1313"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841" w:type="dxa"/>
            <w:tcBorders/>
            <w:shd w:fill="auto" w:val="clear"/>
            <w:vAlign w:val="center"/>
          </w:tcPr>
          <w:p>
            <w:pPr>
              <w:pStyle w:val="TableContents"/>
              <w:spacing w:before="0" w:after="283"/>
              <w:rPr/>
            </w:pPr>
            <w:r>
              <w:rPr/>
              <w:t> </w:t>
            </w:r>
          </w:p>
        </w:tc>
        <w:tc>
          <w:tcPr>
            <w:tcW w:w="101"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87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1312"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184" w:type="dxa"/>
            <w:tcBorders/>
            <w:shd w:fill="auto" w:val="clear"/>
            <w:vAlign w:val="center"/>
          </w:tcPr>
          <w:p>
            <w:pPr>
              <w:pStyle w:val="TableContents"/>
              <w:spacing w:before="0" w:after="283"/>
              <w:rPr/>
            </w:pPr>
            <w:r>
              <w:rPr/>
              <w:t> </w:t>
            </w:r>
          </w:p>
        </w:tc>
        <w:tc>
          <w:tcPr>
            <w:tcW w:w="841"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91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rPr>
        <w:t>3. Inventories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Inventories consist of the following (in thousands): </w:t>
      </w:r>
    </w:p>
    <w:tbl>
      <w:tblPr>
        <w:tblW w:w="5000" w:type="pct"/>
        <w:jc w:val="center"/>
        <w:tblInd w:w="0" w:type="dxa"/>
        <w:tblCellMar>
          <w:top w:w="0" w:type="dxa"/>
          <w:left w:w="0" w:type="dxa"/>
          <w:bottom w:w="0" w:type="dxa"/>
          <w:right w:w="0" w:type="dxa"/>
        </w:tblCellMar>
      </w:tblPr>
      <w:tblGrid>
        <w:gridCol w:w="6586"/>
        <w:gridCol w:w="436"/>
        <w:gridCol w:w="213"/>
        <w:gridCol w:w="1050"/>
        <w:gridCol w:w="117"/>
        <w:gridCol w:w="436"/>
        <w:gridCol w:w="210"/>
        <w:gridCol w:w="1034"/>
        <w:gridCol w:w="123"/>
      </w:tblGrid>
      <w:tr>
        <w:trPr/>
        <w:tc>
          <w:tcPr>
            <w:tcW w:w="658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658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263" w:type="dxa"/>
            <w:gridSpan w:val="2"/>
            <w:tcBorders/>
            <w:shd w:fill="auto" w:val="clear"/>
            <w:vAlign w:val="bottom"/>
          </w:tcPr>
          <w:p>
            <w:pPr>
              <w:pStyle w:val="TableContents"/>
              <w:spacing w:before="0" w:after="283"/>
              <w:jc w:val="center"/>
              <w:rPr>
                <w:b/>
              </w:rPr>
            </w:pPr>
            <w:r>
              <w:rPr>
                <w:b/>
              </w:rPr>
              <w:t>January 31,</w:t>
            </w:r>
          </w:p>
        </w:tc>
        <w:tc>
          <w:tcPr>
            <w:tcW w:w="117"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244" w:type="dxa"/>
            <w:gridSpan w:val="2"/>
            <w:tcBorders/>
            <w:shd w:fill="auto" w:val="clear"/>
            <w:vAlign w:val="bottom"/>
          </w:tcPr>
          <w:p>
            <w:pPr>
              <w:pStyle w:val="TableContents"/>
              <w:spacing w:before="0" w:after="283"/>
              <w:jc w:val="center"/>
              <w:rPr>
                <w:b/>
              </w:rPr>
            </w:pPr>
            <w:r>
              <w:rPr>
                <w:b/>
              </w:rPr>
              <w:t>October 31,</w:t>
            </w:r>
          </w:p>
        </w:tc>
        <w:tc>
          <w:tcPr>
            <w:tcW w:w="123" w:type="dxa"/>
            <w:tcBorders/>
            <w:shd w:fill="auto" w:val="clear"/>
            <w:vAlign w:val="bottom"/>
          </w:tcPr>
          <w:p>
            <w:pPr>
              <w:pStyle w:val="TableContents"/>
              <w:spacing w:before="0" w:after="283"/>
              <w:rPr/>
            </w:pPr>
            <w:r>
              <w:rPr/>
              <w:t> </w:t>
            </w:r>
          </w:p>
        </w:tc>
      </w:tr>
      <w:tr>
        <w:trPr/>
        <w:tc>
          <w:tcPr>
            <w:tcW w:w="6586"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26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117"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24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123" w:type="dxa"/>
            <w:tcBorders/>
            <w:shd w:fill="auto" w:val="clear"/>
            <w:vAlign w:val="bottom"/>
          </w:tcPr>
          <w:p>
            <w:pPr>
              <w:pStyle w:val="TableContents"/>
              <w:spacing w:before="0" w:after="283"/>
              <w:rPr/>
            </w:pPr>
            <w:r>
              <w:rPr/>
              <w:t> </w:t>
            </w:r>
          </w:p>
        </w:tc>
      </w:tr>
      <w:tr>
        <w:trPr/>
        <w:tc>
          <w:tcPr>
            <w:tcW w:w="6586" w:type="dxa"/>
            <w:tcBorders/>
            <w:shd w:fill="CCEEFF" w:val="clear"/>
            <w:vAlign w:val="bottom"/>
          </w:tcPr>
          <w:p>
            <w:pPr>
              <w:pStyle w:val="TableContents"/>
              <w:spacing w:before="0" w:after="0"/>
              <w:ind w:left="225" w:right="0" w:hanging="225"/>
              <w:rPr/>
            </w:pPr>
            <w:r>
              <w:rPr/>
              <w:t>Fresh fruit</w:t>
            </w:r>
          </w:p>
        </w:tc>
        <w:tc>
          <w:tcPr>
            <w:tcW w:w="43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w:t>
            </w:r>
          </w:p>
        </w:tc>
        <w:tc>
          <w:tcPr>
            <w:tcW w:w="1050" w:type="dxa"/>
            <w:tcBorders/>
            <w:shd w:fill="CCEEFF" w:val="clear"/>
            <w:vAlign w:val="bottom"/>
          </w:tcPr>
          <w:p>
            <w:pPr>
              <w:pStyle w:val="TableContents"/>
              <w:spacing w:before="0" w:after="283"/>
              <w:jc w:val="right"/>
              <w:rPr/>
            </w:pPr>
            <w:r>
              <w:rPr/>
              <w:t>5,720</w:t>
            </w:r>
          </w:p>
        </w:tc>
        <w:tc>
          <w:tcPr>
            <w:tcW w:w="117"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034" w:type="dxa"/>
            <w:tcBorders/>
            <w:shd w:fill="CCEEFF" w:val="clear"/>
            <w:vAlign w:val="bottom"/>
          </w:tcPr>
          <w:p>
            <w:pPr>
              <w:pStyle w:val="TableContents"/>
              <w:spacing w:before="0" w:after="283"/>
              <w:jc w:val="right"/>
              <w:rPr/>
            </w:pPr>
            <w:r>
              <w:rPr/>
              <w:t>3,525</w:t>
            </w:r>
          </w:p>
        </w:tc>
        <w:tc>
          <w:tcPr>
            <w:tcW w:w="123" w:type="dxa"/>
            <w:tcBorders/>
            <w:shd w:fill="CCEEFF" w:val="clear"/>
            <w:vAlign w:val="bottom"/>
          </w:tcPr>
          <w:p>
            <w:pPr>
              <w:pStyle w:val="TableContents"/>
              <w:spacing w:before="0" w:after="283"/>
              <w:rPr/>
            </w:pPr>
            <w:r>
              <w:rPr/>
              <w:t> </w:t>
            </w:r>
          </w:p>
        </w:tc>
      </w:tr>
      <w:tr>
        <w:trPr/>
        <w:tc>
          <w:tcPr>
            <w:tcW w:w="6586" w:type="dxa"/>
            <w:tcBorders/>
            <w:shd w:fill="auto" w:val="clear"/>
            <w:vAlign w:val="bottom"/>
          </w:tcPr>
          <w:p>
            <w:pPr>
              <w:pStyle w:val="TableContents"/>
              <w:spacing w:before="0" w:after="0"/>
              <w:ind w:left="225" w:right="0" w:hanging="225"/>
              <w:rPr/>
            </w:pPr>
            <w:r>
              <w:rPr/>
              <w:t>Packing supplies and ingredients</w:t>
            </w:r>
          </w:p>
        </w:tc>
        <w:tc>
          <w:tcPr>
            <w:tcW w:w="4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50" w:type="dxa"/>
            <w:tcBorders/>
            <w:shd w:fill="auto" w:val="clear"/>
            <w:vAlign w:val="bottom"/>
          </w:tcPr>
          <w:p>
            <w:pPr>
              <w:pStyle w:val="TableContents"/>
              <w:spacing w:before="0" w:after="283"/>
              <w:jc w:val="right"/>
              <w:rPr/>
            </w:pPr>
            <w:r>
              <w:rPr/>
              <w:t>1,931</w:t>
            </w:r>
          </w:p>
        </w:tc>
        <w:tc>
          <w:tcPr>
            <w:tcW w:w="117"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4" w:type="dxa"/>
            <w:tcBorders/>
            <w:shd w:fill="auto" w:val="clear"/>
            <w:vAlign w:val="bottom"/>
          </w:tcPr>
          <w:p>
            <w:pPr>
              <w:pStyle w:val="TableContents"/>
              <w:spacing w:before="0" w:after="283"/>
              <w:jc w:val="right"/>
              <w:rPr/>
            </w:pPr>
            <w:r>
              <w:rPr/>
              <w:t>2,015</w:t>
            </w:r>
          </w:p>
        </w:tc>
        <w:tc>
          <w:tcPr>
            <w:tcW w:w="123" w:type="dxa"/>
            <w:tcBorders/>
            <w:shd w:fill="auto" w:val="clear"/>
            <w:vAlign w:val="bottom"/>
          </w:tcPr>
          <w:p>
            <w:pPr>
              <w:pStyle w:val="TableContents"/>
              <w:spacing w:before="0" w:after="283"/>
              <w:rPr/>
            </w:pPr>
            <w:r>
              <w:rPr/>
              <w:t> </w:t>
            </w:r>
          </w:p>
        </w:tc>
      </w:tr>
      <w:tr>
        <w:trPr/>
        <w:tc>
          <w:tcPr>
            <w:tcW w:w="6586" w:type="dxa"/>
            <w:tcBorders/>
            <w:shd w:fill="CCEEFF" w:val="clear"/>
            <w:vAlign w:val="bottom"/>
          </w:tcPr>
          <w:p>
            <w:pPr>
              <w:pStyle w:val="TableContents"/>
              <w:spacing w:before="0" w:after="0"/>
              <w:ind w:left="225" w:right="0" w:hanging="225"/>
              <w:rPr/>
            </w:pPr>
            <w:r>
              <w:rPr/>
              <w:t>Finished processed foods</w:t>
            </w:r>
          </w:p>
        </w:tc>
        <w:tc>
          <w:tcPr>
            <w:tcW w:w="436"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50" w:type="dxa"/>
            <w:tcBorders/>
            <w:shd w:fill="CCEEFF" w:val="clear"/>
            <w:vAlign w:val="bottom"/>
          </w:tcPr>
          <w:p>
            <w:pPr>
              <w:pStyle w:val="TableContents"/>
              <w:spacing w:before="0" w:after="283"/>
              <w:jc w:val="right"/>
              <w:rPr/>
            </w:pPr>
            <w:r>
              <w:rPr/>
              <w:t>3,625</w:t>
            </w:r>
          </w:p>
        </w:tc>
        <w:tc>
          <w:tcPr>
            <w:tcW w:w="117" w:type="dxa"/>
            <w:tcBorders/>
            <w:shd w:fill="CCEEFF" w:val="clear"/>
            <w:vAlign w:val="bottom"/>
          </w:tcPr>
          <w:p>
            <w:pPr>
              <w:pStyle w:val="TableContents"/>
              <w:spacing w:before="0" w:after="283"/>
              <w:rPr/>
            </w:pPr>
            <w:r>
              <w:rPr/>
              <w:t> </w:t>
            </w:r>
          </w:p>
        </w:tc>
        <w:tc>
          <w:tcPr>
            <w:tcW w:w="436"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4" w:type="dxa"/>
            <w:tcBorders/>
            <w:shd w:fill="CCEEFF" w:val="clear"/>
            <w:vAlign w:val="bottom"/>
          </w:tcPr>
          <w:p>
            <w:pPr>
              <w:pStyle w:val="TableContents"/>
              <w:spacing w:before="0" w:after="283"/>
              <w:jc w:val="right"/>
              <w:rPr/>
            </w:pPr>
            <w:r>
              <w:rPr/>
              <w:t>4,556</w:t>
            </w:r>
          </w:p>
        </w:tc>
        <w:tc>
          <w:tcPr>
            <w:tcW w:w="123" w:type="dxa"/>
            <w:tcBorders/>
            <w:shd w:fill="CCEEFF" w:val="clear"/>
            <w:vAlign w:val="bottom"/>
          </w:tcPr>
          <w:p>
            <w:pPr>
              <w:pStyle w:val="TableContents"/>
              <w:spacing w:before="0" w:after="283"/>
              <w:rPr/>
            </w:pPr>
            <w:r>
              <w:rPr/>
              <w:t> </w:t>
            </w:r>
          </w:p>
        </w:tc>
      </w:tr>
      <w:tr>
        <w:trPr/>
        <w:tc>
          <w:tcPr>
            <w:tcW w:w="6586" w:type="dxa"/>
            <w:tcBorders/>
            <w:shd w:fill="auto" w:val="clear"/>
            <w:vAlign w:val="center"/>
          </w:tcPr>
          <w:p>
            <w:pPr>
              <w:pStyle w:val="TableContents"/>
              <w:spacing w:before="0" w:after="0"/>
              <w:ind w:left="225" w:right="0" w:hanging="225"/>
              <w:rPr/>
            </w:pPr>
            <w:r>
              <w:rPr/>
              <w:t> </w:t>
            </w:r>
          </w:p>
        </w:tc>
        <w:tc>
          <w:tcPr>
            <w:tcW w:w="436" w:type="dxa"/>
            <w:tcBorders/>
            <w:shd w:fill="auto" w:val="clear"/>
            <w:vAlign w:val="center"/>
          </w:tcPr>
          <w:p>
            <w:pPr>
              <w:pStyle w:val="TableContents"/>
              <w:spacing w:before="0" w:after="283"/>
              <w:rPr/>
            </w:pPr>
            <w:r>
              <w:rPr/>
              <w:t> </w:t>
            </w:r>
          </w:p>
        </w:tc>
        <w:tc>
          <w:tcPr>
            <w:tcW w:w="12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124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r>
        <w:trPr/>
        <w:tc>
          <w:tcPr>
            <w:tcW w:w="6586" w:type="dxa"/>
            <w:tcBorders/>
            <w:shd w:fill="auto" w:val="clear"/>
            <w:vAlign w:val="bottom"/>
          </w:tcPr>
          <w:p>
            <w:pPr>
              <w:pStyle w:val="TableContents"/>
              <w:spacing w:before="0" w:after="0"/>
              <w:ind w:left="225" w:right="0" w:hanging="225"/>
              <w:rPr/>
            </w:pPr>
            <w:r>
              <w:rPr/>
              <w:t> </w:t>
            </w:r>
          </w:p>
        </w:tc>
        <w:tc>
          <w:tcPr>
            <w:tcW w:w="436"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1050" w:type="dxa"/>
            <w:tcBorders/>
            <w:shd w:fill="auto" w:val="clear"/>
            <w:vAlign w:val="bottom"/>
          </w:tcPr>
          <w:p>
            <w:pPr>
              <w:pStyle w:val="TableContents"/>
              <w:spacing w:before="0" w:after="283"/>
              <w:jc w:val="right"/>
              <w:rPr/>
            </w:pPr>
            <w:r>
              <w:rPr/>
              <w:t>11,276</w:t>
            </w:r>
          </w:p>
        </w:tc>
        <w:tc>
          <w:tcPr>
            <w:tcW w:w="117"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4" w:type="dxa"/>
            <w:tcBorders/>
            <w:shd w:fill="auto" w:val="clear"/>
            <w:vAlign w:val="bottom"/>
          </w:tcPr>
          <w:p>
            <w:pPr>
              <w:pStyle w:val="TableContents"/>
              <w:spacing w:before="0" w:after="283"/>
              <w:jc w:val="right"/>
              <w:rPr/>
            </w:pPr>
            <w:r>
              <w:rPr/>
              <w:t>10,096</w:t>
            </w:r>
          </w:p>
        </w:tc>
        <w:tc>
          <w:tcPr>
            <w:tcW w:w="123" w:type="dxa"/>
            <w:tcBorders/>
            <w:shd w:fill="auto" w:val="clear"/>
            <w:vAlign w:val="bottom"/>
          </w:tcPr>
          <w:p>
            <w:pPr>
              <w:pStyle w:val="TableContents"/>
              <w:spacing w:before="0" w:after="283"/>
              <w:rPr/>
            </w:pPr>
            <w:r>
              <w:rPr/>
              <w:t> </w:t>
            </w:r>
          </w:p>
        </w:tc>
      </w:tr>
      <w:tr>
        <w:trPr/>
        <w:tc>
          <w:tcPr>
            <w:tcW w:w="6586" w:type="dxa"/>
            <w:tcBorders/>
            <w:shd w:fill="auto" w:val="clear"/>
            <w:vAlign w:val="center"/>
          </w:tcPr>
          <w:p>
            <w:pPr>
              <w:pStyle w:val="TableContents"/>
              <w:spacing w:before="0" w:after="0"/>
              <w:ind w:left="225" w:right="0" w:hanging="225"/>
              <w:rPr/>
            </w:pPr>
            <w:r>
              <w:rPr/>
              <w:t> </w:t>
            </w:r>
          </w:p>
        </w:tc>
        <w:tc>
          <w:tcPr>
            <w:tcW w:w="436" w:type="dxa"/>
            <w:tcBorders/>
            <w:shd w:fill="auto" w:val="clear"/>
            <w:vAlign w:val="center"/>
          </w:tcPr>
          <w:p>
            <w:pPr>
              <w:pStyle w:val="TableContents"/>
              <w:spacing w:before="0" w:after="283"/>
              <w:rPr/>
            </w:pPr>
            <w:r>
              <w:rPr/>
              <w:t> </w:t>
            </w:r>
          </w:p>
        </w:tc>
        <w:tc>
          <w:tcPr>
            <w:tcW w:w="12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436" w:type="dxa"/>
            <w:tcBorders/>
            <w:shd w:fill="auto" w:val="clear"/>
            <w:vAlign w:val="center"/>
          </w:tcPr>
          <w:p>
            <w:pPr>
              <w:pStyle w:val="TableContents"/>
              <w:spacing w:before="0" w:after="283"/>
              <w:rPr/>
            </w:pPr>
            <w:r>
              <w:rPr/>
              <w:t> </w:t>
            </w:r>
          </w:p>
        </w:tc>
        <w:tc>
          <w:tcPr>
            <w:tcW w:w="124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During the three month periods ended January 31, 2006 and 2005, we were not required to, and did not, record any provisions to reduce our inventories to the lower of cost or market. </w:t>
      </w:r>
    </w:p>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CALAVO GROWERS, INC.</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NOTES TO CONSOLIDATED CONDENSED FINANCIAL STATEMENTS (UNAUDITED)</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4. Related Party transactions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sell papayas obtained from an entity owned by our Chairman of the Board of Directors, Chief Executive Officer and President. Sales of papayas procured from the related entity amounted to approximately $1,267,000 and $1,820,000 for the three months ended January 31, 2006 and 2005, resulting in gross margins of approximately $112,000 and $261,000. Net amounts due to this entity approximated $145,000 and $79,000 at January 31, 2006 and October 31, 2005. </w:t>
      </w:r>
    </w:p>
    <w:p>
      <w:pPr>
        <w:pStyle w:val="TextBody"/>
        <w:spacing w:before="120" w:after="283"/>
        <w:jc w:val="left"/>
        <w:rPr/>
      </w:pPr>
      <w:r>
        <w:rPr/>
        <w:t>     </w:t>
      </w:r>
      <w:r>
        <w:rPr>
          <w:rFonts w:ascii="Times New Roman;Times;serif" w:hAnsi="Times New Roman;Times;serif"/>
          <w:sz w:val="17"/>
        </w:rPr>
        <w:t xml:space="preserve">Certain members of our Board of Directors market avocados through Calavo pursuant to marketing agreements substantially similar to the marketing agreements that we enter into with other growers. During the three months ended January 31, 2006 and 2005, the aggregate amount of avocados procured from entities owned or controlled by members of our Board of Directors was approximately $1,685,000 and $383,000. </w:t>
      </w:r>
    </w:p>
    <w:p>
      <w:pPr>
        <w:pStyle w:val="TextBody"/>
        <w:spacing w:before="120" w:after="283"/>
        <w:jc w:val="left"/>
        <w:rPr/>
      </w:pPr>
      <w:r>
        <w:rPr/>
        <w:t>     </w:t>
      </w:r>
      <w:r>
        <w:rPr>
          <w:rFonts w:ascii="Times New Roman;Times;serif" w:hAnsi="Times New Roman;Times;serif"/>
          <w:sz w:val="17"/>
        </w:rPr>
        <w:t xml:space="preserve">In December 2005, we repurchased 120,000 shares of our common stock at an average price per share of $10.00 from the estate of a deceased former member of our Board of Directors.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5. Other assets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Included in other assets in the accompanying consolidated financial statements are the following intangible assets: customer-related intangibles of $590,000 (accumulated amortization of $236,000 at January 31, 2006), brand name intangibles of $275,000 and other identified intangibles totaling $2,000 (accumulated amortization of $2,000 at January 31, 2006). The customer-related intangibles and other identified intangibles are being amortized over five and two years. The intangible asset related to the brand name currently has an indefinite remaining useful life and, as a result, is not currently subject to amortization. We anticipate recording amortization expense of approximately $88,000 for the remainder of fiscal 2006 and approximately $118,000 per annum for fiscal 2007 through fiscal 2008, with the remaining amortization expense of approximately $30,000 recorded in fiscal 2009.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6. Other events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Dividend payment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January 2006, we paid a $0.32 per share dividend in the aggregate amount of $4.6 million to shareholders of record on December 15, 2005. In January 2005, we paid a $0.30 per share dividend in the aggregate amount of $4,052,000 to shareholders of record on November 15, 2004.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Contingencies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are currently under examination by the Mexican tax authorities (Hacienda) for the tax year ended December 31, 2000. During the first quarter of fiscal 2005, we received an assessment totaling approximately $2.0 million from Hacienda related to the amount of income at our Mexican subsidiary. Based primarily on discussions with legal counsel and the evaluation of our claim, we believe that Haciendas position has no merit and that the Company will prevail. Accordingly, no amounts have been provided in the financial statements as of January 31, 2006. We pledged our processed products building located in Uruapan, Michoacan, Mexico as collateral to the Hacienda in regards to this assessment. </w:t>
      </w:r>
    </w:p>
    <w:p>
      <w:pPr>
        <w:pStyle w:val="TextBody"/>
        <w:spacing w:before="120" w:after="283"/>
        <w:jc w:val="left"/>
        <w:rPr/>
      </w:pPr>
      <w:r>
        <w:rPr/>
        <w:t>     </w:t>
      </w:r>
      <w:r>
        <w:rPr>
          <w:rFonts w:ascii="Times New Roman;Times;serif" w:hAnsi="Times New Roman;Times;serif"/>
          <w:sz w:val="17"/>
        </w:rPr>
        <w:t xml:space="preserve">We are also involved in litigation arising in the ordinary course of our business that we do not believe will have a material adverse impact on our financial statements.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Processed product segment restructuring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February 2003, our Board of Directors approved a plan whereby the operations of our processed products business would be relocated. The plan called for the closing of our Santa Paula, California and Mexicali, Baja California Norte processing facilities and the relocation of these operations to a new facility in Uruapan, Michoacan, Mexico. This restructuring has provided for cost savings in the elimination of certain transportation costs, duplicative overhead structures, and savings in the overall cost of labor and services. The Uruapan facility commenced operations in February 2004 and the Santa Paula and Mexicali facilities were closed in February 2003 and August 2004. For our first fiscal quarter 2005, we incurred costs related to this restructuring approximating $437,000, which is recorded in our income statement as both cost of sales ($298,000) and selling, general and administrative expenses($139,000). We did not incur any additional costs related to this restructuring during our first fiscal quarter of 2006.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0" w:name="108"/>
      <w:bookmarkEnd w:id="10"/>
      <w:r>
        <w:rPr>
          <w:rFonts w:ascii="Times New Roman;Times;serif" w:hAnsi="Times New Roman;Times;serif"/>
          <w:b/>
          <w:sz w:val="17"/>
        </w:rPr>
        <w:t>ITEM 2. MANAGEMENTS DISCUSSION AND ANALYSIS OF FINANCIAL CONDITION AND RESULTS OF OPERATIONS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information should be read in conjunction with the unaudited consolidated condensed financial statements and the notes thereto included in this Quarterly Report, and the audited consolidated financial statements and notes thereto and Managements Discussion and Analysis of Financial Condition and Results of Operations contained in the Annual Report on Form 10-K for the year ended October 31, 2005 of Calavo Growers, Inc. (we, Calavo, or the Company). Certain prior year amounts have been reclassified to conform with the current period presentation.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Recent Developments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i/>
          <w:sz w:val="17"/>
        </w:rPr>
        <w:t>Dividend payment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January 2006, we paid a $0.32 per share dividend in the aggregate amount of $4.6 million to shareholders of record on December 15, 2005.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Common Stock Repurchase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December 2005, we repurchased 120,000 shares of our common stock at an average price per share of $10.00 from the estate of a deceased former member of our Board of Directors. </w:t>
      </w:r>
    </w:p>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Net Sales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summarizes our net sales by business segment: </w:t>
      </w:r>
    </w:p>
    <w:tbl>
      <w:tblPr>
        <w:tblW w:w="5000" w:type="pct"/>
        <w:jc w:val="center"/>
        <w:tblInd w:w="0" w:type="dxa"/>
        <w:tblCellMar>
          <w:top w:w="0" w:type="dxa"/>
          <w:left w:w="0" w:type="dxa"/>
          <w:bottom w:w="0" w:type="dxa"/>
          <w:right w:w="0" w:type="dxa"/>
        </w:tblCellMar>
      </w:tblPr>
      <w:tblGrid>
        <w:gridCol w:w="4868"/>
        <w:gridCol w:w="334"/>
        <w:gridCol w:w="202"/>
        <w:gridCol w:w="993"/>
        <w:gridCol w:w="280"/>
        <w:gridCol w:w="345"/>
        <w:gridCol w:w="139"/>
        <w:gridCol w:w="894"/>
        <w:gridCol w:w="359"/>
        <w:gridCol w:w="345"/>
        <w:gridCol w:w="202"/>
        <w:gridCol w:w="999"/>
        <w:gridCol w:w="245"/>
      </w:tblGrid>
      <w:tr>
        <w:trPr/>
        <w:tc>
          <w:tcPr>
            <w:tcW w:w="4868"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r>
      <w:tr>
        <w:trPr/>
        <w:tc>
          <w:tcPr>
            <w:tcW w:w="4868"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4758"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January 31,</w:t>
            </w:r>
          </w:p>
        </w:tc>
        <w:tc>
          <w:tcPr>
            <w:tcW w:w="245" w:type="dxa"/>
            <w:tcBorders/>
            <w:shd w:fill="auto" w:val="clear"/>
            <w:vAlign w:val="bottom"/>
          </w:tcPr>
          <w:p>
            <w:pPr>
              <w:pStyle w:val="TableContents"/>
              <w:spacing w:before="0" w:after="283"/>
              <w:rPr/>
            </w:pPr>
            <w:r>
              <w:rPr/>
              <w:t> </w:t>
            </w:r>
          </w:p>
        </w:tc>
      </w:tr>
      <w:tr>
        <w:trPr/>
        <w:tc>
          <w:tcPr>
            <w:tcW w:w="4868"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334" w:type="dxa"/>
            <w:tcBorders/>
            <w:shd w:fill="auto" w:val="clear"/>
            <w:vAlign w:val="bottom"/>
          </w:tcPr>
          <w:p>
            <w:pPr>
              <w:pStyle w:val="TableContents"/>
              <w:spacing w:before="0" w:after="283"/>
              <w:rPr/>
            </w:pPr>
            <w:r>
              <w:rPr/>
              <w:t> </w:t>
            </w:r>
          </w:p>
        </w:tc>
        <w:tc>
          <w:tcPr>
            <w:tcW w:w="119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280"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03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359"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20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245" w:type="dxa"/>
            <w:tcBorders/>
            <w:shd w:fill="auto" w:val="clear"/>
            <w:vAlign w:val="bottom"/>
          </w:tcPr>
          <w:p>
            <w:pPr>
              <w:pStyle w:val="TableContents"/>
              <w:spacing w:before="0" w:after="283"/>
              <w:rPr/>
            </w:pPr>
            <w:r>
              <w:rPr/>
              <w:t> </w:t>
            </w:r>
          </w:p>
        </w:tc>
      </w:tr>
      <w:tr>
        <w:trPr/>
        <w:tc>
          <w:tcPr>
            <w:tcW w:w="4868" w:type="dxa"/>
            <w:tcBorders/>
            <w:shd w:fill="CCEEFF" w:val="clear"/>
            <w:vAlign w:val="bottom"/>
          </w:tcPr>
          <w:p>
            <w:pPr>
              <w:pStyle w:val="TableContents"/>
              <w:spacing w:before="0" w:after="0"/>
              <w:ind w:left="225" w:right="0" w:hanging="225"/>
              <w:rPr/>
            </w:pPr>
            <w:r>
              <w:rPr/>
              <w:t>Net sales:</w:t>
            </w:r>
          </w:p>
        </w:tc>
        <w:tc>
          <w:tcPr>
            <w:tcW w:w="334"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r>
      <w:tr>
        <w:trPr/>
        <w:tc>
          <w:tcPr>
            <w:tcW w:w="4868" w:type="dxa"/>
            <w:tcBorders/>
            <w:shd w:fill="auto" w:val="clear"/>
            <w:vAlign w:val="bottom"/>
          </w:tcPr>
          <w:p>
            <w:pPr>
              <w:pStyle w:val="TableContents"/>
              <w:spacing w:before="0" w:after="0"/>
              <w:ind w:left="450" w:right="0" w:hanging="225"/>
              <w:rPr/>
            </w:pPr>
            <w:r>
              <w:rPr/>
              <w:t>California avocados</w:t>
            </w:r>
          </w:p>
        </w:tc>
        <w:tc>
          <w:tcPr>
            <w:tcW w:w="334"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w:t>
            </w:r>
          </w:p>
        </w:tc>
        <w:tc>
          <w:tcPr>
            <w:tcW w:w="993" w:type="dxa"/>
            <w:tcBorders/>
            <w:shd w:fill="auto" w:val="clear"/>
            <w:vAlign w:val="bottom"/>
          </w:tcPr>
          <w:p>
            <w:pPr>
              <w:pStyle w:val="TableContents"/>
              <w:spacing w:before="0" w:after="283"/>
              <w:jc w:val="right"/>
              <w:rPr/>
            </w:pPr>
            <w:r>
              <w:rPr/>
              <w:t>10,763</w:t>
            </w:r>
          </w:p>
        </w:tc>
        <w:tc>
          <w:tcPr>
            <w:tcW w:w="280"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894" w:type="dxa"/>
            <w:tcBorders/>
            <w:shd w:fill="auto" w:val="clear"/>
            <w:vAlign w:val="bottom"/>
          </w:tcPr>
          <w:p>
            <w:pPr>
              <w:pStyle w:val="TableContents"/>
              <w:spacing w:before="0" w:after="283"/>
              <w:jc w:val="right"/>
              <w:rPr/>
            </w:pPr>
            <w:r>
              <w:rPr/>
              <w:t>32.5</w:t>
            </w:r>
          </w:p>
        </w:tc>
        <w:tc>
          <w:tcPr>
            <w:tcW w:w="359" w:type="dxa"/>
            <w:tcBorders/>
            <w:shd w:fill="auto" w:val="clear"/>
            <w:vAlign w:val="bottom"/>
          </w:tcPr>
          <w:p>
            <w:pPr>
              <w:pStyle w:val="TableContents"/>
              <w:spacing w:before="0" w:after="283"/>
              <w:rPr/>
            </w:pPr>
            <w:r>
              <w:rPr/>
              <w:t>%</w:t>
            </w:r>
          </w:p>
        </w:tc>
        <w:tc>
          <w:tcPr>
            <w:tcW w:w="34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w:t>
            </w:r>
          </w:p>
        </w:tc>
        <w:tc>
          <w:tcPr>
            <w:tcW w:w="999" w:type="dxa"/>
            <w:tcBorders/>
            <w:shd w:fill="auto" w:val="clear"/>
            <w:vAlign w:val="bottom"/>
          </w:tcPr>
          <w:p>
            <w:pPr>
              <w:pStyle w:val="TableContents"/>
              <w:spacing w:before="0" w:after="283"/>
              <w:jc w:val="right"/>
              <w:rPr/>
            </w:pPr>
            <w:r>
              <w:rPr/>
              <w:t>8,127</w:t>
            </w:r>
          </w:p>
        </w:tc>
        <w:tc>
          <w:tcPr>
            <w:tcW w:w="245" w:type="dxa"/>
            <w:tcBorders/>
            <w:shd w:fill="auto" w:val="clear"/>
            <w:vAlign w:val="bottom"/>
          </w:tcPr>
          <w:p>
            <w:pPr>
              <w:pStyle w:val="TableContents"/>
              <w:spacing w:before="0" w:after="283"/>
              <w:rPr/>
            </w:pPr>
            <w:r>
              <w:rPr/>
              <w:t> </w:t>
            </w:r>
          </w:p>
        </w:tc>
      </w:tr>
      <w:tr>
        <w:trPr/>
        <w:tc>
          <w:tcPr>
            <w:tcW w:w="4868" w:type="dxa"/>
            <w:tcBorders/>
            <w:shd w:fill="CCEEFF" w:val="clear"/>
            <w:vAlign w:val="bottom"/>
          </w:tcPr>
          <w:p>
            <w:pPr>
              <w:pStyle w:val="TableContents"/>
              <w:spacing w:before="0" w:after="0"/>
              <w:ind w:left="450" w:right="0" w:hanging="225"/>
              <w:rPr/>
            </w:pPr>
            <w:r>
              <w:rPr/>
              <w:t>International avocados and perishable food products</w:t>
            </w:r>
          </w:p>
        </w:tc>
        <w:tc>
          <w:tcPr>
            <w:tcW w:w="334"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31,995</w:t>
            </w:r>
          </w:p>
        </w:tc>
        <w:tc>
          <w:tcPr>
            <w:tcW w:w="280"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894" w:type="dxa"/>
            <w:tcBorders/>
            <w:shd w:fill="CCEEFF" w:val="clear"/>
            <w:vAlign w:val="bottom"/>
          </w:tcPr>
          <w:p>
            <w:pPr>
              <w:pStyle w:val="TableContents"/>
              <w:spacing w:before="0" w:after="283"/>
              <w:jc w:val="right"/>
              <w:rPr/>
            </w:pPr>
            <w:r>
              <w:rPr/>
              <w:t>(5.4</w:t>
            </w:r>
          </w:p>
        </w:tc>
        <w:tc>
          <w:tcPr>
            <w:tcW w:w="359" w:type="dxa"/>
            <w:tcBorders/>
            <w:shd w:fill="CCEEFF" w:val="clear"/>
            <w:vAlign w:val="bottom"/>
          </w:tcPr>
          <w:p>
            <w:pPr>
              <w:pStyle w:val="TableContents"/>
              <w:spacing w:before="0" w:after="283"/>
              <w:rPr/>
            </w:pPr>
            <w:r>
              <w:rPr/>
              <w:t>)%</w:t>
            </w:r>
          </w:p>
        </w:tc>
        <w:tc>
          <w:tcPr>
            <w:tcW w:w="34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999" w:type="dxa"/>
            <w:tcBorders/>
            <w:shd w:fill="CCEEFF" w:val="clear"/>
            <w:vAlign w:val="bottom"/>
          </w:tcPr>
          <w:p>
            <w:pPr>
              <w:pStyle w:val="TableContents"/>
              <w:spacing w:before="0" w:after="283"/>
              <w:jc w:val="right"/>
              <w:rPr/>
            </w:pPr>
            <w:r>
              <w:rPr/>
              <w:t>33,810</w:t>
            </w:r>
          </w:p>
        </w:tc>
        <w:tc>
          <w:tcPr>
            <w:tcW w:w="245" w:type="dxa"/>
            <w:tcBorders/>
            <w:shd w:fill="CCEEFF" w:val="clear"/>
            <w:vAlign w:val="bottom"/>
          </w:tcPr>
          <w:p>
            <w:pPr>
              <w:pStyle w:val="TableContents"/>
              <w:spacing w:before="0" w:after="283"/>
              <w:rPr/>
            </w:pPr>
            <w:r>
              <w:rPr/>
              <w:t> </w:t>
            </w:r>
          </w:p>
        </w:tc>
      </w:tr>
      <w:tr>
        <w:trPr/>
        <w:tc>
          <w:tcPr>
            <w:tcW w:w="4868" w:type="dxa"/>
            <w:tcBorders/>
            <w:shd w:fill="auto" w:val="clear"/>
            <w:vAlign w:val="bottom"/>
          </w:tcPr>
          <w:p>
            <w:pPr>
              <w:pStyle w:val="TableContents"/>
              <w:spacing w:before="0" w:after="0"/>
              <w:ind w:left="450" w:right="0" w:hanging="225"/>
              <w:rPr/>
            </w:pPr>
            <w:r>
              <w:rPr/>
              <w:t>Processed products</w:t>
            </w:r>
          </w:p>
        </w:tc>
        <w:tc>
          <w:tcPr>
            <w:tcW w:w="334"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7,889</w:t>
            </w:r>
          </w:p>
        </w:tc>
        <w:tc>
          <w:tcPr>
            <w:tcW w:w="280"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jc w:val="left"/>
              <w:rPr/>
            </w:pPr>
            <w:r>
              <w:rPr/>
              <w:t> </w:t>
            </w:r>
          </w:p>
        </w:tc>
        <w:tc>
          <w:tcPr>
            <w:tcW w:w="894" w:type="dxa"/>
            <w:tcBorders/>
            <w:shd w:fill="auto" w:val="clear"/>
            <w:vAlign w:val="bottom"/>
          </w:tcPr>
          <w:p>
            <w:pPr>
              <w:pStyle w:val="TableContents"/>
              <w:spacing w:before="0" w:after="283"/>
              <w:jc w:val="right"/>
              <w:rPr/>
            </w:pPr>
            <w:r>
              <w:rPr/>
              <w:t>37.6</w:t>
            </w:r>
          </w:p>
        </w:tc>
        <w:tc>
          <w:tcPr>
            <w:tcW w:w="359" w:type="dxa"/>
            <w:tcBorders/>
            <w:shd w:fill="auto" w:val="clear"/>
            <w:vAlign w:val="bottom"/>
          </w:tcPr>
          <w:p>
            <w:pPr>
              <w:pStyle w:val="TableContents"/>
              <w:spacing w:before="0" w:after="283"/>
              <w:rPr/>
            </w:pPr>
            <w:r>
              <w:rPr/>
              <w:t>%</w:t>
            </w:r>
          </w:p>
        </w:tc>
        <w:tc>
          <w:tcPr>
            <w:tcW w:w="34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jc w:val="right"/>
              <w:rPr/>
            </w:pPr>
            <w:r>
              <w:rPr/>
              <w:t>5,734</w:t>
            </w:r>
          </w:p>
        </w:tc>
        <w:tc>
          <w:tcPr>
            <w:tcW w:w="245" w:type="dxa"/>
            <w:tcBorders/>
            <w:shd w:fill="auto" w:val="clear"/>
            <w:vAlign w:val="bottom"/>
          </w:tcPr>
          <w:p>
            <w:pPr>
              <w:pStyle w:val="TableContents"/>
              <w:spacing w:before="0" w:after="283"/>
              <w:rPr/>
            </w:pPr>
            <w:r>
              <w:rPr/>
              <w:t> </w:t>
            </w:r>
          </w:p>
        </w:tc>
      </w:tr>
      <w:tr>
        <w:trPr/>
        <w:tc>
          <w:tcPr>
            <w:tcW w:w="4868" w:type="dxa"/>
            <w:tcBorders/>
            <w:shd w:fill="auto" w:val="clear"/>
            <w:vAlign w:val="center"/>
          </w:tcPr>
          <w:p>
            <w:pPr>
              <w:pStyle w:val="TableContents"/>
              <w:spacing w:before="0" w:after="0"/>
              <w:ind w:left="225" w:right="0" w:hanging="225"/>
              <w:rPr/>
            </w:pPr>
            <w:r>
              <w:rPr/>
              <w:t> </w:t>
            </w:r>
          </w:p>
        </w:tc>
        <w:tc>
          <w:tcPr>
            <w:tcW w:w="334"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80"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894" w:type="dxa"/>
            <w:tcBorders/>
            <w:shd w:fill="auto" w:val="clear"/>
            <w:vAlign w:val="center"/>
          </w:tcPr>
          <w:p>
            <w:pPr>
              <w:pStyle w:val="TableContents"/>
              <w:spacing w:before="0" w:after="283"/>
              <w:rPr/>
            </w:pPr>
            <w:r>
              <w:rPr/>
              <w:t> </w:t>
            </w:r>
          </w:p>
        </w:tc>
        <w:tc>
          <w:tcPr>
            <w:tcW w:w="359"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4868" w:type="dxa"/>
            <w:tcBorders/>
            <w:shd w:fill="CCEEFF" w:val="clear"/>
            <w:vAlign w:val="bottom"/>
          </w:tcPr>
          <w:p>
            <w:pPr>
              <w:pStyle w:val="TableContents"/>
              <w:spacing w:before="0" w:after="0"/>
              <w:ind w:left="675" w:right="0" w:hanging="225"/>
              <w:rPr/>
            </w:pPr>
            <w:r>
              <w:rPr/>
              <w:t>Total net sales</w:t>
            </w:r>
          </w:p>
        </w:tc>
        <w:tc>
          <w:tcPr>
            <w:tcW w:w="334"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w:t>
            </w:r>
          </w:p>
        </w:tc>
        <w:tc>
          <w:tcPr>
            <w:tcW w:w="993" w:type="dxa"/>
            <w:tcBorders/>
            <w:shd w:fill="CCEEFF" w:val="clear"/>
            <w:vAlign w:val="bottom"/>
          </w:tcPr>
          <w:p>
            <w:pPr>
              <w:pStyle w:val="TableContents"/>
              <w:spacing w:before="0" w:after="283"/>
              <w:jc w:val="right"/>
              <w:rPr/>
            </w:pPr>
            <w:r>
              <w:rPr/>
              <w:t>50,647</w:t>
            </w:r>
          </w:p>
        </w:tc>
        <w:tc>
          <w:tcPr>
            <w:tcW w:w="280"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jc w:val="left"/>
              <w:rPr/>
            </w:pPr>
            <w:r>
              <w:rPr/>
              <w:t> </w:t>
            </w:r>
          </w:p>
        </w:tc>
        <w:tc>
          <w:tcPr>
            <w:tcW w:w="894" w:type="dxa"/>
            <w:tcBorders/>
            <w:shd w:fill="CCEEFF" w:val="clear"/>
            <w:vAlign w:val="bottom"/>
          </w:tcPr>
          <w:p>
            <w:pPr>
              <w:pStyle w:val="TableContents"/>
              <w:spacing w:before="0" w:after="283"/>
              <w:jc w:val="right"/>
              <w:rPr/>
            </w:pPr>
            <w:r>
              <w:rPr/>
              <w:t>6.2</w:t>
            </w:r>
          </w:p>
        </w:tc>
        <w:tc>
          <w:tcPr>
            <w:tcW w:w="359" w:type="dxa"/>
            <w:tcBorders/>
            <w:shd w:fill="CCEEFF" w:val="clear"/>
            <w:vAlign w:val="bottom"/>
          </w:tcPr>
          <w:p>
            <w:pPr>
              <w:pStyle w:val="TableContents"/>
              <w:spacing w:before="0" w:after="283"/>
              <w:rPr/>
            </w:pPr>
            <w:r>
              <w:rPr/>
              <w:t>%</w:t>
            </w:r>
          </w:p>
        </w:tc>
        <w:tc>
          <w:tcPr>
            <w:tcW w:w="34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w:t>
            </w:r>
          </w:p>
        </w:tc>
        <w:tc>
          <w:tcPr>
            <w:tcW w:w="999" w:type="dxa"/>
            <w:tcBorders/>
            <w:shd w:fill="CCEEFF" w:val="clear"/>
            <w:vAlign w:val="bottom"/>
          </w:tcPr>
          <w:p>
            <w:pPr>
              <w:pStyle w:val="TableContents"/>
              <w:spacing w:before="0" w:after="283"/>
              <w:jc w:val="right"/>
              <w:rPr/>
            </w:pPr>
            <w:r>
              <w:rPr/>
              <w:t>47,671</w:t>
            </w:r>
          </w:p>
        </w:tc>
        <w:tc>
          <w:tcPr>
            <w:tcW w:w="245" w:type="dxa"/>
            <w:tcBorders/>
            <w:shd w:fill="CCEEFF" w:val="clear"/>
            <w:vAlign w:val="bottom"/>
          </w:tcPr>
          <w:p>
            <w:pPr>
              <w:pStyle w:val="TableContents"/>
              <w:spacing w:before="0" w:after="283"/>
              <w:rPr/>
            </w:pPr>
            <w:r>
              <w:rPr/>
              <w:t> </w:t>
            </w:r>
          </w:p>
        </w:tc>
      </w:tr>
      <w:tr>
        <w:trPr/>
        <w:tc>
          <w:tcPr>
            <w:tcW w:w="4868" w:type="dxa"/>
            <w:tcBorders/>
            <w:shd w:fill="auto" w:val="clear"/>
            <w:vAlign w:val="center"/>
          </w:tcPr>
          <w:p>
            <w:pPr>
              <w:pStyle w:val="TableContents"/>
              <w:spacing w:before="0" w:after="0"/>
              <w:ind w:left="225" w:right="0" w:hanging="225"/>
              <w:rPr/>
            </w:pPr>
            <w:r>
              <w:rPr/>
              <w:t> </w:t>
            </w:r>
          </w:p>
        </w:tc>
        <w:tc>
          <w:tcPr>
            <w:tcW w:w="334" w:type="dxa"/>
            <w:tcBorders/>
            <w:shd w:fill="auto" w:val="clear"/>
            <w:vAlign w:val="center"/>
          </w:tcPr>
          <w:p>
            <w:pPr>
              <w:pStyle w:val="TableContents"/>
              <w:spacing w:before="0" w:after="283"/>
              <w:rPr/>
            </w:pPr>
            <w:r>
              <w:rPr/>
              <w:t> </w:t>
            </w:r>
          </w:p>
        </w:tc>
        <w:tc>
          <w:tcPr>
            <w:tcW w:w="11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80"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894" w:type="dxa"/>
            <w:tcBorders/>
            <w:shd w:fill="auto" w:val="clear"/>
            <w:vAlign w:val="center"/>
          </w:tcPr>
          <w:p>
            <w:pPr>
              <w:pStyle w:val="TableContents"/>
              <w:spacing w:before="0" w:after="283"/>
              <w:rPr/>
            </w:pPr>
            <w:r>
              <w:rPr/>
              <w:t> </w:t>
            </w:r>
          </w:p>
        </w:tc>
        <w:tc>
          <w:tcPr>
            <w:tcW w:w="359"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2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4868" w:type="dxa"/>
            <w:tcBorders/>
            <w:shd w:fill="auto" w:val="clear"/>
            <w:vAlign w:val="bottom"/>
          </w:tcPr>
          <w:p>
            <w:pPr>
              <w:pStyle w:val="TableContents"/>
              <w:spacing w:before="0" w:after="0"/>
              <w:ind w:left="225" w:right="0" w:hanging="225"/>
              <w:rPr/>
            </w:pPr>
            <w:r>
              <w:rPr/>
              <w:t>As a percentage of net sales:</w:t>
            </w:r>
          </w:p>
        </w:tc>
        <w:tc>
          <w:tcPr>
            <w:tcW w:w="334"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999"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r>
      <w:tr>
        <w:trPr/>
        <w:tc>
          <w:tcPr>
            <w:tcW w:w="4868" w:type="dxa"/>
            <w:tcBorders/>
            <w:shd w:fill="CCEEFF" w:val="clear"/>
            <w:vAlign w:val="bottom"/>
          </w:tcPr>
          <w:p>
            <w:pPr>
              <w:pStyle w:val="TableContents"/>
              <w:spacing w:before="0" w:after="0"/>
              <w:ind w:left="450" w:right="0" w:hanging="225"/>
              <w:rPr/>
            </w:pPr>
            <w:r>
              <w:rPr/>
              <w:t>California avocados</w:t>
            </w:r>
          </w:p>
        </w:tc>
        <w:tc>
          <w:tcPr>
            <w:tcW w:w="334"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993" w:type="dxa"/>
            <w:tcBorders/>
            <w:shd w:fill="CCEEFF" w:val="clear"/>
            <w:vAlign w:val="bottom"/>
          </w:tcPr>
          <w:p>
            <w:pPr>
              <w:pStyle w:val="TableContents"/>
              <w:spacing w:before="0" w:after="283"/>
              <w:jc w:val="right"/>
              <w:rPr/>
            </w:pPr>
            <w:r>
              <w:rPr/>
              <w:t>21.3</w:t>
            </w:r>
          </w:p>
        </w:tc>
        <w:tc>
          <w:tcPr>
            <w:tcW w:w="280" w:type="dxa"/>
            <w:tcBorders/>
            <w:shd w:fill="CCEEFF" w:val="clear"/>
            <w:vAlign w:val="bottom"/>
          </w:tcPr>
          <w:p>
            <w:pPr>
              <w:pStyle w:val="TableContents"/>
              <w:spacing w:before="0" w:after="283"/>
              <w:rPr/>
            </w:pPr>
            <w:r>
              <w:rPr/>
              <w:t>%</w:t>
            </w:r>
          </w:p>
        </w:tc>
        <w:tc>
          <w:tcPr>
            <w:tcW w:w="34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999" w:type="dxa"/>
            <w:tcBorders/>
            <w:shd w:fill="CCEEFF" w:val="clear"/>
            <w:vAlign w:val="bottom"/>
          </w:tcPr>
          <w:p>
            <w:pPr>
              <w:pStyle w:val="TableContents"/>
              <w:spacing w:before="0" w:after="283"/>
              <w:jc w:val="right"/>
              <w:rPr/>
            </w:pPr>
            <w:r>
              <w:rPr/>
              <w:t>17.1</w:t>
            </w:r>
          </w:p>
        </w:tc>
        <w:tc>
          <w:tcPr>
            <w:tcW w:w="245" w:type="dxa"/>
            <w:tcBorders/>
            <w:shd w:fill="CCEEFF" w:val="clear"/>
            <w:vAlign w:val="bottom"/>
          </w:tcPr>
          <w:p>
            <w:pPr>
              <w:pStyle w:val="TableContents"/>
              <w:spacing w:before="0" w:after="283"/>
              <w:rPr/>
            </w:pPr>
            <w:r>
              <w:rPr/>
              <w:t>%</w:t>
            </w:r>
          </w:p>
        </w:tc>
      </w:tr>
      <w:tr>
        <w:trPr/>
        <w:tc>
          <w:tcPr>
            <w:tcW w:w="4868" w:type="dxa"/>
            <w:tcBorders/>
            <w:shd w:fill="auto" w:val="clear"/>
            <w:vAlign w:val="bottom"/>
          </w:tcPr>
          <w:p>
            <w:pPr>
              <w:pStyle w:val="TableContents"/>
              <w:spacing w:before="0" w:after="0"/>
              <w:ind w:left="450" w:right="0" w:hanging="225"/>
              <w:rPr/>
            </w:pPr>
            <w:r>
              <w:rPr/>
              <w:t>International avocados and perishable food products</w:t>
            </w:r>
          </w:p>
        </w:tc>
        <w:tc>
          <w:tcPr>
            <w:tcW w:w="334"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 </w:t>
            </w:r>
          </w:p>
        </w:tc>
        <w:tc>
          <w:tcPr>
            <w:tcW w:w="993" w:type="dxa"/>
            <w:tcBorders/>
            <w:shd w:fill="auto" w:val="clear"/>
            <w:vAlign w:val="bottom"/>
          </w:tcPr>
          <w:p>
            <w:pPr>
              <w:pStyle w:val="TableContents"/>
              <w:spacing w:before="0" w:after="283"/>
              <w:jc w:val="right"/>
              <w:rPr/>
            </w:pPr>
            <w:r>
              <w:rPr/>
              <w:t>63.2</w:t>
            </w:r>
          </w:p>
        </w:tc>
        <w:tc>
          <w:tcPr>
            <w:tcW w:w="280" w:type="dxa"/>
            <w:tcBorders/>
            <w:shd w:fill="auto" w:val="clear"/>
            <w:vAlign w:val="bottom"/>
          </w:tcPr>
          <w:p>
            <w:pPr>
              <w:pStyle w:val="TableContents"/>
              <w:spacing w:before="0" w:after="283"/>
              <w:rPr/>
            </w:pPr>
            <w:r>
              <w:rPr/>
              <w:t>%</w:t>
            </w:r>
          </w:p>
        </w:tc>
        <w:tc>
          <w:tcPr>
            <w:tcW w:w="3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 </w:t>
            </w:r>
          </w:p>
        </w:tc>
        <w:tc>
          <w:tcPr>
            <w:tcW w:w="999" w:type="dxa"/>
            <w:tcBorders/>
            <w:shd w:fill="auto" w:val="clear"/>
            <w:vAlign w:val="bottom"/>
          </w:tcPr>
          <w:p>
            <w:pPr>
              <w:pStyle w:val="TableContents"/>
              <w:spacing w:before="0" w:after="283"/>
              <w:jc w:val="right"/>
              <w:rPr/>
            </w:pPr>
            <w:r>
              <w:rPr/>
              <w:t>70.9</w:t>
            </w:r>
          </w:p>
        </w:tc>
        <w:tc>
          <w:tcPr>
            <w:tcW w:w="245" w:type="dxa"/>
            <w:tcBorders/>
            <w:shd w:fill="auto" w:val="clear"/>
            <w:vAlign w:val="bottom"/>
          </w:tcPr>
          <w:p>
            <w:pPr>
              <w:pStyle w:val="TableContents"/>
              <w:spacing w:before="0" w:after="283"/>
              <w:rPr/>
            </w:pPr>
            <w:r>
              <w:rPr/>
              <w:t>%</w:t>
            </w:r>
          </w:p>
        </w:tc>
      </w:tr>
      <w:tr>
        <w:trPr/>
        <w:tc>
          <w:tcPr>
            <w:tcW w:w="4868" w:type="dxa"/>
            <w:tcBorders/>
            <w:shd w:fill="CCEEFF" w:val="clear"/>
            <w:vAlign w:val="bottom"/>
          </w:tcPr>
          <w:p>
            <w:pPr>
              <w:pStyle w:val="TableContents"/>
              <w:spacing w:before="0" w:after="0"/>
              <w:ind w:left="450" w:right="0" w:hanging="225"/>
              <w:rPr/>
            </w:pPr>
            <w:r>
              <w:rPr/>
              <w:t>Processed products</w:t>
            </w:r>
          </w:p>
        </w:tc>
        <w:tc>
          <w:tcPr>
            <w:tcW w:w="334"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993" w:type="dxa"/>
            <w:tcBorders/>
            <w:shd w:fill="CCEEFF" w:val="clear"/>
            <w:vAlign w:val="bottom"/>
          </w:tcPr>
          <w:p>
            <w:pPr>
              <w:pStyle w:val="TableContents"/>
              <w:spacing w:before="0" w:after="283"/>
              <w:jc w:val="right"/>
              <w:rPr/>
            </w:pPr>
            <w:r>
              <w:rPr/>
              <w:t>15.5</w:t>
            </w:r>
          </w:p>
        </w:tc>
        <w:tc>
          <w:tcPr>
            <w:tcW w:w="280" w:type="dxa"/>
            <w:tcBorders/>
            <w:shd w:fill="CCEEFF" w:val="clear"/>
            <w:vAlign w:val="bottom"/>
          </w:tcPr>
          <w:p>
            <w:pPr>
              <w:pStyle w:val="TableContents"/>
              <w:spacing w:before="0" w:after="283"/>
              <w:rPr/>
            </w:pPr>
            <w:r>
              <w:rPr/>
              <w:t>%</w:t>
            </w:r>
          </w:p>
        </w:tc>
        <w:tc>
          <w:tcPr>
            <w:tcW w:w="345"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894" w:type="dxa"/>
            <w:tcBorders/>
            <w:shd w:fill="CCEEFF" w:val="clear"/>
            <w:vAlign w:val="bottom"/>
          </w:tcPr>
          <w:p>
            <w:pPr>
              <w:pStyle w:val="TableContents"/>
              <w:spacing w:before="0" w:after="283"/>
              <w:rPr/>
            </w:pPr>
            <w:r>
              <w:rPr/>
              <w:t> </w:t>
            </w:r>
          </w:p>
        </w:tc>
        <w:tc>
          <w:tcPr>
            <w:tcW w:w="359" w:type="dxa"/>
            <w:tcBorders/>
            <w:shd w:fill="CCEEFF" w:val="clear"/>
            <w:vAlign w:val="bottom"/>
          </w:tcPr>
          <w:p>
            <w:pPr>
              <w:pStyle w:val="TableContents"/>
              <w:spacing w:before="0" w:after="283"/>
              <w:rPr/>
            </w:pPr>
            <w:r>
              <w:rPr/>
              <w:t> </w:t>
            </w:r>
          </w:p>
        </w:tc>
        <w:tc>
          <w:tcPr>
            <w:tcW w:w="345"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999" w:type="dxa"/>
            <w:tcBorders/>
            <w:shd w:fill="CCEEFF" w:val="clear"/>
            <w:vAlign w:val="bottom"/>
          </w:tcPr>
          <w:p>
            <w:pPr>
              <w:pStyle w:val="TableContents"/>
              <w:spacing w:before="0" w:after="283"/>
              <w:jc w:val="right"/>
              <w:rPr/>
            </w:pPr>
            <w:r>
              <w:rPr/>
              <w:t>12.0</w:t>
            </w:r>
          </w:p>
        </w:tc>
        <w:tc>
          <w:tcPr>
            <w:tcW w:w="245" w:type="dxa"/>
            <w:tcBorders/>
            <w:shd w:fill="CCEEFF" w:val="clear"/>
            <w:vAlign w:val="bottom"/>
          </w:tcPr>
          <w:p>
            <w:pPr>
              <w:pStyle w:val="TableContents"/>
              <w:spacing w:before="0" w:after="283"/>
              <w:rPr/>
            </w:pPr>
            <w:r>
              <w:rPr/>
              <w:t>%</w:t>
            </w:r>
          </w:p>
        </w:tc>
      </w:tr>
      <w:tr>
        <w:trPr/>
        <w:tc>
          <w:tcPr>
            <w:tcW w:w="4868" w:type="dxa"/>
            <w:tcBorders/>
            <w:shd w:fill="auto" w:val="clear"/>
            <w:vAlign w:val="center"/>
          </w:tcPr>
          <w:p>
            <w:pPr>
              <w:pStyle w:val="TableContents"/>
              <w:spacing w:before="0" w:after="0"/>
              <w:ind w:left="225" w:right="0" w:hanging="225"/>
              <w:rPr/>
            </w:pPr>
            <w:r>
              <w:rPr/>
              <w:t> </w:t>
            </w:r>
          </w:p>
        </w:tc>
        <w:tc>
          <w:tcPr>
            <w:tcW w:w="334" w:type="dxa"/>
            <w:tcBorders/>
            <w:shd w:fill="auto" w:val="clear"/>
            <w:vAlign w:val="center"/>
          </w:tcPr>
          <w:p>
            <w:pPr>
              <w:pStyle w:val="TableContents"/>
              <w:spacing w:before="0" w:after="283"/>
              <w:rPr/>
            </w:pPr>
            <w:r>
              <w:rPr/>
              <w:t> </w:t>
            </w:r>
          </w:p>
        </w:tc>
        <w:tc>
          <w:tcPr>
            <w:tcW w:w="11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80"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894" w:type="dxa"/>
            <w:tcBorders/>
            <w:shd w:fill="auto" w:val="clear"/>
            <w:vAlign w:val="center"/>
          </w:tcPr>
          <w:p>
            <w:pPr>
              <w:pStyle w:val="TableContents"/>
              <w:spacing w:before="0" w:after="283"/>
              <w:rPr/>
            </w:pPr>
            <w:r>
              <w:rPr/>
              <w:t> </w:t>
            </w:r>
          </w:p>
        </w:tc>
        <w:tc>
          <w:tcPr>
            <w:tcW w:w="359"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20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4868" w:type="dxa"/>
            <w:tcBorders/>
            <w:shd w:fill="auto" w:val="clear"/>
            <w:vAlign w:val="bottom"/>
          </w:tcPr>
          <w:p>
            <w:pPr>
              <w:pStyle w:val="TableContents"/>
              <w:spacing w:before="0" w:after="0"/>
              <w:ind w:left="225" w:right="0" w:hanging="225"/>
              <w:rPr/>
            </w:pPr>
            <w:r>
              <w:rPr/>
              <w:t> </w:t>
            </w:r>
          </w:p>
        </w:tc>
        <w:tc>
          <w:tcPr>
            <w:tcW w:w="334"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 </w:t>
            </w:r>
          </w:p>
        </w:tc>
        <w:tc>
          <w:tcPr>
            <w:tcW w:w="993" w:type="dxa"/>
            <w:tcBorders/>
            <w:shd w:fill="auto" w:val="clear"/>
            <w:vAlign w:val="bottom"/>
          </w:tcPr>
          <w:p>
            <w:pPr>
              <w:pStyle w:val="TableContents"/>
              <w:spacing w:before="0" w:after="283"/>
              <w:jc w:val="right"/>
              <w:rPr/>
            </w:pPr>
            <w:r>
              <w:rPr/>
              <w:t>100.0</w:t>
            </w:r>
          </w:p>
        </w:tc>
        <w:tc>
          <w:tcPr>
            <w:tcW w:w="280" w:type="dxa"/>
            <w:tcBorders/>
            <w:shd w:fill="auto" w:val="clear"/>
            <w:vAlign w:val="bottom"/>
          </w:tcPr>
          <w:p>
            <w:pPr>
              <w:pStyle w:val="TableContents"/>
              <w:spacing w:before="0" w:after="283"/>
              <w:rPr/>
            </w:pPr>
            <w:r>
              <w:rPr/>
              <w:t>%</w:t>
            </w:r>
          </w:p>
        </w:tc>
        <w:tc>
          <w:tcPr>
            <w:tcW w:w="345"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359" w:type="dxa"/>
            <w:tcBorders/>
            <w:shd w:fill="auto" w:val="clear"/>
            <w:vAlign w:val="bottom"/>
          </w:tcPr>
          <w:p>
            <w:pPr>
              <w:pStyle w:val="TableContents"/>
              <w:spacing w:before="0" w:after="283"/>
              <w:rPr/>
            </w:pPr>
            <w:r>
              <w:rPr/>
              <w:t> </w:t>
            </w:r>
          </w:p>
        </w:tc>
        <w:tc>
          <w:tcPr>
            <w:tcW w:w="345"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 </w:t>
            </w:r>
          </w:p>
        </w:tc>
        <w:tc>
          <w:tcPr>
            <w:tcW w:w="999" w:type="dxa"/>
            <w:tcBorders/>
            <w:shd w:fill="auto" w:val="clear"/>
            <w:vAlign w:val="bottom"/>
          </w:tcPr>
          <w:p>
            <w:pPr>
              <w:pStyle w:val="TableContents"/>
              <w:spacing w:before="0" w:after="283"/>
              <w:jc w:val="right"/>
              <w:rPr/>
            </w:pPr>
            <w:r>
              <w:rPr/>
              <w:t>100.0</w:t>
            </w:r>
          </w:p>
        </w:tc>
        <w:tc>
          <w:tcPr>
            <w:tcW w:w="245" w:type="dxa"/>
            <w:tcBorders/>
            <w:shd w:fill="auto" w:val="clear"/>
            <w:vAlign w:val="bottom"/>
          </w:tcPr>
          <w:p>
            <w:pPr>
              <w:pStyle w:val="TableContents"/>
              <w:spacing w:before="0" w:after="283"/>
              <w:rPr/>
            </w:pPr>
            <w:r>
              <w:rPr/>
              <w:t>%</w:t>
            </w:r>
          </w:p>
        </w:tc>
      </w:tr>
      <w:tr>
        <w:trPr/>
        <w:tc>
          <w:tcPr>
            <w:tcW w:w="4868" w:type="dxa"/>
            <w:tcBorders/>
            <w:shd w:fill="auto" w:val="clear"/>
            <w:vAlign w:val="center"/>
          </w:tcPr>
          <w:p>
            <w:pPr>
              <w:pStyle w:val="TableContents"/>
              <w:spacing w:before="0" w:after="0"/>
              <w:ind w:left="225" w:right="0" w:hanging="225"/>
              <w:rPr/>
            </w:pPr>
            <w:r>
              <w:rPr/>
              <w:t> </w:t>
            </w:r>
          </w:p>
        </w:tc>
        <w:tc>
          <w:tcPr>
            <w:tcW w:w="334" w:type="dxa"/>
            <w:tcBorders/>
            <w:shd w:fill="auto" w:val="clear"/>
            <w:vAlign w:val="center"/>
          </w:tcPr>
          <w:p>
            <w:pPr>
              <w:pStyle w:val="TableContents"/>
              <w:spacing w:before="0" w:after="283"/>
              <w:rPr/>
            </w:pPr>
            <w:r>
              <w:rPr/>
              <w:t> </w:t>
            </w:r>
          </w:p>
        </w:tc>
        <w:tc>
          <w:tcPr>
            <w:tcW w:w="119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80"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39" w:type="dxa"/>
            <w:tcBorders/>
            <w:shd w:fill="auto" w:val="clear"/>
            <w:vAlign w:val="center"/>
          </w:tcPr>
          <w:p>
            <w:pPr>
              <w:pStyle w:val="TableContents"/>
              <w:spacing w:before="0" w:after="283"/>
              <w:rPr/>
            </w:pPr>
            <w:r>
              <w:rPr/>
              <w:t> </w:t>
            </w:r>
          </w:p>
        </w:tc>
        <w:tc>
          <w:tcPr>
            <w:tcW w:w="894" w:type="dxa"/>
            <w:tcBorders/>
            <w:shd w:fill="auto" w:val="clear"/>
            <w:vAlign w:val="center"/>
          </w:tcPr>
          <w:p>
            <w:pPr>
              <w:pStyle w:val="TableContents"/>
              <w:spacing w:before="0" w:after="283"/>
              <w:rPr/>
            </w:pPr>
            <w:r>
              <w:rPr/>
              <w:t> </w:t>
            </w:r>
          </w:p>
        </w:tc>
        <w:tc>
          <w:tcPr>
            <w:tcW w:w="359"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120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bl>
    <w:p>
      <w:pPr>
        <w:pStyle w:val="TextBody"/>
        <w:spacing w:before="120" w:after="283"/>
        <w:jc w:val="left"/>
        <w:rPr/>
      </w:pPr>
      <w:r>
        <w:rPr/>
        <w:t>     </w:t>
      </w:r>
      <w:r>
        <w:rPr>
          <w:rFonts w:ascii="Times New Roman;Times;serif" w:hAnsi="Times New Roman;Times;serif"/>
          <w:sz w:val="17"/>
        </w:rPr>
        <w:t xml:space="preserve">Net sales for the first quarter of fiscal year 2006, compared to fiscal year 2005, increased by $3.0 million, or 6.2%. Consistent with the historical seasonality of the California avocado harvest season, we typically receive the fewest pounds of California avocados during our first fiscal quarter. As such, our California avocado business generated only 21.3% of our consolidated net sales for the first quarter, as compared to only 17.1% for the same prior year period. Our international avocados and perishable food products segment experienced a marginal decrease in revenue, driven primarily by decreases in the volume of avocados being imported from Chile and The Dominican Republic. Net sales generated by our processed products business are not subject to the seasonal effect experienced by our other operating segments. The increase in sales to third parties delivered by our processed products business is due primarily to an increase in total pounds of product sold, partially offset by a decrease in average selling prices. </w:t>
      </w:r>
    </w:p>
    <w:p>
      <w:pPr>
        <w:pStyle w:val="TextBody"/>
        <w:spacing w:before="120" w:after="283"/>
        <w:jc w:val="left"/>
        <w:rPr/>
      </w:pPr>
      <w:r>
        <w:rPr/>
        <w:t>     </w:t>
      </w:r>
      <w:r>
        <w:rPr>
          <w:rFonts w:ascii="Times New Roman;Times;serif" w:hAnsi="Times New Roman;Times;serif"/>
          <w:sz w:val="17"/>
        </w:rPr>
        <w:t xml:space="preserve">Net sales by segment include value-added services billed by our Uruapan packinghouse and processing plant to the parent company. All intercompany sales are eliminated in our consolidated results of operations.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California avocados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Net sales delivered by the business increased by approximately $2.6 million, or 32.5%, for the first quarter of fiscal year 2006, when compared to the same period for fiscal year 2005. The increase in sales primarily reflects an increase in pounds of avocados sold. Such increase in pounds sold, totaling approximately 5.5 million, is consistent with an expected increase in the overall harvest of the California avocado crop for the 2005/2006 season. </w:t>
      </w:r>
    </w:p>
    <w:p>
      <w:pPr>
        <w:pStyle w:val="TextBody"/>
        <w:spacing w:before="120" w:after="283"/>
        <w:jc w:val="left"/>
        <w:rPr/>
      </w:pPr>
      <w:r>
        <w:rPr/>
        <w:t>     </w:t>
      </w:r>
      <w:r>
        <w:rPr>
          <w:rFonts w:ascii="Times New Roman;Times;serif" w:hAnsi="Times New Roman;Times;serif"/>
          <w:sz w:val="17"/>
        </w:rPr>
        <w:t xml:space="preserve">Our market share of California avocados remained strong during the first quarter of fiscal year 2006 at 38.3%. This represents a decrease, however, from the 44.6% market share for the same prior year period. We believe that such decrease is primarily related to a shift in the current year volume to growing areas where we do not command as significant of a market share. </w:t>
      </w:r>
    </w:p>
    <w:p>
      <w:pPr>
        <w:pStyle w:val="TextBody"/>
        <w:spacing w:before="120" w:after="283"/>
        <w:jc w:val="left"/>
        <w:rPr/>
      </w:pPr>
      <w:r>
        <w:rPr/>
        <w:t>     </w:t>
      </w:r>
      <w:r>
        <w:rPr>
          <w:rFonts w:ascii="Times New Roman;Times;serif" w:hAnsi="Times New Roman;Times;serif"/>
          <w:sz w:val="17"/>
        </w:rPr>
        <w:t xml:space="preserve">Average selling prices, on a per carton basis, for California avocados for the first quarter of fiscal 2006 were 18.0% lower when compared to the same prior year period. We attribute some of this decrease in these average selling prices to an increase in overall pounds sold in the U.S. marketplace during such periods. </w:t>
      </w:r>
    </w:p>
    <w:p>
      <w:pPr>
        <w:pStyle w:val="TextBody"/>
        <w:spacing w:before="120" w:after="283"/>
        <w:jc w:val="left"/>
        <w:rPr/>
      </w:pPr>
      <w:r>
        <w:rPr/>
        <w:t>     </w:t>
      </w:r>
      <w:r>
        <w:rPr>
          <w:rFonts w:ascii="Times New Roman;Times;serif" w:hAnsi="Times New Roman;Times;serif"/>
          <w:sz w:val="17"/>
        </w:rPr>
        <w:t xml:space="preserve">Our strategy is to continue to develop marketing opportunities that favorably position avocados packed by Calavo with our customers by emphasizing existing value-added services, such as fruit bagging and ripening. We believe these and other value-added strategies are critical elements in sustaining competitive average selling prices.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pPr>
      <w:r>
        <w:rPr/>
        <w:t>     </w:t>
      </w:r>
      <w:r>
        <w:rPr>
          <w:rFonts w:ascii="Times New Roman;Times;serif" w:hAnsi="Times New Roman;Times;serif"/>
          <w:sz w:val="17"/>
        </w:rPr>
        <w:t xml:space="preserve">We anticipate that our California avocado segment will experience a seasonal increase during the second fiscal quarter of 2006. In addition, we believe that the expected decrease in non-California sourced fruit will have a positive impact on average selling prices during the second fiscal quarter.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International and perishable food products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For the fiscal quarter ended January 31, 2006, when compared to the same period for 2005, sales to third-party customers decreased by approximately $1.8 million, or 5.4%, from $33.8 million to $32.0 million. </w:t>
      </w:r>
    </w:p>
    <w:p>
      <w:pPr>
        <w:pStyle w:val="TextBody"/>
        <w:spacing w:before="120" w:after="283"/>
        <w:jc w:val="left"/>
        <w:rPr/>
      </w:pPr>
      <w:r>
        <w:rPr/>
        <w:t>     </w:t>
      </w:r>
      <w:r>
        <w:rPr>
          <w:rFonts w:ascii="Times New Roman;Times;serif" w:hAnsi="Times New Roman;Times;serif"/>
          <w:sz w:val="17"/>
        </w:rPr>
        <w:t xml:space="preserve">The decreased sales to third-parties by our international and perishable food products segment were primarily driven by fewer sales related to Chilean and The Dominican Republic grown avocados in the U.S., Japanese, and European marketplace, as well as fewer papaya sales. The volume of Chilean and The Dominican Republic fruit handled decreased by 6.7 million pounds, or 49.1%, and 0.6 million pounds, or 16.1%, when compared to the same prior year period. Additionally, the volume of papaya fruit handled decreased by approximately 0.7 million pounds, or 38.1%, when compared to the same prior year period. Such decreases, however, were partially offset by increases in Mexican sourced fruit. For the three months ended January 31, 2006, the volume of Mexican sourced fruit handled increased by 8.2 million pounds, or 52.4%, when compared to the same prior year period. </w:t>
      </w:r>
    </w:p>
    <w:p>
      <w:pPr>
        <w:pStyle w:val="TextBody"/>
        <w:spacing w:before="120" w:after="283"/>
        <w:jc w:val="left"/>
        <w:rPr/>
      </w:pPr>
      <w:r>
        <w:rPr/>
        <w:t>     </w:t>
      </w:r>
      <w:r>
        <w:rPr>
          <w:rFonts w:ascii="Times New Roman;Times;serif" w:hAnsi="Times New Roman;Times;serif"/>
          <w:sz w:val="17"/>
        </w:rPr>
        <w:t xml:space="preserve">For the first fiscal quarter of 2006, average selling prices, on a per carton basis, for Chilean and The Dominican Republic sourced avocados were 11.1% higher and 32.2% lower, when compared to the same prior year period. The average selling price of Mexican fruit, however, remained virtually unchanged during the first fiscal quarter of 2006, when compared to the same prior year period. We believe these price fluctuations were primarily related to the timing of the fruit entering the marketplace. Additionally, the average selling price of papaya fruit increased approximately 21.1%, when compared to the same prior year period, based primarily on the lack of comparable levels of papaya fruit. </w:t>
      </w:r>
    </w:p>
    <w:p>
      <w:pPr>
        <w:pStyle w:val="TextBody"/>
        <w:spacing w:before="120" w:after="283"/>
        <w:jc w:val="left"/>
        <w:rPr/>
      </w:pPr>
      <w:r>
        <w:rPr/>
        <w:t>     </w:t>
      </w:r>
      <w:r>
        <w:rPr>
          <w:rFonts w:ascii="Times New Roman;Times;serif" w:hAnsi="Times New Roman;Times;serif"/>
          <w:sz w:val="17"/>
        </w:rPr>
        <w:t xml:space="preserve">We anticipate that net sales for this segment related to Chilean and The Dominican Republic sourced fruit will decrease in the second fiscal quarter of 2006 compared to the first fiscal quarter of 2006. This is consistent with the seasonal nature of the availability of certain foreign sourced avocados in the U.S. marketplace. </w:t>
      </w:r>
    </w:p>
    <w:p>
      <w:pPr>
        <w:pStyle w:val="TextBody"/>
        <w:spacing w:before="240" w:after="283"/>
        <w:jc w:val="left"/>
        <w:rPr>
          <w:rFonts w:ascii="Times New Roman;Times;serif" w:hAnsi="Times New Roman;Times;serif"/>
          <w:sz w:val="17"/>
        </w:rPr>
      </w:pPr>
      <w:r>
        <w:rPr>
          <w:rFonts w:ascii="Times New Roman;Times;serif" w:hAnsi="Times New Roman;Times;serif"/>
          <w:i/>
          <w:sz w:val="17"/>
        </w:rPr>
        <w:t>Processed products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For the quarter ended January 31, 2006, when compared to the same period for fiscal 2005, sales to third-party customers increased by approximately $2.2 million, or 37.6%, from $5.7 million to $7.9 million. The increase in third-party sales was primarily attributable to an increase in total product pounds sold, partially offset by a decrease in average sales prices. During the first fiscal quarter of 2006, when compared to the same period for fiscal 2005, we experienced an increase in total pounds of product sold of approximately 1.2 million pounds, or 38.0%, partially offset by a decrease in average selling prices of $0.13 per pound, or 5.7%. </w:t>
      </w:r>
    </w:p>
    <w:p>
      <w:pPr>
        <w:pStyle w:val="TextBody"/>
        <w:spacing w:before="120" w:after="283"/>
        <w:jc w:val="left"/>
        <w:rPr/>
      </w:pPr>
      <w:r>
        <w:rPr/>
        <w:t>     </w:t>
      </w:r>
      <w:r>
        <w:rPr>
          <w:rFonts w:ascii="Times New Roman;Times;serif" w:hAnsi="Times New Roman;Times;serif"/>
          <w:sz w:val="17"/>
        </w:rPr>
        <w:t xml:space="preserve">Our ultra high pressure products continue to experience solid demand. During the first quarter of fiscal 2006, sales of high pressure product totaled approximately $2.9 million, as compared to $1.7 million for the same prior year period. We believe that the introduction of these fresh guacamole products will, in the long-term, successfully address a growing market segment.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Gross Margins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The following table summarizes our gross margins and gross profit percentages by business segment for each of the three month periods ended January 31, 2006 and 2005: </w:t>
      </w:r>
    </w:p>
    <w:tbl>
      <w:tblPr>
        <w:tblW w:w="5000" w:type="pct"/>
        <w:jc w:val="center"/>
        <w:tblInd w:w="0" w:type="dxa"/>
        <w:tblCellMar>
          <w:top w:w="0" w:type="dxa"/>
          <w:left w:w="0" w:type="dxa"/>
          <w:bottom w:w="0" w:type="dxa"/>
          <w:right w:w="0" w:type="dxa"/>
        </w:tblCellMar>
      </w:tblPr>
      <w:tblGrid>
        <w:gridCol w:w="4938"/>
        <w:gridCol w:w="340"/>
        <w:gridCol w:w="209"/>
        <w:gridCol w:w="896"/>
        <w:gridCol w:w="372"/>
        <w:gridCol w:w="354"/>
        <w:gridCol w:w="123"/>
        <w:gridCol w:w="912"/>
        <w:gridCol w:w="290"/>
        <w:gridCol w:w="354"/>
        <w:gridCol w:w="209"/>
        <w:gridCol w:w="899"/>
        <w:gridCol w:w="309"/>
      </w:tblGrid>
      <w:tr>
        <w:trPr/>
        <w:tc>
          <w:tcPr>
            <w:tcW w:w="4938"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r>
      <w:tr>
        <w:trPr/>
        <w:tc>
          <w:tcPr>
            <w:tcW w:w="4938" w:type="dxa"/>
            <w:tcBorders/>
            <w:shd w:fill="auto" w:val="clear"/>
            <w:vAlign w:val="bottom"/>
          </w:tcPr>
          <w:p>
            <w:pPr>
              <w:pStyle w:val="TableContents"/>
              <w:spacing w:before="0" w:after="283"/>
              <w:rPr/>
            </w:pPr>
            <w:r>
              <w:rPr/>
              <w:t> </w:t>
            </w:r>
          </w:p>
        </w:tc>
        <w:tc>
          <w:tcPr>
            <w:tcW w:w="340" w:type="dxa"/>
            <w:tcBorders/>
            <w:shd w:fill="auto" w:val="clear"/>
            <w:vAlign w:val="bottom"/>
          </w:tcPr>
          <w:p>
            <w:pPr>
              <w:pStyle w:val="TableContents"/>
              <w:spacing w:before="0" w:after="283"/>
              <w:rPr/>
            </w:pPr>
            <w:r>
              <w:rPr/>
              <w:t> </w:t>
            </w:r>
          </w:p>
        </w:tc>
        <w:tc>
          <w:tcPr>
            <w:tcW w:w="4618"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January 31,</w:t>
            </w:r>
          </w:p>
        </w:tc>
        <w:tc>
          <w:tcPr>
            <w:tcW w:w="309" w:type="dxa"/>
            <w:tcBorders/>
            <w:shd w:fill="auto" w:val="clear"/>
            <w:vAlign w:val="bottom"/>
          </w:tcPr>
          <w:p>
            <w:pPr>
              <w:pStyle w:val="TableContents"/>
              <w:spacing w:before="0" w:after="283"/>
              <w:rPr/>
            </w:pPr>
            <w:r>
              <w:rPr/>
              <w:t> </w:t>
            </w:r>
          </w:p>
        </w:tc>
      </w:tr>
      <w:tr>
        <w:trPr/>
        <w:tc>
          <w:tcPr>
            <w:tcW w:w="4938"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340" w:type="dxa"/>
            <w:tcBorders/>
            <w:shd w:fill="auto" w:val="clear"/>
            <w:vAlign w:val="bottom"/>
          </w:tcPr>
          <w:p>
            <w:pPr>
              <w:pStyle w:val="TableContents"/>
              <w:spacing w:before="0" w:after="283"/>
              <w:rPr/>
            </w:pPr>
            <w:r>
              <w:rPr/>
              <w:t> </w:t>
            </w:r>
          </w:p>
        </w:tc>
        <w:tc>
          <w:tcPr>
            <w:tcW w:w="110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372"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03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290"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108"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c>
          <w:tcPr>
            <w:tcW w:w="309" w:type="dxa"/>
            <w:tcBorders/>
            <w:shd w:fill="auto" w:val="clear"/>
            <w:vAlign w:val="bottom"/>
          </w:tcPr>
          <w:p>
            <w:pPr>
              <w:pStyle w:val="TableContents"/>
              <w:spacing w:before="0" w:after="283"/>
              <w:rPr/>
            </w:pPr>
            <w:r>
              <w:rPr/>
              <w:t> </w:t>
            </w:r>
          </w:p>
        </w:tc>
      </w:tr>
      <w:tr>
        <w:trPr/>
        <w:tc>
          <w:tcPr>
            <w:tcW w:w="4938" w:type="dxa"/>
            <w:tcBorders/>
            <w:shd w:fill="CCEEFF" w:val="clear"/>
            <w:vAlign w:val="bottom"/>
          </w:tcPr>
          <w:p>
            <w:pPr>
              <w:pStyle w:val="TableContents"/>
              <w:spacing w:before="0" w:after="0"/>
              <w:ind w:left="225" w:right="0" w:hanging="225"/>
              <w:rPr/>
            </w:pPr>
            <w:r>
              <w:rPr/>
              <w:t>Gross margins:</w:t>
            </w:r>
          </w:p>
        </w:tc>
        <w:tc>
          <w:tcPr>
            <w:tcW w:w="340"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rPr/>
            </w:pPr>
            <w:r>
              <w:rPr/>
              <w:t> </w:t>
            </w:r>
          </w:p>
        </w:tc>
        <w:tc>
          <w:tcPr>
            <w:tcW w:w="372"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rPr/>
            </w:pPr>
            <w:r>
              <w:rPr/>
              <w:t> </w:t>
            </w:r>
          </w:p>
        </w:tc>
      </w:tr>
      <w:tr>
        <w:trPr/>
        <w:tc>
          <w:tcPr>
            <w:tcW w:w="4938" w:type="dxa"/>
            <w:tcBorders/>
            <w:shd w:fill="auto" w:val="clear"/>
            <w:vAlign w:val="bottom"/>
          </w:tcPr>
          <w:p>
            <w:pPr>
              <w:pStyle w:val="TableContents"/>
              <w:spacing w:before="0" w:after="0"/>
              <w:ind w:left="450" w:right="0" w:hanging="225"/>
              <w:rPr/>
            </w:pPr>
            <w:r>
              <w:rPr/>
              <w:t>California avocados</w:t>
            </w:r>
          </w:p>
        </w:tc>
        <w:tc>
          <w:tcPr>
            <w:tcW w:w="340"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jc w:val="left"/>
              <w:rPr/>
            </w:pPr>
            <w:r>
              <w:rPr/>
              <w:t>$</w:t>
            </w:r>
          </w:p>
        </w:tc>
        <w:tc>
          <w:tcPr>
            <w:tcW w:w="896" w:type="dxa"/>
            <w:tcBorders/>
            <w:shd w:fill="auto" w:val="clear"/>
            <w:vAlign w:val="bottom"/>
          </w:tcPr>
          <w:p>
            <w:pPr>
              <w:pStyle w:val="TableContents"/>
              <w:spacing w:before="0" w:after="283"/>
              <w:jc w:val="right"/>
              <w:rPr/>
            </w:pPr>
            <w:r>
              <w:rPr/>
              <w:t>(326</w:t>
            </w:r>
          </w:p>
        </w:tc>
        <w:tc>
          <w:tcPr>
            <w:tcW w:w="372" w:type="dxa"/>
            <w:tcBorders/>
            <w:shd w:fill="auto" w:val="clear"/>
            <w:vAlign w:val="bottom"/>
          </w:tcPr>
          <w:p>
            <w:pPr>
              <w:pStyle w:val="TableContents"/>
              <w:spacing w:before="0" w:after="283"/>
              <w:rPr/>
            </w:pPr>
            <w:r>
              <w:rPr/>
              <w:t>)</w:t>
            </w:r>
          </w:p>
        </w:tc>
        <w:tc>
          <w:tcPr>
            <w:tcW w:w="354" w:type="dxa"/>
            <w:tcBorders/>
            <w:shd w:fill="auto" w:val="clear"/>
            <w:vAlign w:val="bottom"/>
          </w:tcPr>
          <w:p>
            <w:pPr>
              <w:pStyle w:val="TableContents"/>
              <w:spacing w:before="0" w:after="283"/>
              <w:rPr/>
            </w:pPr>
            <w:r>
              <w:rPr/>
              <w:t> </w:t>
            </w:r>
          </w:p>
        </w:tc>
        <w:tc>
          <w:tcPr>
            <w:tcW w:w="1325" w:type="dxa"/>
            <w:gridSpan w:val="3"/>
            <w:tcBorders/>
            <w:shd w:fill="auto" w:val="clear"/>
            <w:vAlign w:val="bottom"/>
          </w:tcPr>
          <w:p>
            <w:pPr>
              <w:pStyle w:val="TableContents"/>
              <w:spacing w:before="0" w:after="283"/>
              <w:jc w:val="center"/>
              <w:rPr/>
            </w:pPr>
            <w:r>
              <w:rPr/>
              <w:t>NM</w:t>
            </w:r>
          </w:p>
        </w:tc>
        <w:tc>
          <w:tcPr>
            <w:tcW w:w="354"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jc w:val="left"/>
              <w:rPr/>
            </w:pPr>
            <w:r>
              <w:rPr/>
              <w:t>$</w:t>
            </w:r>
          </w:p>
        </w:tc>
        <w:tc>
          <w:tcPr>
            <w:tcW w:w="899" w:type="dxa"/>
            <w:tcBorders/>
            <w:shd w:fill="auto" w:val="clear"/>
            <w:vAlign w:val="bottom"/>
          </w:tcPr>
          <w:p>
            <w:pPr>
              <w:pStyle w:val="TableContents"/>
              <w:spacing w:before="0" w:after="283"/>
              <w:jc w:val="right"/>
              <w:rPr/>
            </w:pPr>
            <w:r>
              <w:rPr/>
              <w:t>(8</w:t>
            </w:r>
          </w:p>
        </w:tc>
        <w:tc>
          <w:tcPr>
            <w:tcW w:w="309" w:type="dxa"/>
            <w:tcBorders/>
            <w:shd w:fill="auto" w:val="clear"/>
            <w:vAlign w:val="bottom"/>
          </w:tcPr>
          <w:p>
            <w:pPr>
              <w:pStyle w:val="TableContents"/>
              <w:spacing w:before="0" w:after="283"/>
              <w:rPr/>
            </w:pPr>
            <w:r>
              <w:rPr/>
              <w:t>)</w:t>
            </w:r>
          </w:p>
        </w:tc>
      </w:tr>
      <w:tr>
        <w:trPr/>
        <w:tc>
          <w:tcPr>
            <w:tcW w:w="4938" w:type="dxa"/>
            <w:tcBorders/>
            <w:shd w:fill="CCEEFF" w:val="clear"/>
            <w:vAlign w:val="bottom"/>
          </w:tcPr>
          <w:p>
            <w:pPr>
              <w:pStyle w:val="TableContents"/>
              <w:spacing w:before="0" w:after="0"/>
              <w:ind w:left="450" w:right="0" w:hanging="225"/>
              <w:rPr/>
            </w:pPr>
            <w:r>
              <w:rPr/>
              <w:t>International avocados and perishable food products</w:t>
            </w:r>
          </w:p>
        </w:tc>
        <w:tc>
          <w:tcPr>
            <w:tcW w:w="340"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896" w:type="dxa"/>
            <w:tcBorders/>
            <w:shd w:fill="CCEEFF" w:val="clear"/>
            <w:vAlign w:val="bottom"/>
          </w:tcPr>
          <w:p>
            <w:pPr>
              <w:pStyle w:val="TableContents"/>
              <w:spacing w:before="0" w:after="283"/>
              <w:jc w:val="right"/>
              <w:rPr/>
            </w:pPr>
            <w:r>
              <w:rPr/>
              <w:t>1,841</w:t>
            </w:r>
          </w:p>
        </w:tc>
        <w:tc>
          <w:tcPr>
            <w:tcW w:w="372"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left"/>
              <w:rPr/>
            </w:pPr>
            <w:r>
              <w:rPr/>
              <w:t> </w:t>
            </w:r>
          </w:p>
        </w:tc>
        <w:tc>
          <w:tcPr>
            <w:tcW w:w="912" w:type="dxa"/>
            <w:tcBorders/>
            <w:shd w:fill="CCEEFF" w:val="clear"/>
            <w:vAlign w:val="bottom"/>
          </w:tcPr>
          <w:p>
            <w:pPr>
              <w:pStyle w:val="TableContents"/>
              <w:spacing w:before="0" w:after="283"/>
              <w:jc w:val="right"/>
              <w:rPr/>
            </w:pPr>
            <w:r>
              <w:rPr/>
              <w:t>26.8</w:t>
            </w:r>
          </w:p>
        </w:tc>
        <w:tc>
          <w:tcPr>
            <w:tcW w:w="290" w:type="dxa"/>
            <w:tcBorders/>
            <w:shd w:fill="CCEEFF" w:val="clear"/>
            <w:vAlign w:val="bottom"/>
          </w:tcPr>
          <w:p>
            <w:pPr>
              <w:pStyle w:val="TableContents"/>
              <w:spacing w:before="0" w:after="283"/>
              <w:rPr/>
            </w:pPr>
            <w:r>
              <w:rPr/>
              <w:t>%</w:t>
            </w:r>
          </w:p>
        </w:tc>
        <w:tc>
          <w:tcPr>
            <w:tcW w:w="354"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899" w:type="dxa"/>
            <w:tcBorders/>
            <w:shd w:fill="CCEEFF" w:val="clear"/>
            <w:vAlign w:val="bottom"/>
          </w:tcPr>
          <w:p>
            <w:pPr>
              <w:pStyle w:val="TableContents"/>
              <w:spacing w:before="0" w:after="283"/>
              <w:jc w:val="right"/>
              <w:rPr/>
            </w:pPr>
            <w:r>
              <w:rPr/>
              <w:t>1,452</w:t>
            </w:r>
          </w:p>
        </w:tc>
        <w:tc>
          <w:tcPr>
            <w:tcW w:w="309" w:type="dxa"/>
            <w:tcBorders/>
            <w:shd w:fill="CCEEFF" w:val="clear"/>
            <w:vAlign w:val="bottom"/>
          </w:tcPr>
          <w:p>
            <w:pPr>
              <w:pStyle w:val="TableContents"/>
              <w:spacing w:before="0" w:after="283"/>
              <w:rPr/>
            </w:pPr>
            <w:r>
              <w:rPr/>
              <w:t> </w:t>
            </w:r>
          </w:p>
        </w:tc>
      </w:tr>
      <w:tr>
        <w:trPr/>
        <w:tc>
          <w:tcPr>
            <w:tcW w:w="4938" w:type="dxa"/>
            <w:tcBorders/>
            <w:shd w:fill="auto" w:val="clear"/>
            <w:vAlign w:val="bottom"/>
          </w:tcPr>
          <w:p>
            <w:pPr>
              <w:pStyle w:val="TableContents"/>
              <w:spacing w:before="0" w:after="0"/>
              <w:ind w:left="450" w:right="0" w:hanging="225"/>
              <w:rPr/>
            </w:pPr>
            <w:r>
              <w:rPr/>
              <w:t>Processed products</w:t>
            </w:r>
          </w:p>
        </w:tc>
        <w:tc>
          <w:tcPr>
            <w:tcW w:w="340"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jc w:val="right"/>
              <w:rPr/>
            </w:pPr>
            <w:r>
              <w:rPr/>
              <w:t>1,895</w:t>
            </w:r>
          </w:p>
        </w:tc>
        <w:tc>
          <w:tcPr>
            <w:tcW w:w="372"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c>
          <w:tcPr>
            <w:tcW w:w="912" w:type="dxa"/>
            <w:tcBorders/>
            <w:shd w:fill="auto" w:val="clear"/>
            <w:vAlign w:val="bottom"/>
          </w:tcPr>
          <w:p>
            <w:pPr>
              <w:pStyle w:val="TableContents"/>
              <w:spacing w:before="0" w:after="283"/>
              <w:jc w:val="right"/>
              <w:rPr/>
            </w:pPr>
            <w:r>
              <w:rPr/>
              <w:t>273.0</w:t>
            </w:r>
          </w:p>
        </w:tc>
        <w:tc>
          <w:tcPr>
            <w:tcW w:w="290" w:type="dxa"/>
            <w:tcBorders/>
            <w:shd w:fill="auto" w:val="clear"/>
            <w:vAlign w:val="bottom"/>
          </w:tcPr>
          <w:p>
            <w:pPr>
              <w:pStyle w:val="TableContents"/>
              <w:spacing w:before="0" w:after="283"/>
              <w:rPr/>
            </w:pPr>
            <w:r>
              <w:rPr/>
              <w:t>%</w:t>
            </w:r>
          </w:p>
        </w:tc>
        <w:tc>
          <w:tcPr>
            <w:tcW w:w="354"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jc w:val="right"/>
              <w:rPr/>
            </w:pPr>
            <w:r>
              <w:rPr/>
              <w:t>508</w:t>
            </w:r>
          </w:p>
        </w:tc>
        <w:tc>
          <w:tcPr>
            <w:tcW w:w="309" w:type="dxa"/>
            <w:tcBorders/>
            <w:shd w:fill="auto" w:val="clear"/>
            <w:vAlign w:val="bottom"/>
          </w:tcPr>
          <w:p>
            <w:pPr>
              <w:pStyle w:val="TableContents"/>
              <w:spacing w:before="0" w:after="283"/>
              <w:rPr/>
            </w:pPr>
            <w:r>
              <w:rPr/>
              <w:t> </w:t>
            </w:r>
          </w:p>
        </w:tc>
      </w:tr>
      <w:tr>
        <w:trPr/>
        <w:tc>
          <w:tcPr>
            <w:tcW w:w="4938" w:type="dxa"/>
            <w:tcBorders/>
            <w:shd w:fill="auto" w:val="clear"/>
            <w:vAlign w:val="center"/>
          </w:tcPr>
          <w:p>
            <w:pPr>
              <w:pStyle w:val="TableContents"/>
              <w:spacing w:before="0" w:after="0"/>
              <w:ind w:left="225" w:right="0" w:hanging="225"/>
              <w:rPr/>
            </w:pPr>
            <w:r>
              <w:rPr/>
              <w:t> </w:t>
            </w:r>
          </w:p>
        </w:tc>
        <w:tc>
          <w:tcPr>
            <w:tcW w:w="340" w:type="dxa"/>
            <w:tcBorders/>
            <w:shd w:fill="auto" w:val="clear"/>
            <w:vAlign w:val="center"/>
          </w:tcPr>
          <w:p>
            <w:pPr>
              <w:pStyle w:val="TableContents"/>
              <w:spacing w:before="0" w:after="283"/>
              <w:rPr/>
            </w:pPr>
            <w:r>
              <w:rPr/>
              <w:t> </w:t>
            </w:r>
          </w:p>
        </w:tc>
        <w:tc>
          <w:tcPr>
            <w:tcW w:w="11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72"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912"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110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09" w:type="dxa"/>
            <w:tcBorders/>
            <w:shd w:fill="auto" w:val="clear"/>
            <w:vAlign w:val="center"/>
          </w:tcPr>
          <w:p>
            <w:pPr>
              <w:pStyle w:val="TableContents"/>
              <w:spacing w:before="0" w:after="283"/>
              <w:rPr/>
            </w:pPr>
            <w:r>
              <w:rPr/>
              <w:t> </w:t>
            </w:r>
          </w:p>
        </w:tc>
      </w:tr>
      <w:tr>
        <w:trPr/>
        <w:tc>
          <w:tcPr>
            <w:tcW w:w="4938" w:type="dxa"/>
            <w:tcBorders/>
            <w:shd w:fill="CCEEFF" w:val="clear"/>
            <w:vAlign w:val="bottom"/>
          </w:tcPr>
          <w:p>
            <w:pPr>
              <w:pStyle w:val="TableContents"/>
              <w:spacing w:before="0" w:after="0"/>
              <w:ind w:left="675" w:right="0" w:hanging="225"/>
              <w:rPr/>
            </w:pPr>
            <w:r>
              <w:rPr/>
              <w:t>Total gross margins</w:t>
            </w:r>
          </w:p>
        </w:tc>
        <w:tc>
          <w:tcPr>
            <w:tcW w:w="340"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left"/>
              <w:rPr/>
            </w:pPr>
            <w:r>
              <w:rPr/>
              <w:t>$</w:t>
            </w:r>
          </w:p>
        </w:tc>
        <w:tc>
          <w:tcPr>
            <w:tcW w:w="896" w:type="dxa"/>
            <w:tcBorders/>
            <w:shd w:fill="CCEEFF" w:val="clear"/>
            <w:vAlign w:val="bottom"/>
          </w:tcPr>
          <w:p>
            <w:pPr>
              <w:pStyle w:val="TableContents"/>
              <w:spacing w:before="0" w:after="283"/>
              <w:jc w:val="right"/>
              <w:rPr/>
            </w:pPr>
            <w:r>
              <w:rPr/>
              <w:t>3,410</w:t>
            </w:r>
          </w:p>
        </w:tc>
        <w:tc>
          <w:tcPr>
            <w:tcW w:w="372"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jc w:val="left"/>
              <w:rPr/>
            </w:pPr>
            <w:r>
              <w:rPr/>
              <w:t> </w:t>
            </w:r>
          </w:p>
        </w:tc>
        <w:tc>
          <w:tcPr>
            <w:tcW w:w="912" w:type="dxa"/>
            <w:tcBorders/>
            <w:shd w:fill="CCEEFF" w:val="clear"/>
            <w:vAlign w:val="bottom"/>
          </w:tcPr>
          <w:p>
            <w:pPr>
              <w:pStyle w:val="TableContents"/>
              <w:spacing w:before="0" w:after="283"/>
              <w:jc w:val="right"/>
              <w:rPr/>
            </w:pPr>
            <w:r>
              <w:rPr/>
              <w:t>74.7</w:t>
            </w:r>
          </w:p>
        </w:tc>
        <w:tc>
          <w:tcPr>
            <w:tcW w:w="290" w:type="dxa"/>
            <w:tcBorders/>
            <w:shd w:fill="CCEEFF" w:val="clear"/>
            <w:vAlign w:val="bottom"/>
          </w:tcPr>
          <w:p>
            <w:pPr>
              <w:pStyle w:val="TableContents"/>
              <w:spacing w:before="0" w:after="283"/>
              <w:rPr/>
            </w:pPr>
            <w:r>
              <w:rPr/>
              <w:t>%</w:t>
            </w:r>
          </w:p>
        </w:tc>
        <w:tc>
          <w:tcPr>
            <w:tcW w:w="354"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left"/>
              <w:rPr/>
            </w:pPr>
            <w:r>
              <w:rPr/>
              <w:t>$</w:t>
            </w:r>
          </w:p>
        </w:tc>
        <w:tc>
          <w:tcPr>
            <w:tcW w:w="899" w:type="dxa"/>
            <w:tcBorders/>
            <w:shd w:fill="CCEEFF" w:val="clear"/>
            <w:vAlign w:val="bottom"/>
          </w:tcPr>
          <w:p>
            <w:pPr>
              <w:pStyle w:val="TableContents"/>
              <w:spacing w:before="0" w:after="283"/>
              <w:jc w:val="right"/>
              <w:rPr/>
            </w:pPr>
            <w:r>
              <w:rPr/>
              <w:t>1,952</w:t>
            </w:r>
          </w:p>
        </w:tc>
        <w:tc>
          <w:tcPr>
            <w:tcW w:w="309" w:type="dxa"/>
            <w:tcBorders/>
            <w:shd w:fill="CCEEFF" w:val="clear"/>
            <w:vAlign w:val="bottom"/>
          </w:tcPr>
          <w:p>
            <w:pPr>
              <w:pStyle w:val="TableContents"/>
              <w:spacing w:before="0" w:after="283"/>
              <w:rPr/>
            </w:pPr>
            <w:r>
              <w:rPr/>
              <w:t> </w:t>
            </w:r>
          </w:p>
        </w:tc>
      </w:tr>
      <w:tr>
        <w:trPr/>
        <w:tc>
          <w:tcPr>
            <w:tcW w:w="4938" w:type="dxa"/>
            <w:tcBorders/>
            <w:shd w:fill="auto" w:val="clear"/>
            <w:vAlign w:val="center"/>
          </w:tcPr>
          <w:p>
            <w:pPr>
              <w:pStyle w:val="TableContents"/>
              <w:spacing w:before="0" w:after="0"/>
              <w:ind w:left="225" w:right="0" w:hanging="225"/>
              <w:rPr/>
            </w:pPr>
            <w:r>
              <w:rPr/>
              <w:t> </w:t>
            </w:r>
          </w:p>
        </w:tc>
        <w:tc>
          <w:tcPr>
            <w:tcW w:w="340" w:type="dxa"/>
            <w:tcBorders/>
            <w:shd w:fill="auto" w:val="clear"/>
            <w:vAlign w:val="center"/>
          </w:tcPr>
          <w:p>
            <w:pPr>
              <w:pStyle w:val="TableContents"/>
              <w:spacing w:before="0" w:after="283"/>
              <w:rPr/>
            </w:pPr>
            <w:r>
              <w:rPr/>
              <w:t> </w:t>
            </w:r>
          </w:p>
        </w:tc>
        <w:tc>
          <w:tcPr>
            <w:tcW w:w="11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72"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912"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110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09" w:type="dxa"/>
            <w:tcBorders/>
            <w:shd w:fill="auto" w:val="clear"/>
            <w:vAlign w:val="center"/>
          </w:tcPr>
          <w:p>
            <w:pPr>
              <w:pStyle w:val="TableContents"/>
              <w:spacing w:before="0" w:after="283"/>
              <w:rPr/>
            </w:pPr>
            <w:r>
              <w:rPr/>
              <w:t> </w:t>
            </w:r>
          </w:p>
        </w:tc>
      </w:tr>
      <w:tr>
        <w:trPr/>
        <w:tc>
          <w:tcPr>
            <w:tcW w:w="4938" w:type="dxa"/>
            <w:tcBorders/>
            <w:shd w:fill="auto" w:val="clear"/>
            <w:vAlign w:val="bottom"/>
          </w:tcPr>
          <w:p>
            <w:pPr>
              <w:pStyle w:val="TableContents"/>
              <w:spacing w:before="0" w:after="0"/>
              <w:ind w:left="225" w:right="0" w:hanging="225"/>
              <w:rPr/>
            </w:pPr>
            <w:r>
              <w:rPr/>
              <w:t>Gross profit percentages:</w:t>
            </w:r>
          </w:p>
        </w:tc>
        <w:tc>
          <w:tcPr>
            <w:tcW w:w="340"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896"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899"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r>
      <w:tr>
        <w:trPr/>
        <w:tc>
          <w:tcPr>
            <w:tcW w:w="4938" w:type="dxa"/>
            <w:tcBorders/>
            <w:shd w:fill="CCEEFF" w:val="clear"/>
            <w:vAlign w:val="bottom"/>
          </w:tcPr>
          <w:p>
            <w:pPr>
              <w:pStyle w:val="TableContents"/>
              <w:spacing w:before="0" w:after="0"/>
              <w:ind w:left="450" w:right="0" w:hanging="225"/>
              <w:rPr/>
            </w:pPr>
            <w:r>
              <w:rPr/>
              <w:t>California avocados</w:t>
            </w:r>
          </w:p>
        </w:tc>
        <w:tc>
          <w:tcPr>
            <w:tcW w:w="340"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left"/>
              <w:rPr/>
            </w:pPr>
            <w:r>
              <w:rPr/>
              <w:t> </w:t>
            </w:r>
          </w:p>
        </w:tc>
        <w:tc>
          <w:tcPr>
            <w:tcW w:w="896" w:type="dxa"/>
            <w:tcBorders/>
            <w:shd w:fill="CCEEFF" w:val="clear"/>
            <w:vAlign w:val="bottom"/>
          </w:tcPr>
          <w:p>
            <w:pPr>
              <w:pStyle w:val="TableContents"/>
              <w:spacing w:before="0" w:after="283"/>
              <w:jc w:val="right"/>
              <w:rPr/>
            </w:pPr>
            <w:r>
              <w:rPr/>
              <w:t>(3.0</w:t>
            </w:r>
          </w:p>
        </w:tc>
        <w:tc>
          <w:tcPr>
            <w:tcW w:w="372" w:type="dxa"/>
            <w:tcBorders/>
            <w:shd w:fill="CCEEFF" w:val="clear"/>
            <w:vAlign w:val="bottom"/>
          </w:tcPr>
          <w:p>
            <w:pPr>
              <w:pStyle w:val="TableContents"/>
              <w:spacing w:before="0" w:after="283"/>
              <w:rPr/>
            </w:pPr>
            <w:r>
              <w:rPr/>
              <w:t>)%</w:t>
            </w:r>
          </w:p>
        </w:tc>
        <w:tc>
          <w:tcPr>
            <w:tcW w:w="354"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left"/>
              <w:rPr/>
            </w:pPr>
            <w:r>
              <w:rPr/>
              <w:t> </w:t>
            </w:r>
          </w:p>
        </w:tc>
        <w:tc>
          <w:tcPr>
            <w:tcW w:w="899" w:type="dxa"/>
            <w:tcBorders/>
            <w:shd w:fill="CCEEFF" w:val="clear"/>
            <w:vAlign w:val="bottom"/>
          </w:tcPr>
          <w:p>
            <w:pPr>
              <w:pStyle w:val="TableContents"/>
              <w:spacing w:before="0" w:after="283"/>
              <w:jc w:val="right"/>
              <w:rPr/>
            </w:pPr>
            <w:r>
              <w:rPr/>
              <w:t>(0.1</w:t>
            </w:r>
          </w:p>
        </w:tc>
        <w:tc>
          <w:tcPr>
            <w:tcW w:w="309" w:type="dxa"/>
            <w:tcBorders/>
            <w:shd w:fill="CCEEFF" w:val="clear"/>
            <w:vAlign w:val="bottom"/>
          </w:tcPr>
          <w:p>
            <w:pPr>
              <w:pStyle w:val="TableContents"/>
              <w:spacing w:before="0" w:after="283"/>
              <w:rPr/>
            </w:pPr>
            <w:r>
              <w:rPr/>
              <w:t>)%</w:t>
            </w:r>
          </w:p>
        </w:tc>
      </w:tr>
      <w:tr>
        <w:trPr/>
        <w:tc>
          <w:tcPr>
            <w:tcW w:w="4938" w:type="dxa"/>
            <w:tcBorders/>
            <w:shd w:fill="auto" w:val="clear"/>
            <w:vAlign w:val="bottom"/>
          </w:tcPr>
          <w:p>
            <w:pPr>
              <w:pStyle w:val="TableContents"/>
              <w:spacing w:before="0" w:after="0"/>
              <w:ind w:left="450" w:right="0" w:hanging="225"/>
              <w:rPr/>
            </w:pPr>
            <w:r>
              <w:rPr/>
              <w:t>International avocados and perishable food products</w:t>
            </w:r>
          </w:p>
        </w:tc>
        <w:tc>
          <w:tcPr>
            <w:tcW w:w="340"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jc w:val="left"/>
              <w:rPr/>
            </w:pPr>
            <w:r>
              <w:rPr/>
              <w:t> </w:t>
            </w:r>
          </w:p>
        </w:tc>
        <w:tc>
          <w:tcPr>
            <w:tcW w:w="896" w:type="dxa"/>
            <w:tcBorders/>
            <w:shd w:fill="auto" w:val="clear"/>
            <w:vAlign w:val="bottom"/>
          </w:tcPr>
          <w:p>
            <w:pPr>
              <w:pStyle w:val="TableContents"/>
              <w:spacing w:before="0" w:after="283"/>
              <w:jc w:val="right"/>
              <w:rPr/>
            </w:pPr>
            <w:r>
              <w:rPr/>
              <w:t>5.8</w:t>
            </w:r>
          </w:p>
        </w:tc>
        <w:tc>
          <w:tcPr>
            <w:tcW w:w="372" w:type="dxa"/>
            <w:tcBorders/>
            <w:shd w:fill="auto" w:val="clear"/>
            <w:vAlign w:val="bottom"/>
          </w:tcPr>
          <w:p>
            <w:pPr>
              <w:pStyle w:val="TableContents"/>
              <w:spacing w:before="0" w:after="283"/>
              <w:rPr/>
            </w:pPr>
            <w:r>
              <w:rPr/>
              <w:t>%</w:t>
            </w:r>
          </w:p>
        </w:tc>
        <w:tc>
          <w:tcPr>
            <w:tcW w:w="35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jc w:val="left"/>
              <w:rPr/>
            </w:pPr>
            <w:r>
              <w:rPr/>
              <w:t> </w:t>
            </w:r>
          </w:p>
        </w:tc>
        <w:tc>
          <w:tcPr>
            <w:tcW w:w="899" w:type="dxa"/>
            <w:tcBorders/>
            <w:shd w:fill="auto" w:val="clear"/>
            <w:vAlign w:val="bottom"/>
          </w:tcPr>
          <w:p>
            <w:pPr>
              <w:pStyle w:val="TableContents"/>
              <w:spacing w:before="0" w:after="283"/>
              <w:jc w:val="right"/>
              <w:rPr/>
            </w:pPr>
            <w:r>
              <w:rPr/>
              <w:t>4.3</w:t>
            </w:r>
          </w:p>
        </w:tc>
        <w:tc>
          <w:tcPr>
            <w:tcW w:w="309" w:type="dxa"/>
            <w:tcBorders/>
            <w:shd w:fill="auto" w:val="clear"/>
            <w:vAlign w:val="bottom"/>
          </w:tcPr>
          <w:p>
            <w:pPr>
              <w:pStyle w:val="TableContents"/>
              <w:spacing w:before="0" w:after="283"/>
              <w:rPr/>
            </w:pPr>
            <w:r>
              <w:rPr/>
              <w:t>%</w:t>
            </w:r>
          </w:p>
        </w:tc>
      </w:tr>
      <w:tr>
        <w:trPr/>
        <w:tc>
          <w:tcPr>
            <w:tcW w:w="4938" w:type="dxa"/>
            <w:tcBorders/>
            <w:shd w:fill="CCEEFF" w:val="clear"/>
            <w:vAlign w:val="bottom"/>
          </w:tcPr>
          <w:p>
            <w:pPr>
              <w:pStyle w:val="TableContents"/>
              <w:spacing w:before="0" w:after="0"/>
              <w:ind w:left="450" w:right="0" w:hanging="225"/>
              <w:rPr/>
            </w:pPr>
            <w:r>
              <w:rPr/>
              <w:t>Processed products</w:t>
            </w:r>
          </w:p>
        </w:tc>
        <w:tc>
          <w:tcPr>
            <w:tcW w:w="340"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left"/>
              <w:rPr/>
            </w:pPr>
            <w:r>
              <w:rPr/>
              <w:t> </w:t>
            </w:r>
          </w:p>
        </w:tc>
        <w:tc>
          <w:tcPr>
            <w:tcW w:w="896" w:type="dxa"/>
            <w:tcBorders/>
            <w:shd w:fill="CCEEFF" w:val="clear"/>
            <w:vAlign w:val="bottom"/>
          </w:tcPr>
          <w:p>
            <w:pPr>
              <w:pStyle w:val="TableContents"/>
              <w:spacing w:before="0" w:after="283"/>
              <w:jc w:val="right"/>
              <w:rPr/>
            </w:pPr>
            <w:r>
              <w:rPr/>
              <w:t>24.0</w:t>
            </w:r>
          </w:p>
        </w:tc>
        <w:tc>
          <w:tcPr>
            <w:tcW w:w="372" w:type="dxa"/>
            <w:tcBorders/>
            <w:shd w:fill="CCEEFF" w:val="clear"/>
            <w:vAlign w:val="bottom"/>
          </w:tcPr>
          <w:p>
            <w:pPr>
              <w:pStyle w:val="TableContents"/>
              <w:spacing w:before="0" w:after="283"/>
              <w:rPr/>
            </w:pPr>
            <w:r>
              <w:rPr/>
              <w:t>%</w:t>
            </w:r>
          </w:p>
        </w:tc>
        <w:tc>
          <w:tcPr>
            <w:tcW w:w="354" w:type="dxa"/>
            <w:tcBorders/>
            <w:shd w:fill="CCEEFF" w:val="clear"/>
            <w:vAlign w:val="bottom"/>
          </w:tcPr>
          <w:p>
            <w:pPr>
              <w:pStyle w:val="TableContents"/>
              <w:spacing w:before="0" w:after="283"/>
              <w:rPr/>
            </w:pPr>
            <w:r>
              <w:rPr/>
              <w:t> </w:t>
            </w:r>
          </w:p>
        </w:tc>
        <w:tc>
          <w:tcPr>
            <w:tcW w:w="123" w:type="dxa"/>
            <w:tcBorders/>
            <w:shd w:fill="CCEEFF" w:val="clear"/>
            <w:vAlign w:val="bottom"/>
          </w:tcPr>
          <w:p>
            <w:pPr>
              <w:pStyle w:val="TableContents"/>
              <w:spacing w:before="0" w:after="283"/>
              <w:rPr/>
            </w:pPr>
            <w:r>
              <w:rPr/>
              <w:t> </w:t>
            </w:r>
          </w:p>
        </w:tc>
        <w:tc>
          <w:tcPr>
            <w:tcW w:w="912" w:type="dxa"/>
            <w:tcBorders/>
            <w:shd w:fill="CCEEFF" w:val="clear"/>
            <w:vAlign w:val="bottom"/>
          </w:tcPr>
          <w:p>
            <w:pPr>
              <w:pStyle w:val="TableContents"/>
              <w:spacing w:before="0" w:after="283"/>
              <w:rPr/>
            </w:pPr>
            <w:r>
              <w:rPr/>
              <w:t> </w:t>
            </w:r>
          </w:p>
        </w:tc>
        <w:tc>
          <w:tcPr>
            <w:tcW w:w="290" w:type="dxa"/>
            <w:tcBorders/>
            <w:shd w:fill="CCEEFF" w:val="clear"/>
            <w:vAlign w:val="bottom"/>
          </w:tcPr>
          <w:p>
            <w:pPr>
              <w:pStyle w:val="TableContents"/>
              <w:spacing w:before="0" w:after="283"/>
              <w:rPr/>
            </w:pPr>
            <w:r>
              <w:rPr/>
              <w:t> </w:t>
            </w:r>
          </w:p>
        </w:tc>
        <w:tc>
          <w:tcPr>
            <w:tcW w:w="354"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jc w:val="left"/>
              <w:rPr/>
            </w:pPr>
            <w:r>
              <w:rPr/>
              <w:t> </w:t>
            </w:r>
          </w:p>
        </w:tc>
        <w:tc>
          <w:tcPr>
            <w:tcW w:w="899" w:type="dxa"/>
            <w:tcBorders/>
            <w:shd w:fill="CCEEFF" w:val="clear"/>
            <w:vAlign w:val="bottom"/>
          </w:tcPr>
          <w:p>
            <w:pPr>
              <w:pStyle w:val="TableContents"/>
              <w:spacing w:before="0" w:after="283"/>
              <w:jc w:val="right"/>
              <w:rPr/>
            </w:pPr>
            <w:r>
              <w:rPr/>
              <w:t>8.9</w:t>
            </w:r>
          </w:p>
        </w:tc>
        <w:tc>
          <w:tcPr>
            <w:tcW w:w="309" w:type="dxa"/>
            <w:tcBorders/>
            <w:shd w:fill="CCEEFF" w:val="clear"/>
            <w:vAlign w:val="bottom"/>
          </w:tcPr>
          <w:p>
            <w:pPr>
              <w:pStyle w:val="TableContents"/>
              <w:spacing w:before="0" w:after="283"/>
              <w:rPr/>
            </w:pPr>
            <w:r>
              <w:rPr/>
              <w:t>%</w:t>
            </w:r>
          </w:p>
        </w:tc>
      </w:tr>
      <w:tr>
        <w:trPr/>
        <w:tc>
          <w:tcPr>
            <w:tcW w:w="4938" w:type="dxa"/>
            <w:tcBorders/>
            <w:shd w:fill="auto" w:val="clear"/>
            <w:vAlign w:val="bottom"/>
          </w:tcPr>
          <w:p>
            <w:pPr>
              <w:pStyle w:val="TableContents"/>
              <w:spacing w:before="0" w:after="0"/>
              <w:ind w:left="450" w:right="0" w:hanging="225"/>
              <w:rPr/>
            </w:pPr>
            <w:r>
              <w:rPr/>
              <w:t>Consolidated</w:t>
            </w:r>
          </w:p>
        </w:tc>
        <w:tc>
          <w:tcPr>
            <w:tcW w:w="340"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jc w:val="left"/>
              <w:rPr/>
            </w:pPr>
            <w:r>
              <w:rPr/>
              <w:t> </w:t>
            </w:r>
          </w:p>
        </w:tc>
        <w:tc>
          <w:tcPr>
            <w:tcW w:w="896" w:type="dxa"/>
            <w:tcBorders/>
            <w:shd w:fill="auto" w:val="clear"/>
            <w:vAlign w:val="bottom"/>
          </w:tcPr>
          <w:p>
            <w:pPr>
              <w:pStyle w:val="TableContents"/>
              <w:spacing w:before="0" w:after="283"/>
              <w:jc w:val="right"/>
              <w:rPr/>
            </w:pPr>
            <w:r>
              <w:rPr/>
              <w:t>6.7</w:t>
            </w:r>
          </w:p>
        </w:tc>
        <w:tc>
          <w:tcPr>
            <w:tcW w:w="372" w:type="dxa"/>
            <w:tcBorders/>
            <w:shd w:fill="auto" w:val="clear"/>
            <w:vAlign w:val="bottom"/>
          </w:tcPr>
          <w:p>
            <w:pPr>
              <w:pStyle w:val="TableContents"/>
              <w:spacing w:before="0" w:after="283"/>
              <w:rPr/>
            </w:pPr>
            <w:r>
              <w:rPr/>
              <w:t>%</w:t>
            </w:r>
          </w:p>
        </w:tc>
        <w:tc>
          <w:tcPr>
            <w:tcW w:w="35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912" w:type="dxa"/>
            <w:tcBorders/>
            <w:shd w:fill="auto" w:val="clear"/>
            <w:vAlign w:val="bottom"/>
          </w:tcPr>
          <w:p>
            <w:pPr>
              <w:pStyle w:val="TableContents"/>
              <w:spacing w:before="0" w:after="283"/>
              <w:rPr/>
            </w:pPr>
            <w:r>
              <w:rPr/>
              <w:t> </w:t>
            </w:r>
          </w:p>
        </w:tc>
        <w:tc>
          <w:tcPr>
            <w:tcW w:w="290"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jc w:val="left"/>
              <w:rPr/>
            </w:pPr>
            <w:r>
              <w:rPr/>
              <w:t> </w:t>
            </w:r>
          </w:p>
        </w:tc>
        <w:tc>
          <w:tcPr>
            <w:tcW w:w="899" w:type="dxa"/>
            <w:tcBorders/>
            <w:shd w:fill="auto" w:val="clear"/>
            <w:vAlign w:val="bottom"/>
          </w:tcPr>
          <w:p>
            <w:pPr>
              <w:pStyle w:val="TableContents"/>
              <w:spacing w:before="0" w:after="283"/>
              <w:jc w:val="right"/>
              <w:rPr/>
            </w:pPr>
            <w:r>
              <w:rPr/>
              <w:t>4.1</w:t>
            </w:r>
          </w:p>
        </w:tc>
        <w:tc>
          <w:tcPr>
            <w:tcW w:w="309" w:type="dxa"/>
            <w:tcBorders/>
            <w:shd w:fill="auto"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NMNot meaningful </w:t>
      </w:r>
    </w:p>
    <w:p>
      <w:pPr>
        <w:pStyle w:val="TextBody"/>
        <w:spacing w:before="120" w:after="283"/>
        <w:jc w:val="left"/>
        <w:rPr/>
      </w:pPr>
      <w:r>
        <w:rPr/>
        <w:t>     </w:t>
      </w:r>
      <w:r>
        <w:rPr>
          <w:rFonts w:ascii="Times New Roman;Times;serif" w:hAnsi="Times New Roman;Times;serif"/>
          <w:sz w:val="17"/>
        </w:rPr>
        <w:t xml:space="preserve">Our cost of goods sold consists predominantly of fruit costs, packing materials, freight and handling, labor and overhead (including depreciation) associated with preparing food products and other direct expenses pertaining to products sold. Gross margins increased by approximately $1.5 million, or 2.6%, for the first quarter of fiscal 2006 when compared to the same period for fiscal 2005. This increase was primarily attributable to improvements in our international avocados and perishable food products and processed products segments. </w:t>
      </w:r>
    </w:p>
    <w:p>
      <w:pPr>
        <w:pStyle w:val="TextBody"/>
        <w:spacing w:before="120" w:after="283"/>
        <w:jc w:val="left"/>
        <w:rPr/>
      </w:pPr>
      <w:r>
        <w:rPr/>
        <w:t>     </w:t>
      </w:r>
      <w:r>
        <w:rPr>
          <w:rFonts w:ascii="Times New Roman;Times;serif" w:hAnsi="Times New Roman;Times;serif"/>
          <w:sz w:val="17"/>
        </w:rPr>
        <w:t xml:space="preserve">Our California avocados segment experienced a lower gross profit percentage principally as a result of higher material and production costs, including increased costs related to the start-up of our ProRipeVIP avocado ripening program. The increase in our gross profit percentages generated by our international avocados and perishable food products segment was principally a result of a decrease in fruit costs in relation to corresponding sales prices. This decrease in fruit costs had the effect of decreasing our per pound costs, which, as a result, positively impacted gross margins. The processed products gross profit percentages for the quarter ended January 31, 2006, as compared to the same prior year period, increased primarily as a result of lower fruit costs and increases in total pounds produced, which had the effect of reducing our per pound costs. We anticipate that the gross profit percentage for our processed product segment will continue to experience significant fluctuations during the next fiscal quarter primarily due to the uncertainty of the cost of fruit that will be used in the production process.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Selling, General and Administrative</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115"/>
        <w:gridCol w:w="354"/>
        <w:gridCol w:w="208"/>
        <w:gridCol w:w="895"/>
        <w:gridCol w:w="287"/>
        <w:gridCol w:w="366"/>
        <w:gridCol w:w="123"/>
        <w:gridCol w:w="721"/>
        <w:gridCol w:w="367"/>
        <w:gridCol w:w="366"/>
        <w:gridCol w:w="208"/>
        <w:gridCol w:w="895"/>
        <w:gridCol w:w="300"/>
      </w:tblGrid>
      <w:tr>
        <w:trPr/>
        <w:tc>
          <w:tcPr>
            <w:tcW w:w="511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895"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r>
      <w:tr>
        <w:trPr/>
        <w:tc>
          <w:tcPr>
            <w:tcW w:w="511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4736"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January 31,</w:t>
            </w:r>
          </w:p>
        </w:tc>
      </w:tr>
      <w:tr>
        <w:trPr/>
        <w:tc>
          <w:tcPr>
            <w:tcW w:w="5115"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354" w:type="dxa"/>
            <w:tcBorders/>
            <w:shd w:fill="auto" w:val="clear"/>
            <w:vAlign w:val="bottom"/>
          </w:tcPr>
          <w:p>
            <w:pPr>
              <w:pStyle w:val="TableContents"/>
              <w:spacing w:before="0" w:after="283"/>
              <w:rPr/>
            </w:pPr>
            <w:r>
              <w:rPr/>
              <w:t> </w:t>
            </w:r>
          </w:p>
        </w:tc>
        <w:tc>
          <w:tcPr>
            <w:tcW w:w="1390"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366" w:type="dxa"/>
            <w:tcBorders/>
            <w:shd w:fill="auto" w:val="clear"/>
            <w:vAlign w:val="bottom"/>
          </w:tcPr>
          <w:p>
            <w:pPr>
              <w:pStyle w:val="TableContents"/>
              <w:spacing w:before="0" w:after="283"/>
              <w:rPr/>
            </w:pPr>
            <w:r>
              <w:rPr/>
              <w:t> </w:t>
            </w:r>
          </w:p>
        </w:tc>
        <w:tc>
          <w:tcPr>
            <w:tcW w:w="1211"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366" w:type="dxa"/>
            <w:tcBorders/>
            <w:shd w:fill="auto" w:val="clear"/>
            <w:vAlign w:val="bottom"/>
          </w:tcPr>
          <w:p>
            <w:pPr>
              <w:pStyle w:val="TableContents"/>
              <w:spacing w:before="0" w:after="283"/>
              <w:rPr/>
            </w:pPr>
            <w:r>
              <w:rPr/>
              <w:t> </w:t>
            </w:r>
          </w:p>
        </w:tc>
        <w:tc>
          <w:tcPr>
            <w:tcW w:w="1403"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r>
      <w:tr>
        <w:trPr/>
        <w:tc>
          <w:tcPr>
            <w:tcW w:w="5115" w:type="dxa"/>
            <w:tcBorders/>
            <w:shd w:fill="auto" w:val="clear"/>
            <w:vAlign w:val="bottom"/>
          </w:tcPr>
          <w:p>
            <w:pPr>
              <w:pStyle w:val="TableContents"/>
              <w:spacing w:before="0" w:after="0"/>
              <w:ind w:left="225" w:right="0" w:hanging="225"/>
              <w:rPr/>
            </w:pPr>
            <w:r>
              <w:rPr/>
              <w:t>Selling, general and administrative</w:t>
            </w:r>
          </w:p>
        </w:tc>
        <w:tc>
          <w:tcPr>
            <w:tcW w:w="35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right"/>
              <w:rPr/>
            </w:pPr>
            <w:r>
              <w:rPr/>
              <w:t>$</w:t>
            </w:r>
          </w:p>
        </w:tc>
        <w:tc>
          <w:tcPr>
            <w:tcW w:w="895" w:type="dxa"/>
            <w:tcBorders/>
            <w:shd w:fill="auto" w:val="clear"/>
            <w:vAlign w:val="bottom"/>
          </w:tcPr>
          <w:p>
            <w:pPr>
              <w:pStyle w:val="TableContents"/>
              <w:spacing w:before="0" w:after="283"/>
              <w:jc w:val="right"/>
              <w:rPr/>
            </w:pPr>
            <w:r>
              <w:rPr/>
              <w:t>4,444</w:t>
            </w:r>
          </w:p>
        </w:tc>
        <w:tc>
          <w:tcPr>
            <w:tcW w:w="287"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right"/>
              <w:rPr/>
            </w:pPr>
            <w:r>
              <w:rPr/>
              <w:t> </w:t>
            </w:r>
          </w:p>
        </w:tc>
        <w:tc>
          <w:tcPr>
            <w:tcW w:w="721" w:type="dxa"/>
            <w:tcBorders/>
            <w:shd w:fill="auto" w:val="clear"/>
            <w:vAlign w:val="bottom"/>
          </w:tcPr>
          <w:p>
            <w:pPr>
              <w:pStyle w:val="TableContents"/>
              <w:spacing w:before="0" w:after="283"/>
              <w:jc w:val="right"/>
              <w:rPr/>
            </w:pPr>
            <w:r>
              <w:rPr/>
              <w:t>(1.5</w:t>
            </w:r>
          </w:p>
        </w:tc>
        <w:tc>
          <w:tcPr>
            <w:tcW w:w="367" w:type="dxa"/>
            <w:tcBorders/>
            <w:shd w:fill="auto" w:val="clear"/>
            <w:vAlign w:val="bottom"/>
          </w:tcPr>
          <w:p>
            <w:pPr>
              <w:pStyle w:val="TableContents"/>
              <w:spacing w:before="0" w:after="283"/>
              <w:rPr/>
            </w:pPr>
            <w:r>
              <w:rPr/>
              <w:t>)%</w:t>
            </w:r>
          </w:p>
        </w:tc>
        <w:tc>
          <w:tcPr>
            <w:tcW w:w="36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right"/>
              <w:rPr/>
            </w:pPr>
            <w:r>
              <w:rPr/>
              <w:t>$</w:t>
            </w:r>
          </w:p>
        </w:tc>
        <w:tc>
          <w:tcPr>
            <w:tcW w:w="895" w:type="dxa"/>
            <w:tcBorders/>
            <w:shd w:fill="auto" w:val="clear"/>
            <w:vAlign w:val="bottom"/>
          </w:tcPr>
          <w:p>
            <w:pPr>
              <w:pStyle w:val="TableContents"/>
              <w:spacing w:before="0" w:after="283"/>
              <w:jc w:val="right"/>
              <w:rPr/>
            </w:pPr>
            <w:r>
              <w:rPr/>
              <w:t>4,513</w:t>
            </w:r>
          </w:p>
        </w:tc>
        <w:tc>
          <w:tcPr>
            <w:tcW w:w="300" w:type="dxa"/>
            <w:tcBorders/>
            <w:shd w:fill="auto" w:val="clear"/>
            <w:vAlign w:val="bottom"/>
          </w:tcPr>
          <w:p>
            <w:pPr>
              <w:pStyle w:val="TableContents"/>
              <w:spacing w:before="0" w:after="283"/>
              <w:rPr/>
            </w:pPr>
            <w:r>
              <w:rPr/>
              <w:t> </w:t>
            </w:r>
          </w:p>
        </w:tc>
      </w:tr>
      <w:tr>
        <w:trPr/>
        <w:tc>
          <w:tcPr>
            <w:tcW w:w="5115" w:type="dxa"/>
            <w:tcBorders/>
            <w:shd w:fill="auto" w:val="clear"/>
            <w:vAlign w:val="bottom"/>
          </w:tcPr>
          <w:p>
            <w:pPr>
              <w:pStyle w:val="TableContents"/>
              <w:spacing w:before="0" w:after="0"/>
              <w:ind w:left="225" w:right="0" w:hanging="225"/>
              <w:rPr/>
            </w:pPr>
            <w:r>
              <w:rPr/>
              <w:t>Percentage of net sales</w:t>
            </w:r>
          </w:p>
        </w:tc>
        <w:tc>
          <w:tcPr>
            <w:tcW w:w="354"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right"/>
              <w:rPr/>
            </w:pPr>
            <w:r>
              <w:rPr/>
              <w:t> </w:t>
            </w:r>
          </w:p>
        </w:tc>
        <w:tc>
          <w:tcPr>
            <w:tcW w:w="895" w:type="dxa"/>
            <w:tcBorders/>
            <w:shd w:fill="auto" w:val="clear"/>
            <w:vAlign w:val="bottom"/>
          </w:tcPr>
          <w:p>
            <w:pPr>
              <w:pStyle w:val="TableContents"/>
              <w:spacing w:before="0" w:after="283"/>
              <w:jc w:val="right"/>
              <w:rPr/>
            </w:pPr>
            <w:r>
              <w:rPr/>
              <w:t>8.8</w:t>
            </w:r>
          </w:p>
        </w:tc>
        <w:tc>
          <w:tcPr>
            <w:tcW w:w="287" w:type="dxa"/>
            <w:tcBorders/>
            <w:shd w:fill="auto" w:val="clear"/>
            <w:vAlign w:val="bottom"/>
          </w:tcPr>
          <w:p>
            <w:pPr>
              <w:pStyle w:val="TableContents"/>
              <w:spacing w:before="0" w:after="283"/>
              <w:rPr/>
            </w:pPr>
            <w:r>
              <w:rPr/>
              <w:t>%</w:t>
            </w:r>
          </w:p>
        </w:tc>
        <w:tc>
          <w:tcPr>
            <w:tcW w:w="366"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721"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jc w:val="right"/>
              <w:rPr/>
            </w:pPr>
            <w:r>
              <w:rPr/>
              <w:t> </w:t>
            </w:r>
          </w:p>
        </w:tc>
        <w:tc>
          <w:tcPr>
            <w:tcW w:w="895" w:type="dxa"/>
            <w:tcBorders/>
            <w:shd w:fill="auto" w:val="clear"/>
            <w:vAlign w:val="bottom"/>
          </w:tcPr>
          <w:p>
            <w:pPr>
              <w:pStyle w:val="TableContents"/>
              <w:spacing w:before="0" w:after="283"/>
              <w:jc w:val="right"/>
              <w:rPr/>
            </w:pPr>
            <w:r>
              <w:rPr/>
              <w:t>9.5</w:t>
            </w:r>
          </w:p>
        </w:tc>
        <w:tc>
          <w:tcPr>
            <w:tcW w:w="300" w:type="dxa"/>
            <w:tcBorders/>
            <w:shd w:fill="auto" w:val="clear"/>
            <w:vAlign w:val="bottom"/>
          </w:tcPr>
          <w:p>
            <w:pPr>
              <w:pStyle w:val="TableContents"/>
              <w:spacing w:before="0" w:after="283"/>
              <w:rPr/>
            </w:pPr>
            <w:r>
              <w:rPr/>
              <w:t>%</w:t>
            </w:r>
          </w:p>
        </w:tc>
      </w:tr>
    </w:tbl>
    <w:p>
      <w:pPr>
        <w:pStyle w:val="TextBody"/>
        <w:spacing w:before="120" w:after="283"/>
        <w:jc w:val="left"/>
        <w:rPr/>
      </w:pPr>
      <w:r>
        <w:rPr/>
        <w:t>     </w:t>
      </w:r>
      <w:r>
        <w:rPr>
          <w:rFonts w:ascii="Times New Roman;Times;serif" w:hAnsi="Times New Roman;Times;serif"/>
          <w:sz w:val="17"/>
        </w:rPr>
        <w:t xml:space="preserve">Selling, general and administrative expenses include costs of marketing and advertising, sales expenses and other general and administrative costs. Selling, general and administrative expenses decreased $0.1 million, or 1.5%, for the three months ended January 31, 2006 when compared to the same period for fiscal 2005. The decreased general and administrative costs relate primarily to lower corporate costs, including costs related to various consulting expenses (totaling approximately $0.2 million).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Other Income/(Expense), net</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115"/>
        <w:gridCol w:w="354"/>
        <w:gridCol w:w="213"/>
        <w:gridCol w:w="735"/>
        <w:gridCol w:w="377"/>
        <w:gridCol w:w="369"/>
        <w:gridCol w:w="126"/>
        <w:gridCol w:w="997"/>
        <w:gridCol w:w="377"/>
        <w:gridCol w:w="369"/>
        <w:gridCol w:w="213"/>
        <w:gridCol w:w="653"/>
        <w:gridCol w:w="307"/>
      </w:tblGrid>
      <w:tr>
        <w:trPr/>
        <w:tc>
          <w:tcPr>
            <w:tcW w:w="511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735"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653"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r>
      <w:tr>
        <w:trPr/>
        <w:tc>
          <w:tcPr>
            <w:tcW w:w="5115"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4736"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January 31,</w:t>
            </w:r>
          </w:p>
        </w:tc>
      </w:tr>
      <w:tr>
        <w:trPr/>
        <w:tc>
          <w:tcPr>
            <w:tcW w:w="5115"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354" w:type="dxa"/>
            <w:tcBorders/>
            <w:shd w:fill="auto" w:val="clear"/>
            <w:vAlign w:val="bottom"/>
          </w:tcPr>
          <w:p>
            <w:pPr>
              <w:pStyle w:val="TableContents"/>
              <w:spacing w:before="0" w:after="283"/>
              <w:rPr/>
            </w:pPr>
            <w:r>
              <w:rPr/>
              <w:t> </w:t>
            </w:r>
          </w:p>
        </w:tc>
        <w:tc>
          <w:tcPr>
            <w:tcW w:w="1325"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369" w:type="dxa"/>
            <w:tcBorders/>
            <w:shd w:fill="auto" w:val="clear"/>
            <w:vAlign w:val="bottom"/>
          </w:tcPr>
          <w:p>
            <w:pPr>
              <w:pStyle w:val="TableContents"/>
              <w:spacing w:before="0" w:after="283"/>
              <w:rPr/>
            </w:pPr>
            <w:r>
              <w:rPr/>
              <w:t> </w:t>
            </w:r>
          </w:p>
        </w:tc>
        <w:tc>
          <w:tcPr>
            <w:tcW w:w="1500"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369" w:type="dxa"/>
            <w:tcBorders/>
            <w:shd w:fill="auto" w:val="clear"/>
            <w:vAlign w:val="bottom"/>
          </w:tcPr>
          <w:p>
            <w:pPr>
              <w:pStyle w:val="TableContents"/>
              <w:spacing w:before="0" w:after="283"/>
              <w:rPr/>
            </w:pPr>
            <w:r>
              <w:rPr/>
              <w:t> </w:t>
            </w:r>
          </w:p>
        </w:tc>
        <w:tc>
          <w:tcPr>
            <w:tcW w:w="1173"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r>
      <w:tr>
        <w:trPr/>
        <w:tc>
          <w:tcPr>
            <w:tcW w:w="5115" w:type="dxa"/>
            <w:tcBorders/>
            <w:shd w:fill="auto" w:val="clear"/>
            <w:vAlign w:val="bottom"/>
          </w:tcPr>
          <w:p>
            <w:pPr>
              <w:pStyle w:val="TableContents"/>
              <w:spacing w:before="0" w:after="0"/>
              <w:ind w:left="225" w:right="0" w:hanging="225"/>
              <w:rPr/>
            </w:pPr>
            <w:r>
              <w:rPr/>
              <w:t>Other income/(expense), net</w:t>
            </w:r>
          </w:p>
        </w:tc>
        <w:tc>
          <w:tcPr>
            <w:tcW w:w="35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right"/>
              <w:rPr/>
            </w:pPr>
            <w:r>
              <w:rPr/>
              <w:t>$</w:t>
            </w:r>
          </w:p>
        </w:tc>
        <w:tc>
          <w:tcPr>
            <w:tcW w:w="735" w:type="dxa"/>
            <w:tcBorders/>
            <w:shd w:fill="auto" w:val="clear"/>
            <w:vAlign w:val="bottom"/>
          </w:tcPr>
          <w:p>
            <w:pPr>
              <w:pStyle w:val="TableContents"/>
              <w:spacing w:before="0" w:after="283"/>
              <w:jc w:val="right"/>
              <w:rPr/>
            </w:pPr>
            <w:r>
              <w:rPr/>
              <w:t>(75</w:t>
            </w:r>
          </w:p>
        </w:tc>
        <w:tc>
          <w:tcPr>
            <w:tcW w:w="377" w:type="dxa"/>
            <w:tcBorders/>
            <w:shd w:fill="auto" w:val="clear"/>
            <w:vAlign w:val="bottom"/>
          </w:tcPr>
          <w:p>
            <w:pPr>
              <w:pStyle w:val="TableContents"/>
              <w:spacing w:before="0" w:after="283"/>
              <w:rPr/>
            </w:pPr>
            <w:r>
              <w:rPr/>
              <w:t>)</w:t>
            </w:r>
          </w:p>
        </w:tc>
        <w:tc>
          <w:tcPr>
            <w:tcW w:w="36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right"/>
              <w:rPr/>
            </w:pPr>
            <w:r>
              <w:rPr/>
              <w:t> </w:t>
            </w:r>
          </w:p>
        </w:tc>
        <w:tc>
          <w:tcPr>
            <w:tcW w:w="997" w:type="dxa"/>
            <w:tcBorders/>
            <w:shd w:fill="auto" w:val="clear"/>
            <w:vAlign w:val="bottom"/>
          </w:tcPr>
          <w:p>
            <w:pPr>
              <w:pStyle w:val="TableContents"/>
              <w:spacing w:before="0" w:after="283"/>
              <w:jc w:val="right"/>
              <w:rPr/>
            </w:pPr>
            <w:r>
              <w:rPr/>
              <w:t>(191.5</w:t>
            </w:r>
          </w:p>
        </w:tc>
        <w:tc>
          <w:tcPr>
            <w:tcW w:w="377" w:type="dxa"/>
            <w:tcBorders/>
            <w:shd w:fill="auto" w:val="clear"/>
            <w:vAlign w:val="bottom"/>
          </w:tcPr>
          <w:p>
            <w:pPr>
              <w:pStyle w:val="TableContents"/>
              <w:spacing w:before="0" w:after="283"/>
              <w:rPr/>
            </w:pPr>
            <w:r>
              <w:rPr/>
              <w:t>)%</w:t>
            </w:r>
          </w:p>
        </w:tc>
        <w:tc>
          <w:tcPr>
            <w:tcW w:w="36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right"/>
              <w:rPr/>
            </w:pPr>
            <w:r>
              <w:rPr/>
              <w:t>$</w:t>
            </w:r>
          </w:p>
        </w:tc>
        <w:tc>
          <w:tcPr>
            <w:tcW w:w="653" w:type="dxa"/>
            <w:tcBorders/>
            <w:shd w:fill="auto" w:val="clear"/>
            <w:vAlign w:val="bottom"/>
          </w:tcPr>
          <w:p>
            <w:pPr>
              <w:pStyle w:val="TableContents"/>
              <w:spacing w:before="0" w:after="283"/>
              <w:jc w:val="right"/>
              <w:rPr/>
            </w:pPr>
            <w:r>
              <w:rPr/>
              <w:t>82</w:t>
            </w:r>
          </w:p>
        </w:tc>
        <w:tc>
          <w:tcPr>
            <w:tcW w:w="307" w:type="dxa"/>
            <w:tcBorders/>
            <w:shd w:fill="auto" w:val="clear"/>
            <w:vAlign w:val="bottom"/>
          </w:tcPr>
          <w:p>
            <w:pPr>
              <w:pStyle w:val="TableContents"/>
              <w:spacing w:before="0" w:after="283"/>
              <w:rPr/>
            </w:pPr>
            <w:r>
              <w:rPr/>
              <w:t> </w:t>
            </w:r>
          </w:p>
        </w:tc>
      </w:tr>
      <w:tr>
        <w:trPr/>
        <w:tc>
          <w:tcPr>
            <w:tcW w:w="5115" w:type="dxa"/>
            <w:tcBorders/>
            <w:shd w:fill="auto" w:val="clear"/>
            <w:vAlign w:val="bottom"/>
          </w:tcPr>
          <w:p>
            <w:pPr>
              <w:pStyle w:val="TableContents"/>
              <w:spacing w:before="0" w:after="0"/>
              <w:ind w:left="225" w:right="0" w:hanging="225"/>
              <w:rPr/>
            </w:pPr>
            <w:r>
              <w:rPr/>
              <w:t>Percentage of net sales</w:t>
            </w:r>
          </w:p>
        </w:tc>
        <w:tc>
          <w:tcPr>
            <w:tcW w:w="354"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right"/>
              <w:rPr/>
            </w:pPr>
            <w:r>
              <w:rPr/>
              <w:t> </w:t>
            </w:r>
          </w:p>
        </w:tc>
        <w:tc>
          <w:tcPr>
            <w:tcW w:w="735" w:type="dxa"/>
            <w:tcBorders/>
            <w:shd w:fill="auto" w:val="clear"/>
            <w:vAlign w:val="bottom"/>
          </w:tcPr>
          <w:p>
            <w:pPr>
              <w:pStyle w:val="TableContents"/>
              <w:spacing w:before="0" w:after="283"/>
              <w:jc w:val="right"/>
              <w:rPr/>
            </w:pPr>
            <w:r>
              <w:rPr/>
              <w:t>(0.1</w:t>
            </w:r>
          </w:p>
        </w:tc>
        <w:tc>
          <w:tcPr>
            <w:tcW w:w="377" w:type="dxa"/>
            <w:tcBorders/>
            <w:shd w:fill="auto" w:val="clear"/>
            <w:vAlign w:val="bottom"/>
          </w:tcPr>
          <w:p>
            <w:pPr>
              <w:pStyle w:val="TableContents"/>
              <w:spacing w:before="0" w:after="283"/>
              <w:rPr/>
            </w:pPr>
            <w:r>
              <w:rPr/>
              <w:t>)%</w:t>
            </w:r>
          </w:p>
        </w:tc>
        <w:tc>
          <w:tcPr>
            <w:tcW w:w="36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997"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right"/>
              <w:rPr/>
            </w:pPr>
            <w:r>
              <w:rPr/>
              <w:t> </w:t>
            </w:r>
          </w:p>
        </w:tc>
        <w:tc>
          <w:tcPr>
            <w:tcW w:w="653" w:type="dxa"/>
            <w:tcBorders/>
            <w:shd w:fill="auto" w:val="clear"/>
            <w:vAlign w:val="bottom"/>
          </w:tcPr>
          <w:p>
            <w:pPr>
              <w:pStyle w:val="TableContents"/>
              <w:spacing w:before="0" w:after="283"/>
              <w:jc w:val="right"/>
              <w:rPr/>
            </w:pPr>
            <w:r>
              <w:rPr/>
              <w:t>0.2</w:t>
            </w:r>
          </w:p>
        </w:tc>
        <w:tc>
          <w:tcPr>
            <w:tcW w:w="307" w:type="dxa"/>
            <w:tcBorders/>
            <w:shd w:fill="auto" w:val="clear"/>
            <w:vAlign w:val="bottom"/>
          </w:tcPr>
          <w:p>
            <w:pPr>
              <w:pStyle w:val="TableContents"/>
              <w:spacing w:before="0" w:after="283"/>
              <w:rPr/>
            </w:pPr>
            <w:r>
              <w:rPr/>
              <w:t>%</w:t>
            </w:r>
          </w:p>
        </w:tc>
      </w:tr>
    </w:tbl>
    <w:p>
      <w:pPr>
        <w:pStyle w:val="TextBody"/>
        <w:spacing w:before="120" w:after="283"/>
        <w:jc w:val="left"/>
        <w:rPr/>
      </w:pPr>
      <w:r>
        <w:rPr/>
        <w:t>     </w:t>
      </w:r>
      <w:r>
        <w:rPr>
          <w:rFonts w:ascii="Times New Roman;Times;serif" w:hAnsi="Times New Roman;Times;serif"/>
          <w:sz w:val="17"/>
        </w:rPr>
        <w:t xml:space="preserve">Other income/(expense), net includes interest income and expense generated in connection with the financing of our operating activities, as well as certain other transactions that are outside of the course of normal operations. During the first quarter of fiscal 2006, other income/(expense), net includes interest expense, totaling approximately $0.2 million, related to our two short-term, non-collateralized, revolving credit facilities and our term loan with Farm Credit West, PCA.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Benefit for Income Taxes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140"/>
        <w:gridCol w:w="357"/>
        <w:gridCol w:w="197"/>
        <w:gridCol w:w="808"/>
        <w:gridCol w:w="343"/>
        <w:gridCol w:w="365"/>
        <w:gridCol w:w="119"/>
        <w:gridCol w:w="808"/>
        <w:gridCol w:w="343"/>
        <w:gridCol w:w="364"/>
        <w:gridCol w:w="197"/>
        <w:gridCol w:w="808"/>
        <w:gridCol w:w="356"/>
      </w:tblGrid>
      <w:tr>
        <w:trPr/>
        <w:tc>
          <w:tcPr>
            <w:tcW w:w="5140"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r>
      <w:tr>
        <w:trPr/>
        <w:tc>
          <w:tcPr>
            <w:tcW w:w="5140"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c>
          <w:tcPr>
            <w:tcW w:w="4708" w:type="dxa"/>
            <w:gridSpan w:val="11"/>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January 31,</w:t>
            </w:r>
          </w:p>
        </w:tc>
      </w:tr>
      <w:tr>
        <w:trPr/>
        <w:tc>
          <w:tcPr>
            <w:tcW w:w="5140" w:type="dxa"/>
            <w:tcBorders>
              <w:bottom w:val="single" w:sz="2" w:space="0" w:color="000000"/>
            </w:tcBorders>
            <w:shd w:fill="auto" w:val="clear"/>
            <w:tcMar>
              <w:bottom w:w="28" w:type="dxa"/>
            </w:tcMar>
            <w:vAlign w:val="bottom"/>
          </w:tcPr>
          <w:p>
            <w:pPr>
              <w:pStyle w:val="TableContents"/>
              <w:spacing w:before="0" w:after="283"/>
              <w:jc w:val="left"/>
              <w:rPr>
                <w:b/>
              </w:rPr>
            </w:pPr>
            <w:r>
              <w:rPr>
                <w:b/>
              </w:rPr>
              <w:t>(in thousands)</w:t>
            </w:r>
          </w:p>
        </w:tc>
        <w:tc>
          <w:tcPr>
            <w:tcW w:w="357" w:type="dxa"/>
            <w:tcBorders/>
            <w:shd w:fill="auto" w:val="clear"/>
            <w:vAlign w:val="bottom"/>
          </w:tcPr>
          <w:p>
            <w:pPr>
              <w:pStyle w:val="TableContents"/>
              <w:spacing w:before="0" w:after="283"/>
              <w:rPr/>
            </w:pPr>
            <w:r>
              <w:rPr/>
              <w:t> </w:t>
            </w:r>
          </w:p>
        </w:tc>
        <w:tc>
          <w:tcPr>
            <w:tcW w:w="1348"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c>
          <w:tcPr>
            <w:tcW w:w="365" w:type="dxa"/>
            <w:tcBorders/>
            <w:shd w:fill="auto" w:val="clear"/>
            <w:vAlign w:val="bottom"/>
          </w:tcPr>
          <w:p>
            <w:pPr>
              <w:pStyle w:val="TableContents"/>
              <w:spacing w:before="0" w:after="283"/>
              <w:rPr/>
            </w:pPr>
            <w:r>
              <w:rPr/>
              <w:t> </w:t>
            </w:r>
          </w:p>
        </w:tc>
        <w:tc>
          <w:tcPr>
            <w:tcW w:w="1270"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Change</w:t>
            </w:r>
          </w:p>
        </w:tc>
        <w:tc>
          <w:tcPr>
            <w:tcW w:w="364" w:type="dxa"/>
            <w:tcBorders/>
            <w:shd w:fill="auto" w:val="clear"/>
            <w:vAlign w:val="bottom"/>
          </w:tcPr>
          <w:p>
            <w:pPr>
              <w:pStyle w:val="TableContents"/>
              <w:spacing w:before="0" w:after="283"/>
              <w:rPr/>
            </w:pPr>
            <w:r>
              <w:rPr/>
              <w:t> </w:t>
            </w:r>
          </w:p>
        </w:tc>
        <w:tc>
          <w:tcPr>
            <w:tcW w:w="1361"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2005</w:t>
            </w:r>
          </w:p>
        </w:tc>
      </w:tr>
      <w:tr>
        <w:trPr/>
        <w:tc>
          <w:tcPr>
            <w:tcW w:w="5140" w:type="dxa"/>
            <w:tcBorders/>
            <w:shd w:fill="auto" w:val="clear"/>
            <w:vAlign w:val="bottom"/>
          </w:tcPr>
          <w:p>
            <w:pPr>
              <w:pStyle w:val="TableContents"/>
              <w:spacing w:before="0" w:after="0"/>
              <w:ind w:left="225" w:right="0" w:hanging="225"/>
              <w:rPr/>
            </w:pPr>
            <w:r>
              <w:rPr/>
              <w:t>Benefit for income taxes</w:t>
            </w:r>
          </w:p>
        </w:tc>
        <w:tc>
          <w:tcPr>
            <w:tcW w:w="35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right"/>
              <w:rPr/>
            </w:pPr>
            <w:r>
              <w:rPr/>
              <w:t>$</w:t>
            </w:r>
          </w:p>
        </w:tc>
        <w:tc>
          <w:tcPr>
            <w:tcW w:w="808" w:type="dxa"/>
            <w:tcBorders/>
            <w:shd w:fill="auto" w:val="clear"/>
            <w:vAlign w:val="bottom"/>
          </w:tcPr>
          <w:p>
            <w:pPr>
              <w:pStyle w:val="TableContents"/>
              <w:spacing w:before="0" w:after="283"/>
              <w:jc w:val="right"/>
              <w:rPr/>
            </w:pPr>
            <w:r>
              <w:rPr/>
              <w:t>(444</w:t>
            </w:r>
          </w:p>
        </w:tc>
        <w:tc>
          <w:tcPr>
            <w:tcW w:w="343" w:type="dxa"/>
            <w:tcBorders/>
            <w:shd w:fill="auto" w:val="clear"/>
            <w:vAlign w:val="bottom"/>
          </w:tcPr>
          <w:p>
            <w:pPr>
              <w:pStyle w:val="TableContents"/>
              <w:spacing w:before="0" w:after="283"/>
              <w:rPr/>
            </w:pPr>
            <w:r>
              <w:rPr/>
              <w:t>)</w:t>
            </w:r>
          </w:p>
        </w:tc>
        <w:tc>
          <w:tcPr>
            <w:tcW w:w="36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right"/>
              <w:rPr/>
            </w:pPr>
            <w:r>
              <w:rPr/>
              <w:t> </w:t>
            </w:r>
          </w:p>
        </w:tc>
        <w:tc>
          <w:tcPr>
            <w:tcW w:w="808" w:type="dxa"/>
            <w:tcBorders/>
            <w:shd w:fill="auto" w:val="clear"/>
            <w:vAlign w:val="bottom"/>
          </w:tcPr>
          <w:p>
            <w:pPr>
              <w:pStyle w:val="TableContents"/>
              <w:spacing w:before="0" w:after="283"/>
              <w:jc w:val="right"/>
              <w:rPr/>
            </w:pPr>
            <w:r>
              <w:rPr/>
              <w:t>(57.1</w:t>
            </w:r>
          </w:p>
        </w:tc>
        <w:tc>
          <w:tcPr>
            <w:tcW w:w="343" w:type="dxa"/>
            <w:tcBorders/>
            <w:shd w:fill="auto" w:val="clear"/>
            <w:vAlign w:val="bottom"/>
          </w:tcPr>
          <w:p>
            <w:pPr>
              <w:pStyle w:val="TableContents"/>
              <w:spacing w:before="0" w:after="283"/>
              <w:rPr/>
            </w:pPr>
            <w:r>
              <w:rPr/>
              <w:t>)%</w:t>
            </w:r>
          </w:p>
        </w:tc>
        <w:tc>
          <w:tcPr>
            <w:tcW w:w="36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right"/>
              <w:rPr/>
            </w:pPr>
            <w:r>
              <w:rPr/>
              <w:t>$</w:t>
            </w:r>
          </w:p>
        </w:tc>
        <w:tc>
          <w:tcPr>
            <w:tcW w:w="808" w:type="dxa"/>
            <w:tcBorders/>
            <w:shd w:fill="auto" w:val="clear"/>
            <w:vAlign w:val="bottom"/>
          </w:tcPr>
          <w:p>
            <w:pPr>
              <w:pStyle w:val="TableContents"/>
              <w:spacing w:before="0" w:after="283"/>
              <w:jc w:val="right"/>
              <w:rPr/>
            </w:pPr>
            <w:r>
              <w:rPr/>
              <w:t>(932</w:t>
            </w:r>
          </w:p>
        </w:tc>
        <w:tc>
          <w:tcPr>
            <w:tcW w:w="356" w:type="dxa"/>
            <w:tcBorders/>
            <w:shd w:fill="auto" w:val="clear"/>
            <w:vAlign w:val="bottom"/>
          </w:tcPr>
          <w:p>
            <w:pPr>
              <w:pStyle w:val="TableContents"/>
              <w:spacing w:before="0" w:after="283"/>
              <w:rPr/>
            </w:pPr>
            <w:r>
              <w:rPr/>
              <w:t>)</w:t>
            </w:r>
          </w:p>
        </w:tc>
      </w:tr>
      <w:tr>
        <w:trPr/>
        <w:tc>
          <w:tcPr>
            <w:tcW w:w="5140" w:type="dxa"/>
            <w:tcBorders/>
            <w:shd w:fill="auto" w:val="clear"/>
            <w:vAlign w:val="bottom"/>
          </w:tcPr>
          <w:p>
            <w:pPr>
              <w:pStyle w:val="TableContents"/>
              <w:spacing w:before="0" w:after="0"/>
              <w:ind w:left="225" w:right="0" w:hanging="225"/>
              <w:rPr/>
            </w:pPr>
            <w:r>
              <w:rPr/>
              <w:t>Percentage of loss before benefit for income taxes</w:t>
            </w:r>
          </w:p>
        </w:tc>
        <w:tc>
          <w:tcPr>
            <w:tcW w:w="357"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right"/>
              <w:rPr/>
            </w:pPr>
            <w:r>
              <w:rPr/>
              <w:t> </w:t>
            </w:r>
          </w:p>
        </w:tc>
        <w:tc>
          <w:tcPr>
            <w:tcW w:w="808" w:type="dxa"/>
            <w:tcBorders/>
            <w:shd w:fill="auto" w:val="clear"/>
            <w:vAlign w:val="bottom"/>
          </w:tcPr>
          <w:p>
            <w:pPr>
              <w:pStyle w:val="TableContents"/>
              <w:spacing w:before="0" w:after="283"/>
              <w:jc w:val="right"/>
              <w:rPr/>
            </w:pPr>
            <w:r>
              <w:rPr/>
              <w:t>(40.0</w:t>
            </w:r>
          </w:p>
        </w:tc>
        <w:tc>
          <w:tcPr>
            <w:tcW w:w="343" w:type="dxa"/>
            <w:tcBorders/>
            <w:shd w:fill="auto" w:val="clear"/>
            <w:vAlign w:val="bottom"/>
          </w:tcPr>
          <w:p>
            <w:pPr>
              <w:pStyle w:val="TableContents"/>
              <w:spacing w:before="0" w:after="283"/>
              <w:rPr/>
            </w:pPr>
            <w:r>
              <w:rPr/>
              <w:t>%)</w:t>
            </w:r>
          </w:p>
        </w:tc>
        <w:tc>
          <w:tcPr>
            <w:tcW w:w="365"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jc w:val="right"/>
              <w:rPr/>
            </w:pPr>
            <w:r>
              <w:rPr/>
              <w:t> </w:t>
            </w:r>
          </w:p>
        </w:tc>
        <w:tc>
          <w:tcPr>
            <w:tcW w:w="808" w:type="dxa"/>
            <w:tcBorders/>
            <w:shd w:fill="auto" w:val="clear"/>
            <w:vAlign w:val="bottom"/>
          </w:tcPr>
          <w:p>
            <w:pPr>
              <w:pStyle w:val="TableContents"/>
              <w:spacing w:before="0" w:after="283"/>
              <w:jc w:val="right"/>
              <w:rPr/>
            </w:pPr>
            <w:r>
              <w:rPr/>
              <w:t>(37.6</w:t>
            </w:r>
          </w:p>
        </w:tc>
        <w:tc>
          <w:tcPr>
            <w:tcW w:w="356" w:type="dxa"/>
            <w:tcBorders/>
            <w:shd w:fill="auto" w:val="clear"/>
            <w:vAlign w:val="bottom"/>
          </w:tcPr>
          <w:p>
            <w:pPr>
              <w:pStyle w:val="TableContents"/>
              <w:spacing w:before="0" w:after="283"/>
              <w:rPr/>
            </w:pPr>
            <w:r>
              <w:rPr/>
              <w:t>%)</w:t>
            </w:r>
          </w:p>
        </w:tc>
      </w:tr>
    </w:tbl>
    <w:p>
      <w:pPr>
        <w:pStyle w:val="TextBody"/>
        <w:spacing w:before="120" w:after="283"/>
        <w:jc w:val="left"/>
        <w:rPr/>
      </w:pPr>
      <w:r>
        <w:rPr/>
        <w:t>     </w:t>
      </w:r>
      <w:r>
        <w:rPr>
          <w:rFonts w:ascii="Times New Roman;Times;serif" w:hAnsi="Times New Roman;Times;serif"/>
          <w:sz w:val="17"/>
        </w:rPr>
        <w:t xml:space="preserve">For the first three months of fiscal year 2006, our benefit for income taxes was $(0.4) million as compared to $(0.9) million recorded for the comparable prior year period. We expect our effective tax rate to approximate 40.0% during fiscal year 2006. </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Liquidity and Capital Resources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Cash used in operating activities was $0.6 million for the three months ended January 31, 2006, compared to cash provided by operating activities of $3.7 million for the similar period in fiscal 2005. Operating cash flows for the three-months ended January 31, 2006 reflect our net loss of $0.7 million, net non-cash charges (depreciation and amortization, stock compensation expense and provision for losses on accounts receivable) of $0.6 million and a net decrease in the noncash components of our working capital of approximately $0.5 million. </w:t>
      </w:r>
    </w:p>
    <w:p>
      <w:pPr>
        <w:pStyle w:val="TextBody"/>
        <w:spacing w:before="120" w:after="283"/>
        <w:jc w:val="left"/>
        <w:rPr/>
      </w:pPr>
      <w:r>
        <w:rPr/>
        <w:t>     </w:t>
      </w:r>
      <w:r>
        <w:rPr>
          <w:rFonts w:ascii="Times New Roman;Times;serif" w:hAnsi="Times New Roman;Times;serif"/>
          <w:sz w:val="17"/>
        </w:rPr>
        <w:t xml:space="preserve">These working capital decreases include an increase in accounts receivable of $4.3 million, an increase in inventory totaling $1.2 million, an increase in prepaid and other current assets of $0.7 million, and an increase in income tax receivable of $0.4 million, partially offset by an increase in growers payable of $5.0 million, a decrease in advances to suppliers totaling $0.6 million, and an increase in trade accounts payable and accrued expenses of $0.5 million. </w:t>
      </w:r>
    </w:p>
    <w:p>
      <w:pPr>
        <w:pStyle w:val="TextBody"/>
        <w:spacing w:before="120" w:after="283"/>
        <w:jc w:val="left"/>
        <w:rPr/>
      </w:pPr>
      <w:r>
        <w:rPr/>
        <w:t>     </w:t>
      </w:r>
      <w:r>
        <w:rPr>
          <w:rFonts w:ascii="Times New Roman;Times;serif" w:hAnsi="Times New Roman;Times;serif"/>
          <w:sz w:val="17"/>
        </w:rPr>
        <w:t xml:space="preserve">Increases in our accounts receivable balance as of January 31, 2006, when compared to October 31, 2005, primarily reflects higher sales recorded in the month of January 2006, as compared to October 2005. The amounts in inventory and payable to our growers primarily reflect an increase in fruit delivered, partially offset by a decrease in the price per pound of California avocados marketed in the month of January 2006, as compared to October 2005. </w:t>
      </w:r>
    </w:p>
    <w:p>
      <w:pPr>
        <w:pStyle w:val="TextBody"/>
        <w:spacing w:before="120" w:after="283"/>
        <w:jc w:val="left"/>
        <w:rPr/>
      </w:pPr>
      <w:r>
        <w:rPr/>
        <w:t>     </w:t>
      </w:r>
      <w:r>
        <w:rPr>
          <w:rFonts w:ascii="Times New Roman;Times;serif" w:hAnsi="Times New Roman;Times;serif"/>
          <w:sz w:val="17"/>
        </w:rPr>
        <w:t xml:space="preserve">Cash used in investing activities was $1.1 million for the three months ended January 31, 2006 and related principally to the purchase of miscellaneous capital equipment items, including new field bins for our packinghouses and capital items related to our ProRipeVIP avocado ripening program. </w:t>
      </w:r>
    </w:p>
    <w:p>
      <w:pPr>
        <w:pStyle w:val="TextBody"/>
        <w:spacing w:before="120" w:after="283"/>
        <w:jc w:val="left"/>
        <w:rPr/>
      </w:pPr>
      <w:r>
        <w:rPr/>
        <w:t>     </w:t>
      </w:r>
      <w:r>
        <w:rPr>
          <w:rFonts w:ascii="Times New Roman;Times;serif" w:hAnsi="Times New Roman;Times;serif"/>
          <w:sz w:val="17"/>
        </w:rPr>
        <w:t xml:space="preserve">Cash provided by financing activities was $0.8 million for the three months ended January 31, 2006 and related principally to $6.4 million in proceeds from short-term borrowings, partially offset by a $4.6 million cash dividend payment, as well as $1.2 million related to the retirement of 120,000 shares of our common stock. </w:t>
      </w:r>
    </w:p>
    <w:p>
      <w:pPr>
        <w:pStyle w:val="TextBody"/>
        <w:spacing w:before="120" w:after="283"/>
        <w:jc w:val="left"/>
        <w:rPr/>
      </w:pPr>
      <w:r>
        <w:rPr/>
        <w:t>     </w:t>
      </w:r>
      <w:r>
        <w:rPr>
          <w:rFonts w:ascii="Times New Roman;Times;serif" w:hAnsi="Times New Roman;Times;serif"/>
          <w:sz w:val="17"/>
        </w:rPr>
        <w:t xml:space="preserve">Our principal sources of liquidity are our existing cash reserves, cash generated from operations and amounts available for borrowing under our existing credit facilities. Cash and cash equivalents as of January 31, 2006 and October 31, 2005 totaled $0.2 million and $1.1 million. Our working capital at January 31, 2006 was $15.0 million compared to $17.6 million at October 31, 2005. The overall working capital decrease primarily reflects an increase in our short-term borrowings and our payable to growers. </w:t>
      </w:r>
    </w:p>
    <w:p>
      <w:pPr>
        <w:pStyle w:val="TextBody"/>
        <w:spacing w:before="120" w:after="283"/>
        <w:jc w:val="left"/>
        <w:rPr/>
      </w:pPr>
      <w:r>
        <w:rPr/>
        <w:t>     </w:t>
      </w:r>
      <w:r>
        <w:rPr>
          <w:rFonts w:ascii="Times New Roman;Times;serif" w:hAnsi="Times New Roman;Times;serif"/>
          <w:sz w:val="17"/>
        </w:rPr>
        <w:t xml:space="preserve">We believe that cash flows from operations and available credit facilities will be sufficient to satisfy our future capital expenditures, grower recruitment efforts, working capital and other financing requirements. We will continue to evaluate grower recruitment opportunities and exclusivity arrangements with food service companies to fuel growth in each of our business segments. We have two short-term, non-collateralized, revolving credit facilities. These credit facilities expire in February 2007 and April 2008 and are with separate banks. Under the terms of these agreements, we are advanced funds for working capital purposes. Total credit available under the combined short-term borrowing agreements was $24 million, with a weighted-average interest rate of 5.6% and 4.8% at January 31, 2006 and October 31, 2005. Under these credit facilities, we had $7.8 million and $1.4 million outstanding as of January 31, 2006 and October 31, 2005. The credit facilities contain various financial covenants with which we were in compliance at January 31, 2006. The most significant financial covenants relate to working capital, tangible net worth (as defined), and Earnings Before Interest, Taxes, Depreciation and Amortization (EBITDA) (as defined) requirements.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Impact of Recently Issued Accounting Pronouncements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See footnote 1 to the consolidated condensed financial statements that are included in this Quarterly Report on Form 10-Q.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1" w:name="109"/>
      <w:bookmarkEnd w:id="11"/>
      <w:r>
        <w:rPr>
          <w:rFonts w:ascii="Times New Roman;Times;serif" w:hAnsi="Times New Roman;Times;serif"/>
          <w:b/>
          <w:sz w:val="17"/>
        </w:rPr>
        <w:t>ITEM 3. QUANTITATIVE AND QUALITATIVE DISCLOSURES ABOUT MARKET RISK</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Our financial instruments include cash and cash equivalents, accounts receivable, notes receivable from shareholders, payable to growers, accounts payable, current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January 31, 2006. </w:t>
      </w:r>
    </w:p>
    <w:tbl>
      <w:tblPr>
        <w:tblW w:w="5000" w:type="pct"/>
        <w:jc w:val="center"/>
        <w:tblInd w:w="0" w:type="dxa"/>
        <w:tblCellMar>
          <w:top w:w="0" w:type="dxa"/>
          <w:left w:w="0" w:type="dxa"/>
          <w:bottom w:w="0" w:type="dxa"/>
          <w:right w:w="0" w:type="dxa"/>
        </w:tblCellMar>
      </w:tblPr>
      <w:tblGrid>
        <w:gridCol w:w="2599"/>
        <w:gridCol w:w="71"/>
        <w:gridCol w:w="141"/>
        <w:gridCol w:w="686"/>
        <w:gridCol w:w="62"/>
        <w:gridCol w:w="71"/>
        <w:gridCol w:w="141"/>
        <w:gridCol w:w="569"/>
        <w:gridCol w:w="62"/>
        <w:gridCol w:w="71"/>
        <w:gridCol w:w="141"/>
        <w:gridCol w:w="569"/>
        <w:gridCol w:w="62"/>
        <w:gridCol w:w="70"/>
        <w:gridCol w:w="141"/>
        <w:gridCol w:w="569"/>
        <w:gridCol w:w="62"/>
        <w:gridCol w:w="71"/>
        <w:gridCol w:w="141"/>
        <w:gridCol w:w="569"/>
        <w:gridCol w:w="62"/>
        <w:gridCol w:w="71"/>
        <w:gridCol w:w="199"/>
        <w:gridCol w:w="800"/>
        <w:gridCol w:w="62"/>
        <w:gridCol w:w="71"/>
        <w:gridCol w:w="140"/>
        <w:gridCol w:w="686"/>
        <w:gridCol w:w="62"/>
        <w:gridCol w:w="71"/>
        <w:gridCol w:w="175"/>
        <w:gridCol w:w="853"/>
        <w:gridCol w:w="85"/>
      </w:tblGrid>
      <w:tr>
        <w:trPr/>
        <w:tc>
          <w:tcPr>
            <w:tcW w:w="2599"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r>
      <w:tr>
        <w:trPr/>
        <w:tc>
          <w:tcPr>
            <w:tcW w:w="2599"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7450" w:type="dxa"/>
            <w:gridSpan w:val="30"/>
            <w:tcBorders>
              <w:bottom w:val="single" w:sz="2" w:space="0" w:color="000000"/>
            </w:tcBorders>
            <w:shd w:fill="auto" w:val="clear"/>
            <w:tcMar>
              <w:bottom w:w="28" w:type="dxa"/>
            </w:tcMar>
            <w:vAlign w:val="bottom"/>
          </w:tcPr>
          <w:p>
            <w:pPr>
              <w:pStyle w:val="TableContents"/>
              <w:spacing w:before="0" w:after="283"/>
              <w:jc w:val="center"/>
              <w:rPr/>
            </w:pPr>
            <w:r>
              <w:rPr/>
              <w:t>Expected maturity date January 31,</w:t>
            </w:r>
          </w:p>
        </w:tc>
        <w:tc>
          <w:tcPr>
            <w:tcW w:w="85" w:type="dxa"/>
            <w:tcBorders/>
            <w:shd w:fill="auto" w:val="clear"/>
            <w:vAlign w:val="bottom"/>
          </w:tcPr>
          <w:p>
            <w:pPr>
              <w:pStyle w:val="TableContents"/>
              <w:spacing w:before="0" w:after="283"/>
              <w:rPr/>
            </w:pPr>
            <w:r>
              <w:rPr/>
              <w:t> </w:t>
            </w:r>
          </w:p>
        </w:tc>
      </w:tr>
      <w:tr>
        <w:trPr/>
        <w:tc>
          <w:tcPr>
            <w:tcW w:w="2599" w:type="dxa"/>
            <w:tcBorders>
              <w:bottom w:val="single" w:sz="2" w:space="0" w:color="000000"/>
            </w:tcBorders>
            <w:shd w:fill="auto" w:val="clear"/>
            <w:tcMar>
              <w:bottom w:w="28" w:type="dxa"/>
            </w:tcMar>
            <w:vAlign w:val="bottom"/>
          </w:tcPr>
          <w:p>
            <w:pPr>
              <w:pStyle w:val="TableContents"/>
              <w:spacing w:before="0" w:after="283"/>
              <w:jc w:val="left"/>
              <w:rPr/>
            </w:pPr>
            <w:r>
              <w:rPr/>
              <w:t>(All amounts in thousands)</w:t>
            </w:r>
          </w:p>
        </w:tc>
        <w:tc>
          <w:tcPr>
            <w:tcW w:w="71" w:type="dxa"/>
            <w:tcBorders/>
            <w:shd w:fill="auto" w:val="clear"/>
            <w:vAlign w:val="bottom"/>
          </w:tcPr>
          <w:p>
            <w:pPr>
              <w:pStyle w:val="TableContents"/>
              <w:spacing w:before="0" w:after="283"/>
              <w:rPr/>
            </w:pPr>
            <w:r>
              <w:rPr/>
              <w:t> </w:t>
            </w:r>
          </w:p>
        </w:tc>
        <w:tc>
          <w:tcPr>
            <w:tcW w:w="82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71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71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2008</w:t>
            </w:r>
          </w:p>
        </w:tc>
        <w:tc>
          <w:tcPr>
            <w:tcW w:w="62"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1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2009</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710" w:type="dxa"/>
            <w:gridSpan w:val="2"/>
            <w:tcBorders>
              <w:bottom w:val="single" w:sz="2" w:space="0" w:color="000000"/>
            </w:tcBorders>
            <w:shd w:fill="auto" w:val="clear"/>
            <w:tcMar>
              <w:bottom w:w="28" w:type="dxa"/>
            </w:tcMar>
            <w:vAlign w:val="bottom"/>
          </w:tcPr>
          <w:p>
            <w:pPr>
              <w:pStyle w:val="TableContents"/>
              <w:spacing w:before="0" w:after="283"/>
              <w:jc w:val="center"/>
              <w:rPr/>
            </w:pPr>
            <w:r>
              <w:rPr/>
              <w:t>2010</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999" w:type="dxa"/>
            <w:gridSpan w:val="2"/>
            <w:tcBorders>
              <w:bottom w:val="single" w:sz="2" w:space="0" w:color="000000"/>
            </w:tcBorders>
            <w:shd w:fill="auto" w:val="clear"/>
            <w:tcMar>
              <w:bottom w:w="28" w:type="dxa"/>
            </w:tcMar>
            <w:vAlign w:val="bottom"/>
          </w:tcPr>
          <w:p>
            <w:pPr>
              <w:pStyle w:val="TableContents"/>
              <w:spacing w:before="0" w:after="283"/>
              <w:jc w:val="center"/>
              <w:rPr/>
            </w:pPr>
            <w:r>
              <w:rPr/>
              <w:t>Thereafter</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26" w:type="dxa"/>
            <w:gridSpan w:val="2"/>
            <w:tcBorders>
              <w:bottom w:val="single" w:sz="2" w:space="0" w:color="000000"/>
            </w:tcBorders>
            <w:shd w:fill="auto" w:val="clear"/>
            <w:tcMar>
              <w:bottom w:w="28" w:type="dxa"/>
            </w:tcMar>
            <w:vAlign w:val="bottom"/>
          </w:tcPr>
          <w:p>
            <w:pPr>
              <w:pStyle w:val="TableContents"/>
              <w:spacing w:before="0" w:after="283"/>
              <w:jc w:val="center"/>
              <w:rPr/>
            </w:pPr>
            <w:r>
              <w:rPr/>
              <w:t>Total</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028" w:type="dxa"/>
            <w:gridSpan w:val="2"/>
            <w:tcBorders>
              <w:bottom w:val="single" w:sz="2" w:space="0" w:color="000000"/>
            </w:tcBorders>
            <w:shd w:fill="auto" w:val="clear"/>
            <w:tcMar>
              <w:bottom w:w="28" w:type="dxa"/>
            </w:tcMar>
            <w:vAlign w:val="bottom"/>
          </w:tcPr>
          <w:p>
            <w:pPr>
              <w:pStyle w:val="TableContents"/>
              <w:spacing w:before="0" w:after="283"/>
              <w:jc w:val="center"/>
              <w:rPr/>
            </w:pPr>
            <w:r>
              <w:rPr/>
              <w:t>Fair Value</w:t>
            </w:r>
          </w:p>
        </w:tc>
        <w:tc>
          <w:tcPr>
            <w:tcW w:w="85" w:type="dxa"/>
            <w:tcBorders/>
            <w:shd w:fill="auto" w:val="clear"/>
            <w:vAlign w:val="bottom"/>
          </w:tcPr>
          <w:p>
            <w:pPr>
              <w:pStyle w:val="TableContents"/>
              <w:spacing w:before="0" w:after="283"/>
              <w:rPr/>
            </w:pPr>
            <w:r>
              <w:rPr/>
              <w:t> </w:t>
            </w:r>
          </w:p>
        </w:tc>
      </w:tr>
      <w:tr>
        <w:trPr/>
        <w:tc>
          <w:tcPr>
            <w:tcW w:w="2599" w:type="dxa"/>
            <w:tcBorders/>
            <w:shd w:fill="CCEEFF" w:val="clear"/>
            <w:vAlign w:val="bottom"/>
          </w:tcPr>
          <w:p>
            <w:pPr>
              <w:pStyle w:val="TableContents"/>
              <w:spacing w:before="0" w:after="0"/>
              <w:ind w:left="225" w:right="0" w:hanging="225"/>
              <w:rPr/>
            </w:pPr>
            <w:r>
              <w:rPr/>
              <w:t>Assets</w:t>
            </w:r>
          </w:p>
        </w:tc>
        <w:tc>
          <w:tcPr>
            <w:tcW w:w="7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r>
      <w:tr>
        <w:trPr/>
        <w:tc>
          <w:tcPr>
            <w:tcW w:w="2599" w:type="dxa"/>
            <w:tcBorders/>
            <w:shd w:fill="auto" w:val="clear"/>
            <w:vAlign w:val="bottom"/>
          </w:tcPr>
          <w:p>
            <w:pPr>
              <w:pStyle w:val="TableContents"/>
              <w:spacing w:before="0" w:after="0"/>
              <w:ind w:left="225" w:right="0" w:hanging="225"/>
              <w:rPr/>
            </w:pPr>
            <w:r>
              <w:rPr/>
              <w:t>Cash and cash equivalents (1)</w:t>
            </w:r>
          </w:p>
        </w:tc>
        <w:tc>
          <w:tcPr>
            <w:tcW w:w="7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686" w:type="dxa"/>
            <w:tcBorders/>
            <w:shd w:fill="auto" w:val="clear"/>
            <w:vAlign w:val="bottom"/>
          </w:tcPr>
          <w:p>
            <w:pPr>
              <w:pStyle w:val="TableContents"/>
              <w:spacing w:before="0" w:after="283"/>
              <w:jc w:val="right"/>
              <w:rPr/>
            </w:pPr>
            <w:r>
              <w:rPr/>
              <w:t>238</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86" w:type="dxa"/>
            <w:tcBorders/>
            <w:shd w:fill="auto" w:val="clear"/>
            <w:vAlign w:val="bottom"/>
          </w:tcPr>
          <w:p>
            <w:pPr>
              <w:pStyle w:val="TableContents"/>
              <w:spacing w:before="0" w:after="283"/>
              <w:jc w:val="right"/>
              <w:rPr/>
            </w:pPr>
            <w:r>
              <w:rPr/>
              <w:t>238</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53" w:type="dxa"/>
            <w:tcBorders/>
            <w:shd w:fill="auto" w:val="clear"/>
            <w:vAlign w:val="bottom"/>
          </w:tcPr>
          <w:p>
            <w:pPr>
              <w:pStyle w:val="TableContents"/>
              <w:spacing w:before="0" w:after="283"/>
              <w:jc w:val="right"/>
              <w:rPr/>
            </w:pPr>
            <w:r>
              <w:rPr/>
              <w:t>238</w:t>
            </w:r>
          </w:p>
        </w:tc>
        <w:tc>
          <w:tcPr>
            <w:tcW w:w="85" w:type="dxa"/>
            <w:tcBorders/>
            <w:shd w:fill="auto" w:val="clear"/>
            <w:vAlign w:val="bottom"/>
          </w:tcPr>
          <w:p>
            <w:pPr>
              <w:pStyle w:val="TableContents"/>
              <w:spacing w:before="0" w:after="283"/>
              <w:rPr/>
            </w:pPr>
            <w:r>
              <w:rPr/>
              <w:t> </w:t>
            </w:r>
          </w:p>
        </w:tc>
      </w:tr>
      <w:tr>
        <w:trPr/>
        <w:tc>
          <w:tcPr>
            <w:tcW w:w="2599" w:type="dxa"/>
            <w:tcBorders/>
            <w:shd w:fill="CCEEFF" w:val="clear"/>
            <w:vAlign w:val="bottom"/>
          </w:tcPr>
          <w:p>
            <w:pPr>
              <w:pStyle w:val="TableContents"/>
              <w:spacing w:before="0" w:after="0"/>
              <w:ind w:left="225" w:right="0" w:hanging="225"/>
              <w:rPr/>
            </w:pPr>
            <w:r>
              <w:rPr/>
              <w:t>Accounts receivable (1)</w:t>
            </w:r>
          </w:p>
        </w:tc>
        <w:tc>
          <w:tcPr>
            <w:tcW w:w="7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pPr>
            <w:r>
              <w:rPr/>
              <w:t>23,568</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pPr>
            <w:r>
              <w:rPr/>
              <w:t>23,568</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pPr>
            <w:r>
              <w:rPr/>
              <w:t>23,568</w:t>
            </w:r>
          </w:p>
        </w:tc>
        <w:tc>
          <w:tcPr>
            <w:tcW w:w="85" w:type="dxa"/>
            <w:tcBorders/>
            <w:shd w:fill="CCEEFF" w:val="clear"/>
            <w:vAlign w:val="bottom"/>
          </w:tcPr>
          <w:p>
            <w:pPr>
              <w:pStyle w:val="TableContents"/>
              <w:spacing w:before="0" w:after="283"/>
              <w:rPr/>
            </w:pPr>
            <w:r>
              <w:rPr/>
              <w:t> </w:t>
            </w:r>
          </w:p>
        </w:tc>
      </w:tr>
      <w:tr>
        <w:trPr/>
        <w:tc>
          <w:tcPr>
            <w:tcW w:w="2599" w:type="dxa"/>
            <w:tcBorders/>
            <w:shd w:fill="auto" w:val="clear"/>
            <w:vAlign w:val="bottom"/>
          </w:tcPr>
          <w:p>
            <w:pPr>
              <w:pStyle w:val="TableContents"/>
              <w:spacing w:before="0" w:after="0"/>
              <w:ind w:left="225" w:right="0" w:hanging="225"/>
              <w:rPr/>
            </w:pPr>
            <w:r>
              <w:rPr/>
              <w:t>Notes receivable from shareholders (2)</w:t>
            </w:r>
          </w:p>
        </w:tc>
        <w:tc>
          <w:tcPr>
            <w:tcW w:w="7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pPr>
            <w:r>
              <w:rPr/>
              <w:t>175</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2,461</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pPr>
            <w:r>
              <w:rPr/>
              <w:t>2,636</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pPr>
            <w:r>
              <w:rPr/>
              <w:t>2,506</w:t>
            </w:r>
          </w:p>
        </w:tc>
        <w:tc>
          <w:tcPr>
            <w:tcW w:w="85" w:type="dxa"/>
            <w:tcBorders/>
            <w:shd w:fill="auto" w:val="clear"/>
            <w:vAlign w:val="bottom"/>
          </w:tcPr>
          <w:p>
            <w:pPr>
              <w:pStyle w:val="TableContents"/>
              <w:spacing w:before="0" w:after="283"/>
              <w:rPr/>
            </w:pPr>
            <w:r>
              <w:rPr/>
              <w:t> </w:t>
            </w:r>
          </w:p>
        </w:tc>
      </w:tr>
      <w:tr>
        <w:trPr/>
        <w:tc>
          <w:tcPr>
            <w:tcW w:w="2599" w:type="dxa"/>
            <w:tcBorders/>
            <w:shd w:fill="auto" w:val="clear"/>
            <w:vAlign w:val="bottom"/>
          </w:tcPr>
          <w:p>
            <w:pPr>
              <w:pStyle w:val="TableContents"/>
              <w:spacing w:before="0" w:after="0"/>
              <w:ind w:left="225" w:right="0" w:hanging="225"/>
              <w:rPr/>
            </w:pPr>
            <w:r>
              <w:rPr/>
              <w:t> </w:t>
            </w:r>
          </w:p>
        </w:tc>
        <w:tc>
          <w:tcPr>
            <w:tcW w:w="7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r>
      <w:tr>
        <w:trPr/>
        <w:tc>
          <w:tcPr>
            <w:tcW w:w="2599" w:type="dxa"/>
            <w:tcBorders/>
            <w:shd w:fill="CCEEFF" w:val="clear"/>
            <w:vAlign w:val="bottom"/>
          </w:tcPr>
          <w:p>
            <w:pPr>
              <w:pStyle w:val="TableContents"/>
              <w:spacing w:before="0" w:after="0"/>
              <w:ind w:left="225" w:right="0" w:hanging="225"/>
              <w:rPr/>
            </w:pPr>
            <w:r>
              <w:rPr/>
              <w:t>Liabilities</w:t>
            </w:r>
          </w:p>
        </w:tc>
        <w:tc>
          <w:tcPr>
            <w:tcW w:w="7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r>
      <w:tr>
        <w:trPr/>
        <w:tc>
          <w:tcPr>
            <w:tcW w:w="2599" w:type="dxa"/>
            <w:tcBorders/>
            <w:shd w:fill="auto" w:val="clear"/>
            <w:vAlign w:val="bottom"/>
          </w:tcPr>
          <w:p>
            <w:pPr>
              <w:pStyle w:val="TableContents"/>
              <w:spacing w:before="0" w:after="0"/>
              <w:ind w:left="225" w:right="0" w:hanging="225"/>
              <w:rPr/>
            </w:pPr>
            <w:r>
              <w:rPr/>
              <w:t>Payable to growers (1)</w:t>
            </w:r>
          </w:p>
        </w:tc>
        <w:tc>
          <w:tcPr>
            <w:tcW w:w="7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686" w:type="dxa"/>
            <w:tcBorders/>
            <w:shd w:fill="auto" w:val="clear"/>
            <w:vAlign w:val="bottom"/>
          </w:tcPr>
          <w:p>
            <w:pPr>
              <w:pStyle w:val="TableContents"/>
              <w:spacing w:before="0" w:after="283"/>
              <w:jc w:val="right"/>
              <w:rPr/>
            </w:pPr>
            <w:r>
              <w:rPr/>
              <w:t>6,740</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jc w:val="left"/>
              <w:rPr/>
            </w:pPr>
            <w:r>
              <w:rPr/>
              <w:t>$</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w:t>
            </w:r>
          </w:p>
        </w:tc>
        <w:tc>
          <w:tcPr>
            <w:tcW w:w="686" w:type="dxa"/>
            <w:tcBorders/>
            <w:shd w:fill="auto" w:val="clear"/>
            <w:vAlign w:val="bottom"/>
          </w:tcPr>
          <w:p>
            <w:pPr>
              <w:pStyle w:val="TableContents"/>
              <w:spacing w:before="0" w:after="283"/>
              <w:jc w:val="right"/>
              <w:rPr/>
            </w:pPr>
            <w:r>
              <w:rPr/>
              <w:t>6,740</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jc w:val="left"/>
              <w:rPr/>
            </w:pPr>
            <w:r>
              <w:rPr/>
              <w:t>$</w:t>
            </w:r>
          </w:p>
        </w:tc>
        <w:tc>
          <w:tcPr>
            <w:tcW w:w="853" w:type="dxa"/>
            <w:tcBorders/>
            <w:shd w:fill="auto" w:val="clear"/>
            <w:vAlign w:val="bottom"/>
          </w:tcPr>
          <w:p>
            <w:pPr>
              <w:pStyle w:val="TableContents"/>
              <w:spacing w:before="0" w:after="283"/>
              <w:jc w:val="right"/>
              <w:rPr/>
            </w:pPr>
            <w:r>
              <w:rPr/>
              <w:t>6,740</w:t>
            </w:r>
          </w:p>
        </w:tc>
        <w:tc>
          <w:tcPr>
            <w:tcW w:w="85" w:type="dxa"/>
            <w:tcBorders/>
            <w:shd w:fill="auto" w:val="clear"/>
            <w:vAlign w:val="bottom"/>
          </w:tcPr>
          <w:p>
            <w:pPr>
              <w:pStyle w:val="TableContents"/>
              <w:spacing w:before="0" w:after="283"/>
              <w:rPr/>
            </w:pPr>
            <w:r>
              <w:rPr/>
              <w:t> </w:t>
            </w:r>
          </w:p>
        </w:tc>
      </w:tr>
      <w:tr>
        <w:trPr/>
        <w:tc>
          <w:tcPr>
            <w:tcW w:w="2599" w:type="dxa"/>
            <w:tcBorders/>
            <w:shd w:fill="CCEEFF" w:val="clear"/>
            <w:vAlign w:val="bottom"/>
          </w:tcPr>
          <w:p>
            <w:pPr>
              <w:pStyle w:val="TableContents"/>
              <w:spacing w:before="0" w:after="0"/>
              <w:ind w:left="225" w:right="0" w:hanging="225"/>
              <w:rPr/>
            </w:pPr>
            <w:r>
              <w:rPr/>
              <w:t>Accounts payable (1)</w:t>
            </w:r>
          </w:p>
        </w:tc>
        <w:tc>
          <w:tcPr>
            <w:tcW w:w="7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pPr>
            <w:r>
              <w:rPr/>
              <w:t>3,372</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pPr>
            <w:r>
              <w:rPr/>
              <w:t>3,372</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pPr>
            <w:r>
              <w:rPr/>
              <w:t>3,372</w:t>
            </w:r>
          </w:p>
        </w:tc>
        <w:tc>
          <w:tcPr>
            <w:tcW w:w="85" w:type="dxa"/>
            <w:tcBorders/>
            <w:shd w:fill="CCEEFF" w:val="clear"/>
            <w:vAlign w:val="bottom"/>
          </w:tcPr>
          <w:p>
            <w:pPr>
              <w:pStyle w:val="TableContents"/>
              <w:spacing w:before="0" w:after="283"/>
              <w:rPr/>
            </w:pPr>
            <w:r>
              <w:rPr/>
              <w:t> </w:t>
            </w:r>
          </w:p>
        </w:tc>
      </w:tr>
      <w:tr>
        <w:trPr/>
        <w:tc>
          <w:tcPr>
            <w:tcW w:w="2599" w:type="dxa"/>
            <w:tcBorders/>
            <w:shd w:fill="auto" w:val="clear"/>
            <w:vAlign w:val="bottom"/>
          </w:tcPr>
          <w:p>
            <w:pPr>
              <w:pStyle w:val="TableContents"/>
              <w:spacing w:before="0" w:after="0"/>
              <w:ind w:left="225" w:right="0" w:hanging="225"/>
              <w:rPr/>
            </w:pPr>
            <w:r>
              <w:rPr/>
              <w:t>Current borrowings pursuant to credit facilities (1)</w:t>
            </w:r>
          </w:p>
        </w:tc>
        <w:tc>
          <w:tcPr>
            <w:tcW w:w="7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pPr>
            <w:r>
              <w:rPr/>
              <w:t>7,841</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569"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6" w:type="dxa"/>
            <w:tcBorders/>
            <w:shd w:fill="auto" w:val="clear"/>
            <w:vAlign w:val="bottom"/>
          </w:tcPr>
          <w:p>
            <w:pPr>
              <w:pStyle w:val="TableContents"/>
              <w:spacing w:before="0" w:after="283"/>
              <w:jc w:val="right"/>
              <w:rPr/>
            </w:pPr>
            <w:r>
              <w:rPr/>
              <w:t>7,841</w:t>
            </w:r>
          </w:p>
        </w:tc>
        <w:tc>
          <w:tcPr>
            <w:tcW w:w="62"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3" w:type="dxa"/>
            <w:tcBorders/>
            <w:shd w:fill="auto" w:val="clear"/>
            <w:vAlign w:val="bottom"/>
          </w:tcPr>
          <w:p>
            <w:pPr>
              <w:pStyle w:val="TableContents"/>
              <w:spacing w:before="0" w:after="283"/>
              <w:jc w:val="right"/>
              <w:rPr/>
            </w:pPr>
            <w:r>
              <w:rPr/>
              <w:t>7,841</w:t>
            </w:r>
          </w:p>
        </w:tc>
        <w:tc>
          <w:tcPr>
            <w:tcW w:w="85" w:type="dxa"/>
            <w:tcBorders/>
            <w:shd w:fill="auto" w:val="clear"/>
            <w:vAlign w:val="bottom"/>
          </w:tcPr>
          <w:p>
            <w:pPr>
              <w:pStyle w:val="TableContents"/>
              <w:spacing w:before="0" w:after="283"/>
              <w:rPr/>
            </w:pPr>
            <w:r>
              <w:rPr/>
              <w:t> </w:t>
            </w:r>
          </w:p>
        </w:tc>
      </w:tr>
      <w:tr>
        <w:trPr/>
        <w:tc>
          <w:tcPr>
            <w:tcW w:w="2599" w:type="dxa"/>
            <w:tcBorders/>
            <w:shd w:fill="CCEEFF" w:val="clear"/>
            <w:vAlign w:val="bottom"/>
          </w:tcPr>
          <w:p>
            <w:pPr>
              <w:pStyle w:val="TableContents"/>
              <w:spacing w:before="0" w:after="0"/>
              <w:ind w:left="225" w:right="0" w:hanging="225"/>
              <w:rPr/>
            </w:pPr>
            <w:r>
              <w:rPr/>
              <w:t>Fixed-rate long-term obligations (3)</w:t>
            </w:r>
          </w:p>
        </w:tc>
        <w:tc>
          <w:tcPr>
            <w:tcW w:w="7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pPr>
            <w:r>
              <w:rPr/>
              <w:t>1,310</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1,309</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1,308</w:t>
            </w:r>
          </w:p>
        </w:tc>
        <w:tc>
          <w:tcPr>
            <w:tcW w:w="62"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1,302</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569" w:type="dxa"/>
            <w:tcBorders/>
            <w:shd w:fill="CCEEFF" w:val="clear"/>
            <w:vAlign w:val="bottom"/>
          </w:tcPr>
          <w:p>
            <w:pPr>
              <w:pStyle w:val="TableContents"/>
              <w:spacing w:before="0" w:after="283"/>
              <w:jc w:val="right"/>
              <w:rPr/>
            </w:pPr>
            <w:r>
              <w:rPr/>
              <w:t>1,300</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6,500</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6" w:type="dxa"/>
            <w:tcBorders/>
            <w:shd w:fill="CCEEFF" w:val="clear"/>
            <w:vAlign w:val="bottom"/>
          </w:tcPr>
          <w:p>
            <w:pPr>
              <w:pStyle w:val="TableContents"/>
              <w:spacing w:before="0" w:after="283"/>
              <w:jc w:val="right"/>
              <w:rPr/>
            </w:pPr>
            <w:r>
              <w:rPr/>
              <w:t>13,029</w:t>
            </w:r>
          </w:p>
        </w:tc>
        <w:tc>
          <w:tcPr>
            <w:tcW w:w="62"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3" w:type="dxa"/>
            <w:tcBorders/>
            <w:shd w:fill="CCEEFF" w:val="clear"/>
            <w:vAlign w:val="bottom"/>
          </w:tcPr>
          <w:p>
            <w:pPr>
              <w:pStyle w:val="TableContents"/>
              <w:spacing w:before="0" w:after="283"/>
              <w:jc w:val="right"/>
              <w:rPr/>
            </w:pPr>
            <w:r>
              <w:rPr/>
              <w:t>12,334</w:t>
            </w:r>
          </w:p>
        </w:tc>
        <w:tc>
          <w:tcPr>
            <w:tcW w:w="85" w:type="dxa"/>
            <w:tcBorders/>
            <w:shd w:fill="CCEEFF"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We believe the carrying amounts of cash and cash equivalents, accounts receivable, payable to growers, accounts payable, and current borrowings pursuant to credit facilities approximate their fair value due to the short maturity of these financial instruments.</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Notes receivable from shareholders bear interest at 7.0%. We believe that a portfolio of loans with a similar risk profile would currently yield a return of 9.75%. We project the impact of an increase or decrease in interest rates of 100 basis points would result in a change of fair value of approximately $45,000.</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pPr>
            <w:r>
              <w:rPr/>
              <w:t>(3)</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Fixed-rate long-term obligations bear interest rates ranging from 3.3% to 8.2% with a weighted-average interest rate of 5.7%. We believe that loans with a similar risk profile would currently yield a return of 7.0%. We project the impact of an increase or decrease in interest rates of 100 basis points would result in a change of fair value of approximately $518,000.</w:t>
            </w:r>
          </w:p>
        </w:tc>
      </w:tr>
    </w:tbl>
    <w:p>
      <w:pPr>
        <w:pStyle w:val="TextBody"/>
        <w:spacing w:before="120" w:after="283"/>
        <w:jc w:val="left"/>
        <w:rPr/>
      </w:pPr>
      <w:r>
        <w:rPr/>
        <w:t>     </w:t>
      </w:r>
      <w:r>
        <w:rPr>
          <w:rFonts w:ascii="Times New Roman;Times;serif" w:hAnsi="Times New Roman;Times;serif"/>
          <w:sz w:val="17"/>
        </w:rPr>
        <w:t xml:space="preserve">We were not a party to any derivative instruments during the fiscal year. It is currently our intent not to use derivative instruments for speculative or trading purposes. Additionally, we do not use any hedging or forward contracts to offset market volatility. </w:t>
      </w:r>
    </w:p>
    <w:p>
      <w:pPr>
        <w:pStyle w:val="TextBody"/>
        <w:spacing w:before="120" w:after="283"/>
        <w:jc w:val="left"/>
        <w:rPr/>
      </w:pPr>
      <w:r>
        <w:rPr/>
        <w:t>     </w:t>
      </w:r>
      <w:r>
        <w:rPr>
          <w:rFonts w:ascii="Times New Roman;Times;serif" w:hAnsi="Times New Roman;Times;serif"/>
          <w:sz w:val="17"/>
        </w:rPr>
        <w:t xml:space="preserve">Our Mexican-based operations transact business in Mexican pesos. Funds are transferred by our corporate office to Mexico on a weekly basis to satisfy domestic cash needs. Consequently, the spot rate for the Mexican peso has a moderate impact on our operating results. However, we do not believe that this impact is sufficient to warrant the use of derivative instruments to hedge the fluctuation in the Mexican peso. Total foreign currency gains and losses for each of the three years in the period ended October 31, 2005 do not exceed $0.1 million. </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2" w:name="110"/>
      <w:bookmarkEnd w:id="12"/>
      <w:r>
        <w:rPr>
          <w:rFonts w:ascii="Times New Roman;Times;serif" w:hAnsi="Times New Roman;Times;serif"/>
          <w:b/>
          <w:sz w:val="17"/>
        </w:rPr>
        <w:t>ITEM 4. CONTROLS AND PROCEDURES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 </w:t>
      </w:r>
    </w:p>
    <w:p>
      <w:pPr>
        <w:pStyle w:val="TextBody"/>
        <w:spacing w:before="120" w:after="283"/>
        <w:jc w:val="left"/>
        <w:rPr/>
      </w:pPr>
      <w:r>
        <w:rPr/>
        <w:t>     </w:t>
      </w:r>
      <w:r>
        <w:rPr>
          <w:rFonts w:ascii="Times New Roman;Times;serif" w:hAnsi="Times New Roman;Times;serif"/>
          <w:sz w:val="17"/>
        </w:rPr>
        <w:t xml:space="preserve">There were no substantial changes in the Companys internal control over financial reporting during the quarter ended January 31, 2006 that have materially affected, or are reasonably likely to materially affect, the Companys internal control over financial reporting.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3" w:name="111"/>
      <w:bookmarkEnd w:id="13"/>
      <w:r>
        <w:rPr>
          <w:rFonts w:ascii="Times New Roman;Times;serif" w:hAnsi="Times New Roman;Times;serif"/>
          <w:b/>
          <w:sz w:val="17"/>
        </w:rPr>
        <w:t>PART II. OTHER INFORMATION</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14" w:name="112"/>
      <w:bookmarkEnd w:id="14"/>
      <w:r>
        <w:rPr>
          <w:rFonts w:ascii="Times New Roman;Times;serif" w:hAnsi="Times New Roman;Times;serif"/>
          <w:b/>
          <w:sz w:val="17"/>
        </w:rPr>
        <w:t>ITEM 1. LEGAL PROCEEDINGS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We are involved in litigation in the ordinary course of business, none of which we believe will have a material adverse impact on our financial position or results from operations.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2. UNREGISTERED SALES OF EQUITY SECURITIES AND USE OF PROCEEDS.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Issuer Purchases of Equity Shares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1772"/>
        <w:gridCol w:w="94"/>
        <w:gridCol w:w="108"/>
        <w:gridCol w:w="1401"/>
        <w:gridCol w:w="66"/>
        <w:gridCol w:w="94"/>
        <w:gridCol w:w="219"/>
        <w:gridCol w:w="886"/>
        <w:gridCol w:w="66"/>
        <w:gridCol w:w="94"/>
        <w:gridCol w:w="491"/>
        <w:gridCol w:w="1658"/>
        <w:gridCol w:w="66"/>
        <w:gridCol w:w="94"/>
        <w:gridCol w:w="1231"/>
        <w:gridCol w:w="1785"/>
        <w:gridCol w:w="80"/>
      </w:tblGrid>
      <w:tr>
        <w:trPr/>
        <w:tc>
          <w:tcPr>
            <w:tcW w:w="1772"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401"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658"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pPr>
            <w:r>
              <w:rPr/>
              <w:t> </w:t>
            </w:r>
          </w:p>
        </w:tc>
        <w:tc>
          <w:tcPr>
            <w:tcW w:w="1785"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r>
      <w:tr>
        <w:trPr/>
        <w:tc>
          <w:tcPr>
            <w:tcW w:w="1772"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401"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149" w:type="dxa"/>
            <w:gridSpan w:val="2"/>
            <w:tcBorders/>
            <w:shd w:fill="auto" w:val="clear"/>
            <w:vAlign w:val="bottom"/>
          </w:tcPr>
          <w:p>
            <w:pPr>
              <w:pStyle w:val="TableContents"/>
              <w:spacing w:before="0" w:after="283"/>
              <w:jc w:val="center"/>
              <w:rPr>
                <w:b/>
              </w:rPr>
            </w:pPr>
            <w:r>
              <w:rPr>
                <w:b/>
              </w:rPr>
              <w:t>Total Number of</w:t>
            </w:r>
          </w:p>
        </w:tc>
        <w:tc>
          <w:tcPr>
            <w:tcW w:w="6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3016" w:type="dxa"/>
            <w:gridSpan w:val="2"/>
            <w:tcBorders/>
            <w:shd w:fill="auto" w:val="clear"/>
            <w:vAlign w:val="bottom"/>
          </w:tcPr>
          <w:p>
            <w:pPr>
              <w:pStyle w:val="TableContents"/>
              <w:spacing w:before="0" w:after="283"/>
              <w:jc w:val="center"/>
              <w:rPr/>
            </w:pPr>
            <w:r>
              <w:rPr/>
              <w:t> </w:t>
            </w:r>
          </w:p>
        </w:tc>
        <w:tc>
          <w:tcPr>
            <w:tcW w:w="80" w:type="dxa"/>
            <w:tcBorders/>
            <w:shd w:fill="auto" w:val="clear"/>
            <w:vAlign w:val="bottom"/>
          </w:tcPr>
          <w:p>
            <w:pPr>
              <w:pStyle w:val="TableContents"/>
              <w:spacing w:before="0" w:after="283"/>
              <w:rPr/>
            </w:pPr>
            <w:r>
              <w:rPr/>
              <w:t> </w:t>
            </w:r>
          </w:p>
        </w:tc>
      </w:tr>
      <w:tr>
        <w:trPr/>
        <w:tc>
          <w:tcPr>
            <w:tcW w:w="1772"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401"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88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149" w:type="dxa"/>
            <w:gridSpan w:val="2"/>
            <w:tcBorders/>
            <w:shd w:fill="auto" w:val="clear"/>
            <w:vAlign w:val="bottom"/>
          </w:tcPr>
          <w:p>
            <w:pPr>
              <w:pStyle w:val="TableContents"/>
              <w:spacing w:before="0" w:after="283"/>
              <w:jc w:val="center"/>
              <w:rPr>
                <w:b/>
              </w:rPr>
            </w:pPr>
            <w:r>
              <w:rPr>
                <w:b/>
              </w:rPr>
              <w:t>Shares Purchased as</w:t>
            </w:r>
          </w:p>
        </w:tc>
        <w:tc>
          <w:tcPr>
            <w:tcW w:w="6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3016" w:type="dxa"/>
            <w:gridSpan w:val="2"/>
            <w:tcBorders/>
            <w:shd w:fill="auto" w:val="clear"/>
            <w:vAlign w:val="bottom"/>
          </w:tcPr>
          <w:p>
            <w:pPr>
              <w:pStyle w:val="TableContents"/>
              <w:spacing w:before="0" w:after="283"/>
              <w:jc w:val="center"/>
              <w:rPr>
                <w:b/>
              </w:rPr>
            </w:pPr>
            <w:r>
              <w:rPr>
                <w:b/>
              </w:rPr>
              <w:t>Approximate Dollar Value of</w:t>
            </w:r>
          </w:p>
        </w:tc>
        <w:tc>
          <w:tcPr>
            <w:tcW w:w="80" w:type="dxa"/>
            <w:tcBorders/>
            <w:shd w:fill="auto" w:val="clear"/>
            <w:vAlign w:val="bottom"/>
          </w:tcPr>
          <w:p>
            <w:pPr>
              <w:pStyle w:val="TableContents"/>
              <w:spacing w:before="0" w:after="283"/>
              <w:rPr/>
            </w:pPr>
            <w:r>
              <w:rPr/>
              <w:t> </w:t>
            </w:r>
          </w:p>
        </w:tc>
      </w:tr>
      <w:tr>
        <w:trPr/>
        <w:tc>
          <w:tcPr>
            <w:tcW w:w="1772"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509" w:type="dxa"/>
            <w:gridSpan w:val="2"/>
            <w:tcBorders/>
            <w:shd w:fill="auto" w:val="clear"/>
            <w:vAlign w:val="bottom"/>
          </w:tcPr>
          <w:p>
            <w:pPr>
              <w:pStyle w:val="TableContents"/>
              <w:spacing w:before="0" w:after="283"/>
              <w:jc w:val="center"/>
              <w:rPr>
                <w:b/>
              </w:rPr>
            </w:pPr>
            <w:r>
              <w:rPr>
                <w:b/>
              </w:rPr>
              <w:t>Total Number</w:t>
            </w:r>
          </w:p>
        </w:tc>
        <w:tc>
          <w:tcPr>
            <w:tcW w:w="6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105" w:type="dxa"/>
            <w:gridSpan w:val="2"/>
            <w:tcBorders/>
            <w:shd w:fill="auto" w:val="clear"/>
            <w:vAlign w:val="bottom"/>
          </w:tcPr>
          <w:p>
            <w:pPr>
              <w:pStyle w:val="TableContents"/>
              <w:spacing w:before="0" w:after="283"/>
              <w:jc w:val="center"/>
              <w:rPr>
                <w:b/>
              </w:rPr>
            </w:pPr>
            <w:r>
              <w:rPr>
                <w:b/>
              </w:rPr>
              <w:t>Average</w:t>
            </w:r>
          </w:p>
        </w:tc>
        <w:tc>
          <w:tcPr>
            <w:tcW w:w="6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149" w:type="dxa"/>
            <w:gridSpan w:val="2"/>
            <w:tcBorders/>
            <w:shd w:fill="auto" w:val="clear"/>
            <w:vAlign w:val="bottom"/>
          </w:tcPr>
          <w:p>
            <w:pPr>
              <w:pStyle w:val="TableContents"/>
              <w:spacing w:before="0" w:after="283"/>
              <w:jc w:val="center"/>
              <w:rPr>
                <w:b/>
              </w:rPr>
            </w:pPr>
            <w:r>
              <w:rPr>
                <w:b/>
              </w:rPr>
              <w:t>Part of Publicly</w:t>
            </w:r>
          </w:p>
        </w:tc>
        <w:tc>
          <w:tcPr>
            <w:tcW w:w="6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3016" w:type="dxa"/>
            <w:gridSpan w:val="2"/>
            <w:tcBorders/>
            <w:shd w:fill="auto" w:val="clear"/>
            <w:vAlign w:val="bottom"/>
          </w:tcPr>
          <w:p>
            <w:pPr>
              <w:pStyle w:val="TableContents"/>
              <w:spacing w:before="0" w:after="283"/>
              <w:jc w:val="center"/>
              <w:rPr>
                <w:b/>
              </w:rPr>
            </w:pPr>
            <w:r>
              <w:rPr>
                <w:b/>
              </w:rPr>
              <w:t>Shares that May Yet Be</w:t>
            </w:r>
          </w:p>
        </w:tc>
        <w:tc>
          <w:tcPr>
            <w:tcW w:w="80" w:type="dxa"/>
            <w:tcBorders/>
            <w:shd w:fill="auto" w:val="clear"/>
            <w:vAlign w:val="bottom"/>
          </w:tcPr>
          <w:p>
            <w:pPr>
              <w:pStyle w:val="TableContents"/>
              <w:spacing w:before="0" w:after="283"/>
              <w:rPr/>
            </w:pPr>
            <w:r>
              <w:rPr/>
              <w:t> </w:t>
            </w:r>
          </w:p>
        </w:tc>
      </w:tr>
      <w:tr>
        <w:trPr/>
        <w:tc>
          <w:tcPr>
            <w:tcW w:w="1772"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509" w:type="dxa"/>
            <w:gridSpan w:val="2"/>
            <w:tcBorders/>
            <w:shd w:fill="auto" w:val="clear"/>
            <w:vAlign w:val="bottom"/>
          </w:tcPr>
          <w:p>
            <w:pPr>
              <w:pStyle w:val="TableContents"/>
              <w:spacing w:before="0" w:after="283"/>
              <w:jc w:val="center"/>
              <w:rPr>
                <w:b/>
              </w:rPr>
            </w:pPr>
            <w:r>
              <w:rPr>
                <w:b/>
              </w:rPr>
              <w:t>Of Shares</w:t>
            </w:r>
          </w:p>
        </w:tc>
        <w:tc>
          <w:tcPr>
            <w:tcW w:w="6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105" w:type="dxa"/>
            <w:gridSpan w:val="2"/>
            <w:tcBorders/>
            <w:shd w:fill="auto" w:val="clear"/>
            <w:vAlign w:val="bottom"/>
          </w:tcPr>
          <w:p>
            <w:pPr>
              <w:pStyle w:val="TableContents"/>
              <w:spacing w:before="0" w:after="283"/>
              <w:jc w:val="center"/>
              <w:rPr>
                <w:b/>
              </w:rPr>
            </w:pPr>
            <w:r>
              <w:rPr>
                <w:b/>
              </w:rPr>
              <w:t>Price Paid</w:t>
            </w:r>
          </w:p>
        </w:tc>
        <w:tc>
          <w:tcPr>
            <w:tcW w:w="6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149" w:type="dxa"/>
            <w:gridSpan w:val="2"/>
            <w:tcBorders/>
            <w:shd w:fill="auto" w:val="clear"/>
            <w:vAlign w:val="bottom"/>
          </w:tcPr>
          <w:p>
            <w:pPr>
              <w:pStyle w:val="TableContents"/>
              <w:spacing w:before="0" w:after="283"/>
              <w:jc w:val="center"/>
              <w:rPr>
                <w:b/>
              </w:rPr>
            </w:pPr>
            <w:r>
              <w:rPr>
                <w:b/>
              </w:rPr>
              <w:t>Announced</w:t>
            </w:r>
          </w:p>
        </w:tc>
        <w:tc>
          <w:tcPr>
            <w:tcW w:w="6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3016" w:type="dxa"/>
            <w:gridSpan w:val="2"/>
            <w:tcBorders/>
            <w:shd w:fill="auto" w:val="clear"/>
            <w:vAlign w:val="bottom"/>
          </w:tcPr>
          <w:p>
            <w:pPr>
              <w:pStyle w:val="TableContents"/>
              <w:spacing w:before="0" w:after="283"/>
              <w:jc w:val="center"/>
              <w:rPr>
                <w:b/>
              </w:rPr>
            </w:pPr>
            <w:r>
              <w:rPr>
                <w:b/>
              </w:rPr>
              <w:t>Purchased under the</w:t>
            </w:r>
          </w:p>
        </w:tc>
        <w:tc>
          <w:tcPr>
            <w:tcW w:w="80" w:type="dxa"/>
            <w:tcBorders/>
            <w:shd w:fill="auto" w:val="clear"/>
            <w:vAlign w:val="bottom"/>
          </w:tcPr>
          <w:p>
            <w:pPr>
              <w:pStyle w:val="TableContents"/>
              <w:spacing w:before="0" w:after="283"/>
              <w:rPr/>
            </w:pPr>
            <w:r>
              <w:rPr/>
              <w:t> </w:t>
            </w:r>
          </w:p>
        </w:tc>
      </w:tr>
      <w:tr>
        <w:trPr/>
        <w:tc>
          <w:tcPr>
            <w:tcW w:w="1772"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50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Purchased</w:t>
            </w:r>
          </w:p>
        </w:tc>
        <w:tc>
          <w:tcPr>
            <w:tcW w:w="6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10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Per Share</w:t>
            </w:r>
          </w:p>
        </w:tc>
        <w:tc>
          <w:tcPr>
            <w:tcW w:w="6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149"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Plans or Programs</w:t>
            </w:r>
          </w:p>
        </w:tc>
        <w:tc>
          <w:tcPr>
            <w:tcW w:w="6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3016"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Plans or Programs</w:t>
            </w:r>
          </w:p>
        </w:tc>
        <w:tc>
          <w:tcPr>
            <w:tcW w:w="80" w:type="dxa"/>
            <w:tcBorders/>
            <w:shd w:fill="auto" w:val="clear"/>
            <w:vAlign w:val="bottom"/>
          </w:tcPr>
          <w:p>
            <w:pPr>
              <w:pStyle w:val="TableContents"/>
              <w:spacing w:before="0" w:after="283"/>
              <w:rPr/>
            </w:pPr>
            <w:r>
              <w:rPr/>
              <w:t> </w:t>
            </w:r>
          </w:p>
        </w:tc>
      </w:tr>
      <w:tr>
        <w:trPr/>
        <w:tc>
          <w:tcPr>
            <w:tcW w:w="1772" w:type="dxa"/>
            <w:tcBorders/>
            <w:shd w:fill="CCEEFF" w:val="clear"/>
            <w:vAlign w:val="bottom"/>
          </w:tcPr>
          <w:p>
            <w:pPr>
              <w:pStyle w:val="TableContents"/>
              <w:spacing w:before="0" w:after="0"/>
              <w:ind w:left="225" w:right="0" w:hanging="225"/>
              <w:rPr/>
            </w:pPr>
            <w:r>
              <w:rPr/>
              <w:t>Month #1 (November 2005)</w:t>
            </w:r>
          </w:p>
        </w:tc>
        <w:tc>
          <w:tcPr>
            <w:tcW w:w="94"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401"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rPr/>
            </w:pPr>
            <w:r>
              <w:rPr/>
              <w:t> </w:t>
            </w:r>
          </w:p>
        </w:tc>
        <w:tc>
          <w:tcPr>
            <w:tcW w:w="1658"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jc w:val="left"/>
              <w:rPr/>
            </w:pPr>
            <w:r>
              <w:rPr/>
              <w:t>$</w:t>
            </w:r>
          </w:p>
        </w:tc>
        <w:tc>
          <w:tcPr>
            <w:tcW w:w="1785" w:type="dxa"/>
            <w:tcBorders/>
            <w:shd w:fill="CCEEFF" w:val="clear"/>
            <w:vAlign w:val="bottom"/>
          </w:tcPr>
          <w:p>
            <w:pPr>
              <w:pStyle w:val="TableContents"/>
              <w:spacing w:before="0" w:after="283"/>
              <w:jc w:val="right"/>
              <w:rPr/>
            </w:pPr>
            <w:r>
              <w:rPr/>
              <w:t></w:t>
            </w:r>
          </w:p>
        </w:tc>
        <w:tc>
          <w:tcPr>
            <w:tcW w:w="80" w:type="dxa"/>
            <w:tcBorders/>
            <w:shd w:fill="CCEEFF" w:val="clear"/>
            <w:vAlign w:val="bottom"/>
          </w:tcPr>
          <w:p>
            <w:pPr>
              <w:pStyle w:val="TableContents"/>
              <w:spacing w:before="0" w:after="283"/>
              <w:rPr/>
            </w:pPr>
            <w:r>
              <w:rPr/>
              <w:t> </w:t>
            </w:r>
          </w:p>
        </w:tc>
      </w:tr>
      <w:tr>
        <w:trPr/>
        <w:tc>
          <w:tcPr>
            <w:tcW w:w="1772" w:type="dxa"/>
            <w:tcBorders/>
            <w:shd w:fill="auto" w:val="clear"/>
            <w:vAlign w:val="bottom"/>
          </w:tcPr>
          <w:p>
            <w:pPr>
              <w:pStyle w:val="TableContents"/>
              <w:spacing w:before="0" w:after="0"/>
              <w:ind w:left="225" w:right="0" w:hanging="225"/>
              <w:rPr/>
            </w:pPr>
            <w:r>
              <w:rPr/>
              <w:t>Month #2 (December 2005)</w:t>
            </w:r>
          </w:p>
        </w:tc>
        <w:tc>
          <w:tcPr>
            <w:tcW w:w="94"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401" w:type="dxa"/>
            <w:tcBorders/>
            <w:shd w:fill="auto" w:val="clear"/>
            <w:vAlign w:val="bottom"/>
          </w:tcPr>
          <w:p>
            <w:pPr>
              <w:pStyle w:val="TableContents"/>
              <w:spacing w:before="0" w:after="283"/>
              <w:jc w:val="right"/>
              <w:rPr/>
            </w:pPr>
            <w:r>
              <w:rPr/>
              <w:t>120,000</w:t>
            </w:r>
          </w:p>
        </w:tc>
        <w:tc>
          <w:tcPr>
            <w:tcW w:w="6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w:t>
            </w:r>
          </w:p>
        </w:tc>
        <w:tc>
          <w:tcPr>
            <w:tcW w:w="886" w:type="dxa"/>
            <w:tcBorders/>
            <w:shd w:fill="auto" w:val="clear"/>
            <w:vAlign w:val="bottom"/>
          </w:tcPr>
          <w:p>
            <w:pPr>
              <w:pStyle w:val="TableContents"/>
              <w:spacing w:before="0" w:after="283"/>
              <w:jc w:val="right"/>
              <w:rPr/>
            </w:pPr>
            <w:r>
              <w:rPr/>
              <w:t>10.00</w:t>
            </w:r>
          </w:p>
        </w:tc>
        <w:tc>
          <w:tcPr>
            <w:tcW w:w="6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658"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pPr>
            <w:r>
              <w:rPr/>
              <w:t> </w:t>
            </w:r>
          </w:p>
        </w:tc>
        <w:tc>
          <w:tcPr>
            <w:tcW w:w="1785" w:type="dxa"/>
            <w:tcBorders/>
            <w:shd w:fill="auto" w:val="clear"/>
            <w:vAlign w:val="bottom"/>
          </w:tcPr>
          <w:p>
            <w:pPr>
              <w:pStyle w:val="TableContents"/>
              <w:spacing w:before="0" w:after="283"/>
              <w:jc w:val="right"/>
              <w:rPr/>
            </w:pPr>
            <w:r>
              <w:rPr/>
              <w:t></w:t>
            </w:r>
          </w:p>
        </w:tc>
        <w:tc>
          <w:tcPr>
            <w:tcW w:w="80" w:type="dxa"/>
            <w:tcBorders/>
            <w:shd w:fill="auto" w:val="clear"/>
            <w:vAlign w:val="bottom"/>
          </w:tcPr>
          <w:p>
            <w:pPr>
              <w:pStyle w:val="TableContents"/>
              <w:spacing w:before="0" w:after="283"/>
              <w:rPr/>
            </w:pPr>
            <w:r>
              <w:rPr/>
              <w:t> </w:t>
            </w:r>
          </w:p>
        </w:tc>
      </w:tr>
      <w:tr>
        <w:trPr/>
        <w:tc>
          <w:tcPr>
            <w:tcW w:w="1772" w:type="dxa"/>
            <w:tcBorders/>
            <w:shd w:fill="CCEEFF" w:val="clear"/>
            <w:vAlign w:val="bottom"/>
          </w:tcPr>
          <w:p>
            <w:pPr>
              <w:pStyle w:val="TableContents"/>
              <w:spacing w:before="0" w:after="0"/>
              <w:ind w:left="225" w:right="0" w:hanging="225"/>
              <w:rPr/>
            </w:pPr>
            <w:r>
              <w:rPr/>
              <w:t>Month #3 (January 2006)</w:t>
            </w:r>
          </w:p>
        </w:tc>
        <w:tc>
          <w:tcPr>
            <w:tcW w:w="94"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401"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886" w:type="dxa"/>
            <w:tcBorders/>
            <w:shd w:fill="CCEEFF" w:val="clear"/>
            <w:vAlign w:val="bottom"/>
          </w:tcPr>
          <w:p>
            <w:pPr>
              <w:pStyle w:val="TableContents"/>
              <w:spacing w:before="0" w:after="283"/>
              <w:rPr/>
            </w:pPr>
            <w:r>
              <w:rPr/>
              <w:t> </w:t>
            </w:r>
          </w:p>
        </w:tc>
        <w:tc>
          <w:tcPr>
            <w:tcW w:w="66"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rPr/>
            </w:pPr>
            <w:r>
              <w:rPr/>
              <w:t> </w:t>
            </w:r>
          </w:p>
        </w:tc>
        <w:tc>
          <w:tcPr>
            <w:tcW w:w="1658" w:type="dxa"/>
            <w:tcBorders/>
            <w:shd w:fill="CCEEFF" w:val="clear"/>
            <w:vAlign w:val="bottom"/>
          </w:tcPr>
          <w:p>
            <w:pPr>
              <w:pStyle w:val="TableContents"/>
              <w:spacing w:before="0" w:after="283"/>
              <w:jc w:val="right"/>
              <w:rPr/>
            </w:pPr>
            <w:r>
              <w:rPr/>
              <w:t></w:t>
            </w:r>
          </w:p>
        </w:tc>
        <w:tc>
          <w:tcPr>
            <w:tcW w:w="66"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rPr/>
            </w:pPr>
            <w:r>
              <w:rPr/>
              <w:t> </w:t>
            </w:r>
          </w:p>
        </w:tc>
        <w:tc>
          <w:tcPr>
            <w:tcW w:w="1785" w:type="dxa"/>
            <w:tcBorders/>
            <w:shd w:fill="CCEEFF" w:val="clear"/>
            <w:vAlign w:val="bottom"/>
          </w:tcPr>
          <w:p>
            <w:pPr>
              <w:pStyle w:val="TableContents"/>
              <w:spacing w:before="0" w:after="283"/>
              <w:jc w:val="right"/>
              <w:rPr/>
            </w:pPr>
            <w:r>
              <w:rPr/>
              <w:t></w:t>
            </w:r>
          </w:p>
        </w:tc>
        <w:tc>
          <w:tcPr>
            <w:tcW w:w="80" w:type="dxa"/>
            <w:tcBorders/>
            <w:shd w:fill="CCEEFF" w:val="clear"/>
            <w:vAlign w:val="bottom"/>
          </w:tcPr>
          <w:p>
            <w:pPr>
              <w:pStyle w:val="TableContents"/>
              <w:spacing w:before="0" w:after="283"/>
              <w:rPr/>
            </w:pPr>
            <w:r>
              <w:rPr/>
              <w:t> </w:t>
            </w:r>
          </w:p>
        </w:tc>
      </w:tr>
      <w:tr>
        <w:trPr/>
        <w:tc>
          <w:tcPr>
            <w:tcW w:w="1772" w:type="dxa"/>
            <w:tcBorders/>
            <w:shd w:fill="auto" w:val="clear"/>
            <w:vAlign w:val="center"/>
          </w:tcPr>
          <w:p>
            <w:pPr>
              <w:pStyle w:val="TableContents"/>
              <w:spacing w:before="0" w:after="0"/>
              <w:ind w:left="225" w:right="0" w:hanging="225"/>
              <w:rPr/>
            </w:pPr>
            <w:r>
              <w:rPr/>
              <w:t> </w:t>
            </w:r>
          </w:p>
        </w:tc>
        <w:tc>
          <w:tcPr>
            <w:tcW w:w="94" w:type="dxa"/>
            <w:tcBorders/>
            <w:shd w:fill="auto" w:val="clear"/>
            <w:vAlign w:val="center"/>
          </w:tcPr>
          <w:p>
            <w:pPr>
              <w:pStyle w:val="TableContents"/>
              <w:spacing w:before="0" w:after="283"/>
              <w:rPr/>
            </w:pPr>
            <w:r>
              <w:rPr/>
              <w:t> </w:t>
            </w:r>
          </w:p>
        </w:tc>
        <w:tc>
          <w:tcPr>
            <w:tcW w:w="150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 </w:t>
            </w:r>
          </w:p>
        </w:tc>
        <w:tc>
          <w:tcPr>
            <w:tcW w:w="88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21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301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r>
      <w:tr>
        <w:trPr/>
        <w:tc>
          <w:tcPr>
            <w:tcW w:w="1772" w:type="dxa"/>
            <w:tcBorders/>
            <w:shd w:fill="auto" w:val="clear"/>
            <w:vAlign w:val="bottom"/>
          </w:tcPr>
          <w:p>
            <w:pPr>
              <w:pStyle w:val="TableContents"/>
              <w:spacing w:before="0" w:after="0"/>
              <w:ind w:left="225" w:right="0" w:hanging="225"/>
              <w:rPr/>
            </w:pPr>
            <w:r>
              <w:rPr/>
              <w:t>Total</w:t>
            </w:r>
          </w:p>
        </w:tc>
        <w:tc>
          <w:tcPr>
            <w:tcW w:w="94"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401" w:type="dxa"/>
            <w:tcBorders/>
            <w:shd w:fill="auto" w:val="clear"/>
            <w:vAlign w:val="bottom"/>
          </w:tcPr>
          <w:p>
            <w:pPr>
              <w:pStyle w:val="TableContents"/>
              <w:spacing w:before="0" w:after="283"/>
              <w:jc w:val="right"/>
              <w:rPr/>
            </w:pPr>
            <w:r>
              <w:rPr/>
              <w:t>120,000</w:t>
            </w:r>
          </w:p>
        </w:tc>
        <w:tc>
          <w:tcPr>
            <w:tcW w:w="6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jc w:val="left"/>
              <w:rPr/>
            </w:pPr>
            <w:r>
              <w:rPr/>
              <w:t>$</w:t>
            </w:r>
          </w:p>
        </w:tc>
        <w:tc>
          <w:tcPr>
            <w:tcW w:w="886" w:type="dxa"/>
            <w:tcBorders/>
            <w:shd w:fill="auto" w:val="clear"/>
            <w:vAlign w:val="bottom"/>
          </w:tcPr>
          <w:p>
            <w:pPr>
              <w:pStyle w:val="TableContents"/>
              <w:spacing w:before="0" w:after="283"/>
              <w:jc w:val="right"/>
              <w:rPr/>
            </w:pPr>
            <w:r>
              <w:rPr/>
              <w:t>10.00</w:t>
            </w:r>
          </w:p>
        </w:tc>
        <w:tc>
          <w:tcPr>
            <w:tcW w:w="6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rPr/>
            </w:pPr>
            <w:r>
              <w:rPr/>
              <w:t> </w:t>
            </w:r>
          </w:p>
        </w:tc>
        <w:tc>
          <w:tcPr>
            <w:tcW w:w="1658"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jc w:val="left"/>
              <w:rPr/>
            </w:pPr>
            <w:r>
              <w:rPr/>
              <w:t>$</w:t>
            </w:r>
          </w:p>
        </w:tc>
        <w:tc>
          <w:tcPr>
            <w:tcW w:w="1785" w:type="dxa"/>
            <w:tcBorders/>
            <w:shd w:fill="auto" w:val="clear"/>
            <w:vAlign w:val="bottom"/>
          </w:tcPr>
          <w:p>
            <w:pPr>
              <w:pStyle w:val="TableContents"/>
              <w:spacing w:before="0" w:after="283"/>
              <w:jc w:val="right"/>
              <w:rPr/>
            </w:pPr>
            <w:r>
              <w:rPr/>
              <w:t></w:t>
            </w:r>
          </w:p>
        </w:tc>
        <w:tc>
          <w:tcPr>
            <w:tcW w:w="80" w:type="dxa"/>
            <w:tcBorders/>
            <w:shd w:fill="auto" w:val="clear"/>
            <w:vAlign w:val="bottom"/>
          </w:tcPr>
          <w:p>
            <w:pPr>
              <w:pStyle w:val="TableContents"/>
              <w:spacing w:before="0" w:after="283"/>
              <w:rPr/>
            </w:pPr>
            <w:r>
              <w:rPr/>
              <w:t> </w:t>
            </w:r>
          </w:p>
        </w:tc>
      </w:tr>
      <w:tr>
        <w:trPr/>
        <w:tc>
          <w:tcPr>
            <w:tcW w:w="1772" w:type="dxa"/>
            <w:tcBorders/>
            <w:shd w:fill="auto" w:val="clear"/>
            <w:vAlign w:val="center"/>
          </w:tcPr>
          <w:p>
            <w:pPr>
              <w:pStyle w:val="TableContents"/>
              <w:spacing w:before="0" w:after="0"/>
              <w:ind w:left="225" w:right="0" w:hanging="225"/>
              <w:rPr/>
            </w:pPr>
            <w:r>
              <w:rPr/>
              <w:t> </w:t>
            </w:r>
          </w:p>
        </w:tc>
        <w:tc>
          <w:tcPr>
            <w:tcW w:w="94" w:type="dxa"/>
            <w:tcBorders/>
            <w:shd w:fill="auto" w:val="clear"/>
            <w:vAlign w:val="center"/>
          </w:tcPr>
          <w:p>
            <w:pPr>
              <w:pStyle w:val="TableContents"/>
              <w:spacing w:before="0" w:after="283"/>
              <w:rPr/>
            </w:pPr>
            <w:r>
              <w:rPr/>
              <w:t> </w:t>
            </w:r>
          </w:p>
        </w:tc>
        <w:tc>
          <w:tcPr>
            <w:tcW w:w="150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 </w:t>
            </w:r>
          </w:p>
        </w:tc>
        <w:tc>
          <w:tcPr>
            <w:tcW w:w="88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21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66"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rPr/>
            </w:pPr>
            <w:r>
              <w:rPr/>
              <w:t> </w:t>
            </w:r>
          </w:p>
        </w:tc>
        <w:tc>
          <w:tcPr>
            <w:tcW w:w="301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From time to time, our Board of Directors will authorize the repurchase of shares opportunistically. Such repurchases may be in the open market or in private transactions. The repurchase shown above relates to a private transaction and is from a related party. See Note 4 in consolidated condensed financial statements.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5" w:name="113"/>
      <w:bookmarkEnd w:id="15"/>
      <w:r>
        <w:rPr>
          <w:rFonts w:ascii="Times New Roman;Times;serif" w:hAnsi="Times New Roman;Times;serif"/>
          <w:b/>
          <w:sz w:val="17"/>
        </w:rPr>
        <w:t>ITEM 6.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298"/>
        <w:gridCol w:w="215"/>
        <w:gridCol w:w="132"/>
        <w:gridCol w:w="442"/>
        <w:gridCol w:w="132"/>
        <w:gridCol w:w="215"/>
        <w:gridCol w:w="8771"/>
      </w:tblGrid>
      <w:tr>
        <w:trPr/>
        <w:tc>
          <w:tcPr>
            <w:tcW w:w="29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42"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771" w:type="dxa"/>
            <w:tcBorders/>
            <w:shd w:fill="auto" w:val="clear"/>
            <w:vAlign w:val="bottom"/>
          </w:tcPr>
          <w:p>
            <w:pPr>
              <w:pStyle w:val="TableContents"/>
              <w:spacing w:before="0" w:after="283"/>
              <w:rPr/>
            </w:pPr>
            <w:r>
              <w:rPr/>
              <w:t> </w:t>
            </w:r>
          </w:p>
        </w:tc>
      </w:tr>
      <w:tr>
        <w:trPr/>
        <w:tc>
          <w:tcPr>
            <w:tcW w:w="298"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132" w:type="dxa"/>
            <w:tcBorders/>
            <w:shd w:fill="auto" w:val="clear"/>
          </w:tcPr>
          <w:p>
            <w:pPr>
              <w:pStyle w:val="TableContents"/>
              <w:spacing w:before="0" w:after="283"/>
              <w:jc w:val="right"/>
              <w:rPr/>
            </w:pPr>
            <w:r>
              <w:rPr/>
              <w:t> </w:t>
            </w:r>
          </w:p>
        </w:tc>
        <w:tc>
          <w:tcPr>
            <w:tcW w:w="442" w:type="dxa"/>
            <w:tcBorders/>
            <w:shd w:fill="auto" w:val="clear"/>
          </w:tcPr>
          <w:p>
            <w:pPr>
              <w:pStyle w:val="TableContents"/>
              <w:spacing w:before="0" w:after="283"/>
              <w:jc w:val="right"/>
              <w:rPr/>
            </w:pPr>
            <w:r>
              <w:rPr/>
              <w:t>31.1</w:t>
            </w:r>
          </w:p>
        </w:tc>
        <w:tc>
          <w:tcPr>
            <w:tcW w:w="132" w:type="dxa"/>
            <w:tcBorders/>
            <w:shd w:fill="auto" w:val="clea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771" w:type="dxa"/>
            <w:tcBorders/>
            <w:shd w:fill="auto" w:val="clear"/>
          </w:tcPr>
          <w:p>
            <w:pPr>
              <w:pStyle w:val="TableContents"/>
              <w:spacing w:before="0" w:after="283"/>
              <w:jc w:val="left"/>
              <w:rPr/>
            </w:pPr>
            <w:r>
              <w:rPr/>
              <w:t>Certification of Chief Executive Officer Pursuant to 15 U.S.C. § 7241, as Adopted Pursuant to Section 302 of the Sarbanes-Oxley Act of 2002.</w:t>
            </w:r>
          </w:p>
        </w:tc>
      </w:tr>
      <w:tr>
        <w:trPr/>
        <w:tc>
          <w:tcPr>
            <w:tcW w:w="298" w:type="dxa"/>
            <w:tcBorders/>
            <w:shd w:fill="auto" w:val="clear"/>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283"/>
              <w:rPr/>
            </w:pPr>
            <w:r>
              <w:rPr/>
              <w:t> </w:t>
            </w:r>
          </w:p>
        </w:tc>
        <w:tc>
          <w:tcPr>
            <w:tcW w:w="132" w:type="dxa"/>
            <w:tcBorders/>
            <w:shd w:fill="auto" w:val="clear"/>
          </w:tcPr>
          <w:p>
            <w:pPr>
              <w:pStyle w:val="TableContents"/>
              <w:spacing w:before="0" w:after="283"/>
              <w:jc w:val="right"/>
              <w:rPr/>
            </w:pPr>
            <w:r>
              <w:rPr/>
              <w:t> </w:t>
            </w:r>
          </w:p>
        </w:tc>
        <w:tc>
          <w:tcPr>
            <w:tcW w:w="442" w:type="dxa"/>
            <w:tcBorders/>
            <w:shd w:fill="auto" w:val="clear"/>
          </w:tcPr>
          <w:p>
            <w:pPr>
              <w:pStyle w:val="TableContents"/>
              <w:spacing w:before="0" w:after="283"/>
              <w:jc w:val="right"/>
              <w:rPr/>
            </w:pPr>
            <w:r>
              <w:rPr/>
              <w:t> </w:t>
            </w:r>
          </w:p>
        </w:tc>
        <w:tc>
          <w:tcPr>
            <w:tcW w:w="132" w:type="dxa"/>
            <w:tcBorders/>
            <w:shd w:fill="auto" w:val="clea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771" w:type="dxa"/>
            <w:tcBorders/>
            <w:shd w:fill="auto" w:val="clear"/>
          </w:tcPr>
          <w:p>
            <w:pPr>
              <w:pStyle w:val="TableContents"/>
              <w:spacing w:before="0" w:after="283"/>
              <w:jc w:val="left"/>
              <w:rPr/>
            </w:pPr>
            <w:r>
              <w:rPr/>
              <w:t> </w:t>
            </w:r>
          </w:p>
        </w:tc>
      </w:tr>
      <w:tr>
        <w:trPr/>
        <w:tc>
          <w:tcPr>
            <w:tcW w:w="298"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132" w:type="dxa"/>
            <w:tcBorders/>
            <w:shd w:fill="auto" w:val="clear"/>
          </w:tcPr>
          <w:p>
            <w:pPr>
              <w:pStyle w:val="TableContents"/>
              <w:spacing w:before="0" w:after="283"/>
              <w:jc w:val="right"/>
              <w:rPr/>
            </w:pPr>
            <w:r>
              <w:rPr/>
              <w:t> </w:t>
            </w:r>
          </w:p>
        </w:tc>
        <w:tc>
          <w:tcPr>
            <w:tcW w:w="442" w:type="dxa"/>
            <w:tcBorders/>
            <w:shd w:fill="auto" w:val="clear"/>
          </w:tcPr>
          <w:p>
            <w:pPr>
              <w:pStyle w:val="TableContents"/>
              <w:spacing w:before="0" w:after="283"/>
              <w:jc w:val="right"/>
              <w:rPr/>
            </w:pPr>
            <w:r>
              <w:rPr/>
              <w:t>31.2</w:t>
            </w:r>
          </w:p>
        </w:tc>
        <w:tc>
          <w:tcPr>
            <w:tcW w:w="132" w:type="dxa"/>
            <w:tcBorders/>
            <w:shd w:fill="auto" w:val="clea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771" w:type="dxa"/>
            <w:tcBorders/>
            <w:shd w:fill="auto" w:val="clear"/>
          </w:tcPr>
          <w:p>
            <w:pPr>
              <w:pStyle w:val="TableContents"/>
              <w:spacing w:before="0" w:after="283"/>
              <w:jc w:val="left"/>
              <w:rPr/>
            </w:pPr>
            <w:r>
              <w:rPr/>
              <w:t>Certification of Principal Financial Officer Pursuant to 15 U.S.C. § 7241, as Adopted Pursuant to Section 302 of the Sarbanes-Oxley Act of 2002.</w:t>
            </w:r>
          </w:p>
        </w:tc>
      </w:tr>
      <w:tr>
        <w:trPr/>
        <w:tc>
          <w:tcPr>
            <w:tcW w:w="298" w:type="dxa"/>
            <w:tcBorders/>
            <w:shd w:fill="auto" w:val="clear"/>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283"/>
              <w:rPr/>
            </w:pPr>
            <w:r>
              <w:rPr/>
              <w:t> </w:t>
            </w:r>
          </w:p>
        </w:tc>
        <w:tc>
          <w:tcPr>
            <w:tcW w:w="132" w:type="dxa"/>
            <w:tcBorders/>
            <w:shd w:fill="auto" w:val="clear"/>
          </w:tcPr>
          <w:p>
            <w:pPr>
              <w:pStyle w:val="TableContents"/>
              <w:spacing w:before="0" w:after="283"/>
              <w:jc w:val="right"/>
              <w:rPr/>
            </w:pPr>
            <w:r>
              <w:rPr/>
              <w:t> </w:t>
            </w:r>
          </w:p>
        </w:tc>
        <w:tc>
          <w:tcPr>
            <w:tcW w:w="442" w:type="dxa"/>
            <w:tcBorders/>
            <w:shd w:fill="auto" w:val="clear"/>
          </w:tcPr>
          <w:p>
            <w:pPr>
              <w:pStyle w:val="TableContents"/>
              <w:spacing w:before="0" w:after="283"/>
              <w:jc w:val="right"/>
              <w:rPr/>
            </w:pPr>
            <w:r>
              <w:rPr/>
              <w:t> </w:t>
            </w:r>
          </w:p>
        </w:tc>
        <w:tc>
          <w:tcPr>
            <w:tcW w:w="132" w:type="dxa"/>
            <w:tcBorders/>
            <w:shd w:fill="auto" w:val="clea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771" w:type="dxa"/>
            <w:tcBorders/>
            <w:shd w:fill="auto" w:val="clear"/>
          </w:tcPr>
          <w:p>
            <w:pPr>
              <w:pStyle w:val="TableContents"/>
              <w:spacing w:before="0" w:after="283"/>
              <w:jc w:val="left"/>
              <w:rPr/>
            </w:pPr>
            <w:r>
              <w:rPr/>
              <w:t> </w:t>
            </w:r>
          </w:p>
        </w:tc>
      </w:tr>
      <w:tr>
        <w:trPr/>
        <w:tc>
          <w:tcPr>
            <w:tcW w:w="298"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132" w:type="dxa"/>
            <w:tcBorders/>
            <w:shd w:fill="auto" w:val="clear"/>
          </w:tcPr>
          <w:p>
            <w:pPr>
              <w:pStyle w:val="TableContents"/>
              <w:spacing w:before="0" w:after="283"/>
              <w:jc w:val="right"/>
              <w:rPr/>
            </w:pPr>
            <w:r>
              <w:rPr/>
              <w:t> </w:t>
            </w:r>
          </w:p>
        </w:tc>
        <w:tc>
          <w:tcPr>
            <w:tcW w:w="442" w:type="dxa"/>
            <w:tcBorders/>
            <w:shd w:fill="auto" w:val="clear"/>
          </w:tcPr>
          <w:p>
            <w:pPr>
              <w:pStyle w:val="TableContents"/>
              <w:spacing w:before="0" w:after="283"/>
              <w:jc w:val="right"/>
              <w:rPr/>
            </w:pPr>
            <w:r>
              <w:rPr/>
              <w:t>32</w:t>
            </w:r>
          </w:p>
        </w:tc>
        <w:tc>
          <w:tcPr>
            <w:tcW w:w="132" w:type="dxa"/>
            <w:tcBorders/>
            <w:shd w:fill="auto" w:val="clea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8771" w:type="dxa"/>
            <w:tcBorders/>
            <w:shd w:fill="auto" w:val="clear"/>
          </w:tcPr>
          <w:p>
            <w:pPr>
              <w:pStyle w:val="TableContents"/>
              <w:spacing w:before="0" w:after="283"/>
              <w:jc w:val="left"/>
              <w:rPr/>
            </w:pPr>
            <w:r>
              <w:rPr/>
              <w:t>Certification by Chief Executive Officer and Chief Financial Officer of Periodic Report Pursuant to 18 U.S.C. Section 1350</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sz w:val="17"/>
        </w:rPr>
      </w:pPr>
      <w:bookmarkStart w:id="16" w:name="114"/>
      <w:bookmarkEnd w:id="16"/>
      <w:r>
        <w:rPr>
          <w:b/>
          <w:sz w:val="17"/>
        </w:rPr>
        <w:t>SIGNATURES</w:t>
      </w:r>
      <w:r>
        <w:rPr>
          <w:sz w:val="17"/>
        </w:rPr>
        <w:t xml:space="preserve"> </w:t>
      </w:r>
    </w:p>
    <w:p>
      <w:pPr>
        <w:pStyle w:val="TextBody"/>
        <w:spacing w:before="120" w:after="283"/>
        <w:jc w:val="left"/>
        <w:rPr/>
      </w:pPr>
      <w:r>
        <w:rPr/>
        <w:t>     </w:t>
      </w:r>
      <w:r>
        <w:rPr>
          <w:sz w:val="17"/>
        </w:rPr>
        <w:t xml:space="preserve">Pursuant to the requirements of the Securities Exchange Act of 1934, the registrant has duly caused this report to be signed on its behalf by the undersigned, thereunto duly authorized. </w:t>
      </w:r>
    </w:p>
    <w:tbl>
      <w:tblPr>
        <w:tblW w:w="5000" w:type="pct"/>
        <w:jc w:val="left"/>
        <w:tblInd w:w="0" w:type="dxa"/>
        <w:tblCellMar>
          <w:top w:w="0" w:type="dxa"/>
          <w:left w:w="0" w:type="dxa"/>
          <w:bottom w:w="0" w:type="dxa"/>
          <w:right w:w="0" w:type="dxa"/>
        </w:tblCellMar>
      </w:tblPr>
      <w:tblGrid>
        <w:gridCol w:w="3424"/>
        <w:gridCol w:w="165"/>
        <w:gridCol w:w="317"/>
        <w:gridCol w:w="165"/>
        <w:gridCol w:w="5023"/>
        <w:gridCol w:w="165"/>
        <w:gridCol w:w="946"/>
      </w:tblGrid>
      <w:tr>
        <w:trPr/>
        <w:tc>
          <w:tcPr>
            <w:tcW w:w="3424"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023"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46" w:type="dxa"/>
            <w:tcBorders/>
            <w:shd w:fill="auto" w:val="clear"/>
            <w:vAlign w:val="bottom"/>
          </w:tcPr>
          <w:p>
            <w:pPr>
              <w:pStyle w:val="TableContents"/>
              <w:spacing w:before="0" w:after="283"/>
              <w:rPr/>
            </w:pPr>
            <w:r>
              <w:rPr/>
              <w:t> </w:t>
            </w:r>
          </w:p>
        </w:tc>
      </w:tr>
      <w:tr>
        <w:trPr/>
        <w:tc>
          <w:tcPr>
            <w:tcW w:w="3424" w:type="dxa"/>
            <w:tcBorders/>
            <w:shd w:fill="auto" w:val="clear"/>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5505" w:type="dxa"/>
            <w:gridSpan w:val="3"/>
            <w:tcBorders/>
            <w:shd w:fill="auto" w:val="clear"/>
          </w:tcPr>
          <w:p>
            <w:pPr>
              <w:pStyle w:val="TableContents"/>
              <w:spacing w:before="0" w:after="283"/>
              <w:jc w:val="left"/>
              <w:rPr/>
            </w:pPr>
            <w:r>
              <w:rPr/>
              <w:t>Calavo Growers, Inc.</w:t>
              <w:br/>
              <w:t>(Registrant)</w:t>
            </w:r>
          </w:p>
        </w:tc>
        <w:tc>
          <w:tcPr>
            <w:tcW w:w="165" w:type="dxa"/>
            <w:tcBorders/>
            <w:shd w:fill="auto" w:val="clear"/>
            <w:vAlign w:val="bottom"/>
          </w:tcPr>
          <w:p>
            <w:pPr>
              <w:pStyle w:val="TableContents"/>
              <w:spacing w:before="0" w:after="283"/>
              <w:rPr/>
            </w:pPr>
            <w:r>
              <w:rPr/>
              <w:t> </w:t>
            </w:r>
          </w:p>
        </w:tc>
        <w:tc>
          <w:tcPr>
            <w:tcW w:w="946"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jc w:val="left"/>
              <w:rPr/>
            </w:pPr>
            <w:r>
              <w:rPr/>
              <w:t> </w:t>
            </w:r>
          </w:p>
        </w:tc>
        <w:tc>
          <w:tcPr>
            <w:tcW w:w="165" w:type="dxa"/>
            <w:tcBorders/>
            <w:shd w:fill="auto" w:val="clear"/>
            <w:vAlign w:val="bottom"/>
          </w:tcPr>
          <w:p>
            <w:pPr>
              <w:pStyle w:val="TableContents"/>
              <w:spacing w:before="0" w:after="283"/>
              <w:rPr/>
            </w:pPr>
            <w:r>
              <w:rPr/>
              <w:t> </w:t>
            </w:r>
          </w:p>
        </w:tc>
        <w:tc>
          <w:tcPr>
            <w:tcW w:w="5023" w:type="dxa"/>
            <w:tcBorders/>
            <w:shd w:fill="auto" w:val="clear"/>
          </w:tcPr>
          <w:p>
            <w:pPr>
              <w:pStyle w:val="TableContents"/>
              <w:spacing w:before="0" w:after="283"/>
              <w:jc w:val="left"/>
              <w:rPr/>
            </w:pPr>
            <w:r>
              <w:rPr/>
              <w:t> </w:t>
            </w:r>
          </w:p>
        </w:tc>
        <w:tc>
          <w:tcPr>
            <w:tcW w:w="165" w:type="dxa"/>
            <w:tcBorders/>
            <w:shd w:fill="auto" w:val="clear"/>
            <w:vAlign w:val="bottom"/>
          </w:tcPr>
          <w:p>
            <w:pPr>
              <w:pStyle w:val="TableContents"/>
              <w:spacing w:before="0" w:after="283"/>
              <w:rPr/>
            </w:pPr>
            <w:r>
              <w:rPr/>
              <w:t> </w:t>
            </w:r>
          </w:p>
        </w:tc>
        <w:tc>
          <w:tcPr>
            <w:tcW w:w="946"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Date: March 9, 2006 </w:t>
            </w:r>
          </w:p>
        </w:tc>
        <w:tc>
          <w:tcPr>
            <w:tcW w:w="165"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jc w:val="left"/>
              <w:rPr/>
            </w:pPr>
            <w:r>
              <w:rPr/>
              <w:t xml:space="preserve">By </w:t>
            </w:r>
          </w:p>
        </w:tc>
        <w:tc>
          <w:tcPr>
            <w:tcW w:w="165" w:type="dxa"/>
            <w:tcBorders/>
            <w:shd w:fill="auto" w:val="clear"/>
            <w:vAlign w:val="bottom"/>
          </w:tcPr>
          <w:p>
            <w:pPr>
              <w:pStyle w:val="TableContents"/>
              <w:spacing w:before="0" w:after="283"/>
              <w:rPr/>
            </w:pPr>
            <w:r>
              <w:rPr/>
              <w:t> </w:t>
            </w:r>
          </w:p>
        </w:tc>
        <w:tc>
          <w:tcPr>
            <w:tcW w:w="5023" w:type="dxa"/>
            <w:tcBorders>
              <w:bottom w:val="single" w:sz="2" w:space="0" w:color="000000"/>
            </w:tcBorders>
            <w:shd w:fill="auto" w:val="clear"/>
            <w:tcMar>
              <w:bottom w:w="28" w:type="dxa"/>
            </w:tcMar>
          </w:tcPr>
          <w:p>
            <w:pPr>
              <w:pStyle w:val="TableContents"/>
              <w:spacing w:before="0" w:after="283"/>
              <w:jc w:val="left"/>
              <w:rPr/>
            </w:pPr>
            <w:r>
              <w:rPr/>
              <w:t>/s/ Lecil E. Cole</w:t>
            </w:r>
          </w:p>
        </w:tc>
        <w:tc>
          <w:tcPr>
            <w:tcW w:w="165" w:type="dxa"/>
            <w:tcBorders/>
            <w:shd w:fill="auto" w:val="clear"/>
            <w:vAlign w:val="bottom"/>
          </w:tcPr>
          <w:p>
            <w:pPr>
              <w:pStyle w:val="TableContents"/>
              <w:spacing w:before="0" w:after="283"/>
              <w:rPr/>
            </w:pPr>
            <w:r>
              <w:rPr/>
              <w:t> </w:t>
            </w:r>
          </w:p>
        </w:tc>
        <w:tc>
          <w:tcPr>
            <w:tcW w:w="946"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65"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jc w:val="left"/>
              <w:rPr/>
            </w:pPr>
            <w:r>
              <w:rPr/>
              <w:t> </w:t>
            </w:r>
          </w:p>
        </w:tc>
        <w:tc>
          <w:tcPr>
            <w:tcW w:w="165" w:type="dxa"/>
            <w:tcBorders/>
            <w:shd w:fill="auto" w:val="clear"/>
            <w:vAlign w:val="bottom"/>
          </w:tcPr>
          <w:p>
            <w:pPr>
              <w:pStyle w:val="TableContents"/>
              <w:spacing w:before="0" w:after="283"/>
              <w:rPr/>
            </w:pPr>
            <w:r>
              <w:rPr/>
              <w:t> </w:t>
            </w:r>
          </w:p>
        </w:tc>
        <w:tc>
          <w:tcPr>
            <w:tcW w:w="5023" w:type="dxa"/>
            <w:tcBorders/>
            <w:shd w:fill="auto" w:val="clear"/>
          </w:tcPr>
          <w:p>
            <w:pPr>
              <w:pStyle w:val="TableContents"/>
              <w:spacing w:before="0" w:after="283"/>
              <w:jc w:val="left"/>
              <w:rPr/>
            </w:pPr>
            <w:r>
              <w:rPr/>
              <w:t>Lecil E. Cole</w:t>
            </w:r>
          </w:p>
        </w:tc>
        <w:tc>
          <w:tcPr>
            <w:tcW w:w="165" w:type="dxa"/>
            <w:tcBorders/>
            <w:shd w:fill="auto" w:val="clear"/>
            <w:vAlign w:val="bottom"/>
          </w:tcPr>
          <w:p>
            <w:pPr>
              <w:pStyle w:val="TableContents"/>
              <w:spacing w:before="0" w:after="283"/>
              <w:rPr/>
            </w:pPr>
            <w:r>
              <w:rPr/>
              <w:t> </w:t>
            </w:r>
          </w:p>
        </w:tc>
        <w:tc>
          <w:tcPr>
            <w:tcW w:w="946"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65"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jc w:val="left"/>
              <w:rPr/>
            </w:pPr>
            <w:r>
              <w:rPr/>
              <w:t> </w:t>
            </w:r>
          </w:p>
        </w:tc>
        <w:tc>
          <w:tcPr>
            <w:tcW w:w="165" w:type="dxa"/>
            <w:tcBorders/>
            <w:shd w:fill="auto" w:val="clear"/>
            <w:vAlign w:val="bottom"/>
          </w:tcPr>
          <w:p>
            <w:pPr>
              <w:pStyle w:val="TableContents"/>
              <w:spacing w:before="0" w:after="283"/>
              <w:rPr/>
            </w:pPr>
            <w:r>
              <w:rPr/>
              <w:t> </w:t>
            </w:r>
          </w:p>
        </w:tc>
        <w:tc>
          <w:tcPr>
            <w:tcW w:w="5023" w:type="dxa"/>
            <w:tcBorders/>
            <w:shd w:fill="auto" w:val="clear"/>
          </w:tcPr>
          <w:p>
            <w:pPr>
              <w:pStyle w:val="TableContents"/>
              <w:spacing w:before="0" w:after="283"/>
              <w:jc w:val="left"/>
              <w:rPr/>
            </w:pPr>
            <w:r>
              <w:rPr/>
              <w:t>Chairman of the Board of Directors,</w:t>
            </w:r>
          </w:p>
        </w:tc>
        <w:tc>
          <w:tcPr>
            <w:tcW w:w="165" w:type="dxa"/>
            <w:tcBorders/>
            <w:shd w:fill="auto" w:val="clear"/>
            <w:vAlign w:val="bottom"/>
          </w:tcPr>
          <w:p>
            <w:pPr>
              <w:pStyle w:val="TableContents"/>
              <w:spacing w:before="0" w:after="283"/>
              <w:rPr/>
            </w:pPr>
            <w:r>
              <w:rPr/>
              <w:t> </w:t>
            </w:r>
          </w:p>
        </w:tc>
        <w:tc>
          <w:tcPr>
            <w:tcW w:w="946"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65"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jc w:val="left"/>
              <w:rPr/>
            </w:pPr>
            <w:r>
              <w:rPr/>
              <w:t> </w:t>
            </w:r>
          </w:p>
        </w:tc>
        <w:tc>
          <w:tcPr>
            <w:tcW w:w="165" w:type="dxa"/>
            <w:tcBorders/>
            <w:shd w:fill="auto" w:val="clear"/>
            <w:vAlign w:val="bottom"/>
          </w:tcPr>
          <w:p>
            <w:pPr>
              <w:pStyle w:val="TableContents"/>
              <w:spacing w:before="0" w:after="283"/>
              <w:rPr/>
            </w:pPr>
            <w:r>
              <w:rPr/>
              <w:t> </w:t>
            </w:r>
          </w:p>
        </w:tc>
        <w:tc>
          <w:tcPr>
            <w:tcW w:w="5023" w:type="dxa"/>
            <w:tcBorders/>
            <w:shd w:fill="auto" w:val="clear"/>
          </w:tcPr>
          <w:p>
            <w:pPr>
              <w:pStyle w:val="TableContents"/>
              <w:spacing w:before="0" w:after="283"/>
              <w:jc w:val="left"/>
              <w:rPr/>
            </w:pPr>
            <w:r>
              <w:rPr/>
              <w:t>Chief Executive Officer and President</w:t>
            </w:r>
          </w:p>
        </w:tc>
        <w:tc>
          <w:tcPr>
            <w:tcW w:w="165" w:type="dxa"/>
            <w:tcBorders/>
            <w:shd w:fill="auto" w:val="clear"/>
            <w:vAlign w:val="bottom"/>
          </w:tcPr>
          <w:p>
            <w:pPr>
              <w:pStyle w:val="TableContents"/>
              <w:spacing w:before="0" w:after="283"/>
              <w:rPr/>
            </w:pPr>
            <w:r>
              <w:rPr/>
              <w:t> </w:t>
            </w:r>
          </w:p>
        </w:tc>
        <w:tc>
          <w:tcPr>
            <w:tcW w:w="946"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65"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jc w:val="left"/>
              <w:rPr/>
            </w:pPr>
            <w:r>
              <w:rPr/>
              <w:t> </w:t>
            </w:r>
          </w:p>
        </w:tc>
        <w:tc>
          <w:tcPr>
            <w:tcW w:w="165" w:type="dxa"/>
            <w:tcBorders/>
            <w:shd w:fill="auto" w:val="clear"/>
            <w:vAlign w:val="bottom"/>
          </w:tcPr>
          <w:p>
            <w:pPr>
              <w:pStyle w:val="TableContents"/>
              <w:spacing w:before="0" w:after="283"/>
              <w:rPr/>
            </w:pPr>
            <w:r>
              <w:rPr/>
              <w:t> </w:t>
            </w:r>
          </w:p>
        </w:tc>
        <w:tc>
          <w:tcPr>
            <w:tcW w:w="5023" w:type="dxa"/>
            <w:tcBorders/>
            <w:shd w:fill="auto" w:val="clear"/>
          </w:tcPr>
          <w:p>
            <w:pPr>
              <w:pStyle w:val="TableContents"/>
              <w:spacing w:before="0" w:after="283"/>
              <w:jc w:val="left"/>
              <w:rPr/>
            </w:pPr>
            <w:r>
              <w:rPr/>
              <w:t>(Principal Executive Officer)</w:t>
            </w:r>
          </w:p>
        </w:tc>
        <w:tc>
          <w:tcPr>
            <w:tcW w:w="165" w:type="dxa"/>
            <w:tcBorders/>
            <w:shd w:fill="auto" w:val="clear"/>
            <w:vAlign w:val="bottom"/>
          </w:tcPr>
          <w:p>
            <w:pPr>
              <w:pStyle w:val="TableContents"/>
              <w:spacing w:before="0" w:after="283"/>
              <w:rPr/>
            </w:pPr>
            <w:r>
              <w:rPr/>
              <w:t> </w:t>
            </w:r>
          </w:p>
        </w:tc>
        <w:tc>
          <w:tcPr>
            <w:tcW w:w="946"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jc w:val="left"/>
              <w:rPr/>
            </w:pPr>
            <w:r>
              <w:rPr/>
              <w:t> </w:t>
            </w:r>
          </w:p>
        </w:tc>
        <w:tc>
          <w:tcPr>
            <w:tcW w:w="165" w:type="dxa"/>
            <w:tcBorders/>
            <w:shd w:fill="auto" w:val="clear"/>
            <w:vAlign w:val="bottom"/>
          </w:tcPr>
          <w:p>
            <w:pPr>
              <w:pStyle w:val="TableContents"/>
              <w:spacing w:before="0" w:after="283"/>
              <w:rPr/>
            </w:pPr>
            <w:r>
              <w:rPr/>
              <w:t> </w:t>
            </w:r>
          </w:p>
        </w:tc>
        <w:tc>
          <w:tcPr>
            <w:tcW w:w="5023" w:type="dxa"/>
            <w:tcBorders/>
            <w:shd w:fill="auto" w:val="clear"/>
          </w:tcPr>
          <w:p>
            <w:pPr>
              <w:pStyle w:val="TableContents"/>
              <w:spacing w:before="0" w:after="283"/>
              <w:jc w:val="left"/>
              <w:rPr/>
            </w:pPr>
            <w:r>
              <w:rPr/>
              <w:t> </w:t>
            </w:r>
          </w:p>
        </w:tc>
        <w:tc>
          <w:tcPr>
            <w:tcW w:w="165" w:type="dxa"/>
            <w:tcBorders/>
            <w:shd w:fill="auto" w:val="clear"/>
            <w:vAlign w:val="bottom"/>
          </w:tcPr>
          <w:p>
            <w:pPr>
              <w:pStyle w:val="TableContents"/>
              <w:spacing w:before="0" w:after="283"/>
              <w:rPr/>
            </w:pPr>
            <w:r>
              <w:rPr/>
              <w:t> </w:t>
            </w:r>
          </w:p>
        </w:tc>
        <w:tc>
          <w:tcPr>
            <w:tcW w:w="946"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Date: March 9, 2006 </w:t>
            </w:r>
          </w:p>
        </w:tc>
        <w:tc>
          <w:tcPr>
            <w:tcW w:w="165"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jc w:val="left"/>
              <w:rPr/>
            </w:pPr>
            <w:r>
              <w:rPr/>
              <w:t xml:space="preserve">By </w:t>
            </w:r>
          </w:p>
        </w:tc>
        <w:tc>
          <w:tcPr>
            <w:tcW w:w="165" w:type="dxa"/>
            <w:tcBorders/>
            <w:shd w:fill="auto" w:val="clear"/>
            <w:vAlign w:val="bottom"/>
          </w:tcPr>
          <w:p>
            <w:pPr>
              <w:pStyle w:val="TableContents"/>
              <w:spacing w:before="0" w:after="283"/>
              <w:rPr/>
            </w:pPr>
            <w:r>
              <w:rPr/>
              <w:t> </w:t>
            </w:r>
          </w:p>
        </w:tc>
        <w:tc>
          <w:tcPr>
            <w:tcW w:w="5023" w:type="dxa"/>
            <w:tcBorders>
              <w:bottom w:val="single" w:sz="2" w:space="0" w:color="000000"/>
            </w:tcBorders>
            <w:shd w:fill="auto" w:val="clear"/>
            <w:tcMar>
              <w:bottom w:w="28" w:type="dxa"/>
            </w:tcMar>
          </w:tcPr>
          <w:p>
            <w:pPr>
              <w:pStyle w:val="TableContents"/>
              <w:spacing w:before="0" w:after="283"/>
              <w:jc w:val="left"/>
              <w:rPr/>
            </w:pPr>
            <w:r>
              <w:rPr/>
              <w:t>/s/ Arthur J. Bruno</w:t>
            </w:r>
          </w:p>
        </w:tc>
        <w:tc>
          <w:tcPr>
            <w:tcW w:w="165" w:type="dxa"/>
            <w:tcBorders/>
            <w:shd w:fill="auto" w:val="clear"/>
            <w:vAlign w:val="bottom"/>
          </w:tcPr>
          <w:p>
            <w:pPr>
              <w:pStyle w:val="TableContents"/>
              <w:spacing w:before="0" w:after="283"/>
              <w:rPr/>
            </w:pPr>
            <w:r>
              <w:rPr/>
              <w:t> </w:t>
            </w:r>
          </w:p>
        </w:tc>
        <w:tc>
          <w:tcPr>
            <w:tcW w:w="946"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65"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jc w:val="left"/>
              <w:rPr/>
            </w:pPr>
            <w:r>
              <w:rPr/>
              <w:t> </w:t>
            </w:r>
          </w:p>
        </w:tc>
        <w:tc>
          <w:tcPr>
            <w:tcW w:w="165" w:type="dxa"/>
            <w:tcBorders/>
            <w:shd w:fill="auto" w:val="clear"/>
            <w:vAlign w:val="bottom"/>
          </w:tcPr>
          <w:p>
            <w:pPr>
              <w:pStyle w:val="TableContents"/>
              <w:spacing w:before="0" w:after="283"/>
              <w:rPr/>
            </w:pPr>
            <w:r>
              <w:rPr/>
              <w:t> </w:t>
            </w:r>
          </w:p>
        </w:tc>
        <w:tc>
          <w:tcPr>
            <w:tcW w:w="5023" w:type="dxa"/>
            <w:tcBorders/>
            <w:shd w:fill="auto" w:val="clear"/>
          </w:tcPr>
          <w:p>
            <w:pPr>
              <w:pStyle w:val="TableContents"/>
              <w:spacing w:before="0" w:after="283"/>
              <w:jc w:val="left"/>
              <w:rPr/>
            </w:pPr>
            <w:r>
              <w:rPr/>
              <w:t>Arthur J. Bruno</w:t>
            </w:r>
          </w:p>
        </w:tc>
        <w:tc>
          <w:tcPr>
            <w:tcW w:w="165" w:type="dxa"/>
            <w:tcBorders/>
            <w:shd w:fill="auto" w:val="clear"/>
            <w:vAlign w:val="bottom"/>
          </w:tcPr>
          <w:p>
            <w:pPr>
              <w:pStyle w:val="TableContents"/>
              <w:spacing w:before="0" w:after="283"/>
              <w:rPr/>
            </w:pPr>
            <w:r>
              <w:rPr/>
              <w:t> </w:t>
            </w:r>
          </w:p>
        </w:tc>
        <w:tc>
          <w:tcPr>
            <w:tcW w:w="946"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65"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jc w:val="left"/>
              <w:rPr/>
            </w:pPr>
            <w:r>
              <w:rPr/>
              <w:t> </w:t>
            </w:r>
          </w:p>
        </w:tc>
        <w:tc>
          <w:tcPr>
            <w:tcW w:w="165" w:type="dxa"/>
            <w:tcBorders/>
            <w:shd w:fill="auto" w:val="clear"/>
            <w:vAlign w:val="bottom"/>
          </w:tcPr>
          <w:p>
            <w:pPr>
              <w:pStyle w:val="TableContents"/>
              <w:spacing w:before="0" w:after="283"/>
              <w:rPr/>
            </w:pPr>
            <w:r>
              <w:rPr/>
              <w:t> </w:t>
            </w:r>
          </w:p>
        </w:tc>
        <w:tc>
          <w:tcPr>
            <w:tcW w:w="5023" w:type="dxa"/>
            <w:tcBorders/>
            <w:shd w:fill="auto" w:val="clear"/>
          </w:tcPr>
          <w:p>
            <w:pPr>
              <w:pStyle w:val="TableContents"/>
              <w:spacing w:before="0" w:after="283"/>
              <w:jc w:val="left"/>
              <w:rPr/>
            </w:pPr>
            <w:r>
              <w:rPr/>
              <w:t>Chief Operating Officer, Chief Financial Officer and</w:t>
            </w:r>
          </w:p>
        </w:tc>
        <w:tc>
          <w:tcPr>
            <w:tcW w:w="165" w:type="dxa"/>
            <w:tcBorders/>
            <w:shd w:fill="auto" w:val="clear"/>
            <w:vAlign w:val="bottom"/>
          </w:tcPr>
          <w:p>
            <w:pPr>
              <w:pStyle w:val="TableContents"/>
              <w:spacing w:before="0" w:after="283"/>
              <w:rPr/>
            </w:pPr>
            <w:r>
              <w:rPr/>
              <w:t> </w:t>
            </w:r>
          </w:p>
        </w:tc>
        <w:tc>
          <w:tcPr>
            <w:tcW w:w="946"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65"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jc w:val="left"/>
              <w:rPr/>
            </w:pPr>
            <w:r>
              <w:rPr/>
              <w:t> </w:t>
            </w:r>
          </w:p>
        </w:tc>
        <w:tc>
          <w:tcPr>
            <w:tcW w:w="165" w:type="dxa"/>
            <w:tcBorders/>
            <w:shd w:fill="auto" w:val="clear"/>
            <w:vAlign w:val="bottom"/>
          </w:tcPr>
          <w:p>
            <w:pPr>
              <w:pStyle w:val="TableContents"/>
              <w:spacing w:before="0" w:after="283"/>
              <w:rPr/>
            </w:pPr>
            <w:r>
              <w:rPr/>
              <w:t> </w:t>
            </w:r>
          </w:p>
        </w:tc>
        <w:tc>
          <w:tcPr>
            <w:tcW w:w="5023" w:type="dxa"/>
            <w:tcBorders/>
            <w:shd w:fill="auto" w:val="clear"/>
          </w:tcPr>
          <w:p>
            <w:pPr>
              <w:pStyle w:val="TableContents"/>
              <w:spacing w:before="0" w:after="283"/>
              <w:jc w:val="left"/>
              <w:rPr/>
            </w:pPr>
            <w:r>
              <w:rPr/>
              <w:t>Corporate Secretary</w:t>
            </w:r>
          </w:p>
        </w:tc>
        <w:tc>
          <w:tcPr>
            <w:tcW w:w="165" w:type="dxa"/>
            <w:tcBorders/>
            <w:shd w:fill="auto" w:val="clear"/>
            <w:vAlign w:val="bottom"/>
          </w:tcPr>
          <w:p>
            <w:pPr>
              <w:pStyle w:val="TableContents"/>
              <w:spacing w:before="0" w:after="283"/>
              <w:rPr/>
            </w:pPr>
            <w:r>
              <w:rPr/>
              <w:t> </w:t>
            </w:r>
          </w:p>
        </w:tc>
        <w:tc>
          <w:tcPr>
            <w:tcW w:w="946" w:type="dxa"/>
            <w:tcBorders/>
            <w:shd w:fill="auto" w:val="clear"/>
          </w:tcPr>
          <w:p>
            <w:pPr>
              <w:pStyle w:val="TableContents"/>
              <w:spacing w:before="0" w:after="283"/>
              <w:jc w:val="left"/>
              <w:rPr/>
            </w:pPr>
            <w:r>
              <w:rPr/>
              <w:t> </w:t>
            </w:r>
          </w:p>
        </w:tc>
      </w:tr>
      <w:tr>
        <w:trPr/>
        <w:tc>
          <w:tcPr>
            <w:tcW w:w="3424" w:type="dxa"/>
            <w:tcBorders/>
            <w:shd w:fill="auto" w:val="clear"/>
          </w:tcPr>
          <w:p>
            <w:pPr>
              <w:pStyle w:val="TableContents"/>
              <w:spacing w:before="0" w:after="0"/>
              <w:ind w:left="0" w:right="0" w:hanging="0"/>
              <w:rPr/>
            </w:pPr>
            <w:r>
              <w:rPr/>
              <w:t xml:space="preserve">  </w:t>
            </w:r>
          </w:p>
        </w:tc>
        <w:tc>
          <w:tcPr>
            <w:tcW w:w="165" w:type="dxa"/>
            <w:tcBorders/>
            <w:shd w:fill="auto" w:val="clear"/>
            <w:vAlign w:val="bottom"/>
          </w:tcPr>
          <w:p>
            <w:pPr>
              <w:pStyle w:val="TableContents"/>
              <w:spacing w:before="0" w:after="283"/>
              <w:rPr/>
            </w:pPr>
            <w:r>
              <w:rPr/>
              <w:t> </w:t>
            </w:r>
          </w:p>
        </w:tc>
        <w:tc>
          <w:tcPr>
            <w:tcW w:w="317" w:type="dxa"/>
            <w:tcBorders/>
            <w:shd w:fill="auto" w:val="clear"/>
          </w:tcPr>
          <w:p>
            <w:pPr>
              <w:pStyle w:val="TableContents"/>
              <w:spacing w:before="0" w:after="283"/>
              <w:jc w:val="left"/>
              <w:rPr/>
            </w:pPr>
            <w:r>
              <w:rPr/>
              <w:t> </w:t>
            </w:r>
          </w:p>
        </w:tc>
        <w:tc>
          <w:tcPr>
            <w:tcW w:w="165" w:type="dxa"/>
            <w:tcBorders/>
            <w:shd w:fill="auto" w:val="clear"/>
            <w:vAlign w:val="bottom"/>
          </w:tcPr>
          <w:p>
            <w:pPr>
              <w:pStyle w:val="TableContents"/>
              <w:spacing w:before="0" w:after="283"/>
              <w:rPr/>
            </w:pPr>
            <w:r>
              <w:rPr/>
              <w:t> </w:t>
            </w:r>
          </w:p>
        </w:tc>
        <w:tc>
          <w:tcPr>
            <w:tcW w:w="5023" w:type="dxa"/>
            <w:tcBorders/>
            <w:shd w:fill="auto" w:val="clear"/>
          </w:tcPr>
          <w:p>
            <w:pPr>
              <w:pStyle w:val="TableContents"/>
              <w:spacing w:before="0" w:after="283"/>
              <w:jc w:val="left"/>
              <w:rPr/>
            </w:pPr>
            <w:r>
              <w:rPr/>
              <w:t>(Principal Financial Officer)</w:t>
            </w:r>
          </w:p>
        </w:tc>
        <w:tc>
          <w:tcPr>
            <w:tcW w:w="165" w:type="dxa"/>
            <w:tcBorders/>
            <w:shd w:fill="auto" w:val="clear"/>
            <w:vAlign w:val="bottom"/>
          </w:tcPr>
          <w:p>
            <w:pPr>
              <w:pStyle w:val="TableContents"/>
              <w:spacing w:before="0" w:after="283"/>
              <w:rPr/>
            </w:pPr>
            <w:r>
              <w:rPr/>
              <w:t> </w:t>
            </w:r>
          </w:p>
        </w:tc>
        <w:tc>
          <w:tcPr>
            <w:tcW w:w="946" w:type="dxa"/>
            <w:tcBorders/>
            <w:shd w:fill="auto" w:val="clear"/>
          </w:tcPr>
          <w:p>
            <w:pPr>
              <w:pStyle w:val="TableContents"/>
              <w:spacing w:before="0" w:after="283"/>
              <w:jc w:val="left"/>
              <w:rPr/>
            </w:pPr>
            <w:r>
              <w:rPr/>
              <w:t> </w:t>
            </w:r>
          </w:p>
        </w:tc>
      </w:tr>
    </w:tbl>
    <w:p>
      <w:pPr>
        <w:pStyle w:val="TextBody"/>
        <w:jc w:val="center"/>
        <w:rPr>
          <w:sz w:val="17"/>
        </w:rPr>
      </w:pPr>
      <w:r>
        <w:rPr>
          <w:sz w:val="17"/>
        </w:rP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17" w:name="115"/>
      <w:bookmarkEnd w:id="17"/>
      <w:r>
        <w:rPr>
          <w:rFonts w:ascii="Times New Roman;Times;serif" w:hAnsi="Times New Roman;Times;serif"/>
          <w:sz w:val="17"/>
        </w:rPr>
        <w:t xml:space="preserve">INDEX TO EXHIBITS </w:t>
      </w:r>
    </w:p>
    <w:tbl>
      <w:tblPr>
        <w:tblW w:w="5000" w:type="pct"/>
        <w:jc w:val="center"/>
        <w:tblInd w:w="0" w:type="dxa"/>
        <w:tblCellMar>
          <w:top w:w="0" w:type="dxa"/>
          <w:left w:w="0" w:type="dxa"/>
          <w:bottom w:w="0" w:type="dxa"/>
          <w:right w:w="0" w:type="dxa"/>
        </w:tblCellMar>
      </w:tblPr>
      <w:tblGrid>
        <w:gridCol w:w="828"/>
        <w:gridCol w:w="300"/>
        <w:gridCol w:w="9077"/>
      </w:tblGrid>
      <w:tr>
        <w:trPr/>
        <w:tc>
          <w:tcPr>
            <w:tcW w:w="828"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9077" w:type="dxa"/>
            <w:tcBorders/>
            <w:shd w:fill="auto" w:val="clear"/>
            <w:vAlign w:val="bottom"/>
          </w:tcPr>
          <w:p>
            <w:pPr>
              <w:pStyle w:val="TableContents"/>
              <w:spacing w:before="0" w:after="283"/>
              <w:rPr/>
            </w:pPr>
            <w:r>
              <w:rPr/>
              <w:t> </w:t>
            </w:r>
          </w:p>
        </w:tc>
      </w:tr>
      <w:tr>
        <w:trPr/>
        <w:tc>
          <w:tcPr>
            <w:tcW w:w="828" w:type="dxa"/>
            <w:tcBorders/>
            <w:shd w:fill="auto" w:val="clear"/>
            <w:vAlign w:val="bottom"/>
          </w:tcPr>
          <w:p>
            <w:pPr>
              <w:pStyle w:val="TableContents"/>
              <w:spacing w:before="0" w:after="283"/>
              <w:jc w:val="left"/>
              <w:rPr/>
            </w:pPr>
            <w:r>
              <w:rPr/>
              <w:t>Exhibit</w:t>
            </w:r>
          </w:p>
        </w:tc>
        <w:tc>
          <w:tcPr>
            <w:tcW w:w="300" w:type="dxa"/>
            <w:tcBorders/>
            <w:shd w:fill="auto" w:val="clear"/>
            <w:vAlign w:val="bottom"/>
          </w:tcPr>
          <w:p>
            <w:pPr>
              <w:pStyle w:val="TableContents"/>
              <w:spacing w:before="0" w:after="283"/>
              <w:rPr/>
            </w:pPr>
            <w:r>
              <w:rPr/>
              <w:t> </w:t>
            </w:r>
          </w:p>
        </w:tc>
        <w:tc>
          <w:tcPr>
            <w:tcW w:w="9077" w:type="dxa"/>
            <w:tcBorders/>
            <w:shd w:fill="auto" w:val="clear"/>
            <w:vAlign w:val="bottom"/>
          </w:tcPr>
          <w:p>
            <w:pPr>
              <w:pStyle w:val="TableContents"/>
              <w:spacing w:before="0" w:after="283"/>
              <w:jc w:val="center"/>
              <w:rPr/>
            </w:pPr>
            <w:r>
              <w:rPr/>
              <w:t> </w:t>
            </w:r>
          </w:p>
        </w:tc>
      </w:tr>
      <w:tr>
        <w:trPr/>
        <w:tc>
          <w:tcPr>
            <w:tcW w:w="828" w:type="dxa"/>
            <w:tcBorders>
              <w:bottom w:val="single" w:sz="2" w:space="0" w:color="000000"/>
            </w:tcBorders>
            <w:shd w:fill="auto" w:val="clear"/>
            <w:tcMar>
              <w:bottom w:w="28" w:type="dxa"/>
            </w:tcMar>
            <w:vAlign w:val="bottom"/>
          </w:tcPr>
          <w:p>
            <w:pPr>
              <w:pStyle w:val="TableContents"/>
              <w:spacing w:before="0" w:after="283"/>
              <w:jc w:val="left"/>
              <w:rPr/>
            </w:pPr>
            <w:r>
              <w:rPr/>
              <w:t>Number</w:t>
            </w:r>
          </w:p>
        </w:tc>
        <w:tc>
          <w:tcPr>
            <w:tcW w:w="300" w:type="dxa"/>
            <w:tcBorders/>
            <w:shd w:fill="auto" w:val="clear"/>
            <w:vAlign w:val="bottom"/>
          </w:tcPr>
          <w:p>
            <w:pPr>
              <w:pStyle w:val="TableContents"/>
              <w:spacing w:before="0" w:after="283"/>
              <w:rPr/>
            </w:pPr>
            <w:r>
              <w:rPr/>
              <w:t> </w:t>
            </w:r>
          </w:p>
        </w:tc>
        <w:tc>
          <w:tcPr>
            <w:tcW w:w="9077" w:type="dxa"/>
            <w:tcBorders>
              <w:bottom w:val="single" w:sz="2" w:space="0" w:color="000000"/>
            </w:tcBorders>
            <w:shd w:fill="auto" w:val="clear"/>
            <w:tcMar>
              <w:bottom w:w="28" w:type="dxa"/>
            </w:tcMar>
            <w:vAlign w:val="bottom"/>
          </w:tcPr>
          <w:p>
            <w:pPr>
              <w:pStyle w:val="TableContents"/>
              <w:spacing w:before="0" w:after="283"/>
              <w:jc w:val="center"/>
              <w:rPr/>
            </w:pPr>
            <w:r>
              <w:rPr/>
              <w:t>Description</w:t>
            </w:r>
          </w:p>
        </w:tc>
      </w:tr>
      <w:tr>
        <w:trPr/>
        <w:tc>
          <w:tcPr>
            <w:tcW w:w="828" w:type="dxa"/>
            <w:tcBorders/>
            <w:shd w:fill="auto" w:val="clear"/>
          </w:tcPr>
          <w:p>
            <w:pPr>
              <w:pStyle w:val="TableContents"/>
              <w:spacing w:before="0" w:after="0"/>
              <w:ind w:left="0" w:right="0" w:hanging="0"/>
              <w:jc w:val="right"/>
              <w:rPr/>
            </w:pPr>
            <w:r>
              <w:rPr/>
              <w:t xml:space="preserve">31.1 </w:t>
            </w:r>
          </w:p>
        </w:tc>
        <w:tc>
          <w:tcPr>
            <w:tcW w:w="300" w:type="dxa"/>
            <w:tcBorders/>
            <w:shd w:fill="auto" w:val="clear"/>
            <w:vAlign w:val="bottom"/>
          </w:tcPr>
          <w:p>
            <w:pPr>
              <w:pStyle w:val="TableContents"/>
              <w:spacing w:before="0" w:after="283"/>
              <w:rPr/>
            </w:pPr>
            <w:r>
              <w:rPr/>
              <w:t> </w:t>
            </w:r>
          </w:p>
        </w:tc>
        <w:tc>
          <w:tcPr>
            <w:tcW w:w="9077" w:type="dxa"/>
            <w:tcBorders/>
            <w:shd w:fill="auto" w:val="clear"/>
          </w:tcPr>
          <w:p>
            <w:pPr>
              <w:pStyle w:val="TableContents"/>
              <w:spacing w:before="0" w:after="283"/>
              <w:jc w:val="left"/>
              <w:rPr/>
            </w:pPr>
            <w:r>
              <w:rPr/>
              <w:t>Certification of Chief Executive Officer Pursuant to 15 U.S.C. § 7241, as Adopted Pursuant to Section 302 of the Sarbanes-Oxley Act of 2002.</w:t>
            </w:r>
          </w:p>
        </w:tc>
      </w:tr>
      <w:tr>
        <w:trPr/>
        <w:tc>
          <w:tcPr>
            <w:tcW w:w="828" w:type="dxa"/>
            <w:tcBorders/>
            <w:shd w:fill="auto" w:val="clear"/>
          </w:tcPr>
          <w:p>
            <w:pPr>
              <w:pStyle w:val="TableContents"/>
              <w:spacing w:before="0" w:after="0"/>
              <w:ind w:left="0" w:right="0" w:hanging="0"/>
              <w:rPr/>
            </w:pPr>
            <w:r>
              <w:rPr/>
              <w:t> </w:t>
            </w:r>
          </w:p>
        </w:tc>
        <w:tc>
          <w:tcPr>
            <w:tcW w:w="300" w:type="dxa"/>
            <w:tcBorders/>
            <w:shd w:fill="auto" w:val="clear"/>
            <w:vAlign w:val="bottom"/>
          </w:tcPr>
          <w:p>
            <w:pPr>
              <w:pStyle w:val="TableContents"/>
              <w:spacing w:before="0" w:after="283"/>
              <w:rPr/>
            </w:pPr>
            <w:r>
              <w:rPr/>
              <w:t> </w:t>
            </w:r>
          </w:p>
        </w:tc>
        <w:tc>
          <w:tcPr>
            <w:tcW w:w="9077" w:type="dxa"/>
            <w:tcBorders/>
            <w:shd w:fill="auto" w:val="clear"/>
          </w:tcPr>
          <w:p>
            <w:pPr>
              <w:pStyle w:val="TableContents"/>
              <w:spacing w:before="0" w:after="283"/>
              <w:jc w:val="left"/>
              <w:rPr/>
            </w:pPr>
            <w:r>
              <w:rPr/>
              <w:t> </w:t>
            </w:r>
          </w:p>
        </w:tc>
      </w:tr>
      <w:tr>
        <w:trPr/>
        <w:tc>
          <w:tcPr>
            <w:tcW w:w="828" w:type="dxa"/>
            <w:tcBorders/>
            <w:shd w:fill="auto" w:val="clear"/>
          </w:tcPr>
          <w:p>
            <w:pPr>
              <w:pStyle w:val="TableContents"/>
              <w:spacing w:before="0" w:after="0"/>
              <w:ind w:left="0" w:right="0" w:hanging="0"/>
              <w:jc w:val="right"/>
              <w:rPr/>
            </w:pPr>
            <w:r>
              <w:rPr/>
              <w:t xml:space="preserve">31.2 </w:t>
            </w:r>
          </w:p>
        </w:tc>
        <w:tc>
          <w:tcPr>
            <w:tcW w:w="300" w:type="dxa"/>
            <w:tcBorders/>
            <w:shd w:fill="auto" w:val="clear"/>
            <w:vAlign w:val="bottom"/>
          </w:tcPr>
          <w:p>
            <w:pPr>
              <w:pStyle w:val="TableContents"/>
              <w:spacing w:before="0" w:after="283"/>
              <w:rPr/>
            </w:pPr>
            <w:r>
              <w:rPr/>
              <w:t> </w:t>
            </w:r>
          </w:p>
        </w:tc>
        <w:tc>
          <w:tcPr>
            <w:tcW w:w="9077" w:type="dxa"/>
            <w:tcBorders/>
            <w:shd w:fill="auto" w:val="clear"/>
          </w:tcPr>
          <w:p>
            <w:pPr>
              <w:pStyle w:val="TableContents"/>
              <w:spacing w:before="0" w:after="283"/>
              <w:jc w:val="left"/>
              <w:rPr/>
            </w:pPr>
            <w:r>
              <w:rPr/>
              <w:t>Certification of Principal Financial Officer Pursuant to 15 U.S.C. § 7241, as Adopted Pursuant to Section 302 of the Sarbanes-Oxley Act of 2002.</w:t>
            </w:r>
          </w:p>
        </w:tc>
      </w:tr>
      <w:tr>
        <w:trPr/>
        <w:tc>
          <w:tcPr>
            <w:tcW w:w="828" w:type="dxa"/>
            <w:tcBorders/>
            <w:shd w:fill="auto" w:val="clear"/>
          </w:tcPr>
          <w:p>
            <w:pPr>
              <w:pStyle w:val="TableContents"/>
              <w:spacing w:before="0" w:after="0"/>
              <w:ind w:left="0" w:right="0" w:hanging="0"/>
              <w:rPr/>
            </w:pPr>
            <w:r>
              <w:rPr/>
              <w:t> </w:t>
            </w:r>
          </w:p>
        </w:tc>
        <w:tc>
          <w:tcPr>
            <w:tcW w:w="300" w:type="dxa"/>
            <w:tcBorders/>
            <w:shd w:fill="auto" w:val="clear"/>
            <w:vAlign w:val="bottom"/>
          </w:tcPr>
          <w:p>
            <w:pPr>
              <w:pStyle w:val="TableContents"/>
              <w:spacing w:before="0" w:after="283"/>
              <w:rPr/>
            </w:pPr>
            <w:r>
              <w:rPr/>
              <w:t> </w:t>
            </w:r>
          </w:p>
        </w:tc>
        <w:tc>
          <w:tcPr>
            <w:tcW w:w="9077" w:type="dxa"/>
            <w:tcBorders/>
            <w:shd w:fill="auto" w:val="clear"/>
          </w:tcPr>
          <w:p>
            <w:pPr>
              <w:pStyle w:val="TableContents"/>
              <w:spacing w:before="0" w:after="283"/>
              <w:jc w:val="left"/>
              <w:rPr/>
            </w:pPr>
            <w:r>
              <w:rPr/>
              <w:t> </w:t>
            </w:r>
          </w:p>
        </w:tc>
      </w:tr>
      <w:tr>
        <w:trPr/>
        <w:tc>
          <w:tcPr>
            <w:tcW w:w="828" w:type="dxa"/>
            <w:tcBorders/>
            <w:shd w:fill="auto" w:val="clear"/>
          </w:tcPr>
          <w:p>
            <w:pPr>
              <w:pStyle w:val="TableContents"/>
              <w:spacing w:before="0" w:after="0"/>
              <w:ind w:left="0" w:right="0" w:hanging="0"/>
              <w:jc w:val="right"/>
              <w:rPr/>
            </w:pPr>
            <w:r>
              <w:rPr/>
              <w:t xml:space="preserve">32 </w:t>
            </w:r>
          </w:p>
        </w:tc>
        <w:tc>
          <w:tcPr>
            <w:tcW w:w="300" w:type="dxa"/>
            <w:tcBorders/>
            <w:shd w:fill="auto" w:val="clear"/>
            <w:vAlign w:val="bottom"/>
          </w:tcPr>
          <w:p>
            <w:pPr>
              <w:pStyle w:val="TableContents"/>
              <w:spacing w:before="0" w:after="283"/>
              <w:rPr/>
            </w:pPr>
            <w:r>
              <w:rPr/>
              <w:t> </w:t>
            </w:r>
          </w:p>
        </w:tc>
        <w:tc>
          <w:tcPr>
            <w:tcW w:w="9077" w:type="dxa"/>
            <w:tcBorders/>
            <w:shd w:fill="auto" w:val="clear"/>
          </w:tcPr>
          <w:p>
            <w:pPr>
              <w:pStyle w:val="TableContents"/>
              <w:spacing w:before="0" w:after="283"/>
              <w:jc w:val="left"/>
              <w:rPr/>
            </w:pPr>
            <w:r>
              <w:rPr/>
              <w:t>Certification by Chief Executive Officer and Chief Financial Officer of Periodic Report Pursuant to 18 U.S.C. Section 1350.</w:t>
            </w:r>
          </w:p>
        </w:tc>
      </w:tr>
    </w:tbl>
    <w:p>
      <w:pPr>
        <w:pStyle w:val="TextBody"/>
        <w:jc w:val="center"/>
        <w:rPr/>
      </w:pPr>
      <w:r>
        <w:rPr/>
        <w:t xml:space="preserve">  </w:t>
      </w:r>
      <w:r>
        <w:br w:type="page"/>
      </w:r>
    </w:p>
    <w:p>
      <w:pPr>
        <w:pStyle w:val="Heading5"/>
        <w:jc w:val="left"/>
        <w:rPr/>
      </w:pPr>
      <w:bookmarkStart w:id="18" w:name="v18414exv31w1.htm"/>
      <w:bookmarkStart w:id="19" w:name="ksv18414exv31w1"/>
      <w:bookmarkEnd w:id="18"/>
      <w:bookmarkEnd w:id="19"/>
      <w:r>
        <w:rPr/>
        <w:t> </w:t>
      </w:r>
    </w:p>
    <w:p>
      <w:pPr>
        <w:pStyle w:val="TextBody"/>
        <w:spacing w:before="240" w:after="283"/>
        <w:jc w:val="right"/>
        <w:rPr>
          <w:sz w:val="17"/>
        </w:rPr>
      </w:pPr>
      <w:r>
        <w:rPr>
          <w:sz w:val="17"/>
        </w:rPr>
        <w:t xml:space="preserve">Exhibit 31.1 </w:t>
      </w:r>
    </w:p>
    <w:p>
      <w:pPr>
        <w:pStyle w:val="TextBody"/>
        <w:spacing w:before="360" w:after="283"/>
        <w:jc w:val="center"/>
        <w:rPr>
          <w:sz w:val="17"/>
        </w:rPr>
      </w:pPr>
      <w:r>
        <w:rPr>
          <w:sz w:val="17"/>
        </w:rPr>
        <w:t>CERTIFICATION PURSUANT TO</w:t>
        <w:br/>
        <w:t>15 U.S.C. § 7241</w:t>
        <w:br/>
        <w:t>AS ADOPTED PURSUANT TO</w:t>
        <w:br/>
        <w:t xml:space="preserve">SECTION 302 OF THE SARBANES-OXLEY ACT OF 2002 </w:t>
      </w:r>
    </w:p>
    <w:p>
      <w:pPr>
        <w:pStyle w:val="TextBody"/>
        <w:spacing w:before="120" w:after="283"/>
        <w:jc w:val="left"/>
        <w:rPr>
          <w:sz w:val="17"/>
        </w:rPr>
      </w:pPr>
      <w:r>
        <w:rPr>
          <w:sz w:val="17"/>
        </w:rPr>
        <w:t xml:space="preserve">I, Lecil E. Cole, certify that: </w:t>
      </w:r>
    </w:p>
    <w:tbl>
      <w:tblPr>
        <w:tblW w:w="5000" w:type="pct"/>
        <w:jc w:val="left"/>
        <w:tblInd w:w="0" w:type="dxa"/>
        <w:tblCellMar>
          <w:top w:w="0" w:type="dxa"/>
          <w:left w:w="0" w:type="dxa"/>
          <w:bottom w:w="0" w:type="dxa"/>
          <w:right w:w="0" w:type="dxa"/>
        </w:tblCellMar>
      </w:tblPr>
      <w:tblGrid>
        <w:gridCol w:w="199"/>
        <w:gridCol w:w="125"/>
        <w:gridCol w:w="9881"/>
      </w:tblGrid>
      <w:tr>
        <w:trPr/>
        <w:tc>
          <w:tcPr>
            <w:tcW w:w="199" w:type="dxa"/>
            <w:tcBorders/>
            <w:shd w:fill="auto" w:val="clear"/>
          </w:tcPr>
          <w:p>
            <w:pPr>
              <w:pStyle w:val="TableContents"/>
              <w:spacing w:before="0" w:after="283"/>
              <w:jc w:val="left"/>
              <w:rPr/>
            </w:pPr>
            <w:r>
              <w:rPr/>
              <w:t>1.</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I have reviewed this quarterly report on Form 10-Q of Calavo Growers, Inc.;</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2.</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3.</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4.</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and have:</w:t>
            </w:r>
          </w:p>
        </w:tc>
      </w:tr>
    </w:tbl>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207"/>
        <w:gridCol w:w="128"/>
        <w:gridCol w:w="9870"/>
      </w:tblGrid>
      <w:tr>
        <w:trPr/>
        <w:tc>
          <w:tcPr>
            <w:tcW w:w="207" w:type="dxa"/>
            <w:tcBorders/>
            <w:shd w:fill="auto" w:val="clear"/>
          </w:tcPr>
          <w:p>
            <w:pPr>
              <w:pStyle w:val="TableContents"/>
              <w:spacing w:before="0" w:after="283"/>
              <w:jc w:val="left"/>
              <w:rPr/>
            </w:pPr>
            <w:r>
              <w:rPr/>
              <w:t>5.</w:t>
            </w:r>
          </w:p>
        </w:tc>
        <w:tc>
          <w:tcPr>
            <w:tcW w:w="128" w:type="dxa"/>
            <w:tcBorders/>
            <w:shd w:fill="auto" w:val="clear"/>
          </w:tcPr>
          <w:p>
            <w:pPr>
              <w:pStyle w:val="TableContents"/>
              <w:spacing w:before="0" w:after="283"/>
              <w:rPr/>
            </w:pPr>
            <w:r>
              <w:rPr/>
              <w:t> </w:t>
            </w:r>
          </w:p>
        </w:tc>
        <w:tc>
          <w:tcPr>
            <w:tcW w:w="9870"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w:t>
            </w:r>
          </w:p>
        </w:tc>
      </w:tr>
    </w:tbl>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tbl>
      <w:tblPr>
        <w:tblW w:w="5000" w:type="pct"/>
        <w:jc w:val="center"/>
        <w:tblInd w:w="0" w:type="dxa"/>
        <w:tblCellMar>
          <w:top w:w="0" w:type="dxa"/>
          <w:left w:w="0" w:type="dxa"/>
          <w:bottom w:w="0" w:type="dxa"/>
          <w:right w:w="0" w:type="dxa"/>
        </w:tblCellMar>
      </w:tblPr>
      <w:tblGrid>
        <w:gridCol w:w="4813"/>
        <w:gridCol w:w="253"/>
        <w:gridCol w:w="3708"/>
        <w:gridCol w:w="253"/>
        <w:gridCol w:w="1178"/>
      </w:tblGrid>
      <w:tr>
        <w:trPr/>
        <w:tc>
          <w:tcPr>
            <w:tcW w:w="4813"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3708"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178" w:type="dxa"/>
            <w:tcBorders/>
            <w:shd w:fill="auto" w:val="clear"/>
            <w:vAlign w:val="bottom"/>
          </w:tcPr>
          <w:p>
            <w:pPr>
              <w:pStyle w:val="TableContents"/>
              <w:spacing w:before="0" w:after="283"/>
              <w:rPr/>
            </w:pPr>
            <w:r>
              <w:rPr/>
              <w:t> </w:t>
            </w:r>
          </w:p>
        </w:tc>
      </w:tr>
      <w:tr>
        <w:trPr/>
        <w:tc>
          <w:tcPr>
            <w:tcW w:w="4813" w:type="dxa"/>
            <w:tcBorders/>
            <w:shd w:fill="auto" w:val="clear"/>
          </w:tcPr>
          <w:p>
            <w:pPr>
              <w:pStyle w:val="TableContents"/>
              <w:spacing w:before="0" w:after="0"/>
              <w:ind w:left="0" w:right="0" w:hanging="0"/>
              <w:rPr/>
            </w:pPr>
            <w:r>
              <w:rPr/>
              <w:t xml:space="preserve">Date: March 9, 2006 </w:t>
            </w:r>
          </w:p>
        </w:tc>
        <w:tc>
          <w:tcPr>
            <w:tcW w:w="253" w:type="dxa"/>
            <w:tcBorders/>
            <w:shd w:fill="auto" w:val="clear"/>
            <w:vAlign w:val="bottom"/>
          </w:tcPr>
          <w:p>
            <w:pPr>
              <w:pStyle w:val="TableContents"/>
              <w:spacing w:before="0" w:after="283"/>
              <w:rPr/>
            </w:pPr>
            <w:r>
              <w:rPr/>
              <w:t> </w:t>
            </w:r>
          </w:p>
        </w:tc>
        <w:tc>
          <w:tcPr>
            <w:tcW w:w="3708" w:type="dxa"/>
            <w:tcBorders>
              <w:bottom w:val="single" w:sz="2" w:space="0" w:color="000000"/>
            </w:tcBorders>
            <w:shd w:fill="auto" w:val="clear"/>
            <w:tcMar>
              <w:bottom w:w="28" w:type="dxa"/>
            </w:tcMar>
          </w:tcPr>
          <w:p>
            <w:pPr>
              <w:pStyle w:val="TableContents"/>
              <w:spacing w:before="0" w:after="283"/>
              <w:jc w:val="left"/>
              <w:rPr/>
            </w:pPr>
            <w:r>
              <w:rPr/>
              <w:t>/s/ Lecil E. Cole</w:t>
            </w:r>
          </w:p>
        </w:tc>
        <w:tc>
          <w:tcPr>
            <w:tcW w:w="253" w:type="dxa"/>
            <w:tcBorders/>
            <w:shd w:fill="auto" w:val="clear"/>
            <w:vAlign w:val="bottom"/>
          </w:tcPr>
          <w:p>
            <w:pPr>
              <w:pStyle w:val="TableContents"/>
              <w:spacing w:before="0" w:after="283"/>
              <w:rPr/>
            </w:pPr>
            <w:r>
              <w:rPr/>
              <w:t> </w:t>
            </w:r>
          </w:p>
        </w:tc>
        <w:tc>
          <w:tcPr>
            <w:tcW w:w="1178" w:type="dxa"/>
            <w:tcBorders/>
            <w:shd w:fill="auto" w:val="clear"/>
          </w:tcPr>
          <w:p>
            <w:pPr>
              <w:pStyle w:val="TableContents"/>
              <w:spacing w:before="0" w:after="283"/>
              <w:jc w:val="left"/>
              <w:rPr/>
            </w:pPr>
            <w:r>
              <w:rPr/>
              <w:t> </w:t>
            </w:r>
          </w:p>
        </w:tc>
      </w:tr>
      <w:tr>
        <w:trPr/>
        <w:tc>
          <w:tcPr>
            <w:tcW w:w="4813" w:type="dxa"/>
            <w:tcBorders/>
            <w:shd w:fill="auto" w:val="clear"/>
          </w:tcPr>
          <w:p>
            <w:pPr>
              <w:pStyle w:val="TableContents"/>
              <w:spacing w:before="0" w:after="0"/>
              <w:ind w:left="0" w:right="0" w:hanging="0"/>
              <w:rPr/>
            </w:pPr>
            <w:r>
              <w:rPr/>
              <w:t xml:space="preserve">  </w:t>
            </w:r>
          </w:p>
        </w:tc>
        <w:tc>
          <w:tcPr>
            <w:tcW w:w="253" w:type="dxa"/>
            <w:tcBorders/>
            <w:shd w:fill="auto" w:val="clear"/>
            <w:vAlign w:val="bottom"/>
          </w:tcPr>
          <w:p>
            <w:pPr>
              <w:pStyle w:val="TableContents"/>
              <w:spacing w:before="0" w:after="283"/>
              <w:rPr/>
            </w:pPr>
            <w:r>
              <w:rPr/>
              <w:t> </w:t>
            </w:r>
          </w:p>
        </w:tc>
        <w:tc>
          <w:tcPr>
            <w:tcW w:w="3708" w:type="dxa"/>
            <w:tcBorders/>
            <w:shd w:fill="auto" w:val="clear"/>
          </w:tcPr>
          <w:p>
            <w:pPr>
              <w:pStyle w:val="TableContents"/>
              <w:spacing w:before="0" w:after="283"/>
              <w:jc w:val="left"/>
              <w:rPr/>
            </w:pPr>
            <w:r>
              <w:rPr/>
              <w:t>Lecil E. Cole</w:t>
            </w:r>
          </w:p>
        </w:tc>
        <w:tc>
          <w:tcPr>
            <w:tcW w:w="253" w:type="dxa"/>
            <w:tcBorders/>
            <w:shd w:fill="auto" w:val="clear"/>
            <w:vAlign w:val="bottom"/>
          </w:tcPr>
          <w:p>
            <w:pPr>
              <w:pStyle w:val="TableContents"/>
              <w:spacing w:before="0" w:after="283"/>
              <w:rPr/>
            </w:pPr>
            <w:r>
              <w:rPr/>
              <w:t> </w:t>
            </w:r>
          </w:p>
        </w:tc>
        <w:tc>
          <w:tcPr>
            <w:tcW w:w="1178" w:type="dxa"/>
            <w:tcBorders/>
            <w:shd w:fill="auto" w:val="clear"/>
          </w:tcPr>
          <w:p>
            <w:pPr>
              <w:pStyle w:val="TableContents"/>
              <w:spacing w:before="0" w:after="283"/>
              <w:jc w:val="left"/>
              <w:rPr/>
            </w:pPr>
            <w:r>
              <w:rPr/>
              <w:t> </w:t>
            </w:r>
          </w:p>
        </w:tc>
      </w:tr>
      <w:tr>
        <w:trPr/>
        <w:tc>
          <w:tcPr>
            <w:tcW w:w="4813" w:type="dxa"/>
            <w:tcBorders/>
            <w:shd w:fill="auto" w:val="clear"/>
          </w:tcPr>
          <w:p>
            <w:pPr>
              <w:pStyle w:val="TableContents"/>
              <w:spacing w:before="0" w:after="0"/>
              <w:ind w:left="0" w:right="0" w:hanging="0"/>
              <w:rPr/>
            </w:pPr>
            <w:r>
              <w:rPr/>
              <w:t xml:space="preserve">  </w:t>
            </w:r>
          </w:p>
        </w:tc>
        <w:tc>
          <w:tcPr>
            <w:tcW w:w="253" w:type="dxa"/>
            <w:tcBorders/>
            <w:shd w:fill="auto" w:val="clear"/>
            <w:vAlign w:val="bottom"/>
          </w:tcPr>
          <w:p>
            <w:pPr>
              <w:pStyle w:val="TableContents"/>
              <w:spacing w:before="0" w:after="283"/>
              <w:rPr/>
            </w:pPr>
            <w:r>
              <w:rPr/>
              <w:t> </w:t>
            </w:r>
          </w:p>
        </w:tc>
        <w:tc>
          <w:tcPr>
            <w:tcW w:w="3708" w:type="dxa"/>
            <w:tcBorders/>
            <w:shd w:fill="auto" w:val="clear"/>
          </w:tcPr>
          <w:p>
            <w:pPr>
              <w:pStyle w:val="TableContents"/>
              <w:spacing w:before="0" w:after="283"/>
              <w:jc w:val="left"/>
              <w:rPr/>
            </w:pPr>
            <w:r>
              <w:rPr/>
              <w:t>Chairman of the Board of Directors,</w:t>
            </w:r>
          </w:p>
        </w:tc>
        <w:tc>
          <w:tcPr>
            <w:tcW w:w="253" w:type="dxa"/>
            <w:tcBorders/>
            <w:shd w:fill="auto" w:val="clear"/>
            <w:vAlign w:val="bottom"/>
          </w:tcPr>
          <w:p>
            <w:pPr>
              <w:pStyle w:val="TableContents"/>
              <w:spacing w:before="0" w:after="283"/>
              <w:rPr/>
            </w:pPr>
            <w:r>
              <w:rPr/>
              <w:t> </w:t>
            </w:r>
          </w:p>
        </w:tc>
        <w:tc>
          <w:tcPr>
            <w:tcW w:w="1178" w:type="dxa"/>
            <w:tcBorders/>
            <w:shd w:fill="auto" w:val="clear"/>
          </w:tcPr>
          <w:p>
            <w:pPr>
              <w:pStyle w:val="TableContents"/>
              <w:spacing w:before="0" w:after="283"/>
              <w:jc w:val="left"/>
              <w:rPr/>
            </w:pPr>
            <w:r>
              <w:rPr/>
              <w:t> </w:t>
            </w:r>
          </w:p>
        </w:tc>
      </w:tr>
      <w:tr>
        <w:trPr/>
        <w:tc>
          <w:tcPr>
            <w:tcW w:w="4813" w:type="dxa"/>
            <w:tcBorders/>
            <w:shd w:fill="auto" w:val="clear"/>
          </w:tcPr>
          <w:p>
            <w:pPr>
              <w:pStyle w:val="TableContents"/>
              <w:spacing w:before="0" w:after="0"/>
              <w:ind w:left="0" w:right="0" w:hanging="0"/>
              <w:rPr/>
            </w:pPr>
            <w:r>
              <w:rPr/>
              <w:t xml:space="preserve">  </w:t>
            </w:r>
          </w:p>
        </w:tc>
        <w:tc>
          <w:tcPr>
            <w:tcW w:w="253" w:type="dxa"/>
            <w:tcBorders/>
            <w:shd w:fill="auto" w:val="clear"/>
            <w:vAlign w:val="bottom"/>
          </w:tcPr>
          <w:p>
            <w:pPr>
              <w:pStyle w:val="TableContents"/>
              <w:spacing w:before="0" w:after="283"/>
              <w:rPr/>
            </w:pPr>
            <w:r>
              <w:rPr/>
              <w:t> </w:t>
            </w:r>
          </w:p>
        </w:tc>
        <w:tc>
          <w:tcPr>
            <w:tcW w:w="3708" w:type="dxa"/>
            <w:tcBorders/>
            <w:shd w:fill="auto" w:val="clear"/>
          </w:tcPr>
          <w:p>
            <w:pPr>
              <w:pStyle w:val="TableContents"/>
              <w:spacing w:before="0" w:after="283"/>
              <w:jc w:val="left"/>
              <w:rPr/>
            </w:pPr>
            <w:r>
              <w:rPr/>
              <w:t>President and Chief Executive Officer</w:t>
            </w:r>
          </w:p>
        </w:tc>
        <w:tc>
          <w:tcPr>
            <w:tcW w:w="253" w:type="dxa"/>
            <w:tcBorders/>
            <w:shd w:fill="auto" w:val="clear"/>
            <w:vAlign w:val="bottom"/>
          </w:tcPr>
          <w:p>
            <w:pPr>
              <w:pStyle w:val="TableContents"/>
              <w:spacing w:before="0" w:after="283"/>
              <w:rPr/>
            </w:pPr>
            <w:r>
              <w:rPr/>
              <w:t> </w:t>
            </w:r>
          </w:p>
        </w:tc>
        <w:tc>
          <w:tcPr>
            <w:tcW w:w="1178" w:type="dxa"/>
            <w:tcBorders/>
            <w:shd w:fill="auto" w:val="clear"/>
          </w:tcPr>
          <w:p>
            <w:pPr>
              <w:pStyle w:val="TableContents"/>
              <w:spacing w:before="0" w:after="283"/>
              <w:jc w:val="left"/>
              <w:rPr/>
            </w:pPr>
            <w:r>
              <w:rPr/>
              <w:t> </w:t>
            </w:r>
          </w:p>
        </w:tc>
      </w:tr>
    </w:tbl>
    <w:p>
      <w:pPr>
        <w:pStyle w:val="TextBody"/>
        <w:jc w:val="center"/>
        <w:rPr/>
      </w:pPr>
      <w:r>
        <w:rPr/>
        <w:t xml:space="preserve">  </w:t>
      </w:r>
      <w:r>
        <w:br w:type="page"/>
      </w:r>
    </w:p>
    <w:p>
      <w:pPr>
        <w:pStyle w:val="Heading5"/>
        <w:jc w:val="left"/>
        <w:rPr/>
      </w:pPr>
      <w:bookmarkStart w:id="20" w:name="v18414exv31w2.htm"/>
      <w:bookmarkStart w:id="21" w:name="ksv18414exv31w2"/>
      <w:bookmarkEnd w:id="20"/>
      <w:bookmarkEnd w:id="21"/>
      <w:r>
        <w:rPr/>
        <w:t> </w:t>
      </w:r>
    </w:p>
    <w:p>
      <w:pPr>
        <w:pStyle w:val="TextBody"/>
        <w:spacing w:before="240" w:after="283"/>
        <w:jc w:val="right"/>
        <w:rPr>
          <w:sz w:val="17"/>
        </w:rPr>
      </w:pPr>
      <w:r>
        <w:rPr>
          <w:sz w:val="17"/>
        </w:rPr>
        <w:t xml:space="preserve">Exhibit 31.2 </w:t>
      </w:r>
    </w:p>
    <w:p>
      <w:pPr>
        <w:pStyle w:val="TextBody"/>
        <w:spacing w:before="360" w:after="283"/>
        <w:jc w:val="center"/>
        <w:rPr>
          <w:sz w:val="17"/>
        </w:rPr>
      </w:pPr>
      <w:r>
        <w:rPr>
          <w:sz w:val="17"/>
        </w:rPr>
        <w:t>CERTIFICATION PURSUANT TO</w:t>
        <w:br/>
        <w:t>15 U.S.C. § 7241</w:t>
        <w:br/>
        <w:t>AS ADOPTED PURSUANT TO</w:t>
        <w:br/>
        <w:t xml:space="preserve">SECTION 302 OF THE SARBANES-OXLEY ACT OF 2002 </w:t>
      </w:r>
    </w:p>
    <w:p>
      <w:pPr>
        <w:pStyle w:val="TextBody"/>
        <w:spacing w:before="120" w:after="283"/>
        <w:jc w:val="left"/>
        <w:rPr>
          <w:sz w:val="17"/>
        </w:rPr>
      </w:pPr>
      <w:r>
        <w:rPr>
          <w:sz w:val="17"/>
        </w:rPr>
        <w:t xml:space="preserve">I, Arthur J. Bruno, certify that: </w:t>
      </w:r>
    </w:p>
    <w:tbl>
      <w:tblPr>
        <w:tblW w:w="5000" w:type="pct"/>
        <w:jc w:val="left"/>
        <w:tblInd w:w="0" w:type="dxa"/>
        <w:tblCellMar>
          <w:top w:w="0" w:type="dxa"/>
          <w:left w:w="0" w:type="dxa"/>
          <w:bottom w:w="0" w:type="dxa"/>
          <w:right w:w="0" w:type="dxa"/>
        </w:tblCellMar>
      </w:tblPr>
      <w:tblGrid>
        <w:gridCol w:w="199"/>
        <w:gridCol w:w="125"/>
        <w:gridCol w:w="9881"/>
      </w:tblGrid>
      <w:tr>
        <w:trPr/>
        <w:tc>
          <w:tcPr>
            <w:tcW w:w="199" w:type="dxa"/>
            <w:tcBorders/>
            <w:shd w:fill="auto" w:val="clear"/>
          </w:tcPr>
          <w:p>
            <w:pPr>
              <w:pStyle w:val="TableContents"/>
              <w:spacing w:before="0" w:after="283"/>
              <w:jc w:val="left"/>
              <w:rPr/>
            </w:pPr>
            <w:r>
              <w:rPr/>
              <w:t>1.</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I have reviewed this quarterly report on Form 10-Q of Calavo Growers, Inc.;</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2.</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3.</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99" w:type="dxa"/>
            <w:tcBorders/>
            <w:shd w:fill="auto" w:val="clear"/>
            <w:vAlign w:val="center"/>
          </w:tcPr>
          <w:p>
            <w:pPr>
              <w:pStyle w:val="TableContents"/>
              <w:spacing w:before="0" w:after="283"/>
              <w:rPr/>
            </w:pPr>
            <w:r>
              <w:rPr/>
              <w:t> </w:t>
            </w:r>
          </w:p>
        </w:tc>
        <w:tc>
          <w:tcPr>
            <w:tcW w:w="10006" w:type="dxa"/>
            <w:gridSpan w:val="2"/>
            <w:tcBorders/>
            <w:shd w:fill="auto" w:val="clear"/>
          </w:tcPr>
          <w:p>
            <w:pPr>
              <w:pStyle w:val="TableContents"/>
              <w:spacing w:before="0" w:after="283"/>
              <w:rPr>
                <w:sz w:val="4"/>
                <w:szCs w:val="4"/>
              </w:rPr>
            </w:pPr>
            <w:r>
              <w:rPr>
                <w:sz w:val="4"/>
                <w:szCs w:val="4"/>
              </w:rPr>
            </w:r>
          </w:p>
        </w:tc>
      </w:tr>
      <w:tr>
        <w:trPr/>
        <w:tc>
          <w:tcPr>
            <w:tcW w:w="199" w:type="dxa"/>
            <w:tcBorders/>
            <w:shd w:fill="auto" w:val="clear"/>
          </w:tcPr>
          <w:p>
            <w:pPr>
              <w:pStyle w:val="TableContents"/>
              <w:spacing w:before="0" w:after="283"/>
              <w:jc w:val="left"/>
              <w:rPr/>
            </w:pPr>
            <w:r>
              <w:rPr/>
              <w:t>4.</w:t>
            </w:r>
          </w:p>
        </w:tc>
        <w:tc>
          <w:tcPr>
            <w:tcW w:w="125" w:type="dxa"/>
            <w:tcBorders/>
            <w:shd w:fill="auto" w:val="clear"/>
          </w:tcPr>
          <w:p>
            <w:pPr>
              <w:pStyle w:val="TableContents"/>
              <w:spacing w:before="0" w:after="283"/>
              <w:rPr/>
            </w:pPr>
            <w:r>
              <w:rPr/>
              <w:t> </w:t>
            </w:r>
          </w:p>
        </w:tc>
        <w:tc>
          <w:tcPr>
            <w:tcW w:w="9881"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and have:</w:t>
            </w:r>
          </w:p>
        </w:tc>
      </w:tr>
    </w:tbl>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207"/>
        <w:gridCol w:w="128"/>
        <w:gridCol w:w="9870"/>
      </w:tblGrid>
      <w:tr>
        <w:trPr/>
        <w:tc>
          <w:tcPr>
            <w:tcW w:w="207" w:type="dxa"/>
            <w:tcBorders/>
            <w:shd w:fill="auto" w:val="clear"/>
          </w:tcPr>
          <w:p>
            <w:pPr>
              <w:pStyle w:val="TableContents"/>
              <w:spacing w:before="0" w:after="283"/>
              <w:jc w:val="left"/>
              <w:rPr/>
            </w:pPr>
            <w:r>
              <w:rPr/>
              <w:t>5.</w:t>
            </w:r>
          </w:p>
        </w:tc>
        <w:tc>
          <w:tcPr>
            <w:tcW w:w="128" w:type="dxa"/>
            <w:tcBorders/>
            <w:shd w:fill="auto" w:val="clear"/>
          </w:tcPr>
          <w:p>
            <w:pPr>
              <w:pStyle w:val="TableContents"/>
              <w:spacing w:before="0" w:after="283"/>
              <w:rPr/>
            </w:pPr>
            <w:r>
              <w:rPr/>
              <w:t> </w:t>
            </w:r>
          </w:p>
        </w:tc>
        <w:tc>
          <w:tcPr>
            <w:tcW w:w="9870"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w:t>
            </w:r>
          </w:p>
        </w:tc>
      </w:tr>
    </w:tbl>
    <w:tbl>
      <w:tblPr>
        <w:tblW w:w="5000" w:type="pct"/>
        <w:jc w:val="left"/>
        <w:tblInd w:w="0" w:type="dxa"/>
        <w:tblCellMar>
          <w:top w:w="0" w:type="dxa"/>
          <w:left w:w="0" w:type="dxa"/>
          <w:bottom w:w="0" w:type="dxa"/>
          <w:right w:w="0" w:type="dxa"/>
        </w:tblCellMar>
      </w:tblPr>
      <w:tblGrid>
        <w:gridCol w:w="203"/>
        <w:gridCol w:w="305"/>
        <w:gridCol w:w="101"/>
        <w:gridCol w:w="9596"/>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596"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tbl>
      <w:tblPr>
        <w:tblW w:w="5000" w:type="pct"/>
        <w:jc w:val="center"/>
        <w:tblInd w:w="0" w:type="dxa"/>
        <w:tblCellMar>
          <w:top w:w="0" w:type="dxa"/>
          <w:left w:w="0" w:type="dxa"/>
          <w:bottom w:w="0" w:type="dxa"/>
          <w:right w:w="0" w:type="dxa"/>
        </w:tblCellMar>
      </w:tblPr>
      <w:tblGrid>
        <w:gridCol w:w="3850"/>
        <w:gridCol w:w="212"/>
        <w:gridCol w:w="5009"/>
        <w:gridCol w:w="212"/>
        <w:gridCol w:w="922"/>
      </w:tblGrid>
      <w:tr>
        <w:trPr/>
        <w:tc>
          <w:tcPr>
            <w:tcW w:w="385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5009"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rPr/>
            </w:pPr>
            <w:r>
              <w:rPr/>
              <w:t> </w:t>
            </w:r>
          </w:p>
        </w:tc>
      </w:tr>
      <w:tr>
        <w:trPr/>
        <w:tc>
          <w:tcPr>
            <w:tcW w:w="3850" w:type="dxa"/>
            <w:tcBorders/>
            <w:shd w:fill="auto" w:val="clear"/>
          </w:tcPr>
          <w:p>
            <w:pPr>
              <w:pStyle w:val="TableContents"/>
              <w:spacing w:before="0" w:after="0"/>
              <w:ind w:left="0" w:right="0" w:hanging="0"/>
              <w:rPr/>
            </w:pPr>
            <w:r>
              <w:rPr/>
              <w:t xml:space="preserve">Date: March 9, 2006 </w:t>
            </w:r>
          </w:p>
        </w:tc>
        <w:tc>
          <w:tcPr>
            <w:tcW w:w="212" w:type="dxa"/>
            <w:tcBorders/>
            <w:shd w:fill="auto" w:val="clear"/>
            <w:vAlign w:val="bottom"/>
          </w:tcPr>
          <w:p>
            <w:pPr>
              <w:pStyle w:val="TableContents"/>
              <w:spacing w:before="0" w:after="283"/>
              <w:rPr/>
            </w:pPr>
            <w:r>
              <w:rPr/>
              <w:t> </w:t>
            </w:r>
          </w:p>
        </w:tc>
        <w:tc>
          <w:tcPr>
            <w:tcW w:w="5009" w:type="dxa"/>
            <w:tcBorders>
              <w:bottom w:val="single" w:sz="2" w:space="0" w:color="000000"/>
            </w:tcBorders>
            <w:shd w:fill="auto" w:val="clear"/>
            <w:tcMar>
              <w:bottom w:w="28" w:type="dxa"/>
            </w:tcMar>
          </w:tcPr>
          <w:p>
            <w:pPr>
              <w:pStyle w:val="TableContents"/>
              <w:spacing w:before="0" w:after="283"/>
              <w:jc w:val="left"/>
              <w:rPr/>
            </w:pPr>
            <w:r>
              <w:rPr/>
              <w:t>/s/ Arthur J. Bruno</w:t>
            </w:r>
          </w:p>
        </w:tc>
        <w:tc>
          <w:tcPr>
            <w:tcW w:w="212" w:type="dxa"/>
            <w:tcBorders/>
            <w:shd w:fill="auto" w:val="clear"/>
            <w:vAlign w:val="bottom"/>
          </w:tcPr>
          <w:p>
            <w:pPr>
              <w:pStyle w:val="TableContents"/>
              <w:spacing w:before="0" w:after="283"/>
              <w:rPr/>
            </w:pPr>
            <w:r>
              <w:rPr/>
              <w:t> </w:t>
            </w:r>
          </w:p>
        </w:tc>
        <w:tc>
          <w:tcPr>
            <w:tcW w:w="922" w:type="dxa"/>
            <w:tcBorders/>
            <w:shd w:fill="auto" w:val="clear"/>
          </w:tcPr>
          <w:p>
            <w:pPr>
              <w:pStyle w:val="TableContents"/>
              <w:spacing w:before="0" w:after="283"/>
              <w:jc w:val="left"/>
              <w:rPr/>
            </w:pPr>
            <w:r>
              <w:rPr/>
              <w:t> </w:t>
            </w:r>
          </w:p>
        </w:tc>
      </w:tr>
      <w:tr>
        <w:trPr/>
        <w:tc>
          <w:tcPr>
            <w:tcW w:w="3850" w:type="dxa"/>
            <w:tcBorders/>
            <w:shd w:fill="auto" w:val="clear"/>
          </w:tcPr>
          <w:p>
            <w:pPr>
              <w:pStyle w:val="TableContents"/>
              <w:spacing w:before="0" w:after="0"/>
              <w:ind w:left="0" w:right="0" w:hanging="0"/>
              <w:rPr/>
            </w:pPr>
            <w:r>
              <w:rPr/>
              <w:t xml:space="preserve">  </w:t>
            </w:r>
          </w:p>
        </w:tc>
        <w:tc>
          <w:tcPr>
            <w:tcW w:w="212" w:type="dxa"/>
            <w:tcBorders/>
            <w:shd w:fill="auto" w:val="clear"/>
            <w:vAlign w:val="bottom"/>
          </w:tcPr>
          <w:p>
            <w:pPr>
              <w:pStyle w:val="TableContents"/>
              <w:spacing w:before="0" w:after="283"/>
              <w:rPr/>
            </w:pPr>
            <w:r>
              <w:rPr/>
              <w:t> </w:t>
            </w:r>
          </w:p>
        </w:tc>
        <w:tc>
          <w:tcPr>
            <w:tcW w:w="5009" w:type="dxa"/>
            <w:tcBorders/>
            <w:shd w:fill="auto" w:val="clear"/>
          </w:tcPr>
          <w:p>
            <w:pPr>
              <w:pStyle w:val="TableContents"/>
              <w:spacing w:before="0" w:after="283"/>
              <w:jc w:val="left"/>
              <w:rPr/>
            </w:pPr>
            <w:r>
              <w:rPr/>
              <w:t>Arthur J. Bruno</w:t>
            </w:r>
          </w:p>
        </w:tc>
        <w:tc>
          <w:tcPr>
            <w:tcW w:w="212" w:type="dxa"/>
            <w:tcBorders/>
            <w:shd w:fill="auto" w:val="clear"/>
            <w:vAlign w:val="bottom"/>
          </w:tcPr>
          <w:p>
            <w:pPr>
              <w:pStyle w:val="TableContents"/>
              <w:spacing w:before="0" w:after="283"/>
              <w:rPr/>
            </w:pPr>
            <w:r>
              <w:rPr/>
              <w:t> </w:t>
            </w:r>
          </w:p>
        </w:tc>
        <w:tc>
          <w:tcPr>
            <w:tcW w:w="922" w:type="dxa"/>
            <w:tcBorders/>
            <w:shd w:fill="auto" w:val="clear"/>
          </w:tcPr>
          <w:p>
            <w:pPr>
              <w:pStyle w:val="TableContents"/>
              <w:spacing w:before="0" w:after="283"/>
              <w:jc w:val="left"/>
              <w:rPr/>
            </w:pPr>
            <w:r>
              <w:rPr/>
              <w:t> </w:t>
            </w:r>
          </w:p>
        </w:tc>
      </w:tr>
      <w:tr>
        <w:trPr/>
        <w:tc>
          <w:tcPr>
            <w:tcW w:w="3850" w:type="dxa"/>
            <w:tcBorders/>
            <w:shd w:fill="auto" w:val="clear"/>
          </w:tcPr>
          <w:p>
            <w:pPr>
              <w:pStyle w:val="TableContents"/>
              <w:spacing w:before="0" w:after="0"/>
              <w:ind w:left="0" w:right="0" w:hanging="0"/>
              <w:rPr/>
            </w:pPr>
            <w:r>
              <w:rPr/>
              <w:t xml:space="preserve">  </w:t>
            </w:r>
          </w:p>
        </w:tc>
        <w:tc>
          <w:tcPr>
            <w:tcW w:w="212" w:type="dxa"/>
            <w:tcBorders/>
            <w:shd w:fill="auto" w:val="clear"/>
            <w:vAlign w:val="bottom"/>
          </w:tcPr>
          <w:p>
            <w:pPr>
              <w:pStyle w:val="TableContents"/>
              <w:spacing w:before="0" w:after="283"/>
              <w:rPr/>
            </w:pPr>
            <w:r>
              <w:rPr/>
              <w:t> </w:t>
            </w:r>
          </w:p>
        </w:tc>
        <w:tc>
          <w:tcPr>
            <w:tcW w:w="5009" w:type="dxa"/>
            <w:tcBorders/>
            <w:shd w:fill="auto" w:val="clear"/>
          </w:tcPr>
          <w:p>
            <w:pPr>
              <w:pStyle w:val="TableContents"/>
              <w:spacing w:before="0" w:after="283"/>
              <w:jc w:val="left"/>
              <w:rPr/>
            </w:pPr>
            <w:r>
              <w:rPr/>
              <w:t>Chief Operating Officer, Chief Financial Officer and</w:t>
            </w:r>
          </w:p>
        </w:tc>
        <w:tc>
          <w:tcPr>
            <w:tcW w:w="212" w:type="dxa"/>
            <w:tcBorders/>
            <w:shd w:fill="auto" w:val="clear"/>
            <w:vAlign w:val="bottom"/>
          </w:tcPr>
          <w:p>
            <w:pPr>
              <w:pStyle w:val="TableContents"/>
              <w:spacing w:before="0" w:after="283"/>
              <w:rPr/>
            </w:pPr>
            <w:r>
              <w:rPr/>
              <w:t> </w:t>
            </w:r>
          </w:p>
        </w:tc>
        <w:tc>
          <w:tcPr>
            <w:tcW w:w="922" w:type="dxa"/>
            <w:tcBorders/>
            <w:shd w:fill="auto" w:val="clear"/>
          </w:tcPr>
          <w:p>
            <w:pPr>
              <w:pStyle w:val="TableContents"/>
              <w:spacing w:before="0" w:after="283"/>
              <w:jc w:val="left"/>
              <w:rPr/>
            </w:pPr>
            <w:r>
              <w:rPr/>
              <w:t> </w:t>
            </w:r>
          </w:p>
        </w:tc>
      </w:tr>
      <w:tr>
        <w:trPr/>
        <w:tc>
          <w:tcPr>
            <w:tcW w:w="3850" w:type="dxa"/>
            <w:tcBorders/>
            <w:shd w:fill="auto" w:val="clear"/>
          </w:tcPr>
          <w:p>
            <w:pPr>
              <w:pStyle w:val="TableContents"/>
              <w:spacing w:before="0" w:after="0"/>
              <w:ind w:left="0" w:right="0" w:hanging="0"/>
              <w:rPr/>
            </w:pPr>
            <w:r>
              <w:rPr/>
              <w:t xml:space="preserve">  </w:t>
            </w:r>
          </w:p>
        </w:tc>
        <w:tc>
          <w:tcPr>
            <w:tcW w:w="212" w:type="dxa"/>
            <w:tcBorders/>
            <w:shd w:fill="auto" w:val="clear"/>
            <w:vAlign w:val="bottom"/>
          </w:tcPr>
          <w:p>
            <w:pPr>
              <w:pStyle w:val="TableContents"/>
              <w:spacing w:before="0" w:after="283"/>
              <w:rPr/>
            </w:pPr>
            <w:r>
              <w:rPr/>
              <w:t> </w:t>
            </w:r>
          </w:p>
        </w:tc>
        <w:tc>
          <w:tcPr>
            <w:tcW w:w="5009" w:type="dxa"/>
            <w:tcBorders/>
            <w:shd w:fill="auto" w:val="clear"/>
          </w:tcPr>
          <w:p>
            <w:pPr>
              <w:pStyle w:val="TableContents"/>
              <w:spacing w:before="0" w:after="283"/>
              <w:jc w:val="left"/>
              <w:rPr/>
            </w:pPr>
            <w:r>
              <w:rPr/>
              <w:t>Corporate Secretary (Principal Financial Officer)</w:t>
            </w:r>
          </w:p>
        </w:tc>
        <w:tc>
          <w:tcPr>
            <w:tcW w:w="212" w:type="dxa"/>
            <w:tcBorders/>
            <w:shd w:fill="auto" w:val="clear"/>
            <w:vAlign w:val="bottom"/>
          </w:tcPr>
          <w:p>
            <w:pPr>
              <w:pStyle w:val="TableContents"/>
              <w:spacing w:before="0" w:after="283"/>
              <w:rPr/>
            </w:pPr>
            <w:r>
              <w:rPr/>
              <w:t> </w:t>
            </w:r>
          </w:p>
        </w:tc>
        <w:tc>
          <w:tcPr>
            <w:tcW w:w="922" w:type="dxa"/>
            <w:tcBorders/>
            <w:shd w:fill="auto" w:val="clear"/>
          </w:tcPr>
          <w:p>
            <w:pPr>
              <w:pStyle w:val="TableContents"/>
              <w:spacing w:before="0" w:after="283"/>
              <w:jc w:val="left"/>
              <w:rPr/>
            </w:pPr>
            <w:r>
              <w:rPr/>
              <w:t> </w:t>
            </w:r>
          </w:p>
        </w:tc>
      </w:tr>
    </w:tbl>
    <w:p>
      <w:pPr>
        <w:pStyle w:val="TextBody"/>
        <w:jc w:val="center"/>
        <w:rPr/>
      </w:pPr>
      <w:r>
        <w:rPr/>
        <w:t xml:space="preserve">  </w:t>
      </w:r>
      <w:r>
        <w:br w:type="page"/>
      </w:r>
    </w:p>
    <w:p>
      <w:pPr>
        <w:pStyle w:val="Heading5"/>
        <w:jc w:val="left"/>
        <w:rPr/>
      </w:pPr>
      <w:bookmarkStart w:id="22" w:name="v18414exv32.htm"/>
      <w:bookmarkStart w:id="23" w:name="ksv18414exv32"/>
      <w:bookmarkEnd w:id="22"/>
      <w:bookmarkEnd w:id="23"/>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32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WRITTEN STATEMENT OF CHIEF EXECUTIVE OFFICER</w:t>
        <w:br/>
        <w:t xml:space="preserve">AND CHIEF FINANCIAL OFFICER </w:t>
      </w:r>
    </w:p>
    <w:p>
      <w:pPr>
        <w:pStyle w:val="TextBody"/>
        <w:spacing w:before="120" w:after="283"/>
        <w:jc w:val="left"/>
        <w:rPr/>
      </w:pPr>
      <w:r>
        <w:rPr/>
        <w:t>     </w:t>
      </w:r>
      <w:r>
        <w:rPr>
          <w:rFonts w:ascii="Times New Roman;Times;serif" w:hAnsi="Times New Roman;Times;serif"/>
          <w:sz w:val="17"/>
        </w:rPr>
        <w:t xml:space="preserve">Each of the undersigned, the Chairman of the Board and Chief Executive Officer and Chief Operating Officer, Chief Financial Officer, and Corporate Secretary of Calavo Growers, Inc. (the Company), hereby certifies, pursuant to 18 U.S.C. Section 1350, as adopted pursuant to Section 906 of the Sarbanes-Oxley Act of 2002, that, to his knowledge, the Companys Quarterly Report on Form 10-Q for the quarter ended January 31, 2006,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Dated: March 9, 2006 </w:t>
      </w:r>
    </w:p>
    <w:p>
      <w:pPr>
        <w:pStyle w:val="TextBody"/>
        <w:spacing w:before="120" w:after="283"/>
        <w:jc w:val="left"/>
        <w:rPr/>
      </w:pPr>
      <w:r>
        <w:rPr/>
        <w:t xml:space="preserve">  </w:t>
      </w:r>
    </w:p>
    <w:p>
      <w:pPr>
        <w:pStyle w:val="TextBody"/>
        <w:spacing w:before="120" w:after="283"/>
        <w:jc w:val="left"/>
        <w:rPr>
          <w:rFonts w:ascii="Times New Roman;Times;serif" w:hAnsi="Times New Roman;Times;serif"/>
          <w:sz w:val="17"/>
          <w:bdr w:val="single" w:sz="2" w:space="1" w:color="000000"/>
        </w:rPr>
      </w:pPr>
      <w:r>
        <w:rPr>
          <w:rFonts w:ascii="Times New Roman;Times;serif" w:hAnsi="Times New Roman;Times;serif"/>
          <w:sz w:val="17"/>
          <w:bdr w:val="single" w:sz="2" w:space="1" w:color="000000"/>
        </w:rPr>
        <w:t>/s/ Lecil E. Cole</w:t>
      </w:r>
    </w:p>
    <w:p>
      <w:pPr>
        <w:pStyle w:val="TextBody"/>
        <w:spacing w:before="0" w:after="283"/>
        <w:jc w:val="left"/>
        <w:rPr>
          <w:rFonts w:ascii="Times New Roman;Times;serif" w:hAnsi="Times New Roman;Times;serif"/>
          <w:sz w:val="17"/>
        </w:rPr>
      </w:pPr>
      <w:r>
        <w:rPr>
          <w:rFonts w:ascii="Times New Roman;Times;serif" w:hAnsi="Times New Roman;Times;serif"/>
          <w:sz w:val="17"/>
        </w:rPr>
        <w:t>Lecil E. Cole</w:t>
      </w:r>
    </w:p>
    <w:p>
      <w:pPr>
        <w:pStyle w:val="TextBody"/>
        <w:spacing w:before="0" w:after="283"/>
        <w:jc w:val="left"/>
        <w:rPr>
          <w:rFonts w:ascii="Times New Roman;Times;serif" w:hAnsi="Times New Roman;Times;serif"/>
          <w:sz w:val="17"/>
        </w:rPr>
      </w:pPr>
      <w:r>
        <w:rPr>
          <w:rFonts w:ascii="Times New Roman;Times;serif" w:hAnsi="Times New Roman;Times;serif"/>
          <w:sz w:val="17"/>
        </w:rPr>
        <w:t>Chairman of the Board and</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Chief Executive Officer </w:t>
      </w:r>
    </w:p>
    <w:p>
      <w:pPr>
        <w:pStyle w:val="TextBody"/>
        <w:spacing w:before="120" w:after="283"/>
        <w:jc w:val="left"/>
        <w:rPr/>
      </w:pPr>
      <w:r>
        <w:rPr/>
        <w:t xml:space="preserve">  </w:t>
      </w:r>
    </w:p>
    <w:p>
      <w:pPr>
        <w:pStyle w:val="TextBody"/>
        <w:spacing w:before="120" w:after="283"/>
        <w:jc w:val="left"/>
        <w:rPr>
          <w:rFonts w:ascii="Times New Roman;Times;serif" w:hAnsi="Times New Roman;Times;serif"/>
          <w:sz w:val="17"/>
          <w:bdr w:val="single" w:sz="2" w:space="1" w:color="000000"/>
        </w:rPr>
      </w:pPr>
      <w:r>
        <w:rPr>
          <w:rFonts w:ascii="Times New Roman;Times;serif" w:hAnsi="Times New Roman;Times;serif"/>
          <w:sz w:val="17"/>
          <w:bdr w:val="single" w:sz="2" w:space="1" w:color="000000"/>
        </w:rPr>
        <w:t>/s/ Arthur J. Bruno</w:t>
      </w:r>
    </w:p>
    <w:p>
      <w:pPr>
        <w:pStyle w:val="TextBody"/>
        <w:spacing w:before="0" w:after="283"/>
        <w:jc w:val="left"/>
        <w:rPr>
          <w:rFonts w:ascii="Times New Roman;Times;serif" w:hAnsi="Times New Roman;Times;serif"/>
          <w:sz w:val="17"/>
        </w:rPr>
      </w:pPr>
      <w:r>
        <w:rPr>
          <w:rFonts w:ascii="Times New Roman;Times;serif" w:hAnsi="Times New Roman;Times;serif"/>
          <w:sz w:val="17"/>
        </w:rPr>
        <w:t>Arthur J. Bruno</w:t>
      </w:r>
    </w:p>
    <w:p>
      <w:pPr>
        <w:pStyle w:val="TextBody"/>
        <w:spacing w:before="0" w:after="283"/>
        <w:jc w:val="left"/>
        <w:rPr>
          <w:rFonts w:ascii="Times New Roman;Times;serif" w:hAnsi="Times New Roman;Times;serif"/>
          <w:sz w:val="17"/>
        </w:rPr>
      </w:pPr>
      <w:r>
        <w:rPr>
          <w:rFonts w:ascii="Times New Roman;Times;serif" w:hAnsi="Times New Roman;Times;serif"/>
          <w:sz w:val="17"/>
        </w:rPr>
        <w:t>Chief Operating Officer,</w:t>
      </w:r>
    </w:p>
    <w:p>
      <w:pPr>
        <w:pStyle w:val="TextBody"/>
        <w:spacing w:before="0" w:after="283"/>
        <w:jc w:val="left"/>
        <w:rPr>
          <w:rFonts w:ascii="Times New Roman;Times;serif" w:hAnsi="Times New Roman;Times;serif"/>
          <w:sz w:val="17"/>
        </w:rPr>
      </w:pPr>
      <w:r>
        <w:rPr>
          <w:rFonts w:ascii="Times New Roman;Times;serif" w:hAnsi="Times New Roman;Times;serif"/>
          <w:sz w:val="17"/>
        </w:rPr>
        <w:t>Chief Financial Officer and</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Corporate Secretary </w:t>
      </w:r>
    </w:p>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27</Pages>
  <Words>9077</Words>
  <CharactersWithSpaces>60640</CharactersWithSpaces>
  <Paragraphs>4866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exv32</dc:title>
</cp:coreProperties>
</file>