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pacing w:after="0" w:line="19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14, 2026, Calavo Growers, Inc., a California corporation (“Calavo”), entered into an Agreement and Plan of Merger (the “Merger Agreement”), by and among Calavo,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the Merger Agreement, and subject to the satisfaction or waiver of the conditions specified therein, (i) 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8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Mission Produce will hold a special meeting of its stockholders and Calavo will hold a special meeting of its shareholders on April 28, 2026, in connection with the transactions contemplated by the Merger Agreement as further described in the Joint Proxy Statement/Prospectus.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Following the announcement of the Merger Agreement, as of the date of this Current Report on Form 8-K, two lawsuits challenging the Mergers have been filed in the Supreme Court of the State of New York, County of New York (each, a “Lawsuit” and, collectively, the “Lawsuits”). The first Lawsuit, captioned Ryan Carroll v. Calavo Growers, Inc. et. al. (No. 651854/2026), was filed on March 26, 2026, and the second Lawsuit, captioned Keith Jones v. Calavo Growers, Inc. et. al. (No. 651855/2026), was filed on March 26, 2026. In addition, Calavo received demand letters from counsel for certain purported shareholders of Calavo, as applicable, that allege deficiencies and/or omissions in the Joint Proxy Statement/Prospectus (collectively, the “Demand Letters” and together with the Lawsuits, the “Matters”). The Matters each allege that, among other things, the Joint Proxy Statement/Prospectus contains certain disclosure deficiencies and/or incomplete information regarding the Mergers and seek additional disclosures to remedy these purported deficiencies. The Lawsuits additionally seek injunctive relief, rescission, damages and/or attorney’s fees and expenses. Calavo and Mission Produce each believe that the allegations in the Matters are without merit. There can be no assurances that additional lawsuits or additional demands will not be filed or made against Calavo and/or Mission Produce with respect to the Mergers. If this occurs, Calavo or Mission Produce may not announce them unless otherwise obligated.</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Calavo and Mission Produce each believe that the disclosures set forth in the Joint Proxy Statement/Prospectus comply fully with applicable law and exchange rules and that no further disclosure beyond that already contained in the Joint Proxy Statement/Prospectus is required under applicable law or exchange rules. However, to avoid nuisance, cost and distraction, to preclude any efforts to delay the completion of the Mergers, and to provide additional information to their respective stockholders and shareholders, and without admitting any culpability, liability, wrongdoing or the relevance or materiality of that additional information, Calavo and Mission Produce are voluntarily supplementing the Joint Proxy Statement/Prospectus with the disclosures set forth below (the “Supplemental Disclosures”). The content or issuance of the Supplemental Disclosures is not an admission of the legal necessity or materiality under applicable laws of any of the Supplemental Disclosures. To the contrary, Calavo and Mission Produce specifically deny all allegations in the Matters, including that any additional disclosure including the Supplemental Disclosures was or is required under applicable law.</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Supplemental Disclosures to the Joint Proxy Statement/Prospectus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Supplemental Disclosures should be read in connection with the Joint Proxy Statement/Prospectus, which should be read in its entirety, including all risk factors and cautionary notes contained therein. All page references are to pages in the Joint Proxy Statement/Prospectus, and terms used below, unless otherwise defined, have the meanings set forth in the Joint Proxy Statement/Prospectus. To the extent that information in the below Supplemental Disclosures differs from, or updates information contained in, the Joint Proxy Statement/Prospectus, the information in the below Supplemental Disclosures will supersede or supplement the information in the Joint Proxy Statement/Prospectus. The Joint Proxy Statement/Prospectus, its annexes, and the documents referenced, contained or incorporated therein are not modified, supplemented or amended in any way, other than as described in the below Supplemental Disclosures. For clarity, any new text contained in the restated paragraphs of the Joint Proxy Statement/Prospectus provided below is highlighted by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and any deleted text is </w:t>
      </w:r>
      <w:r>
        <w:rPr>
          <w:rFonts w:ascii="Times New Roman" w:cs="Times New Roman" w:eastAsia="Times New Roman" w:hAnsi="Times New Roman"/>
          <w:sz w:val="18"/>
          <w:szCs w:val="18"/>
          <w:b w:val="1"/>
          <w:bCs w:val="1"/>
          <w:color w:val="auto"/>
          <w:strike w:val="1"/>
        </w:rPr>
        <w:t>bold and stricken-through</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960" w:right="40" w:hanging="53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third full paragraph on page 71 of the Joint Proxy Statement/Prospectus under the heading “</w:t>
      </w:r>
      <w:r>
        <w:rPr>
          <w:rFonts w:ascii="Times New Roman" w:cs="Times New Roman" w:eastAsia="Times New Roman" w:hAnsi="Times New Roman"/>
          <w:sz w:val="18"/>
          <w:szCs w:val="18"/>
          <w:b w:val="1"/>
          <w:bCs w:val="1"/>
          <w:i w:val="1"/>
          <w:iCs w:val="1"/>
          <w:color w:val="auto"/>
        </w:rPr>
        <w:t>The Mergers—Background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b w:val="1"/>
          <w:bCs w:val="1"/>
          <w:color w:val="auto"/>
        </w:rPr>
        <w:t>” is hereby amended and supplemented as follows:</w:t>
      </w:r>
    </w:p>
    <w:p>
      <w:pPr>
        <w:spacing w:after="0" w:line="5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During the weeks of June 16 and 23, 2025, at the direction of the Calavo Special Transactions Committee, representatives of Jefferies engaged in correspondence with Bidder A, Mission Produce, Ms. Aslam’s affiliated investment firm and their respective financial advisors, including Evercore, regarding their expressions of interest, and distributed a draft non-disclosure agreement containing customary standstill provisions (including customary “fall-away” rights</w:t>
      </w:r>
      <w:r>
        <w:rPr>
          <w:rFonts w:ascii="Times New Roman" w:cs="Times New Roman" w:eastAsia="Times New Roman" w:hAnsi="Times New Roman"/>
          <w:sz w:val="17"/>
          <w:szCs w:val="17"/>
          <w:b w:val="1"/>
          <w:bCs w:val="1"/>
          <w:u w:val="single" w:color="auto"/>
          <w:color w:val="auto"/>
        </w:rPr>
        <w:t>, but which did not contain “don’t ask, don’t waive” provisions</w:t>
      </w:r>
      <w:r>
        <w:rPr>
          <w:rFonts w:ascii="Times New Roman" w:cs="Times New Roman" w:eastAsia="Times New Roman" w:hAnsi="Times New Roman"/>
          <w:sz w:val="17"/>
          <w:szCs w:val="17"/>
          <w:color w:val="auto"/>
        </w:rPr>
        <w:t>) to each of them. Each of Bidder A, Mission Produce and</w:t>
      </w:r>
    </w:p>
    <w:p>
      <w:pPr>
        <w:spacing w:after="0" w:line="3"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Ms. Aslam executed a non-disclosure agreement with Calavo containing such provisions on June 24, 2025, June 25, 2025 and June 30, 2025, respectively.</w:t>
      </w:r>
    </w:p>
    <w:p>
      <w:pPr>
        <w:spacing w:after="0" w:line="326" w:lineRule="exact"/>
        <w:rPr>
          <w:sz w:val="20"/>
          <w:szCs w:val="20"/>
          <w:color w:val="auto"/>
        </w:rPr>
      </w:pPr>
    </w:p>
    <w:p>
      <w:pPr>
        <w:ind w:left="960" w:right="100" w:hanging="532"/>
        <w:spacing w:after="0" w:line="262"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109 underneath the section titled “Selected Public Companies Analysis” and ends with “Selected Transactions Analysis” on page 111 of the Joint Proxy Statement/Prospectus with the following: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11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Jefferies reviewed publicly available financial, stock market and operating information of Calavo and </w:t>
      </w:r>
      <w:r>
        <w:rPr>
          <w:rFonts w:ascii="Times New Roman" w:cs="Times New Roman" w:eastAsia="Times New Roman" w:hAnsi="Times New Roman"/>
          <w:sz w:val="18"/>
          <w:szCs w:val="18"/>
          <w:b w:val="1"/>
          <w:bCs w:val="1"/>
          <w:color w:val="auto"/>
          <w:strike w:val="1"/>
        </w:rPr>
        <w:t>the following</w:t>
      </w:r>
      <w:r>
        <w:rPr>
          <w:rFonts w:ascii="Times New Roman" w:cs="Times New Roman" w:eastAsia="Times New Roman" w:hAnsi="Times New Roman"/>
          <w:sz w:val="18"/>
          <w:szCs w:val="18"/>
          <w:color w:val="auto"/>
        </w:rPr>
        <w:t xml:space="preserve"> four selected publicly traded companies in the fresh produce industry that have financial and operating characteristics that Jefferies, in its professional judgment, considered generally relevant for purposes of its analysis, which are collectively referred to in this section as the “Jefferies Selected Companies”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strike w:val="1"/>
        </w:rPr>
        <w:t>:</w:t>
      </w:r>
    </w:p>
    <w:p>
      <w:pPr>
        <w:spacing w:after="0" w:line="76" w:lineRule="exact"/>
        <w:rPr>
          <w:sz w:val="20"/>
          <w:szCs w:val="20"/>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Dole plc</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Fresh Del Monte Produce Inc.</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Limoneira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Mission Produce, Inc.</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reviewed, among other information and to the extent publicly available, EVs of the Jefferies Selected Companies, calculated as fully diluted equity values based on closing stock prices on January 13, 2026, plus total debt, capital leases, preferred equity and non-controlling interests, minus cash and cash equivalents, as a multiple of each company’s estimated </w:t>
      </w:r>
      <w:r>
        <w:rPr>
          <w:rFonts w:ascii="Times New Roman" w:cs="Times New Roman" w:eastAsia="Times New Roman" w:hAnsi="Times New Roman"/>
          <w:sz w:val="18"/>
          <w:szCs w:val="18"/>
          <w:b w:val="1"/>
          <w:bCs w:val="1"/>
          <w:u w:val="single" w:color="auto"/>
          <w:color w:val="auto"/>
        </w:rPr>
        <w:t>adjusted</w:t>
      </w:r>
      <w:r>
        <w:rPr>
          <w:rFonts w:ascii="Times New Roman" w:cs="Times New Roman" w:eastAsia="Times New Roman" w:hAnsi="Times New Roman"/>
          <w:sz w:val="18"/>
          <w:szCs w:val="18"/>
          <w:color w:val="auto"/>
        </w:rPr>
        <w:t xml:space="preserve"> earnings before interest, taxes, depreciation and amortization, as applicable (“Adjusted EBITDA”) for the Jefferies Selected Companies for the fiscal years 2025 and 2026, which Jefferies refers to as FY 2025E and FY 2026E, respectively. Financial data of the Jefferies Selected Companies were based on publicly available research analysts’ estimates, public filings and other publicly available information, and were calendarized where relevant to align with Calavo’s and Mission Produce’s common fiscal year end of October 31.</w:t>
      </w:r>
    </w:p>
    <w:p>
      <w:pPr>
        <w:sectPr>
          <w:pgSz w:w="11900" w:h="16838" w:orient="portrait"/>
          <w:cols w:equalWidth="0" w:num="1">
            <w:col w:w="11000"/>
          </w:cols>
          <w:pgMar w:left="440" w:top="293"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selected companies and the financial data reviewed included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7"/>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80" w:type="dxa"/>
            <w:vAlign w:val="bottom"/>
          </w:tcPr>
          <w:p>
            <w:pPr>
              <w:spacing w:after="0"/>
              <w:rPr>
                <w:sz w:val="15"/>
                <w:szCs w:val="15"/>
                <w:color w:val="auto"/>
              </w:rPr>
            </w:pPr>
          </w:p>
        </w:tc>
        <w:tc>
          <w:tcPr>
            <w:tcW w:w="2900" w:type="dxa"/>
            <w:vAlign w:val="bottom"/>
            <w:gridSpan w:val="7"/>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EV / FY2025E Adjusted EBITDA</w:t>
            </w: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EV / FY 2026E Adjusted EBITDA</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340" w:type="dxa"/>
            <w:vAlign w:val="bottom"/>
            <w:gridSpan w:val="8"/>
            <w:shd w:val="clear" w:color="auto" w:fill="CCEEFF"/>
          </w:tcPr>
          <w:p>
            <w:pPr>
              <w:jc w:val="center"/>
              <w:ind w:right="720"/>
              <w:spacing w:after="0" w:line="136" w:lineRule="exact"/>
              <w:rPr>
                <w:sz w:val="20"/>
                <w:szCs w:val="20"/>
                <w:color w:val="auto"/>
              </w:rPr>
            </w:pPr>
            <w:r>
              <w:rPr>
                <w:rFonts w:ascii="Times New Roman" w:cs="Times New Roman" w:eastAsia="Times New Roman" w:hAnsi="Times New Roman"/>
                <w:sz w:val="15"/>
                <w:szCs w:val="15"/>
                <w:b w:val="1"/>
                <w:bCs w:val="1"/>
                <w:color w:val="auto"/>
              </w:rPr>
              <w:t>Dole plc</w:t>
            </w: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796"/>
              <w:spacing w:after="0" w:line="142" w:lineRule="exact"/>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u w:val="single" w:color="auto"/>
                <w:color w:val="auto"/>
              </w:rPr>
              <w:t>5x</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796"/>
              <w:spacing w:after="0" w:line="142" w:lineRule="exact"/>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u w:val="single" w:color="auto"/>
                <w:color w:val="auto"/>
              </w:rPr>
              <w:t>2x</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10"/>
          </w:tcPr>
          <w:p>
            <w:pPr>
              <w:jc w:val="center"/>
              <w:ind w:right="380"/>
              <w:spacing w:after="0" w:line="170" w:lineRule="exact"/>
              <w:rPr>
                <w:sz w:val="20"/>
                <w:szCs w:val="20"/>
                <w:color w:val="auto"/>
              </w:rPr>
            </w:pPr>
            <w:r>
              <w:rPr>
                <w:rFonts w:ascii="Times New Roman" w:cs="Times New Roman" w:eastAsia="Times New Roman" w:hAnsi="Times New Roman"/>
                <w:sz w:val="18"/>
                <w:szCs w:val="18"/>
                <w:b w:val="1"/>
                <w:bCs w:val="1"/>
                <w:color w:val="auto"/>
                <w:w w:val="99"/>
              </w:rPr>
              <w:t>Fresh Del Monte Produce Inc.</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5"/>
          </w:tcPr>
          <w:p>
            <w:pPr>
              <w:jc w:val="center"/>
              <w:ind w:right="1720"/>
              <w:spacing w:after="0" w:line="170" w:lineRule="exact"/>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u w:val="single" w:color="auto"/>
                <w:color w:val="auto"/>
              </w:rPr>
              <w:t>4x</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796"/>
              <w:spacing w:after="0" w:line="170" w:lineRule="exact"/>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b w:val="1"/>
                <w:bCs w:val="1"/>
                <w:u w:val="single" w:color="auto"/>
                <w:color w:val="auto"/>
              </w:rPr>
              <w:t>9x</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Limoneira Company</w:t>
            </w:r>
          </w:p>
        </w:tc>
        <w:tc>
          <w:tcPr>
            <w:tcW w:w="720" w:type="dxa"/>
            <w:vAlign w:val="bottom"/>
            <w:gridSpan w:val="3"/>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80" w:type="dxa"/>
            <w:vAlign w:val="bottom"/>
            <w:gridSpan w:val="6"/>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b w:val="1"/>
                <w:bCs w:val="1"/>
                <w:color w:val="auto"/>
              </w:rPr>
              <w:t>Not meaningful</w:t>
            </w:r>
          </w:p>
        </w:tc>
        <w:tc>
          <w:tcPr>
            <w:tcW w:w="208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33.</w:t>
            </w:r>
            <w:r>
              <w:rPr>
                <w:rFonts w:ascii="Times New Roman" w:cs="Times New Roman" w:eastAsia="Times New Roman" w:hAnsi="Times New Roman"/>
                <w:sz w:val="18"/>
                <w:szCs w:val="18"/>
                <w:b w:val="1"/>
                <w:bCs w:val="1"/>
                <w:u w:val="single" w:color="auto"/>
                <w:color w:val="auto"/>
                <w:w w:val="98"/>
              </w:rPr>
              <w:t>7x</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9"/>
          </w:tcPr>
          <w:p>
            <w:pPr>
              <w:jc w:val="center"/>
              <w:ind w:right="7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Mission Produce, Inc.</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5"/>
          </w:tcPr>
          <w:p>
            <w:pPr>
              <w:jc w:val="center"/>
              <w:ind w:right="1720"/>
              <w:spacing w:after="0" w:line="176" w:lineRule="exact"/>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u w:val="single" w:color="auto"/>
                <w:color w:val="auto"/>
              </w:rPr>
              <w:t>0x</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center"/>
              <w:ind w:right="796"/>
              <w:spacing w:after="0" w:line="176" w:lineRule="exact"/>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u w:val="single" w:color="auto"/>
                <w:color w:val="auto"/>
              </w:rPr>
              <w:t>1x</w:t>
            </w:r>
          </w:p>
        </w:tc>
        <w:tc>
          <w:tcPr>
            <w:tcW w:w="0" w:type="dxa"/>
            <w:vAlign w:val="bottom"/>
          </w:tcPr>
          <w:p>
            <w:pPr>
              <w:spacing w:after="0"/>
              <w:rPr>
                <w:sz w:val="1"/>
                <w:szCs w:val="1"/>
                <w:color w:val="auto"/>
              </w:rPr>
            </w:pPr>
          </w:p>
        </w:tc>
      </w:tr>
      <w:tr>
        <w:trPr>
          <w:trHeight w:val="20"/>
        </w:trPr>
        <w:tc>
          <w:tcPr>
            <w:tcW w:w="1760" w:type="dxa"/>
            <w:vAlign w:val="bottom"/>
            <w:gridSpan w:val="3"/>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strike w:val="1"/>
              </w:rPr>
              <w:t>The financial data reviewed included the following:</w:t>
            </w:r>
          </w:p>
        </w:tc>
        <w:tc>
          <w:tcPr>
            <w:tcW w:w="27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w w:val="99"/>
              </w:rPr>
              <w:t>Selected Public Companies Analysis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7"/>
            <w:vMerge w:val="continue"/>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strike w:val="1"/>
              </w:rPr>
              <w:t>Financial Metric</w:t>
            </w:r>
          </w:p>
        </w:tc>
        <w:tc>
          <w:tcPr>
            <w:tcW w:w="124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strike w:val="1"/>
              </w:rPr>
              <w:t>Low</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rPr>
              <w:t>High</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strike w:val="1"/>
              </w:rPr>
              <w:t>EV / FY 2025E Adjusted EBITDA</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strike w:val="1"/>
              </w:rPr>
              <w:t>5.5x</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rPr>
              <w:t>9.0x</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strike w:val="1"/>
              </w:rPr>
              <w:t>EV / FY 2026E Adjusted EBITDA</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strike w:val="1"/>
              </w:rPr>
              <w:t>5.2x</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rPr>
              <w:t>33.7x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applied a selected range of enterprise value to estimated Adjusted EBITDA multiples of 6.5x to 9.5x and 6.0x to 9.0x to corresponding data of Calavo based on the Calavo Forecasts furnished to Jefferies for estimated Adjusted EBITDA for FY 2025E and FY 2026E, respectively, to determine ranges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the number of fully diluted shares of Calavo Common Stock outstanding </w:t>
      </w:r>
      <w:r>
        <w:rPr>
          <w:rFonts w:ascii="Times New Roman" w:cs="Times New Roman" w:eastAsia="Times New Roman" w:hAnsi="Times New Roman"/>
          <w:sz w:val="18"/>
          <w:szCs w:val="18"/>
          <w:b w:val="1"/>
          <w:bCs w:val="1"/>
          <w:u w:val="single" w:color="auto"/>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approximately 17.9 million as of January 13, 2026</w:t>
      </w:r>
      <w:r>
        <w:rPr>
          <w:rFonts w:ascii="Times New Roman" w:cs="Times New Roman" w:eastAsia="Times New Roman" w:hAnsi="Times New Roman"/>
          <w:sz w:val="18"/>
          <w:szCs w:val="18"/>
          <w:color w:val="auto"/>
        </w:rPr>
        <w:t>, each as provided by Calavo management, to calculate a range of implied per share equity values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Calavo. This analysis 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Public Companies Analysis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80" w:type="dxa"/>
            <w:vAlign w:val="bottom"/>
            <w:gridSpan w:val="3"/>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74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Implied Per Share Equity Value</w:t>
            </w:r>
          </w:p>
        </w:tc>
        <w:tc>
          <w:tcPr>
            <w:tcW w:w="0" w:type="dxa"/>
            <w:vAlign w:val="bottom"/>
          </w:tcPr>
          <w:p>
            <w:pPr>
              <w:spacing w:after="0"/>
              <w:rPr>
                <w:sz w:val="1"/>
                <w:szCs w:val="1"/>
                <w:color w:val="auto"/>
              </w:rPr>
            </w:pPr>
          </w:p>
        </w:tc>
      </w:tr>
      <w:tr>
        <w:trPr>
          <w:trHeight w:val="160"/>
        </w:trPr>
        <w:tc>
          <w:tcPr>
            <w:tcW w:w="3680" w:type="dxa"/>
            <w:vAlign w:val="bottom"/>
            <w:gridSpan w:val="3"/>
            <w:vMerge w:val="continue"/>
          </w:tcPr>
          <w:p>
            <w:pPr>
              <w:spacing w:after="0"/>
              <w:rPr>
                <w:sz w:val="13"/>
                <w:szCs w:val="13"/>
                <w:color w:val="auto"/>
              </w:rPr>
            </w:pPr>
          </w:p>
        </w:tc>
        <w:tc>
          <w:tcPr>
            <w:tcW w:w="2740" w:type="dxa"/>
            <w:vAlign w:val="bottom"/>
            <w:gridSpan w:val="2"/>
            <w:vMerge w:val="continue"/>
          </w:tcPr>
          <w:p>
            <w:pPr>
              <w:spacing w:after="0"/>
              <w:rPr>
                <w:sz w:val="13"/>
                <w:szCs w:val="13"/>
                <w:color w:val="auto"/>
              </w:rPr>
            </w:pPr>
          </w:p>
        </w:tc>
        <w:tc>
          <w:tcPr>
            <w:tcW w:w="1940" w:type="dxa"/>
            <w:vAlign w:val="bottom"/>
          </w:tcPr>
          <w:p>
            <w:pPr>
              <w:jc w:val="right"/>
              <w:ind w:right="359"/>
              <w:spacing w:after="0" w:line="160" w:lineRule="exact"/>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80" w:type="dxa"/>
            <w:vAlign w:val="bottom"/>
            <w:gridSpan w:val="3"/>
            <w:shd w:val="clear" w:color="auto" w:fill="CCEEFF"/>
          </w:tcPr>
          <w:p>
            <w:pPr>
              <w:jc w:val="center"/>
              <w:ind w:right="1220"/>
              <w:spacing w:after="0" w:line="171" w:lineRule="exact"/>
              <w:rPr>
                <w:sz w:val="20"/>
                <w:szCs w:val="20"/>
                <w:color w:val="auto"/>
              </w:rPr>
            </w:pPr>
            <w:r>
              <w:rPr>
                <w:rFonts w:ascii="Times New Roman" w:cs="Times New Roman" w:eastAsia="Times New Roman" w:hAnsi="Times New Roman"/>
                <w:sz w:val="18"/>
                <w:szCs w:val="18"/>
                <w:color w:val="auto"/>
                <w:w w:val="99"/>
              </w:rPr>
              <w:t>EV / FY 2025E Adjusted</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6.5x – 9.5x</w:t>
            </w:r>
          </w:p>
        </w:tc>
        <w:tc>
          <w:tcPr>
            <w:tcW w:w="124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359"/>
              <w:spacing w:after="0" w:line="171" w:lineRule="exact"/>
              <w:rPr>
                <w:sz w:val="20"/>
                <w:szCs w:val="20"/>
                <w:color w:val="auto"/>
              </w:rPr>
            </w:pPr>
            <w:r>
              <w:rPr>
                <w:rFonts w:ascii="Times New Roman" w:cs="Times New Roman" w:eastAsia="Times New Roman" w:hAnsi="Times New Roman"/>
                <w:sz w:val="18"/>
                <w:szCs w:val="18"/>
                <w:color w:val="auto"/>
              </w:rPr>
              <w:t>$17.80 - $24.55</w:t>
            </w:r>
          </w:p>
        </w:tc>
        <w:tc>
          <w:tcPr>
            <w:tcW w:w="0" w:type="dxa"/>
            <w:vAlign w:val="bottom"/>
          </w:tcPr>
          <w:p>
            <w:pPr>
              <w:spacing w:after="0"/>
              <w:rPr>
                <w:sz w:val="1"/>
                <w:szCs w:val="1"/>
                <w:color w:val="auto"/>
              </w:rPr>
            </w:pPr>
          </w:p>
        </w:tc>
      </w:tr>
      <w:tr>
        <w:trPr>
          <w:trHeight w:val="234"/>
        </w:trPr>
        <w:tc>
          <w:tcPr>
            <w:tcW w:w="7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jc w:val="center"/>
              <w:ind w:right="1940"/>
              <w:spacing w:after="0"/>
              <w:rPr>
                <w:sz w:val="20"/>
                <w:szCs w:val="20"/>
                <w:color w:val="auto"/>
              </w:rPr>
            </w:pPr>
            <w:r>
              <w:rPr>
                <w:rFonts w:ascii="Times New Roman" w:cs="Times New Roman" w:eastAsia="Times New Roman" w:hAnsi="Times New Roman"/>
                <w:sz w:val="18"/>
                <w:szCs w:val="18"/>
                <w:color w:val="auto"/>
                <w:w w:val="99"/>
              </w:rPr>
              <w:t>EBITDA</w:t>
            </w:r>
          </w:p>
        </w:tc>
        <w:tc>
          <w:tcPr>
            <w:tcW w:w="1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gridSpan w:val="3"/>
          </w:tcPr>
          <w:p>
            <w:pPr>
              <w:jc w:val="center"/>
              <w:ind w:right="1220"/>
              <w:spacing w:after="0" w:line="198" w:lineRule="exact"/>
              <w:rPr>
                <w:sz w:val="20"/>
                <w:szCs w:val="20"/>
                <w:color w:val="auto"/>
              </w:rPr>
            </w:pPr>
            <w:r>
              <w:rPr>
                <w:rFonts w:ascii="Times New Roman" w:cs="Times New Roman" w:eastAsia="Times New Roman" w:hAnsi="Times New Roman"/>
                <w:sz w:val="18"/>
                <w:szCs w:val="18"/>
                <w:color w:val="auto"/>
                <w:w w:val="99"/>
              </w:rPr>
              <w:t>EV / FY 2026E Adjusted</w:t>
            </w:r>
          </w:p>
        </w:tc>
        <w:tc>
          <w:tcPr>
            <w:tcW w:w="2740" w:type="dxa"/>
            <w:vAlign w:val="bottom"/>
            <w:gridSpan w:val="2"/>
          </w:tcPr>
          <w:p>
            <w:pPr>
              <w:jc w:val="center"/>
              <w:ind w:right="1240"/>
              <w:spacing w:after="0" w:line="198" w:lineRule="exact"/>
              <w:rPr>
                <w:sz w:val="20"/>
                <w:szCs w:val="20"/>
                <w:color w:val="auto"/>
              </w:rPr>
            </w:pPr>
            <w:r>
              <w:rPr>
                <w:rFonts w:ascii="Times New Roman" w:cs="Times New Roman" w:eastAsia="Times New Roman" w:hAnsi="Times New Roman"/>
                <w:sz w:val="18"/>
                <w:szCs w:val="18"/>
                <w:color w:val="auto"/>
              </w:rPr>
              <w:t>6.0x – 9.0x</w:t>
            </w:r>
          </w:p>
        </w:tc>
        <w:tc>
          <w:tcPr>
            <w:tcW w:w="1940" w:type="dxa"/>
            <w:vAlign w:val="bottom"/>
          </w:tcPr>
          <w:p>
            <w:pPr>
              <w:jc w:val="right"/>
              <w:ind w:right="359"/>
              <w:spacing w:after="0" w:line="198" w:lineRule="exact"/>
              <w:rPr>
                <w:sz w:val="20"/>
                <w:szCs w:val="20"/>
                <w:color w:val="auto"/>
              </w:rPr>
            </w:pPr>
            <w:r>
              <w:rPr>
                <w:rFonts w:ascii="Times New Roman" w:cs="Times New Roman" w:eastAsia="Times New Roman" w:hAnsi="Times New Roman"/>
                <w:sz w:val="18"/>
                <w:szCs w:val="18"/>
                <w:color w:val="auto"/>
              </w:rPr>
              <w:t>$20.10 - $28.50</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9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EBITDA</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No company utilized in the selected public companies analysis is identical to Calavo. In evaluating the selected public companies, Jefferies made judgments and assumptions with regard to industry performance, general business, economic, market and financial conditions and other matters, many of which are beyond Calavo’s and Jefferies’ control.</w:t>
      </w:r>
    </w:p>
    <w:p>
      <w:pPr>
        <w:spacing w:after="0" w:line="77" w:lineRule="exact"/>
        <w:rPr>
          <w:sz w:val="20"/>
          <w:szCs w:val="20"/>
          <w:color w:val="auto"/>
        </w:rPr>
      </w:pPr>
    </w:p>
    <w:p>
      <w:pPr>
        <w:ind w:left="960" w:right="60" w:hanging="532"/>
        <w:spacing w:after="0" w:line="262"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111 underneath the section titled “</w:t>
      </w:r>
      <w:r>
        <w:rPr>
          <w:rFonts w:ascii="Times New Roman" w:cs="Times New Roman" w:eastAsia="Times New Roman" w:hAnsi="Times New Roman"/>
          <w:sz w:val="18"/>
          <w:szCs w:val="18"/>
          <w:b w:val="1"/>
          <w:bCs w:val="1"/>
          <w:i w:val="1"/>
          <w:iCs w:val="1"/>
          <w:color w:val="auto"/>
        </w:rPr>
        <w:t>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Transactions Analysis</w:t>
      </w:r>
      <w:r>
        <w:rPr>
          <w:rFonts w:ascii="Times New Roman" w:cs="Times New Roman" w:eastAsia="Times New Roman" w:hAnsi="Times New Roman"/>
          <w:sz w:val="18"/>
          <w:szCs w:val="18"/>
          <w:b w:val="1"/>
          <w:bCs w:val="1"/>
          <w:color w:val="auto"/>
        </w:rPr>
        <w:t>” and ends with “</w:t>
      </w:r>
      <w:r>
        <w:rPr>
          <w:rFonts w:ascii="Times New Roman" w:cs="Times New Roman" w:eastAsia="Times New Roman" w:hAnsi="Times New Roman"/>
          <w:sz w:val="18"/>
          <w:szCs w:val="18"/>
          <w:b w:val="1"/>
          <w:bCs w:val="1"/>
          <w:i w:val="1"/>
          <w:iCs w:val="1"/>
          <w:color w:val="auto"/>
        </w:rPr>
        <w:t>Discounted Cash Flow Analysis</w:t>
      </w:r>
      <w:r>
        <w:rPr>
          <w:rFonts w:ascii="Times New Roman" w:cs="Times New Roman" w:eastAsia="Times New Roman" w:hAnsi="Times New Roman"/>
          <w:sz w:val="18"/>
          <w:szCs w:val="18"/>
          <w:b w:val="1"/>
          <w:bCs w:val="1"/>
          <w:color w:val="auto"/>
        </w:rPr>
        <w:t>” on page 112 of the Joint Proxy Statement/Prospectus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following: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Jefferies reviewed publicly available financial, stock market and operating information of Calavo and company filings, definitive proxy statements, press releases and Wall Street research relating to </w:t>
      </w:r>
      <w:r>
        <w:rPr>
          <w:rFonts w:ascii="Times New Roman" w:cs="Times New Roman" w:eastAsia="Times New Roman" w:hAnsi="Times New Roman"/>
          <w:sz w:val="18"/>
          <w:szCs w:val="18"/>
          <w:b w:val="1"/>
          <w:bCs w:val="1"/>
          <w:color w:val="auto"/>
          <w:strike w:val="1"/>
        </w:rPr>
        <w:t>the following</w:t>
      </w:r>
      <w:r>
        <w:rPr>
          <w:rFonts w:ascii="Times New Roman" w:cs="Times New Roman" w:eastAsia="Times New Roman" w:hAnsi="Times New Roman"/>
          <w:sz w:val="18"/>
          <w:szCs w:val="18"/>
          <w:color w:val="auto"/>
        </w:rPr>
        <w:t xml:space="preserve"> seventeen historical M&amp;A transactions, announced since September 2012, involving companies in the fresh produce industry that have financial and operating characteristics that Jefferies, in its professional judgment, considered generally relevant for purposes of its analysis, which are collectively referred to in this section as the “Jefferies Selected Transactions”</w:t>
      </w:r>
      <w:r>
        <w:rPr>
          <w:rFonts w:ascii="Times New Roman" w:cs="Times New Roman" w:eastAsia="Times New Roman" w:hAnsi="Times New Roman"/>
          <w:sz w:val="18"/>
          <w:szCs w:val="18"/>
          <w:b w:val="1"/>
          <w:bCs w:val="1"/>
          <w:color w:val="auto"/>
          <w:strike w:val="1"/>
        </w:rPr>
        <w:t>:</w:t>
      </w:r>
      <w:r>
        <w:rPr>
          <w:rFonts w:ascii="Times New Roman" w:cs="Times New Roman" w:eastAsia="Times New Roman" w:hAnsi="Times New Roman"/>
          <w:sz w:val="18"/>
          <w:szCs w:val="18"/>
          <w:b w:val="1"/>
          <w:bCs w:val="1"/>
          <w:u w:val="single" w:color="auto"/>
          <w:color w:val="auto"/>
        </w:rPr>
        <w:t>.</w:t>
      </w:r>
    </w:p>
    <w:p>
      <w:pPr>
        <w:sectPr>
          <w:pgSz w:w="11900" w:h="16838" w:orient="portrait"/>
          <w:cols w:equalWidth="0" w:num="1">
            <w:col w:w="10920"/>
          </w:cols>
          <w:pgMar w:left="440" w:top="293" w:right="5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w:t>
      </w:r>
      <w:r>
        <w:rPr>
          <w:rFonts w:ascii="Times New Roman" w:cs="Times New Roman" w:eastAsia="Times New Roman" w:hAnsi="Times New Roman"/>
          <w:sz w:val="18"/>
          <w:szCs w:val="18"/>
          <w:b w:val="1"/>
          <w:bCs w:val="1"/>
          <w:u w:val="single" w:color="auto"/>
          <w:color w:val="auto"/>
        </w:rPr>
        <w:t>selected transactions and the</w:t>
      </w:r>
      <w:r>
        <w:rPr>
          <w:rFonts w:ascii="Times New Roman" w:cs="Times New Roman" w:eastAsia="Times New Roman" w:hAnsi="Times New Roman"/>
          <w:sz w:val="18"/>
          <w:szCs w:val="18"/>
          <w:color w:val="auto"/>
        </w:rPr>
        <w:t xml:space="preserve"> financial data reviewed included the following: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520" w:type="dxa"/>
            <w:vAlign w:val="bottom"/>
          </w:tcPr>
          <w:p>
            <w:pPr>
              <w:spacing w:after="0"/>
              <w:rPr>
                <w:sz w:val="16"/>
                <w:szCs w:val="16"/>
                <w:color w:val="auto"/>
              </w:rPr>
            </w:pPr>
          </w:p>
        </w:tc>
        <w:tc>
          <w:tcPr>
            <w:tcW w:w="2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5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EV / LTM EBITDA</w:t>
            </w:r>
          </w:p>
        </w:tc>
        <w:tc>
          <w:tcPr>
            <w:tcW w:w="0" w:type="dxa"/>
            <w:vAlign w:val="bottom"/>
          </w:tcPr>
          <w:p>
            <w:pPr>
              <w:spacing w:after="0"/>
              <w:rPr>
                <w:sz w:val="1"/>
                <w:szCs w:val="1"/>
                <w:color w:val="auto"/>
              </w:rPr>
            </w:pPr>
          </w:p>
        </w:tc>
      </w:tr>
      <w:tr>
        <w:trPr>
          <w:trHeight w:val="169"/>
        </w:trPr>
        <w:tc>
          <w:tcPr>
            <w:tcW w:w="2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12, 2025</w:t>
            </w:r>
          </w:p>
        </w:tc>
        <w:tc>
          <w:tcPr>
            <w:tcW w:w="120" w:type="dxa"/>
            <w:vAlign w:val="bottom"/>
          </w:tcPr>
          <w:p>
            <w:pPr>
              <w:spacing w:after="0"/>
              <w:rPr>
                <w:sz w:val="14"/>
                <w:szCs w:val="14"/>
                <w:color w:val="auto"/>
              </w:rPr>
            </w:pPr>
          </w:p>
        </w:tc>
        <w:tc>
          <w:tcPr>
            <w:tcW w:w="2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Safco</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color w:val="auto"/>
              </w:rPr>
              <w:t>Unifrutti</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7"/>
          </w:tcPr>
          <w:p>
            <w:pPr>
              <w:jc w:val="center"/>
              <w:ind w:right="1120"/>
              <w:spacing w:after="0" w:line="169"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August 5, 2025</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Dole plc</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Arable Capital Partners, LLC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7"/>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(Fresh Vegetables Division)</w:t>
            </w: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4.</w:t>
            </w:r>
            <w:r>
              <w:rPr>
                <w:rFonts w:ascii="Times New Roman" w:cs="Times New Roman" w:eastAsia="Times New Roman" w:hAnsi="Times New Roman"/>
                <w:sz w:val="18"/>
                <w:szCs w:val="18"/>
                <w:b w:val="1"/>
                <w:bCs w:val="1"/>
                <w:u w:val="single" w:color="auto"/>
                <w:color w:val="auto"/>
                <w:w w:val="95"/>
              </w:rPr>
              <w:t>6x</w:t>
            </w:r>
          </w:p>
        </w:tc>
        <w:tc>
          <w:tcPr>
            <w:tcW w:w="11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rPr>
              <w:t>April 11, 2025</w:t>
            </w:r>
          </w:p>
        </w:tc>
        <w:tc>
          <w:tcPr>
            <w:tcW w:w="27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Greenyard NV</w:t>
            </w:r>
          </w:p>
        </w:tc>
        <w:tc>
          <w:tcPr>
            <w:tcW w:w="520" w:type="dxa"/>
            <w:vAlign w:val="bottom"/>
          </w:tcPr>
          <w:p>
            <w:pPr>
              <w:spacing w:after="0"/>
              <w:rPr>
                <w:sz w:val="16"/>
                <w:szCs w:val="16"/>
                <w:color w:val="auto"/>
              </w:rPr>
            </w:pPr>
          </w:p>
        </w:tc>
        <w:tc>
          <w:tcPr>
            <w:tcW w:w="2220" w:type="dxa"/>
            <w:vAlign w:val="bottom"/>
            <w:gridSpan w:val="3"/>
          </w:tcPr>
          <w:p>
            <w:pPr>
              <w:jc w:val="center"/>
              <w:ind w:right="620"/>
              <w:spacing w:after="0" w:line="194" w:lineRule="exact"/>
              <w:rPr>
                <w:sz w:val="20"/>
                <w:szCs w:val="20"/>
                <w:color w:val="auto"/>
              </w:rPr>
            </w:pPr>
            <w:r>
              <w:rPr>
                <w:rFonts w:ascii="Times New Roman" w:cs="Times New Roman" w:eastAsia="Times New Roman" w:hAnsi="Times New Roman"/>
                <w:sz w:val="18"/>
                <w:szCs w:val="18"/>
                <w:color w:val="auto"/>
              </w:rPr>
              <w:t>Deprez Family</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gridSpan w:val="3"/>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August 14, 2024</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Cheney Bros, Inc.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Performance Food Group Company</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gridSpan w:val="8"/>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13.</w:t>
            </w:r>
            <w:r>
              <w:rPr>
                <w:rFonts w:ascii="Times New Roman" w:cs="Times New Roman" w:eastAsia="Times New Roman" w:hAnsi="Times New Roman"/>
                <w:sz w:val="18"/>
                <w:szCs w:val="18"/>
                <w:b w:val="1"/>
                <w:bCs w:val="1"/>
                <w:u w:val="single" w:color="auto"/>
                <w:color w:val="auto"/>
                <w:w w:val="98"/>
              </w:rPr>
              <w:t>0x</w:t>
            </w: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March 20, 2024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8"/>
              </w:rPr>
              <w:t>Agrovision</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Aliment Capital /</w:t>
            </w:r>
          </w:p>
        </w:tc>
        <w:tc>
          <w:tcPr>
            <w:tcW w:w="780" w:type="dxa"/>
            <w:vAlign w:val="bottom"/>
          </w:tcPr>
          <w:p>
            <w:pPr>
              <w:spacing w:after="0"/>
              <w:rPr>
                <w:sz w:val="17"/>
                <w:szCs w:val="17"/>
                <w:color w:val="auto"/>
              </w:rPr>
            </w:pPr>
          </w:p>
        </w:tc>
        <w:tc>
          <w:tcPr>
            <w:tcW w:w="1760" w:type="dxa"/>
            <w:vAlign w:val="bottom"/>
            <w:gridSpan w:val="11"/>
          </w:tcPr>
          <w:p>
            <w:pPr>
              <w:jc w:val="center"/>
              <w:ind w:right="8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Confidential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Investor Consortium</w:t>
            </w:r>
          </w:p>
        </w:tc>
        <w:tc>
          <w:tcPr>
            <w:tcW w:w="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6"/>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0"/>
              </w:rPr>
              <w:t>N/A</w:t>
            </w:r>
          </w:p>
        </w:tc>
        <w:tc>
          <w:tcPr>
            <w:tcW w:w="8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February 27, 2024</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Progressive Produce, LLC</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Arable Capital Partners, LLC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6"/>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January 26, 2024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Ingomar Packing Company, LLC</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Kagome Co., Ltd</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7"/>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September 21, 2023</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Costa Group Holdings</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Paine Schwartz Partners</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gridSpan w:val="8"/>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9x</w:t>
            </w: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December 22, 2022</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Bollo International Fruits</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The Natural Fruit Company</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0x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(Fremman and GPF Capital)</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9.</w:t>
            </w:r>
            <w:r>
              <w:rPr>
                <w:rFonts w:ascii="Times New Roman" w:cs="Times New Roman" w:eastAsia="Times New Roman" w:hAnsi="Times New Roman"/>
                <w:sz w:val="18"/>
                <w:szCs w:val="18"/>
                <w:b w:val="1"/>
                <w:bCs w:val="1"/>
                <w:u w:val="single" w:color="auto"/>
                <w:color w:val="auto"/>
                <w:w w:val="95"/>
              </w:rPr>
              <w:t>1x</w:t>
            </w:r>
          </w:p>
        </w:tc>
        <w:tc>
          <w:tcPr>
            <w:tcW w:w="11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November 22, 2022</w:t>
            </w:r>
          </w:p>
        </w:tc>
        <w:tc>
          <w:tcPr>
            <w:tcW w:w="27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AgroFresh Solutions, Inc.</w:t>
            </w:r>
          </w:p>
        </w:tc>
        <w:tc>
          <w:tcPr>
            <w:tcW w:w="2740" w:type="dxa"/>
            <w:vAlign w:val="bottom"/>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Paine Schwartz Partners</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gridSpan w:val="3"/>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February 17, 2021</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Company, Inc.</w:t>
            </w:r>
          </w:p>
        </w:tc>
        <w:tc>
          <w:tcPr>
            <w:tcW w:w="520" w:type="dxa"/>
            <w:vAlign w:val="bottom"/>
          </w:tcPr>
          <w:p>
            <w:pPr>
              <w:spacing w:after="0"/>
              <w:rPr>
                <w:sz w:val="17"/>
                <w:szCs w:val="17"/>
                <w:color w:val="auto"/>
              </w:rPr>
            </w:pPr>
          </w:p>
        </w:tc>
        <w:tc>
          <w:tcPr>
            <w:tcW w:w="222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w w:val="98"/>
              </w:rPr>
              <w:t>Total Produce plc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7.</w:t>
            </w:r>
            <w:r>
              <w:rPr>
                <w:rFonts w:ascii="Times New Roman" w:cs="Times New Roman" w:eastAsia="Times New Roman" w:hAnsi="Times New Roman"/>
                <w:sz w:val="18"/>
                <w:szCs w:val="18"/>
                <w:b w:val="1"/>
                <w:bCs w:val="1"/>
                <w:u w:val="single" w:color="auto"/>
                <w:color w:val="auto"/>
                <w:w w:val="95"/>
              </w:rPr>
              <w:t>7x</w:t>
            </w:r>
          </w:p>
        </w:tc>
        <w:tc>
          <w:tcPr>
            <w:tcW w:w="1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October 31, 2019</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Citri&amp;Co</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Miura Private Equity (Frutas)</w:t>
            </w:r>
          </w:p>
        </w:tc>
        <w:tc>
          <w:tcPr>
            <w:tcW w:w="780" w:type="dxa"/>
            <w:vAlign w:val="bottom"/>
          </w:tcPr>
          <w:p>
            <w:pPr>
              <w:spacing w:after="0"/>
              <w:rPr>
                <w:sz w:val="17"/>
                <w:szCs w:val="17"/>
                <w:color w:val="auto"/>
              </w:rPr>
            </w:pPr>
          </w:p>
        </w:tc>
        <w:tc>
          <w:tcPr>
            <w:tcW w:w="1760" w:type="dxa"/>
            <w:vAlign w:val="bottom"/>
            <w:gridSpan w:val="11"/>
          </w:tcPr>
          <w:p>
            <w:pPr>
              <w:jc w:val="center"/>
              <w:ind w:right="8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Confidential</w:t>
            </w: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February 6, 2018</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Mann Packing</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Fresh Del Monte Produce</w:t>
            </w:r>
          </w:p>
        </w:tc>
        <w:tc>
          <w:tcPr>
            <w:tcW w:w="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6"/>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December 8, 2016</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Fyffes plc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Sumitomo Corporation</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8x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October 27, 2014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Chiquita Brands International plc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Grupo Cutrale / Safra Group</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9"/>
          </w:tcPr>
          <w:p>
            <w:pPr>
              <w:jc w:val="right"/>
              <w:ind w:right="1080"/>
              <w:spacing w:after="0" w:line="196" w:lineRule="exact"/>
              <w:rPr>
                <w:sz w:val="20"/>
                <w:szCs w:val="20"/>
                <w:color w:val="auto"/>
              </w:rPr>
            </w:pPr>
            <w:r>
              <w:rPr>
                <w:rFonts w:ascii="Times New Roman" w:cs="Times New Roman" w:eastAsia="Times New Roman" w:hAnsi="Times New Roman"/>
                <w:sz w:val="18"/>
                <w:szCs w:val="18"/>
                <w:b w:val="1"/>
                <w:bCs w:val="1"/>
                <w:color w:val="auto"/>
                <w:w w:val="88"/>
              </w:rPr>
              <w:t>11.</w:t>
            </w:r>
            <w:r>
              <w:rPr>
                <w:rFonts w:ascii="Times New Roman" w:cs="Times New Roman" w:eastAsia="Times New Roman" w:hAnsi="Times New Roman"/>
                <w:sz w:val="18"/>
                <w:szCs w:val="18"/>
                <w:b w:val="1"/>
                <w:bCs w:val="1"/>
                <w:u w:val="single" w:color="auto"/>
                <w:color w:val="auto"/>
                <w:w w:val="88"/>
              </w:rPr>
              <w:t>4x</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August 12, 2013</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David H. Murdock</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12.</w:t>
            </w:r>
            <w:r>
              <w:rPr>
                <w:rFonts w:ascii="Times New Roman" w:cs="Times New Roman" w:eastAsia="Times New Roman" w:hAnsi="Times New Roman"/>
                <w:sz w:val="18"/>
                <w:szCs w:val="18"/>
                <w:b w:val="1"/>
                <w:bCs w:val="1"/>
                <w:u w:val="single" w:color="auto"/>
                <w:color w:val="auto"/>
                <w:w w:val="98"/>
              </w:rPr>
              <w:t>2x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September 17, 2012</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w:t>
            </w:r>
          </w:p>
        </w:tc>
        <w:tc>
          <w:tcPr>
            <w:tcW w:w="520" w:type="dxa"/>
            <w:vAlign w:val="bottom"/>
          </w:tcPr>
          <w:p>
            <w:pPr>
              <w:spacing w:after="0"/>
              <w:rPr>
                <w:sz w:val="17"/>
                <w:szCs w:val="17"/>
                <w:color w:val="auto"/>
              </w:rPr>
            </w:pPr>
          </w:p>
        </w:tc>
        <w:tc>
          <w:tcPr>
            <w:tcW w:w="222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rPr>
              <w:t>Itochu Corporation</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8"/>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9.</w:t>
            </w:r>
            <w:r>
              <w:rPr>
                <w:rFonts w:ascii="Times New Roman" w:cs="Times New Roman" w:eastAsia="Times New Roman" w:hAnsi="Times New Roman"/>
                <w:sz w:val="18"/>
                <w:szCs w:val="18"/>
                <w:b w:val="1"/>
                <w:bCs w:val="1"/>
                <w:u w:val="single" w:color="auto"/>
                <w:color w:val="auto"/>
                <w:w w:val="95"/>
              </w:rPr>
              <w:t>0x</w:t>
            </w: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(Worldwide Packaged Foods / Asia</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Fresh Produce)</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strike w:val="1"/>
        </w:rPr>
        <w:t>Selected Transactions Analysis</w:t>
      </w:r>
    </w:p>
    <w:p>
      <w:pPr>
        <w:sectPr>
          <w:pgSz w:w="11900" w:h="16838" w:orient="portrait"/>
          <w:cols w:equalWidth="0" w:num="1">
            <w:col w:w="11020"/>
          </w:cols>
          <w:pgMar w:left="440" w:top="293" w:right="439" w:bottom="1440" w:gutter="0" w:footer="0" w:header="0"/>
        </w:sectPr>
      </w:pPr>
    </w:p>
    <w:p>
      <w:pPr>
        <w:spacing w:after="0" w:line="2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strike w:val="1"/>
        </w:rPr>
        <w:t>Financial Metric</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strike w:val="1"/>
        </w:rPr>
        <w:t>Low</w:t>
      </w:r>
      <w:r>
        <w:rPr>
          <w:sz w:val="20"/>
          <w:szCs w:val="20"/>
          <w:color w:val="auto"/>
        </w:rPr>
        <w:tab/>
      </w:r>
      <w:r>
        <w:rPr>
          <w:rFonts w:ascii="Times New Roman" w:cs="Times New Roman" w:eastAsia="Times New Roman" w:hAnsi="Times New Roman"/>
          <w:sz w:val="14"/>
          <w:szCs w:val="14"/>
          <w:b w:val="1"/>
          <w:bCs w:val="1"/>
          <w:color w:val="auto"/>
          <w:strike w:val="1"/>
        </w:rPr>
        <w:t>Median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strike w:val="1"/>
        </w:rPr>
        <w:t>High</w:t>
      </w:r>
    </w:p>
    <w:p>
      <w:pPr>
        <w:spacing w:after="0" w:line="21" w:lineRule="exact"/>
        <w:rPr>
          <w:sz w:val="20"/>
          <w:szCs w:val="20"/>
          <w:color w:val="auto"/>
        </w:rPr>
      </w:pPr>
    </w:p>
    <w:p>
      <w:pPr>
        <w:sectPr>
          <w:pgSz w:w="11900" w:h="16838" w:orient="portrait"/>
          <w:cols w:equalWidth="0" w:num="3">
            <w:col w:w="7640" w:space="720"/>
            <w:col w:w="1020" w:space="320"/>
            <w:col w:w="1320"/>
          </w:cols>
          <w:pgMar w:left="440" w:top="293" w:right="439" w:bottom="1440" w:gutter="0" w:footer="0" w:header="0"/>
          <w:type w:val="continuous"/>
        </w:sectPr>
      </w:pP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strike w:val="1"/>
        </w:rPr>
        <w:t>EV / LTM Adjusted EBITDA</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strike w:val="1"/>
        </w:rPr>
        <w:t>4.6x</w:t>
      </w:r>
      <w:r>
        <w:rPr>
          <w:sz w:val="20"/>
          <w:szCs w:val="20"/>
          <w:color w:val="auto"/>
        </w:rPr>
        <w:tab/>
      </w:r>
      <w:r>
        <w:rPr>
          <w:rFonts w:ascii="Times New Roman" w:cs="Times New Roman" w:eastAsia="Times New Roman" w:hAnsi="Times New Roman"/>
          <w:sz w:val="17"/>
          <w:szCs w:val="17"/>
          <w:b w:val="1"/>
          <w:bCs w:val="1"/>
          <w:color w:val="auto"/>
          <w:strike w:val="1"/>
        </w:rPr>
        <w:t>10.4x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strike w:val="1"/>
        </w:rPr>
        <w:t>13.0x</w:t>
      </w:r>
    </w:p>
    <w:p>
      <w:pPr>
        <w:spacing w:after="0" w:line="198" w:lineRule="exact"/>
        <w:rPr>
          <w:sz w:val="20"/>
          <w:szCs w:val="20"/>
          <w:color w:val="auto"/>
        </w:rPr>
      </w:pPr>
    </w:p>
    <w:p>
      <w:pPr>
        <w:sectPr>
          <w:pgSz w:w="11900" w:h="16838" w:orient="portrait"/>
          <w:cols w:equalWidth="0" w:num="3">
            <w:col w:w="7640" w:space="720"/>
            <w:col w:w="1020" w:space="280"/>
            <w:col w:w="1360"/>
          </w:cols>
          <w:pgMar w:left="440" w:top="293" w:right="439" w:bottom="1440" w:gutter="0" w:footer="0" w:header="0"/>
          <w:type w:val="continuous"/>
        </w:sect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applied a selected range of enterprise value to the LTM Adjusted EBITDA multiples derived from the Jefferies Selected Transactions analysis of 9.0x to 12.0x to the estimated LTM Adjusted EBITDA of Calavo for the twelve months ended October 31, 2025 to determine a range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the number of fully diluted shares of Calavo Common Stock outstanding </w:t>
      </w:r>
      <w:r>
        <w:rPr>
          <w:rFonts w:ascii="Times New Roman" w:cs="Times New Roman" w:eastAsia="Times New Roman" w:hAnsi="Times New Roman"/>
          <w:sz w:val="18"/>
          <w:szCs w:val="18"/>
          <w:b w:val="1"/>
          <w:bCs w:val="1"/>
          <w:u w:val="single" w:color="auto"/>
          <w:color w:val="auto"/>
        </w:rPr>
        <w:t>of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17.9 million as of January 13, 2026</w:t>
      </w:r>
      <w:r>
        <w:rPr>
          <w:rFonts w:ascii="Times New Roman" w:cs="Times New Roman" w:eastAsia="Times New Roman" w:hAnsi="Times New Roman"/>
          <w:sz w:val="18"/>
          <w:szCs w:val="18"/>
          <w:color w:val="auto"/>
        </w:rPr>
        <w:t>, each as provided by Calavo management, to calculate a range of implied per share equity values. This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12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3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9.0x – 12.0x</w:t>
            </w:r>
          </w:p>
        </w:tc>
        <w:tc>
          <w:tcPr>
            <w:tcW w:w="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$23.45 – $30.05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type w:val="continuous"/>
        </w:sectPr>
      </w:pPr>
    </w:p>
    <w:bookmarkStart w:id="5" w:name="page6"/>
    <w:bookmarkEnd w:id="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transaction utilized as a comparison in the Jefferies Selected Transactions analysis is identical to the Mergers. In evaluating the Mergers, Jefferies made numerous judgments and assumptions with regard to industry performance, general business, economic, market, and financial conditions and other matters, many of which are beyond the control of Calavo and Jefferies.</w:t>
      </w:r>
    </w:p>
    <w:p>
      <w:pPr>
        <w:spacing w:after="0" w:line="77" w:lineRule="exact"/>
        <w:rPr>
          <w:sz w:val="20"/>
          <w:szCs w:val="20"/>
          <w:color w:val="auto"/>
        </w:rPr>
      </w:pPr>
    </w:p>
    <w:p>
      <w:pPr>
        <w:ind w:left="960" w:right="340" w:hanging="532"/>
        <w:spacing w:after="0" w:line="262" w:lineRule="auto"/>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112 underneath the section titled “</w:t>
      </w:r>
      <w:r>
        <w:rPr>
          <w:rFonts w:ascii="Times New Roman" w:cs="Times New Roman" w:eastAsia="Times New Roman" w:hAnsi="Times New Roman"/>
          <w:sz w:val="18"/>
          <w:szCs w:val="18"/>
          <w:b w:val="1"/>
          <w:bCs w:val="1"/>
          <w:i w:val="1"/>
          <w:iCs w:val="1"/>
          <w:color w:val="auto"/>
        </w:rPr>
        <w:t>Discounted Cash Flow Analysis</w:t>
      </w:r>
      <w:r>
        <w:rPr>
          <w:rFonts w:ascii="Times New Roman" w:cs="Times New Roman" w:eastAsia="Times New Roman" w:hAnsi="Times New Roman"/>
          <w:sz w:val="18"/>
          <w:szCs w:val="18"/>
          <w:b w:val="1"/>
          <w:bCs w:val="1"/>
          <w:color w:val="auto"/>
        </w:rPr>
        <w:t>” and ends with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b w:val="1"/>
          <w:bCs w:val="1"/>
          <w:color w:val="auto"/>
        </w:rPr>
        <w:t>” on page 113 of the Joint Proxy Statement/Prospectus with the following: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right="140" w:firstLine="440"/>
        <w:spacing w:after="0" w:line="269" w:lineRule="auto"/>
        <w:rPr>
          <w:sz w:val="20"/>
          <w:szCs w:val="20"/>
          <w:color w:val="auto"/>
        </w:rPr>
      </w:pPr>
      <w:r>
        <w:rPr>
          <w:rFonts w:ascii="Times New Roman" w:cs="Times New Roman" w:eastAsia="Times New Roman" w:hAnsi="Times New Roman"/>
          <w:sz w:val="17"/>
          <w:szCs w:val="17"/>
          <w:color w:val="auto"/>
        </w:rPr>
        <w:t>Jefferies performed a discounted cash flow analysis of Calavo by calculating the estimated present value of the stand-alone unlevered free cash flows that Calavo was forecasted to generate during the fiscal years ending October 31, 2026 through October 31, 2030, based on the Calavo Forecasts furnished to Jefferies. The terminal values of Calavo were calculated by applying a selected range of perpetuity growth rates of 2.0% to 3.0% to Calavo’s estimated terminal year unlevered free cash flows, based on the Calavo Forecasts furnished to Jefferies and per management guidance. The present values of the unlevered free cash flows and terminal values of Calavo were then calculated using a selected discount rate range of 9.50% to</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10.50%, based on an estimate of Calavo’s weighted average cost of capital, to determine a range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w:t>
      </w:r>
      <w:r>
        <w:rPr>
          <w:rFonts w:ascii="Times New Roman" w:cs="Times New Roman" w:eastAsia="Times New Roman" w:hAnsi="Times New Roman"/>
          <w:sz w:val="18"/>
          <w:szCs w:val="18"/>
          <w:b w:val="1"/>
          <w:bCs w:val="1"/>
          <w:color w:val="auto"/>
          <w:strike w:val="1"/>
        </w:rPr>
        <w:t>the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range</w:t>
      </w:r>
      <w:r>
        <w:rPr>
          <w:rFonts w:ascii="Times New Roman" w:cs="Times New Roman" w:eastAsia="Times New Roman" w:hAnsi="Times New Roman"/>
          <w:sz w:val="18"/>
          <w:szCs w:val="18"/>
          <w:color w:val="auto"/>
        </w:rPr>
        <w:t xml:space="preserve"> of fully diluted shares of Calavo Common Stock outstanding </w:t>
      </w:r>
      <w:r>
        <w:rPr>
          <w:rFonts w:ascii="Times New Roman" w:cs="Times New Roman" w:eastAsia="Times New Roman" w:hAnsi="Times New Roman"/>
          <w:sz w:val="18"/>
          <w:szCs w:val="18"/>
          <w:b w:val="1"/>
          <w:bCs w:val="1"/>
          <w:u w:val="single" w:color="auto"/>
          <w:color w:val="auto"/>
        </w:rPr>
        <w:t>of approximately 18.1 million to 18.2 million as of January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color w:val="auto"/>
        </w:rPr>
        <w:t>, each as provided by Calavo management, to calculate a range of implied per share equity values for Calavo. This analysis indicated a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implied per share equity values of $33.65 to $41.80 per share (rounded to the nearest $0.05).</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Jefferies also performed a discounted cash flow analysis of the pro forma Combined Company and the implied value of the cash and stock consideration to be received by holders of Calavo Common Stock in the First Merger, taking into account the implied equity value of the pro forma Combined Company, by calculating the estimated present value of the unlevered free cash flows that the Combined Company was forecasted to generate during the fiscal years ending October 31, 2026 through October 31, 2030, based on the Calavo Forecasts furnished to Jefferies, the Mission Produce Forecasts furnished to Jefferies and the Calavo Assumed Synergies (collectively, the “Merger Consideration DCF”). The terminal values of the Combined Company were calculated by applying a selected range of perpetuity growth rates of 2.0% to 3.0% to the Combined Company’s estimated terminal year unlevered free cash flows, based on the Calavo Forecasts furnished to Jefferies and the Mission Produce Forecasts furnished to Jefferies and per management guidance. The present values of the Unlevered Free Cash Flow and terminal values of the Combined Company were then calculated using a selected discount rate range of 8.0% to 9.0%, based on an estimate of the Combined Company’s weighted average cost of capital, to determine a range of implied enterprise values for the Combined Company. Jefferies then subtracted the estimated net debt of the Combined Company </w:t>
      </w:r>
      <w:r>
        <w:rPr>
          <w:rFonts w:ascii="Times New Roman" w:cs="Times New Roman" w:eastAsia="Times New Roman" w:hAnsi="Times New Roman"/>
          <w:sz w:val="18"/>
          <w:szCs w:val="18"/>
          <w:b w:val="1"/>
          <w:bCs w:val="1"/>
          <w:u w:val="single" w:color="auto"/>
          <w:color w:val="auto"/>
        </w:rPr>
        <w:t>of $338.7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(inclusive of estimated transaction expenses) to calculate a range of implied equity values for the Combined Company, and multiplied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implied equity values for the Combined Company by the estimated pro forma ownership percentage in the Combined Company attributable to holders of Calavo Common Stock, based on the Exchange Ratio of 0.9790x provided in the Merger Agreement, to derive a range of implied values for the stock consideration to be received by holders of Calavo Common Stock in the First Merger. Jefferies then added the value of the cash consideration to be received by holders of Calavo Common Stock in the First Merger to derive a range of implied values for the total consideration to be received by holders of Calavo Common Stock in the First Merger, and divided the result by the estimated </w:t>
      </w:r>
      <w:r>
        <w:rPr>
          <w:rFonts w:ascii="Times New Roman" w:cs="Times New Roman" w:eastAsia="Times New Roman" w:hAnsi="Times New Roman"/>
          <w:sz w:val="18"/>
          <w:szCs w:val="18"/>
          <w:b w:val="1"/>
          <w:bCs w:val="1"/>
          <w:color w:val="auto"/>
          <w:strike w:val="1"/>
        </w:rPr>
        <w:t>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range</w:t>
      </w:r>
      <w:r>
        <w:rPr>
          <w:rFonts w:ascii="Times New Roman" w:cs="Times New Roman" w:eastAsia="Times New Roman" w:hAnsi="Times New Roman"/>
          <w:sz w:val="18"/>
          <w:szCs w:val="18"/>
          <w:color w:val="auto"/>
        </w:rPr>
        <w:t xml:space="preserve"> of fully diluted shares of Calavo Common Stock outstanding </w:t>
      </w:r>
      <w:r>
        <w:rPr>
          <w:rFonts w:ascii="Times New Roman" w:cs="Times New Roman" w:eastAsia="Times New Roman" w:hAnsi="Times New Roman"/>
          <w:sz w:val="18"/>
          <w:szCs w:val="18"/>
          <w:b w:val="1"/>
          <w:bCs w:val="1"/>
          <w:u w:val="single" w:color="auto"/>
          <w:color w:val="auto"/>
        </w:rPr>
        <w:t>of approximately 18.1 million to 18.2 million as of January 13, 2026</w:t>
      </w:r>
      <w:r>
        <w:rPr>
          <w:rFonts w:ascii="Times New Roman" w:cs="Times New Roman" w:eastAsia="Times New Roman" w:hAnsi="Times New Roman"/>
          <w:sz w:val="18"/>
          <w:szCs w:val="18"/>
          <w:color w:val="auto"/>
        </w:rPr>
        <w:t>, as provided by Calavo management, to calculate a range implied per share values for the cash and stock consideration to be received by holders of Calavo Common Stock in the First Merger. This analysis indicated a reference range of implied Merger Consideration DCF per share equity values of $35.00 to $43.35 per share (rounded to the nearest $0.05), in each case as compared to the standalone discounted cash flow analysis reference range per share equity values of $33.65 to $41.80.</w:t>
      </w:r>
    </w:p>
    <w:p>
      <w:pPr>
        <w:sectPr>
          <w:pgSz w:w="11900" w:h="16838" w:orient="portrait"/>
          <w:cols w:equalWidth="0" w:num="1">
            <w:col w:w="11000"/>
          </w:cols>
          <w:pgMar w:left="440" w:top="297" w:right="459" w:bottom="1440" w:gutter="0" w:footer="0" w:header="0"/>
        </w:sectPr>
      </w:pPr>
    </w:p>
    <w:bookmarkStart w:id="6" w:name="page7"/>
    <w:bookmarkEnd w:id="6"/>
    <w:p>
      <w:pPr>
        <w:ind w:left="960" w:right="160" w:hanging="532"/>
        <w:spacing w:after="0" w:line="286"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first full paragraph on page 128 of the Joint Proxy Statement/Prospectus under the section with the heading “</w:t>
      </w:r>
      <w:r>
        <w:rPr>
          <w:rFonts w:ascii="Times New Roman" w:cs="Times New Roman" w:eastAsia="Times New Roman" w:hAnsi="Times New Roman"/>
          <w:sz w:val="18"/>
          <w:szCs w:val="18"/>
          <w:b w:val="1"/>
          <w:bCs w:val="1"/>
          <w:i w:val="1"/>
          <w:iCs w:val="1"/>
          <w:color w:val="auto"/>
        </w:rPr>
        <w:t>The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Interests of Calavo Directors and Executive Officers in the Mergers</w:t>
      </w:r>
      <w:r>
        <w:rPr>
          <w:rFonts w:ascii="Times New Roman" w:cs="Times New Roman" w:eastAsia="Times New Roman" w:hAnsi="Times New Roman"/>
          <w:sz w:val="18"/>
          <w:szCs w:val="18"/>
          <w:b w:val="1"/>
          <w:bCs w:val="1"/>
          <w:color w:val="auto"/>
        </w:rPr>
        <w:t>” is hereby amended and supplemented as follows:</w:t>
      </w:r>
    </w:p>
    <w:p>
      <w:pPr>
        <w:spacing w:after="0" w:line="5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considering the recommendation of the Calavo Board to vote for the Merger Agreement Proposal, the Merger-Related Compensation Proposal and the Calavo Adjournment Proposal, holders of Calavo Common Stock should be aware that the directors and executive officers of Calavo have interests in the Transaction that are different from, or in addition to, the interests of holders of Calavo Common Stock generally. The Calavo Board was aware of these interests and considered them, among other matters, in making its recommendation that Calavo shareholders vote to approve the Merger Agreement Proposal, the Merger-Related Compensation Proposal and the Calavo Adjournment Proposal. </w:t>
      </w:r>
      <w:r>
        <w:rPr>
          <w:rFonts w:ascii="Times New Roman" w:cs="Times New Roman" w:eastAsia="Times New Roman" w:hAnsi="Times New Roman"/>
          <w:sz w:val="18"/>
          <w:szCs w:val="18"/>
          <w:b w:val="1"/>
          <w:bCs w:val="1"/>
          <w:u w:val="single" w:color="auto"/>
          <w:color w:val="auto"/>
        </w:rPr>
        <w:t>Except as described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“—Background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of the Transaction</w:t>
      </w:r>
      <w:r>
        <w:rPr>
          <w:rFonts w:ascii="Times New Roman" w:cs="Times New Roman" w:eastAsia="Times New Roman" w:hAnsi="Times New Roman"/>
          <w:sz w:val="18"/>
          <w:szCs w:val="18"/>
          <w:b w:val="1"/>
          <w:bCs w:val="1"/>
          <w:u w:val="single" w:color="auto"/>
          <w:color w:val="auto"/>
        </w:rPr>
        <w:t>” and in this section, there were no other discussions or negotiations concerning (i) employment or compensation for Calavo’s</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officers or directors or (ii) retention of Calavo’s management in the Combined Company or purchase of, or participation in the equity of, the Combined Company following the completion of the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Mergers, Mission Produce has filed with the SEC the Registration Statement, which includes the Joint Proxy Statement/Prospectus. The Registration Statement was declared effective on March 20, 2026, and Mission Produce filed a final prospectus on March 20, 2026, and Calavo filed a definitive proxy statement on March 20, 2026.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w:t>
      </w:r>
    </w:p>
    <w:p>
      <w:pPr>
        <w:sectPr>
          <w:pgSz w:w="11900" w:h="16838" w:orient="portrait"/>
          <w:cols w:equalWidth="0" w:num="1">
            <w:col w:w="11000"/>
          </w:cols>
          <w:pgMar w:left="440" w:top="293" w:right="459" w:bottom="1440" w:gutter="0" w:footer="0" w:header="0"/>
        </w:sectPr>
      </w:pPr>
    </w:p>
    <w:bookmarkStart w:id="7" w:name="page8"/>
    <w:bookmarkEnd w:id="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 the success and likelihood of resolution of the Matters and other lawsuits or demands related to the Mergers;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6"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to obtain the requisite approval by Calavo shareholders or Mission Produce stockholders;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such as the Matters;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w:t>
      </w:r>
    </w:p>
    <w:p>
      <w:pPr>
        <w:sectPr>
          <w:pgSz w:w="11900" w:h="16838" w:orient="portrait"/>
          <w:cols w:equalWidth="0" w:num="1">
            <w:col w:w="11000"/>
          </w:cols>
          <w:pgMar w:left="440" w:top="297"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97"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17, 2026</w:t>
            </w:r>
          </w:p>
        </w:tc>
        <w:tc>
          <w:tcPr>
            <w:tcW w:w="486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2026-04-17T15:36:12Z</dcterms:created>
  <dcterms:modified xsi:type="dcterms:W3CDTF">2026-04-17T15:36:12Z</dcterms:modified>
</cp:coreProperties>
</file>