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jc w:val="center"/>
        <w:spacing w:after="0" w:line="188"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50165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6" w:lineRule="exact"/>
        <w:rPr>
          <w:sz w:val="24"/>
          <w:szCs w:val="24"/>
          <w:color w:val="auto"/>
        </w:rPr>
      </w:pPr>
    </w:p>
    <w:p>
      <w:pPr>
        <w:ind w:left="1500" w:hanging="536"/>
        <w:spacing w:after="0"/>
        <w:tabs>
          <w:tab w:leader="none" w:pos="1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30,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12" w:lineRule="exact"/>
        <w:rPr>
          <w:sz w:val="24"/>
          <w:szCs w:val="24"/>
          <w:color w:val="auto"/>
        </w:rPr>
      </w:pPr>
    </w:p>
    <w:p>
      <w:pPr>
        <w:ind w:left="1500" w:hanging="536"/>
        <w:spacing w:after="0"/>
        <w:tabs>
          <w:tab w:leader="none" w:pos="1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3840" w:type="dxa"/>
            <w:vAlign w:val="bottom"/>
            <w:gridSpan w:val="3"/>
          </w:tcPr>
          <w:p>
            <w:pPr>
              <w:jc w:val="center"/>
              <w:ind w:right="2504"/>
              <w:spacing w:after="0"/>
              <w:rPr>
                <w:sz w:val="20"/>
                <w:szCs w:val="20"/>
                <w:color w:val="auto"/>
              </w:rPr>
            </w:pPr>
            <w:r>
              <w:rPr>
                <w:rFonts w:ascii="Arial" w:cs="Arial" w:eastAsia="Arial" w:hAnsi="Arial"/>
                <w:sz w:val="16"/>
                <w:szCs w:val="16"/>
                <w:b w:val="1"/>
                <w:bCs w:val="1"/>
                <w:color w:val="auto"/>
                <w:w w:val="94"/>
              </w:rPr>
              <w:t>California</w:t>
            </w:r>
          </w:p>
        </w:tc>
        <w:tc>
          <w:tcPr>
            <w:tcW w:w="4600" w:type="dxa"/>
            <w:vAlign w:val="bottom"/>
            <w:gridSpan w:val="3"/>
          </w:tcPr>
          <w:p>
            <w:pPr>
              <w:jc w:val="right"/>
              <w:ind w:right="2145"/>
              <w:spacing w:after="0"/>
              <w:rPr>
                <w:sz w:val="20"/>
                <w:szCs w:val="20"/>
                <w:color w:val="auto"/>
              </w:rPr>
            </w:pPr>
            <w:r>
              <w:rPr>
                <w:rFonts w:ascii="Arial" w:cs="Arial" w:eastAsia="Arial" w:hAnsi="Arial"/>
                <w:sz w:val="16"/>
                <w:szCs w:val="16"/>
                <w:b w:val="1"/>
                <w:bCs w:val="1"/>
                <w:color w:val="auto"/>
              </w:rPr>
              <w:t>33-0945304</w:t>
            </w:r>
          </w:p>
        </w:tc>
      </w:tr>
      <w:tr>
        <w:trPr>
          <w:trHeight w:val="233"/>
        </w:trPr>
        <w:tc>
          <w:tcPr>
            <w:tcW w:w="1960" w:type="dxa"/>
            <w:vAlign w:val="bottom"/>
          </w:tcPr>
          <w:p>
            <w:pPr>
              <w:spacing w:after="0"/>
              <w:rPr>
                <w:sz w:val="20"/>
                <w:szCs w:val="20"/>
                <w:color w:val="auto"/>
              </w:rPr>
            </w:pPr>
          </w:p>
        </w:tc>
        <w:tc>
          <w:tcPr>
            <w:tcW w:w="3840" w:type="dxa"/>
            <w:vAlign w:val="bottom"/>
            <w:gridSpan w:val="3"/>
          </w:tcPr>
          <w:p>
            <w:pPr>
              <w:jc w:val="center"/>
              <w:ind w:right="2504"/>
              <w:spacing w:after="0"/>
              <w:rPr>
                <w:sz w:val="20"/>
                <w:szCs w:val="20"/>
                <w:color w:val="auto"/>
              </w:rPr>
            </w:pPr>
            <w:r>
              <w:rPr>
                <w:rFonts w:ascii="Arial" w:cs="Arial" w:eastAsia="Arial" w:hAnsi="Arial"/>
                <w:sz w:val="13"/>
                <w:szCs w:val="13"/>
                <w:color w:val="auto"/>
                <w:w w:val="89"/>
              </w:rPr>
              <w:t>(State of incorporation)</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Pr>
          <w:p>
            <w:pPr>
              <w:jc w:val="center"/>
              <w:ind w:right="1125"/>
              <w:spacing w:after="0"/>
              <w:rPr>
                <w:sz w:val="20"/>
                <w:szCs w:val="20"/>
                <w:color w:val="auto"/>
              </w:rPr>
            </w:pPr>
            <w:r>
              <w:rPr>
                <w:rFonts w:ascii="Arial" w:cs="Arial" w:eastAsia="Arial" w:hAnsi="Arial"/>
                <w:sz w:val="13"/>
                <w:szCs w:val="13"/>
                <w:color w:val="auto"/>
                <w:w w:val="90"/>
              </w:rPr>
              <w:t>(I.R.S. Employer Identification No.)</w:t>
            </w:r>
          </w:p>
        </w:tc>
      </w:tr>
      <w:tr>
        <w:trPr>
          <w:trHeight w:val="191"/>
        </w:trPr>
        <w:tc>
          <w:tcPr>
            <w:tcW w:w="1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20" w:type="dxa"/>
            <w:vAlign w:val="bottom"/>
            <w:gridSpan w:val="4"/>
          </w:tcPr>
          <w:p>
            <w:pPr>
              <w:jc w:val="center"/>
              <w:ind w:right="2725"/>
              <w:spacing w:after="0"/>
              <w:rPr>
                <w:sz w:val="20"/>
                <w:szCs w:val="20"/>
                <w:color w:val="auto"/>
              </w:rPr>
            </w:pPr>
            <w:r>
              <w:rPr>
                <w:rFonts w:ascii="Arial" w:cs="Arial" w:eastAsia="Arial" w:hAnsi="Arial"/>
                <w:sz w:val="16"/>
                <w:szCs w:val="16"/>
                <w:b w:val="1"/>
                <w:bCs w:val="1"/>
                <w:color w:val="auto"/>
                <w:w w:val="92"/>
              </w:rPr>
              <w:t>1141-A Cummings Road</w:t>
            </w:r>
          </w:p>
        </w:tc>
      </w:tr>
      <w:tr>
        <w:trPr>
          <w:trHeight w:val="202"/>
        </w:trPr>
        <w:tc>
          <w:tcPr>
            <w:tcW w:w="1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ind w:left="1340"/>
              <w:spacing w:after="0"/>
              <w:rPr>
                <w:sz w:val="20"/>
                <w:szCs w:val="20"/>
                <w:color w:val="auto"/>
              </w:rPr>
            </w:pPr>
            <w:r>
              <w:rPr>
                <w:rFonts w:ascii="Arial" w:cs="Arial" w:eastAsia="Arial" w:hAnsi="Arial"/>
                <w:sz w:val="16"/>
                <w:szCs w:val="16"/>
                <w:b w:val="1"/>
                <w:bCs w:val="1"/>
                <w:color w:val="auto"/>
                <w:w w:val="95"/>
              </w:rPr>
              <w:t>Santa Paula, California</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93060</w:t>
            </w:r>
          </w:p>
        </w:tc>
        <w:tc>
          <w:tcPr>
            <w:tcW w:w="4020" w:type="dxa"/>
            <w:vAlign w:val="bottom"/>
          </w:tcPr>
          <w:p>
            <w:pPr>
              <w:spacing w:after="0"/>
              <w:rPr>
                <w:sz w:val="17"/>
                <w:szCs w:val="17"/>
                <w:color w:val="auto"/>
              </w:rPr>
            </w:pPr>
          </w:p>
        </w:tc>
      </w:tr>
      <w:tr>
        <w:trPr>
          <w:trHeight w:val="160"/>
        </w:trPr>
        <w:tc>
          <w:tcPr>
            <w:tcW w:w="1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20" w:type="dxa"/>
            <w:vAlign w:val="bottom"/>
            <w:gridSpan w:val="4"/>
          </w:tcPr>
          <w:p>
            <w:pPr>
              <w:jc w:val="center"/>
              <w:ind w:right="2705"/>
              <w:spacing w:after="0"/>
              <w:rPr>
                <w:sz w:val="20"/>
                <w:szCs w:val="20"/>
                <w:color w:val="auto"/>
              </w:rPr>
            </w:pPr>
            <w:r>
              <w:rPr>
                <w:rFonts w:ascii="Arial" w:cs="Arial" w:eastAsia="Arial" w:hAnsi="Arial"/>
                <w:sz w:val="13"/>
                <w:szCs w:val="13"/>
                <w:color w:val="auto"/>
                <w:w w:val="89"/>
              </w:rPr>
              <w:t>(Address of principal executive offices) (Zip code)</w:t>
            </w:r>
          </w:p>
        </w:tc>
      </w:tr>
      <w:tr>
        <w:trPr>
          <w:trHeight w:val="380"/>
        </w:trPr>
        <w:tc>
          <w:tcPr>
            <w:tcW w:w="1960" w:type="dxa"/>
            <w:vAlign w:val="bottom"/>
          </w:tcPr>
          <w:p>
            <w:pPr>
              <w:spacing w:after="0"/>
              <w:rPr>
                <w:sz w:val="24"/>
                <w:szCs w:val="24"/>
                <w:color w:val="auto"/>
              </w:rPr>
            </w:pPr>
          </w:p>
        </w:tc>
        <w:tc>
          <w:tcPr>
            <w:tcW w:w="3840" w:type="dxa"/>
            <w:vAlign w:val="bottom"/>
            <w:gridSpan w:val="3"/>
          </w:tcPr>
          <w:p>
            <w:pPr>
              <w:jc w:val="center"/>
              <w:ind w:left="2545"/>
              <w:spacing w:after="0"/>
              <w:rPr>
                <w:sz w:val="20"/>
                <w:szCs w:val="20"/>
                <w:color w:val="auto"/>
              </w:rPr>
            </w:pPr>
            <w:r>
              <w:rPr>
                <w:rFonts w:ascii="Arial" w:cs="Arial" w:eastAsia="Arial" w:hAnsi="Arial"/>
                <w:sz w:val="16"/>
                <w:szCs w:val="16"/>
                <w:b w:val="1"/>
                <w:bCs w:val="1"/>
                <w:color w:val="auto"/>
                <w:w w:val="93"/>
              </w:rPr>
              <w:t>(805) 525-1245</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60"/>
        </w:trPr>
        <w:tc>
          <w:tcPr>
            <w:tcW w:w="1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20" w:type="dxa"/>
            <w:vAlign w:val="bottom"/>
            <w:gridSpan w:val="4"/>
          </w:tcPr>
          <w:p>
            <w:pPr>
              <w:jc w:val="center"/>
              <w:ind w:right="2725"/>
              <w:spacing w:after="0"/>
              <w:rPr>
                <w:sz w:val="20"/>
                <w:szCs w:val="20"/>
                <w:color w:val="auto"/>
              </w:rPr>
            </w:pPr>
            <w:r>
              <w:rPr>
                <w:rFonts w:ascii="Arial" w:cs="Arial" w:eastAsia="Arial" w:hAnsi="Arial"/>
                <w:sz w:val="13"/>
                <w:szCs w:val="13"/>
                <w:color w:val="auto"/>
                <w:w w:val="87"/>
              </w:rPr>
              <w:t>(Registrant's telephone number, including area code)</w:t>
            </w:r>
          </w:p>
        </w:tc>
      </w:tr>
      <w:tr>
        <w:trPr>
          <w:trHeight w:val="321"/>
        </w:trPr>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4"/>
          </w:tcPr>
          <w:p>
            <w:pPr>
              <w:jc w:val="center"/>
              <w:ind w:right="2725"/>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70"/>
        </w:trPr>
        <w:tc>
          <w:tcPr>
            <w:tcW w:w="196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0"/>
              </w:rPr>
              <w:t>Title of each class</w:t>
            </w: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20" w:type="dxa"/>
            <w:vAlign w:val="bottom"/>
            <w:tcBorders>
              <w:bottom w:val="single" w:sz="8" w:color="auto"/>
            </w:tcBorders>
          </w:tcPr>
          <w:p>
            <w:pPr>
              <w:jc w:val="center"/>
              <w:ind w:left="324"/>
              <w:spacing w:after="0"/>
              <w:rPr>
                <w:sz w:val="20"/>
                <w:szCs w:val="20"/>
                <w:color w:val="auto"/>
              </w:rPr>
            </w:pPr>
            <w:r>
              <w:rPr>
                <w:rFonts w:ascii="Arial" w:cs="Arial" w:eastAsia="Arial" w:hAnsi="Arial"/>
                <w:sz w:val="16"/>
                <w:szCs w:val="16"/>
                <w:color w:val="auto"/>
                <w:w w:val="93"/>
              </w:rPr>
              <w:t>Trading Symbol(s)</w:t>
            </w:r>
          </w:p>
        </w:tc>
        <w:tc>
          <w:tcPr>
            <w:tcW w:w="4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6"/>
        </w:trPr>
        <w:tc>
          <w:tcPr>
            <w:tcW w:w="1960" w:type="dxa"/>
            <w:vAlign w:val="bottom"/>
          </w:tcPr>
          <w:p>
            <w:pPr>
              <w:jc w:val="center"/>
              <w:ind w:left="619"/>
              <w:spacing w:after="0"/>
              <w:rPr>
                <w:sz w:val="20"/>
                <w:szCs w:val="20"/>
                <w:color w:val="auto"/>
              </w:rPr>
            </w:pPr>
            <w:r>
              <w:rPr>
                <w:rFonts w:ascii="Arial" w:cs="Arial" w:eastAsia="Arial" w:hAnsi="Arial"/>
                <w:sz w:val="16"/>
                <w:szCs w:val="16"/>
                <w:color w:val="auto"/>
                <w:w w:val="93"/>
              </w:rPr>
              <w:t>Common 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jc w:val="center"/>
              <w:ind w:left="324"/>
              <w:spacing w:after="0"/>
              <w:rPr>
                <w:sz w:val="20"/>
                <w:szCs w:val="20"/>
                <w:color w:val="auto"/>
              </w:rPr>
            </w:pPr>
            <w:r>
              <w:rPr>
                <w:rFonts w:ascii="Arial" w:cs="Arial" w:eastAsia="Arial" w:hAnsi="Arial"/>
                <w:sz w:val="16"/>
                <w:szCs w:val="16"/>
                <w:color w:val="auto"/>
              </w:rPr>
              <w:t>CVGW</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202" w:lineRule="exact"/>
        <w:rPr>
          <w:sz w:val="24"/>
          <w:szCs w:val="24"/>
          <w:color w:val="auto"/>
        </w:rPr>
      </w:pPr>
    </w:p>
    <w:p>
      <w:pPr>
        <w:jc w:val="both"/>
        <w:ind w:right="60"/>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ind w:right="5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33" w:right="739" w:bottom="1440" w:gutter="0" w:footer="0" w:header="0"/>
        </w:sectPr>
      </w:pPr>
    </w:p>
    <w:p>
      <w:pPr>
        <w:spacing w:after="0" w:line="15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3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4">
            <w:col w:w="2300" w:space="720"/>
            <w:col w:w="1560" w:space="720"/>
            <w:col w:w="1860" w:space="720"/>
            <w:col w:w="2520"/>
          </w:cols>
          <w:pgMar w:left="760" w:top="233" w:right="7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400"/>
          </w:cols>
          <w:pgMar w:left="760" w:top="233" w:right="739" w:bottom="1440" w:gutter="0" w:footer="0" w:header="0"/>
          <w:type w:val="continuous"/>
        </w:sectPr>
      </w:pPr>
    </w:p>
    <w:p>
      <w:pPr>
        <w:spacing w:after="0" w:line="222" w:lineRule="exact"/>
        <w:rPr>
          <w:sz w:val="24"/>
          <w:szCs w:val="24"/>
          <w:color w:val="auto"/>
        </w:rPr>
      </w:pPr>
    </w:p>
    <w:p>
      <w:pPr>
        <w:ind w:right="26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Registrant's number of shares of common stock outstanding as of April 30, 2019 was 17,599,734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86360</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369570</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901065</wp:posOffset>
            </wp:positionV>
            <wp:extent cx="66122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w:t>
      </w:r>
    </w:p>
    <w:p>
      <w:pPr>
        <w:spacing w:after="0" w:line="22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This Quarterly Report on Form 10-Q, including “Management’s Discussion and Analysis of Financial Condition and Results of Operations” in Item 2,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and other risks that are described herein, including, but not limited to, the items discussed in Item 1A, </w:t>
      </w:r>
      <w:r>
        <w:rPr>
          <w:rFonts w:ascii="Arial" w:cs="Arial" w:eastAsia="Arial" w:hAnsi="Arial"/>
          <w:sz w:val="19"/>
          <w:szCs w:val="19"/>
          <w:i w:val="1"/>
          <w:iCs w:val="1"/>
          <w:color w:val="auto"/>
        </w:rPr>
        <w:t>Risk Factors</w:t>
      </w:r>
      <w:r>
        <w:rPr>
          <w:rFonts w:ascii="Arial" w:cs="Arial" w:eastAsia="Arial" w:hAnsi="Arial"/>
          <w:sz w:val="19"/>
          <w:szCs w:val="19"/>
          <w:color w:val="auto"/>
        </w:rPr>
        <w:t>, in our Annual Report on Form 10-K for the fiscal year ended October 31, 2018, and those detailed from time to time in our other filings with the Securities and Exchange Commission. Calavo assumes no obligation and does not intend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99"/>
        </w:trPr>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Condensed Balance Sheets – A</w:t>
              </w:r>
              <w:r>
                <w:rPr>
                  <w:rFonts w:ascii="Arial" w:cs="Arial" w:eastAsia="Arial" w:hAnsi="Arial"/>
                  <w:sz w:val="18"/>
                  <w:szCs w:val="18"/>
                  <w:color w:val="0000EE"/>
                </w:rPr>
                <w:t>pril 30</w:t>
              </w:r>
              <w:r>
                <w:rPr>
                  <w:rFonts w:ascii="Arial" w:cs="Arial" w:eastAsia="Arial" w:hAnsi="Arial"/>
                  <w:sz w:val="16"/>
                  <w:szCs w:val="16"/>
                  <w:color w:val="0000EE"/>
                </w:rPr>
                <w:t>, 2019 and October 31, 2018</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Borders>
              <w:bottom w:val="single" w:sz="8" w:color="0000EE"/>
            </w:tcBorders>
            <w:gridSpan w:val="14"/>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Condensed Statements of Income – Three a</w:t>
              </w:r>
              <w:r>
                <w:rPr>
                  <w:rFonts w:ascii="Arial" w:cs="Arial" w:eastAsia="Arial" w:hAnsi="Arial"/>
                  <w:sz w:val="18"/>
                  <w:szCs w:val="18"/>
                  <w:color w:val="0000EE"/>
                  <w:w w:val="90"/>
                </w:rPr>
                <w:t>nd Six</w:t>
              </w:r>
              <w:r>
                <w:rPr>
                  <w:rFonts w:ascii="Arial" w:cs="Arial" w:eastAsia="Arial" w:hAnsi="Arial"/>
                  <w:sz w:val="16"/>
                  <w:szCs w:val="16"/>
                  <w:color w:val="0000EE"/>
                  <w:w w:val="90"/>
                </w:rPr>
                <w:t xml:space="preserve"> Months Ended A</w:t>
              </w:r>
              <w:r>
                <w:rPr>
                  <w:rFonts w:ascii="Arial" w:cs="Arial" w:eastAsia="Arial" w:hAnsi="Arial"/>
                  <w:sz w:val="18"/>
                  <w:szCs w:val="18"/>
                  <w:color w:val="0000EE"/>
                  <w:w w:val="90"/>
                </w:rPr>
                <w:t>pril 30</w:t>
              </w:r>
              <w:r>
                <w:rPr>
                  <w:rFonts w:ascii="Arial" w:cs="Arial" w:eastAsia="Arial" w:hAnsi="Arial"/>
                  <w:sz w:val="16"/>
                  <w:szCs w:val="16"/>
                  <w:color w:val="0000EE"/>
                  <w:w w:val="90"/>
                </w:rPr>
                <w:t>, 2019 and 2018</w:t>
              </w:r>
            </w:hyperlink>
          </w:p>
        </w:tc>
        <w:tc>
          <w:tcPr>
            <w:tcW w:w="102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w w:val="94"/>
              </w:rPr>
            </w:pPr>
            <w:hyperlink w:anchor="page6">
              <w:r>
                <w:rPr>
                  <w:rFonts w:ascii="Arial" w:cs="Arial" w:eastAsia="Arial" w:hAnsi="Arial"/>
                  <w:sz w:val="16"/>
                  <w:szCs w:val="16"/>
                  <w:color w:val="0000EE"/>
                  <w:w w:val="94"/>
                </w:rPr>
                <w:t>Consolidated Condensed Statements of Comprehensive Income – Three a</w:t>
              </w:r>
              <w:r>
                <w:rPr>
                  <w:rFonts w:ascii="Arial" w:cs="Arial" w:eastAsia="Arial" w:hAnsi="Arial"/>
                  <w:sz w:val="18"/>
                  <w:szCs w:val="18"/>
                  <w:color w:val="0000EE"/>
                  <w:w w:val="94"/>
                </w:rPr>
                <w:t>nd Six</w:t>
              </w:r>
              <w:r>
                <w:rPr>
                  <w:rFonts w:ascii="Arial" w:cs="Arial" w:eastAsia="Arial" w:hAnsi="Arial"/>
                  <w:sz w:val="16"/>
                  <w:szCs w:val="16"/>
                  <w:color w:val="0000EE"/>
                  <w:w w:val="94"/>
                </w:rPr>
                <w:t xml:space="preserve"> Months Ended A</w:t>
              </w:r>
              <w:r>
                <w:rPr>
                  <w:rFonts w:ascii="Arial" w:cs="Arial" w:eastAsia="Arial" w:hAnsi="Arial"/>
                  <w:sz w:val="18"/>
                  <w:szCs w:val="18"/>
                  <w:color w:val="0000EE"/>
                  <w:w w:val="94"/>
                </w:rPr>
                <w:t>pril 30</w:t>
              </w:r>
              <w:r>
                <w:rPr>
                  <w:rFonts w:ascii="Arial" w:cs="Arial" w:eastAsia="Arial" w:hAnsi="Arial"/>
                  <w:sz w:val="16"/>
                  <w:szCs w:val="16"/>
                  <w:color w:val="0000EE"/>
                  <w:w w:val="94"/>
                </w:rPr>
                <w:t>, 2019 and</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78"/>
              </w:rPr>
            </w:pPr>
            <w:hyperlink w:anchor="page6">
              <w:r>
                <w:rPr>
                  <w:rFonts w:ascii="Arial" w:cs="Arial" w:eastAsia="Arial" w:hAnsi="Arial"/>
                  <w:sz w:val="16"/>
                  <w:szCs w:val="16"/>
                  <w:color w:val="0000EE"/>
                  <w:w w:val="78"/>
                </w:rPr>
                <w:t>2018</w:t>
              </w:r>
            </w:hyperlink>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Condensed Statements of Cash Flows – Six Months Ended A</w:t>
              </w:r>
              <w:r>
                <w:rPr>
                  <w:rFonts w:ascii="Arial" w:cs="Arial" w:eastAsia="Arial" w:hAnsi="Arial"/>
                  <w:sz w:val="18"/>
                  <w:szCs w:val="18"/>
                  <w:color w:val="0000EE"/>
                </w:rPr>
                <w:t>pril 30</w:t>
              </w:r>
              <w:r>
                <w:rPr>
                  <w:rFonts w:ascii="Arial" w:cs="Arial" w:eastAsia="Arial" w:hAnsi="Arial"/>
                  <w:sz w:val="16"/>
                  <w:szCs w:val="16"/>
                  <w:color w:val="0000EE"/>
                </w:rPr>
                <w:t>, 2019 and 2018</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Consolidated Statements of Shareholders’ Equity</w:t>
              </w:r>
            </w:hyperlink>
          </w:p>
        </w:tc>
        <w:tc>
          <w:tcPr>
            <w:tcW w:w="3180" w:type="dxa"/>
            <w:vAlign w:val="bottom"/>
            <w:tcBorders>
              <w:top w:val="single" w:sz="8" w:color="0000EE"/>
            </w:tcBorders>
            <w:gridSpan w:val="5"/>
          </w:tcPr>
          <w:p>
            <w:pPr>
              <w:spacing w:after="0"/>
              <w:rPr>
                <w:sz w:val="24"/>
                <w:szCs w:val="24"/>
                <w:color w:val="auto"/>
              </w:rPr>
            </w:pPr>
          </w:p>
        </w:tc>
        <w:tc>
          <w:tcPr>
            <w:tcW w:w="15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0000EE"/>
            </w:tcBorders>
            <w:gridSpan w:val="9"/>
          </w:tcPr>
          <w:p>
            <w:pPr>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Notes to Consolidated Condensed Financial Statements</w:t>
              </w:r>
            </w:hyperlink>
          </w:p>
        </w:tc>
        <w:tc>
          <w:tcPr>
            <w:tcW w:w="42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2.</w:t>
              </w:r>
            </w:hyperlink>
          </w:p>
        </w:tc>
        <w:tc>
          <w:tcPr>
            <w:tcW w:w="220" w:type="dxa"/>
            <w:vAlign w:val="bottom"/>
            <w:gridSpan w:val="2"/>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3.</w:t>
              </w:r>
            </w:hyperlink>
          </w:p>
        </w:tc>
        <w:tc>
          <w:tcPr>
            <w:tcW w:w="220" w:type="dxa"/>
            <w:vAlign w:val="bottom"/>
            <w:gridSpan w:val="2"/>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4.</w:t>
              </w:r>
            </w:hyperlink>
          </w:p>
        </w:tc>
        <w:tc>
          <w:tcPr>
            <w:tcW w:w="220" w:type="dxa"/>
            <w:vAlign w:val="bottom"/>
            <w:gridSpan w:val="2"/>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PART II. OTHER INFORMATION</w:t>
              </w:r>
            </w:hyperlink>
          </w:p>
        </w:tc>
        <w:tc>
          <w:tcPr>
            <w:tcW w:w="606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1.</w:t>
              </w:r>
            </w:hyperlink>
          </w:p>
        </w:tc>
        <w:tc>
          <w:tcPr>
            <w:tcW w:w="220" w:type="dxa"/>
            <w:vAlign w:val="bottom"/>
            <w:gridSpan w:val="2"/>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Arial" w:cs="Arial" w:eastAsia="Arial" w:hAnsi="Arial"/>
                <w:sz w:val="16"/>
                <w:szCs w:val="16"/>
                <w:color w:val="0000EE"/>
                <w:w w:val="93"/>
              </w:rPr>
            </w:pPr>
            <w:hyperlink w:anchor="page34">
              <w:r>
                <w:rPr>
                  <w:rFonts w:ascii="Arial" w:cs="Arial" w:eastAsia="Arial" w:hAnsi="Arial"/>
                  <w:sz w:val="16"/>
                  <w:szCs w:val="16"/>
                  <w:color w:val="0000EE"/>
                  <w:w w:val="93"/>
                </w:rPr>
                <w:t>Item 1A.</w:t>
              </w:r>
            </w:hyperlink>
          </w:p>
        </w:tc>
        <w:tc>
          <w:tcPr>
            <w:tcW w:w="120" w:type="dxa"/>
            <w:vAlign w:val="bottom"/>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6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6.</w:t>
              </w:r>
            </w:hyperlink>
          </w:p>
        </w:tc>
        <w:tc>
          <w:tcPr>
            <w:tcW w:w="120" w:type="dxa"/>
            <w:vAlign w:val="bottom"/>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16"/>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April 30,</w:t>
            </w:r>
          </w:p>
        </w:tc>
        <w:tc>
          <w:tcPr>
            <w:tcW w:w="24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4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1"/>
              </w:rPr>
              <w:t>Accounts receivable, net of allowances of $4,694 (2019)</w:t>
            </w:r>
          </w:p>
        </w:tc>
        <w:tc>
          <w:tcPr>
            <w:tcW w:w="2740" w:type="dxa"/>
            <w:vAlign w:val="bottom"/>
          </w:tcPr>
          <w:p>
            <w:pPr>
              <w:jc w:val="right"/>
              <w:ind w:right="1610"/>
              <w:spacing w:after="0"/>
              <w:rPr>
                <w:sz w:val="20"/>
                <w:szCs w:val="20"/>
                <w:color w:val="auto"/>
              </w:rPr>
            </w:pPr>
            <w:r>
              <w:rPr>
                <w:rFonts w:ascii="Arial" w:cs="Arial" w:eastAsia="Arial" w:hAnsi="Arial"/>
                <w:sz w:val="18"/>
                <w:szCs w:val="18"/>
                <w:color w:val="auto"/>
                <w:w w:val="90"/>
              </w:rPr>
              <w:t>$3,227 (2018)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66,143</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35,044</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16,727</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suppliers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taxes receivable</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8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152,383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128,510</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125,696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122,143</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24,805</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18,262</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Loans to FreshRealm</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w:t>
            </w:r>
          </w:p>
        </w:tc>
        <w:tc>
          <w:tcPr>
            <w:tcW w:w="80" w:type="dxa"/>
            <w:vAlign w:val="bottom"/>
            <w:tcBorders>
              <w:bottom w:val="single" w:sz="8" w:color="CCEEFF"/>
            </w:tcBorders>
          </w:tcPr>
          <w:p>
            <w:pPr>
              <w:spacing w:after="0"/>
              <w:rPr>
                <w:sz w:val="18"/>
                <w:szCs w:val="18"/>
                <w:color w:val="auto"/>
              </w:rPr>
            </w:pPr>
          </w:p>
        </w:tc>
      </w:tr>
      <w:tr>
        <w:trPr>
          <w:trHeight w:val="230"/>
        </w:trPr>
        <w:tc>
          <w:tcPr>
            <w:tcW w:w="432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409,204</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367,736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3"/>
        </w:trPr>
        <w:tc>
          <w:tcPr>
            <w:tcW w:w="432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Payable to growers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25,632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14,001</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38,521</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obligations</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109,855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Long-term liabilities: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obligations, less current portion</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8"/>
                <w:szCs w:val="18"/>
                <w:color w:val="auto"/>
              </w:rPr>
            </w:pPr>
          </w:p>
        </w:tc>
      </w:tr>
      <w:tr>
        <w:trPr>
          <w:trHeight w:val="210"/>
        </w:trPr>
        <w:tc>
          <w:tcPr>
            <w:tcW w:w="432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3,834</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Shareholders' equity:</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Common stock ($0.001 par value, 100,000 shares authorized; 17,600 (2019) and 17,567</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 shares issued and outstanding)</w:t>
            </w:r>
          </w:p>
        </w:tc>
        <w:tc>
          <w:tcPr>
            <w:tcW w:w="2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159,838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157,928</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126,097</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93,124</w:t>
            </w:r>
          </w:p>
        </w:tc>
        <w:tc>
          <w:tcPr>
            <w:tcW w:w="80" w:type="dxa"/>
            <w:vAlign w:val="bottom"/>
            <w:shd w:val="clear" w:color="auto" w:fill="CCEEFF"/>
          </w:tcPr>
          <w:p>
            <w:pPr>
              <w:spacing w:after="0"/>
              <w:rPr>
                <w:sz w:val="18"/>
                <w:szCs w:val="18"/>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287,628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264,959</w:t>
            </w:r>
          </w:p>
        </w:tc>
        <w:tc>
          <w:tcPr>
            <w:tcW w:w="80" w:type="dxa"/>
            <w:vAlign w:val="bottom"/>
            <w:tcBorders>
              <w:bottom w:val="single" w:sz="8" w:color="CCEEFF"/>
            </w:tcBorders>
          </w:tcPr>
          <w:p>
            <w:pPr>
              <w:spacing w:after="0"/>
              <w:rPr>
                <w:sz w:val="18"/>
                <w:szCs w:val="18"/>
                <w:color w:val="auto"/>
              </w:rPr>
            </w:pPr>
          </w:p>
        </w:tc>
      </w:tr>
      <w:tr>
        <w:trPr>
          <w:trHeight w:val="217"/>
        </w:trPr>
        <w:tc>
          <w:tcPr>
            <w:tcW w:w="432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409,204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367,736</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286,236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264,405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544,268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512,333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249,399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232,436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476,594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454,054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23,107</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19,094</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39,668</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9"/>
              </w:rPr>
              <w:t>Unrealized and realized net gain (loss) on Limoneira shares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tcPr>
          <w:p>
            <w:pPr>
              <w:spacing w:after="0" w:line="182" w:lineRule="exact"/>
              <w:rPr>
                <w:sz w:val="20"/>
                <w:szCs w:val="20"/>
                <w:color w:val="auto"/>
              </w:rPr>
            </w:pPr>
            <w:r>
              <w:rPr>
                <w:rFonts w:ascii="Arial" w:cs="Arial" w:eastAsia="Arial" w:hAnsi="Arial"/>
                <w:sz w:val="18"/>
                <w:szCs w:val="18"/>
                <w:color w:val="auto"/>
              </w:rPr>
              <w:t>Income before provision for income taxes and loss from</w:t>
            </w:r>
          </w:p>
        </w:tc>
        <w:tc>
          <w:tcPr>
            <w:tcW w:w="5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unconsolidated entities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24,987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37,299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unconsolidated entities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Calavo Growers, Inc.</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per share: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April 30,</w:t>
            </w: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7"/>
              </w:rPr>
              <w:t>April 30,</w:t>
            </w:r>
          </w:p>
        </w:tc>
      </w:tr>
      <w:tr>
        <w:trPr>
          <w:trHeight w:val="142"/>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$ 16,278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$ 14,016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$ 20,759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$ 21,005</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investment gains (losses)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r>
      <w:tr>
        <w:trPr>
          <w:trHeight w:val="202"/>
        </w:trPr>
        <w:tc>
          <w:tcPr>
            <w:tcW w:w="5340" w:type="dxa"/>
            <w:vAlign w:val="bottom"/>
          </w:tcPr>
          <w:p>
            <w:pPr>
              <w:ind w:left="120"/>
              <w:spacing w:after="0" w:line="201" w:lineRule="exact"/>
              <w:rPr>
                <w:sz w:val="20"/>
                <w:szCs w:val="20"/>
                <w:color w:val="auto"/>
              </w:rPr>
            </w:pPr>
            <w:r>
              <w:rPr>
                <w:rFonts w:ascii="Arial" w:cs="Arial" w:eastAsia="Arial" w:hAnsi="Arial"/>
                <w:sz w:val="18"/>
                <w:szCs w:val="18"/>
                <w:color w:val="auto"/>
                <w:w w:val="93"/>
              </w:rPr>
              <w:t>Income tax benefit (expense) related to items of other comprehensive</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0"/>
                <w:szCs w:val="20"/>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16,278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16,228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21,195</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 w:type="dxa"/>
            <w:vAlign w:val="bottom"/>
            <w:shd w:val="clear" w:color="auto" w:fill="CCEEFF"/>
          </w:tcPr>
          <w:p>
            <w:pPr>
              <w:spacing w:after="0"/>
              <w:rPr>
                <w:sz w:val="18"/>
                <w:szCs w:val="18"/>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Comprehensive income – Calavo Growers, Inc.</w:t>
            </w: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$ 16,345</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$ 16,334</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$ 20,832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$ 21,451</w:t>
            </w:r>
          </w:p>
        </w:tc>
        <w:tc>
          <w:tcPr>
            <w:tcW w:w="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20,759</w:t>
            </w:r>
          </w:p>
        </w:tc>
        <w:tc>
          <w:tcPr>
            <w:tcW w:w="4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6,770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6,561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losses (gains) on accounts receivable</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Loss (income) from unconsolidated entities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9,435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Unrealized and realized net loss on Limoneira shares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3,146</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 on loans to FreshRealm</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(980)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Temecula packinghouse</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(1,927)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Inventories, net</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(14,572)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1,419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(3,657)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(2,263)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11,631</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Deferred rent</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long-term liabilities</w:t>
            </w:r>
          </w:p>
        </w:tc>
        <w:tc>
          <w:tcPr>
            <w:tcW w:w="9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5,880</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(8,076)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ind w:left="4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26,603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21,188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Acquisitions of and deposits on property, plant, and equipment</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(7,467)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(8,838)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for repayment of San Rafael note</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Proceeds received from Limoneira stock sales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1,154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Temecula packinghouse</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Loans to FreshRealm</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(14,700)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used in investing activities</w:t>
            </w:r>
          </w:p>
        </w:tc>
        <w:tc>
          <w:tcPr>
            <w:tcW w:w="9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(13,688)</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(8,606)</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(17,568)</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(16,657)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140,500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119,000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Payment of minimum withholding taxes on net share settlement of equity awards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long-term obligations</w:t>
            </w: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9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used in financing activities</w:t>
            </w:r>
          </w:p>
        </w:tc>
        <w:tc>
          <w:tcPr>
            <w:tcW w:w="9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(7,074)</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(16,830)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5,841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(4,248)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9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1,520</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9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7,361</w:t>
            </w:r>
          </w:p>
        </w:tc>
        <w:tc>
          <w:tcPr>
            <w:tcW w:w="3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2,377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9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Capital lease related to Temecula packinghouse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3,306</w:t>
            </w:r>
          </w:p>
        </w:tc>
        <w:tc>
          <w:tcPr>
            <w:tcW w:w="4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20" w:type="dxa"/>
            <w:vAlign w:val="bottom"/>
            <w:gridSpan w:val="2"/>
          </w:tcPr>
          <w:p>
            <w:pPr>
              <w:spacing w:after="0" w:line="136" w:lineRule="exact"/>
              <w:rPr>
                <w:sz w:val="20"/>
                <w:szCs w:val="20"/>
                <w:color w:val="auto"/>
              </w:rPr>
            </w:pPr>
            <w:r>
              <w:rPr>
                <w:rFonts w:ascii="Arial" w:cs="Arial" w:eastAsia="Arial" w:hAnsi="Arial"/>
                <w:sz w:val="14"/>
                <w:szCs w:val="14"/>
                <w:color w:val="auto"/>
              </w:rPr>
              <w:t>Noncash transfer of noncontrolling interest</w:t>
            </w:r>
          </w:p>
        </w:tc>
        <w:tc>
          <w:tcPr>
            <w:tcW w:w="9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6" w:lineRule="exact"/>
              <w:rPr>
                <w:sz w:val="20"/>
                <w:szCs w:val="20"/>
                <w:color w:val="auto"/>
              </w:rPr>
            </w:pPr>
            <w:r>
              <w:rPr>
                <w:rFonts w:ascii="Arial" w:cs="Arial" w:eastAsia="Arial" w:hAnsi="Arial"/>
                <w:sz w:val="14"/>
                <w:szCs w:val="14"/>
                <w:color w:val="auto"/>
              </w:rPr>
              <w:t>1,001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Unrealized investment gain</w:t>
            </w: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38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Interest</w:t>
            </w: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2017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154,243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78,411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244,122</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Exercise of stock options and income tax benefit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Limoneira investment, net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(2,022)</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Noncash transfer of noncontrolling interest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(1,001)</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1,001</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contribution</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7,139</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31, 2018</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17,543</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155,127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8,412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85,550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1,867</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250,974</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issued</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Unrealized gain on Limoneira investment, net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contribution</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14,122</w:t>
            </w:r>
          </w:p>
        </w:tc>
        <w:tc>
          <w:tcPr>
            <w:tcW w:w="0" w:type="dxa"/>
            <w:vAlign w:val="bottom"/>
          </w:tcPr>
          <w:p>
            <w:pPr>
              <w:spacing w:after="0"/>
              <w:rPr>
                <w:sz w:val="1"/>
                <w:szCs w:val="1"/>
                <w:color w:val="auto"/>
              </w:rPr>
            </w:pPr>
          </w:p>
        </w:tc>
      </w:tr>
      <w:tr>
        <w:trPr>
          <w:trHeight w:val="149"/>
        </w:trPr>
        <w:tc>
          <w:tcPr>
            <w:tcW w:w="3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April 30, 2018</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$ 156,069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99,672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$ 268,144</w:t>
            </w:r>
          </w:p>
        </w:tc>
        <w:tc>
          <w:tcPr>
            <w:tcW w:w="0" w:type="dxa"/>
            <w:vAlign w:val="bottom"/>
          </w:tcPr>
          <w:p>
            <w:pPr>
              <w:spacing w:after="0"/>
              <w:rPr>
                <w:sz w:val="1"/>
                <w:szCs w:val="1"/>
                <w:color w:val="auto"/>
              </w:rPr>
            </w:pPr>
          </w:p>
        </w:tc>
      </w:tr>
      <w:tr>
        <w:trPr>
          <w:trHeight w:val="355"/>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38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Interest</w:t>
            </w: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2018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157,928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12,141</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93,124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264,959</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Exercise of stock options and income tax benefit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gains on Limoneira investment</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reclassed to retained earnings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60" w:type="dxa"/>
            <w:vAlign w:val="bottom"/>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20"/>
                <w:szCs w:val="20"/>
                <w:color w:val="auto"/>
              </w:rPr>
            </w:pPr>
            <w:r>
              <w:rPr>
                <w:rFonts w:ascii="Arial" w:cs="Arial" w:eastAsia="Arial" w:hAnsi="Arial"/>
                <w:sz w:val="14"/>
                <w:szCs w:val="14"/>
                <w:color w:val="auto"/>
              </w:rPr>
              <w:t>contribution</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w:t>
            </w: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January 31, 2019</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17,598</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158,941</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109,752</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1,742</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270,453</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and income tax benefit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contribution</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16,345</w:t>
            </w:r>
          </w:p>
        </w:tc>
        <w:tc>
          <w:tcPr>
            <w:tcW w:w="0" w:type="dxa"/>
            <w:vAlign w:val="bottom"/>
          </w:tcPr>
          <w:p>
            <w:pPr>
              <w:spacing w:after="0"/>
              <w:rPr>
                <w:sz w:val="1"/>
                <w:szCs w:val="1"/>
                <w:color w:val="auto"/>
              </w:rPr>
            </w:pPr>
          </w:p>
        </w:tc>
      </w:tr>
      <w:tr>
        <w:trPr>
          <w:trHeight w:val="149"/>
        </w:trPr>
        <w:tc>
          <w:tcPr>
            <w:tcW w:w="3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April 30, 2019</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17,600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$ 159,838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$ 126,097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$ 287,628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82"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In January 2016, the FASB issued an ASU, which requires equity investments (except those accounted for under the equity method of accounting) to be measured at fair value with changes in fair value recognized in net income. The guidance is effective for fiscal years and interim period within those fiscal years beginning after December 15, 2017. The Company adopted this new standard at the beginning of fiscal 2019. With the adoption of this new standard, we reclassed unrealized gains of $12.1 million in accumulated other comprehensive income to retained earnings as of November 1, 2018. Additionally, for the six months ended April 30, 2019, we sold 51,271 shares of Limoneira stock and recorded a loss of $0.1 million in our consolidated statements of income. Limoneira’s stock price at April 30, 2019, January 31, 2019 and October 31, 2018 equaled $22.84 per share, $22.03 per share, and $24.65 per share. Our remaining shares of Limoneira stock, totaling 1,677,299, were revalued to $22.84 per share at April 30, 2019 and, as a result, we recorded a gain of $1.4 million for the three months ended April 30, 2019 and we recorded a loss of $3.0 million for the six months ended April 30, 2019 in our consolidated statements of income.</w:t>
      </w:r>
    </w:p>
    <w:p>
      <w:pPr>
        <w:spacing w:after="0" w:line="183"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In May 2014, the FASB issued a comprehensive new revenue recognition standard which superseded previous existing revenue recognition guidance. The standard is intended to clarify the principles of recognizing revenue and create common revenue recognition guidance between U.S. GAAP and International Financial Reporting Standards. The standard also requires expanded disclosures surrounding revenue recognition. During fiscal 2017, the FASB issued additional clarification guidance on the new revenue recognition standard which also included certain scope improvements and practical expedients. The Company adopted this new standard at the beginning of fiscal 2019 using the modified retrospective transition method, under which the cumulative effect of initially applying the new guidance is recognized as an adjustment to the opening balance of retained earnings on the first day of our 2019 fiscal year. The adoption of the amendment did not have an impact on the Company’s consolidated financial statements. See Note 14 for further information.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 xml:space="preserve">In September 2018, the FASB issued and ASU,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ASU requires implementation costs incurred by customers in cloud computing arrangements (i.e.,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2"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June 2018, the FASB issued an ASU</w:t>
      </w:r>
      <w:r>
        <w:rPr>
          <w:rFonts w:ascii="Arial" w:cs="Arial" w:eastAsia="Arial" w:hAnsi="Arial"/>
          <w:sz w:val="18"/>
          <w:szCs w:val="18"/>
          <w:i w:val="1"/>
          <w:iCs w:val="1"/>
          <w:color w:val="auto"/>
        </w:rPr>
        <w:t>, Improvements to Nonemployee Share-Based Payment Accounting</w:t>
      </w:r>
      <w:r>
        <w:rPr>
          <w:rFonts w:ascii="Arial" w:cs="Arial" w:eastAsia="Arial" w:hAnsi="Arial"/>
          <w:sz w:val="18"/>
          <w:szCs w:val="18"/>
          <w:color w:val="auto"/>
        </w:rPr>
        <w:t>. The FASB issued this update to simplify the accounting for share-based payments to nonemployees by aligning it with the accounting for share-based payments to employees, with certain exceptions. This ASU will be effective for us beginning the first day of our 2020 fiscal year. We are evaluating the impact of the update of this ASU on our financial condition, results of operations and cash flows, and, as such, we are not able to estimate the effect the adoption of the new standard will have on our financial statements.</w:t>
      </w:r>
    </w:p>
    <w:p>
      <w:pPr>
        <w:spacing w:after="0" w:line="193" w:lineRule="exact"/>
        <w:rPr>
          <w:sz w:val="20"/>
          <w:szCs w:val="20"/>
          <w:color w:val="auto"/>
        </w:rPr>
      </w:pPr>
    </w:p>
    <w:p>
      <w:pPr>
        <w:ind w:right="60" w:firstLine="259"/>
        <w:spacing w:after="0" w:line="254" w:lineRule="auto"/>
        <w:rPr>
          <w:sz w:val="20"/>
          <w:szCs w:val="20"/>
          <w:color w:val="auto"/>
        </w:rPr>
      </w:pPr>
      <w:r>
        <w:rPr>
          <w:rFonts w:ascii="Arial" w:cs="Arial" w:eastAsia="Arial" w:hAnsi="Arial"/>
          <w:sz w:val="18"/>
          <w:szCs w:val="18"/>
          <w:color w:val="auto"/>
        </w:rPr>
        <w:t xml:space="preserve">In February 2018, the FASB issued an ASU,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amends Accounting Standards Codification ("ASC") 220, Income Statement —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is effective for us the first day of our 2020 fiscal year. Early adoption is permitted. We are evaluating the impact of adoption of this ASU on our financial condition, results of operations and cash flows, and, as such, we are not able to estimate the effect the adoption of the new standard will have on our financial statements.</w:t>
      </w:r>
    </w:p>
    <w:p>
      <w:pPr>
        <w:spacing w:after="0" w:line="192"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 xml:space="preserve">In January 2017, the FASB issued an ASU,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9"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color w:val="auto"/>
        </w:rPr>
        <w:t xml:space="preserve">In February 2016, the FASB issued an ASU, </w:t>
      </w:r>
      <w:r>
        <w:rPr>
          <w:rFonts w:ascii="Arial" w:cs="Arial" w:eastAsia="Arial" w:hAnsi="Arial"/>
          <w:sz w:val="16"/>
          <w:szCs w:val="16"/>
          <w:i w:val="1"/>
          <w:iCs w:val="1"/>
          <w:color w:val="auto"/>
        </w:rPr>
        <w:t>Leases</w:t>
      </w:r>
      <w:r>
        <w:rPr>
          <w:rFonts w:ascii="Arial" w:cs="Arial" w:eastAsia="Arial" w:hAnsi="Arial"/>
          <w:sz w:val="16"/>
          <w:szCs w:val="16"/>
          <w:color w:val="auto"/>
        </w:rPr>
        <w:t>, which requires a dual approach for lessee accounting under which a lessee would account for leases as finance leases or operating leases. Both finance leases and operating leases will result in the lessee recognizing a right-of use asset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 Early adoption is permitted. Although we are in the process of evaluating the impact of adoption of ASU 2016-02 on our consolidated financial statements, we currently expect the most significant changes will be related to the recognition of material new long-term right-of-use assets and lease liabilities on our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Information regarding our operations in different segments</w:t>
      </w:r>
    </w:p>
    <w:p>
      <w:pPr>
        <w:spacing w:after="0" w:line="225" w:lineRule="exact"/>
        <w:rPr>
          <w:sz w:val="20"/>
          <w:szCs w:val="20"/>
          <w:color w:val="auto"/>
        </w:rPr>
      </w:pPr>
    </w:p>
    <w:p>
      <w:pPr>
        <w:ind w:right="40" w:firstLine="259"/>
        <w:spacing w:after="0" w:line="297" w:lineRule="auto"/>
        <w:rPr>
          <w:sz w:val="20"/>
          <w:szCs w:val="20"/>
          <w:color w:val="auto"/>
        </w:rPr>
      </w:pPr>
      <w:r>
        <w:rPr>
          <w:rFonts w:ascii="Arial" w:cs="Arial" w:eastAsia="Arial" w:hAnsi="Arial"/>
          <w:sz w:val="15"/>
          <w:szCs w:val="15"/>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Calavo Foods segment represents operations related to the purchase, manufacturing, and distribution of prepared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avocado products, including guacamole and salsa. The RFG segment represents operations related to the manufacturing and distribution of fresh-cut fruit, fresh-cut vegetables, vegetables and 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340" w:type="dxa"/>
            <w:vAlign w:val="bottom"/>
            <w:gridSpan w:val="11"/>
          </w:tcPr>
          <w:p>
            <w:pPr>
              <w:ind w:left="400"/>
              <w:spacing w:after="0"/>
              <w:rPr>
                <w:sz w:val="20"/>
                <w:szCs w:val="20"/>
                <w:color w:val="auto"/>
              </w:rPr>
            </w:pPr>
            <w:r>
              <w:rPr>
                <w:rFonts w:ascii="Arial" w:cs="Arial" w:eastAsia="Arial" w:hAnsi="Arial"/>
                <w:sz w:val="16"/>
                <w:szCs w:val="16"/>
                <w:b w:val="1"/>
                <w:bCs w:val="1"/>
                <w:color w:val="auto"/>
              </w:rPr>
              <w:t>Three months ended April 30, 2019</w:t>
            </w:r>
          </w:p>
        </w:tc>
        <w:tc>
          <w:tcPr>
            <w:tcW w:w="80" w:type="dxa"/>
            <w:vAlign w:val="bottom"/>
          </w:tcPr>
          <w:p>
            <w:pPr>
              <w:spacing w:after="0"/>
              <w:rPr>
                <w:sz w:val="18"/>
                <w:szCs w:val="18"/>
                <w:color w:val="auto"/>
              </w:rPr>
            </w:pPr>
          </w:p>
        </w:tc>
        <w:tc>
          <w:tcPr>
            <w:tcW w:w="3400" w:type="dxa"/>
            <w:vAlign w:val="bottom"/>
            <w:gridSpan w:val="13"/>
          </w:tcPr>
          <w:p>
            <w:pPr>
              <w:ind w:left="460"/>
              <w:spacing w:after="0"/>
              <w:rPr>
                <w:sz w:val="20"/>
                <w:szCs w:val="20"/>
                <w:color w:val="auto"/>
              </w:rPr>
            </w:pPr>
            <w:r>
              <w:rPr>
                <w:rFonts w:ascii="Arial" w:cs="Arial" w:eastAsia="Arial" w:hAnsi="Arial"/>
                <w:sz w:val="16"/>
                <w:szCs w:val="16"/>
                <w:b w:val="1"/>
                <w:bCs w:val="1"/>
                <w:color w:val="auto"/>
              </w:rPr>
              <w:t>Three months ended April 30, 2018</w:t>
            </w:r>
          </w:p>
        </w:tc>
      </w:tr>
      <w:tr>
        <w:trPr>
          <w:trHeight w:val="388"/>
        </w:trPr>
        <w:tc>
          <w:tcPr>
            <w:tcW w:w="2240" w:type="dxa"/>
            <w:vAlign w:val="bottom"/>
          </w:tcPr>
          <w:p>
            <w:pPr>
              <w:spacing w:after="0"/>
              <w:rPr>
                <w:sz w:val="24"/>
                <w:szCs w:val="24"/>
                <w:color w:val="auto"/>
              </w:rPr>
            </w:pPr>
          </w:p>
        </w:tc>
        <w:tc>
          <w:tcPr>
            <w:tcW w:w="7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Fresh</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1"/>
              </w:rPr>
              <w:t>Calavo</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Fresh</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87"/>
              </w:rPr>
              <w:t>Calavo</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224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products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Foods</w:t>
            </w: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RFG</w:t>
            </w:r>
          </w:p>
        </w:tc>
        <w:tc>
          <w:tcPr>
            <w:tcW w:w="8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products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7"/>
              </w:rPr>
              <w:t>Foods</w:t>
            </w:r>
          </w:p>
        </w:tc>
        <w:tc>
          <w:tcPr>
            <w:tcW w:w="12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b w:val="1"/>
                <w:bCs w:val="1"/>
                <w:color w:val="auto"/>
              </w:rPr>
              <w:t>RFG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r>
      <w:tr>
        <w:trPr>
          <w:trHeight w:val="199"/>
        </w:trPr>
        <w:tc>
          <w:tcPr>
            <w:tcW w:w="2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$ 135,086</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$ 135,086</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$ 127,743</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127,743</w:t>
            </w:r>
          </w:p>
        </w:tc>
        <w:tc>
          <w:tcPr>
            <w:tcW w:w="40" w:type="dxa"/>
            <w:vAlign w:val="bottom"/>
            <w:shd w:val="clear" w:color="auto" w:fill="CCEEFF"/>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Tomatoes</w:t>
            </w:r>
          </w:p>
        </w:tc>
        <w:tc>
          <w:tcPr>
            <w:tcW w:w="700" w:type="dxa"/>
            <w:vAlign w:val="bottom"/>
          </w:tcPr>
          <w:p>
            <w:pPr>
              <w:jc w:val="right"/>
              <w:spacing w:after="0"/>
              <w:rPr>
                <w:sz w:val="20"/>
                <w:szCs w:val="20"/>
                <w:color w:val="auto"/>
              </w:rPr>
            </w:pPr>
            <w:r>
              <w:rPr>
                <w:rFonts w:ascii="Arial" w:cs="Arial" w:eastAsia="Arial" w:hAnsi="Arial"/>
                <w:sz w:val="16"/>
                <w:szCs w:val="16"/>
                <w:color w:val="auto"/>
              </w:rPr>
              <w:t>14,515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14,515</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7,963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7,963</w:t>
            </w:r>
          </w:p>
        </w:tc>
        <w:tc>
          <w:tcPr>
            <w:tcW w:w="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40" w:type="dxa"/>
            <w:vAlign w:val="bottom"/>
            <w:shd w:val="clear" w:color="auto" w:fill="CCEEFF"/>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Other fresh products</w:t>
            </w:r>
          </w:p>
        </w:tc>
        <w:tc>
          <w:tcPr>
            <w:tcW w:w="70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Prepared avocado products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23,631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25,235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25,235</w:t>
            </w:r>
          </w:p>
        </w:tc>
        <w:tc>
          <w:tcPr>
            <w:tcW w:w="40" w:type="dxa"/>
            <w:vAlign w:val="bottom"/>
            <w:shd w:val="clear" w:color="auto" w:fill="CCEEFF"/>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Salsa</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740</w:t>
            </w:r>
          </w:p>
        </w:tc>
        <w:tc>
          <w:tcPr>
            <w:tcW w:w="40" w:type="dxa"/>
            <w:vAlign w:val="bottom"/>
          </w:tcPr>
          <w:p>
            <w:pPr>
              <w:spacing w:after="0"/>
              <w:rPr>
                <w:sz w:val="17"/>
                <w:szCs w:val="17"/>
                <w:color w:val="auto"/>
              </w:rPr>
            </w:pPr>
          </w:p>
        </w:tc>
      </w:tr>
      <w:tr>
        <w:trPr>
          <w:trHeight w:val="19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114,641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104,982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104,982</w:t>
            </w:r>
          </w:p>
        </w:tc>
        <w:tc>
          <w:tcPr>
            <w:tcW w:w="40" w:type="dxa"/>
            <w:vAlign w:val="bottom"/>
            <w:shd w:val="clear" w:color="auto" w:fill="CCEEFF"/>
          </w:tcPr>
          <w:p>
            <w:pPr>
              <w:spacing w:after="0"/>
              <w:rPr>
                <w:sz w:val="18"/>
                <w:szCs w:val="18"/>
                <w:color w:val="auto"/>
              </w:rPr>
            </w:pPr>
          </w:p>
        </w:tc>
      </w:tr>
      <w:tr>
        <w:trPr>
          <w:trHeight w:val="196"/>
        </w:trPr>
        <w:tc>
          <w:tcPr>
            <w:tcW w:w="2240" w:type="dxa"/>
            <w:vAlign w:val="bottom"/>
          </w:tcPr>
          <w:p>
            <w:pPr>
              <w:spacing w:after="0"/>
              <w:rPr>
                <w:sz w:val="20"/>
                <w:szCs w:val="20"/>
                <w:color w:val="auto"/>
              </w:rPr>
            </w:pPr>
            <w:r>
              <w:rPr>
                <w:rFonts w:ascii="Arial" w:cs="Arial" w:eastAsia="Arial" w:hAnsi="Arial"/>
                <w:sz w:val="16"/>
                <w:szCs w:val="16"/>
                <w:color w:val="auto"/>
              </w:rPr>
              <w:t>Total gross sales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151,518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24,300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114,641</w:t>
            </w:r>
          </w:p>
        </w:tc>
        <w:tc>
          <w:tcPr>
            <w:tcW w:w="1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290,459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138,627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25,975</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104,982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269,584</w:t>
            </w:r>
          </w:p>
        </w:tc>
        <w:tc>
          <w:tcPr>
            <w:tcW w:w="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Less sales incentives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(3,020)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(3,271)</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(4,134)</w:t>
            </w: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Less inter-company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240" w:type="dxa"/>
            <w:vAlign w:val="bottom"/>
          </w:tcPr>
          <w:p>
            <w:pPr>
              <w:spacing w:after="0"/>
              <w:rPr>
                <w:sz w:val="20"/>
                <w:szCs w:val="20"/>
                <w:color w:val="auto"/>
              </w:rPr>
            </w:pPr>
            <w:r>
              <w:rPr>
                <w:rFonts w:ascii="Arial" w:cs="Arial" w:eastAsia="Arial" w:hAnsi="Arial"/>
                <w:sz w:val="16"/>
                <w:szCs w:val="16"/>
                <w:color w:val="auto"/>
              </w:rPr>
              <w:t>eliminations</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(1,203)</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(1,045)</w:t>
            </w:r>
          </w:p>
        </w:tc>
      </w:tr>
      <w:tr>
        <w:trPr>
          <w:trHeight w:val="206"/>
        </w:trPr>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$ 150,935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21,309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113,992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$ 286,236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$ 137,935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21,913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104,557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264,405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9"/>
          </w:tcPr>
          <w:p>
            <w:pPr>
              <w:jc w:val="right"/>
              <w:ind w:right="319"/>
              <w:spacing w:after="0"/>
              <w:rPr>
                <w:sz w:val="20"/>
                <w:szCs w:val="20"/>
                <w:color w:val="auto"/>
              </w:rPr>
            </w:pPr>
            <w:r>
              <w:rPr>
                <w:rFonts w:ascii="Arial" w:cs="Arial" w:eastAsia="Arial" w:hAnsi="Arial"/>
                <w:sz w:val="16"/>
                <w:szCs w:val="16"/>
                <w:b w:val="1"/>
                <w:bCs w:val="1"/>
                <w:color w:val="auto"/>
              </w:rPr>
              <w:t>Six months ended April 30, 2019</w:t>
            </w:r>
          </w:p>
        </w:tc>
        <w:tc>
          <w:tcPr>
            <w:tcW w:w="160" w:type="dxa"/>
            <w:vAlign w:val="bottom"/>
          </w:tcPr>
          <w:p>
            <w:pPr>
              <w:spacing w:after="0"/>
              <w:rPr>
                <w:sz w:val="18"/>
                <w:szCs w:val="18"/>
                <w:color w:val="auto"/>
              </w:rPr>
            </w:pPr>
          </w:p>
        </w:tc>
        <w:tc>
          <w:tcPr>
            <w:tcW w:w="3120" w:type="dxa"/>
            <w:vAlign w:val="bottom"/>
            <w:gridSpan w:val="10"/>
          </w:tcPr>
          <w:p>
            <w:pPr>
              <w:ind w:left="400"/>
              <w:spacing w:after="0"/>
              <w:rPr>
                <w:sz w:val="20"/>
                <w:szCs w:val="20"/>
                <w:color w:val="auto"/>
              </w:rPr>
            </w:pPr>
            <w:r>
              <w:rPr>
                <w:rFonts w:ascii="Arial" w:cs="Arial" w:eastAsia="Arial" w:hAnsi="Arial"/>
                <w:sz w:val="16"/>
                <w:szCs w:val="16"/>
                <w:b w:val="1"/>
                <w:bCs w:val="1"/>
                <w:color w:val="auto"/>
              </w:rPr>
              <w:t>Six months ended April 30, 2018</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Calavo</w:t>
            </w: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Calavo</w:t>
            </w: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0"/>
              </w:rPr>
              <w:t>products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83"/>
              </w:rPr>
              <w:t>Foods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0"/>
              </w:rPr>
              <w:t>products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83"/>
              </w:rPr>
              <w:t>Foods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$239,080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$239,080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$236,672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$236,672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Tomatoes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25,907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25,907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20,047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Other fresh products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Prepared avocado products</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47,883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47,883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47,038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Salsa</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1,522</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w w:val="99"/>
              </w:rPr>
              <w:t>Fresh-cut fruit &amp; veg. and prepared</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foods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234,182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234,182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211,758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20" w:type="dxa"/>
            <w:vAlign w:val="bottom"/>
            <w:gridSpan w:val="2"/>
          </w:tcPr>
          <w:p>
            <w:pPr>
              <w:spacing w:after="0"/>
              <w:rPr>
                <w:sz w:val="20"/>
                <w:szCs w:val="20"/>
                <w:color w:val="auto"/>
              </w:rPr>
            </w:pPr>
            <w:r>
              <w:rPr>
                <w:rFonts w:ascii="Arial" w:cs="Arial" w:eastAsia="Arial" w:hAnsi="Arial"/>
                <w:sz w:val="16"/>
                <w:szCs w:val="16"/>
                <w:color w:val="auto"/>
              </w:rPr>
              <w:t>Total gross sales</w:t>
            </w:r>
          </w:p>
        </w:tc>
        <w:tc>
          <w:tcPr>
            <w:tcW w:w="2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269,924</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49,405</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234,182</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553,511</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262,480</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48,643</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211,758</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522,881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Less sales incentives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(4,293)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(6,049)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Less inter-company eliminations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4"/>
              </w:rPr>
              <w:t>(1,689)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(2,755)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(668)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4"/>
              </w:rPr>
              <w:t>(1,644)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267,789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43,423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233,056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544,268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260,720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40,950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210,663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512,333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Fresh</w:t>
            </w:r>
          </w:p>
        </w:tc>
        <w:tc>
          <w:tcPr>
            <w:tcW w:w="10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9"/>
              </w:rPr>
              <w:t>Calavo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products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3"/>
              </w:rPr>
              <w:t>Foods</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RFG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w:t>
            </w:r>
          </w:p>
        </w:tc>
      </w:tr>
      <w:tr>
        <w:trPr>
          <w:trHeight w:val="199"/>
        </w:trPr>
        <w:tc>
          <w:tcPr>
            <w:tcW w:w="4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Three months ended April 30, 2019</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Net sales before intercompany eliminations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151,406</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22,041</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113,992</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287,439</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(1,203)</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150,935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21,309</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113,992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286,236</w:t>
            </w:r>
          </w:p>
        </w:tc>
        <w:tc>
          <w:tcPr>
            <w:tcW w:w="80" w:type="dxa"/>
            <w:vAlign w:val="bottom"/>
            <w:tcBorders>
              <w:bottom w:val="single" w:sz="8" w:color="CCEEFF"/>
            </w:tcBorders>
          </w:tcPr>
          <w:p>
            <w:pPr>
              <w:spacing w:after="0"/>
              <w:rPr>
                <w:sz w:val="17"/>
                <w:szCs w:val="17"/>
                <w:color w:val="auto"/>
              </w:rPr>
            </w:pPr>
          </w:p>
        </w:tc>
      </w:tr>
      <w:tr>
        <w:trPr>
          <w:trHeight w:val="196"/>
        </w:trPr>
        <w:tc>
          <w:tcPr>
            <w:tcW w:w="4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Cost of sales before intercompany eliminations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123,583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15,496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111,523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250,602</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(1,203)</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Cost of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123,169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14,989</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111,241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249,399</w:t>
            </w:r>
          </w:p>
        </w:tc>
        <w:tc>
          <w:tcPr>
            <w:tcW w:w="80" w:type="dxa"/>
            <w:vAlign w:val="bottom"/>
            <w:tcBorders>
              <w:bottom w:val="single" w:sz="8" w:color="CCEEFF"/>
            </w:tcBorders>
          </w:tcPr>
          <w:p>
            <w:pPr>
              <w:spacing w:after="0"/>
              <w:rPr>
                <w:sz w:val="17"/>
                <w:szCs w:val="17"/>
                <w:color w:val="auto"/>
              </w:rPr>
            </w:pPr>
          </w:p>
        </w:tc>
      </w:tr>
      <w:tr>
        <w:trPr>
          <w:trHeight w:val="203"/>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36,837</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Three months ended April 30, 2018</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Net sales before intercompany eliminations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138,189</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22,704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104,557</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265,450</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(1,045)</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137,935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21,913</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104,557</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264,405</w:t>
            </w:r>
          </w:p>
        </w:tc>
        <w:tc>
          <w:tcPr>
            <w:tcW w:w="80" w:type="dxa"/>
            <w:vAlign w:val="bottom"/>
            <w:tcBorders>
              <w:bottom w:val="single" w:sz="8" w:color="CCEEFF"/>
            </w:tcBorders>
          </w:tcPr>
          <w:p>
            <w:pPr>
              <w:spacing w:after="0"/>
              <w:rPr>
                <w:sz w:val="17"/>
                <w:szCs w:val="17"/>
                <w:color w:val="auto"/>
              </w:rPr>
            </w:pPr>
          </w:p>
        </w:tc>
      </w:tr>
      <w:tr>
        <w:trPr>
          <w:trHeight w:val="196"/>
        </w:trPr>
        <w:tc>
          <w:tcPr>
            <w:tcW w:w="4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Cost of sales before intercompany eliminations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123,052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14,840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95,589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233,481</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(1,045)</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Cost of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122,815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14,361</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95,260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232,436</w:t>
            </w:r>
          </w:p>
        </w:tc>
        <w:tc>
          <w:tcPr>
            <w:tcW w:w="80" w:type="dxa"/>
            <w:vAlign w:val="bottom"/>
            <w:tcBorders>
              <w:bottom w:val="single" w:sz="8" w:color="CCEEFF"/>
            </w:tcBorders>
          </w:tcPr>
          <w:p>
            <w:pPr>
              <w:spacing w:after="0"/>
              <w:rPr>
                <w:sz w:val="17"/>
                <w:szCs w:val="17"/>
                <w:color w:val="auto"/>
              </w:rPr>
            </w:pPr>
          </w:p>
        </w:tc>
      </w:tr>
      <w:tr>
        <w:trPr>
          <w:trHeight w:val="203"/>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31,969</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Fresh</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9"/>
              </w:rPr>
              <w:t>Calavo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products</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9"/>
              </w:rPr>
              <w:t>Foods</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RFG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w:t>
            </w:r>
          </w:p>
        </w:tc>
      </w:tr>
      <w:tr>
        <w:trPr>
          <w:trHeight w:val="199"/>
        </w:trPr>
        <w:tc>
          <w:tcPr>
            <w:tcW w:w="4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Six months ended April 30, 2019</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Net sales before intercompany eliminations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268,855</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$ 45,112</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233,056</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547,023</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(1,066)</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(1,689)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(2,755)</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267,789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43,423</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233,056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544,268</w:t>
            </w:r>
          </w:p>
        </w:tc>
        <w:tc>
          <w:tcPr>
            <w:tcW w:w="80" w:type="dxa"/>
            <w:vAlign w:val="bottom"/>
            <w:tcBorders>
              <w:bottom w:val="single" w:sz="8" w:color="CCEEFF"/>
            </w:tcBorders>
          </w:tcPr>
          <w:p>
            <w:pPr>
              <w:spacing w:after="0"/>
              <w:rPr>
                <w:sz w:val="17"/>
                <w:szCs w:val="17"/>
                <w:color w:val="auto"/>
              </w:rPr>
            </w:pPr>
          </w:p>
        </w:tc>
      </w:tr>
      <w:tr>
        <w:trPr>
          <w:trHeight w:val="196"/>
        </w:trPr>
        <w:tc>
          <w:tcPr>
            <w:tcW w:w="4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Cost of sales before intercompany eliminations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220,174</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31,823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227,352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479,349</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(2,755)</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Cost of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219,233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30,671</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226,690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476,594</w:t>
            </w:r>
          </w:p>
        </w:tc>
        <w:tc>
          <w:tcPr>
            <w:tcW w:w="80" w:type="dxa"/>
            <w:vAlign w:val="bottom"/>
            <w:tcBorders>
              <w:bottom w:val="single" w:sz="8" w:color="CCEEFF"/>
            </w:tcBorders>
          </w:tcPr>
          <w:p>
            <w:pPr>
              <w:spacing w:after="0"/>
              <w:rPr>
                <w:sz w:val="17"/>
                <w:szCs w:val="17"/>
                <w:color w:val="auto"/>
              </w:rPr>
            </w:pPr>
          </w:p>
        </w:tc>
      </w:tr>
      <w:tr>
        <w:trPr>
          <w:trHeight w:val="203"/>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$ 12,752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67,674</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Six months ended April 30, 2018</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Net sales before intercompany eliminations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261,388</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$ 42,594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210,663</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514,645</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(668)</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(1,644)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(2,312)</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260,720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40,950</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210,663</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512,333</w:t>
            </w:r>
          </w:p>
        </w:tc>
        <w:tc>
          <w:tcPr>
            <w:tcW w:w="80" w:type="dxa"/>
            <w:vAlign w:val="bottom"/>
            <w:tcBorders>
              <w:bottom w:val="single" w:sz="8" w:color="CCEEFF"/>
            </w:tcBorders>
          </w:tcPr>
          <w:p>
            <w:pPr>
              <w:spacing w:after="0"/>
              <w:rPr>
                <w:sz w:val="17"/>
                <w:szCs w:val="17"/>
                <w:color w:val="auto"/>
              </w:rPr>
            </w:pPr>
          </w:p>
        </w:tc>
      </w:tr>
      <w:tr>
        <w:trPr>
          <w:trHeight w:val="196"/>
        </w:trPr>
        <w:tc>
          <w:tcPr>
            <w:tcW w:w="4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6"/>
                <w:szCs w:val="16"/>
                <w:color w:val="auto"/>
              </w:rPr>
              <w:t>Cost of sales before intercompany eliminations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231,955</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28,461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195,950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456,366</w:t>
            </w:r>
          </w:p>
        </w:tc>
        <w:tc>
          <w:tcPr>
            <w:tcW w:w="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Intercompany eliminations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(2,312)</w:t>
            </w:r>
          </w:p>
        </w:tc>
      </w:tr>
      <w:tr>
        <w:trPr>
          <w:trHeight w:val="19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Cost of sales</w:t>
            </w:r>
          </w:p>
        </w:tc>
        <w:tc>
          <w:tcPr>
            <w:tcW w:w="1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231,343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27,423</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195,288</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454,054</w:t>
            </w:r>
          </w:p>
        </w:tc>
        <w:tc>
          <w:tcPr>
            <w:tcW w:w="80" w:type="dxa"/>
            <w:vAlign w:val="bottom"/>
            <w:tcBorders>
              <w:bottom w:val="single" w:sz="8" w:color="CCEEFF"/>
            </w:tcBorders>
          </w:tcPr>
          <w:p>
            <w:pPr>
              <w:spacing w:after="0"/>
              <w:rPr>
                <w:sz w:val="17"/>
                <w:szCs w:val="17"/>
                <w:color w:val="auto"/>
              </w:rPr>
            </w:pPr>
          </w:p>
        </w:tc>
      </w:tr>
      <w:tr>
        <w:trPr>
          <w:trHeight w:val="203"/>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$ 13,527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58,279</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For the three months ended April 30, 2019 and 2018, inter-segment sales and cost of sales of $0.4 million and $0.2 million between Fresh products and RFG were eliminated. For the six months ended April 30, 2019 and 2018, inter-segment sales and cost of sales of $0.9 million and $0.6 million between Fresh products and RFG were eliminated. For the three months ended April 30, 2019 and 2018, inter-segment sales and cost of sales of $0.7 million and $0.8 million between Calavo Foods and RFG were eliminated. For the six months ended April 30, 2019 and 2018, inter-segment sales and cost of sales of $1.7 million and $1.6 million between Calavo Foods and RFG were eliminated. For the three months ended April 30, 2019 and 2018, inter-segment sales and cost of sales of $0.1 million between Fresh products and Calavo Foods were eliminated. For the six months ended April 30, 2019 and 2018, inter-segment sales and cost of sales of $0.2 million and $0.1 million between Fresh products and Calavo Foods were eliminated.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Sales to customers outside the U.S. were approximately $10.1 million, and $10.7 million for the three months ended April 30, 2019 and 2018. Sales to customers outside the U.S. were approximately $19.2 million, and $18.2 million for the six months ended April 30, 2019 and 2018.</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Long-lived assets attributed to geographic areas as of April 30, 2019 and October 31, 2018,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4"/>
                <w:szCs w:val="14"/>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Mexico</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30, 2019</w:t>
            </w:r>
          </w:p>
        </w:tc>
        <w:tc>
          <w:tcPr>
            <w:tcW w:w="1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93,340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32,356</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125,696</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October 31, 2018</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88,600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w w:val="98"/>
              </w:rPr>
              <w:t>33,543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122,143</w:t>
            </w:r>
          </w:p>
        </w:tc>
        <w:tc>
          <w:tcPr>
            <w:tcW w:w="0" w:type="dxa"/>
            <w:vAlign w:val="bottom"/>
          </w:tcPr>
          <w:p>
            <w:pPr>
              <w:spacing w:after="0"/>
              <w:rPr>
                <w:sz w:val="1"/>
                <w:szCs w:val="1"/>
                <w:color w:val="auto"/>
              </w:rPr>
            </w:pPr>
          </w:p>
        </w:tc>
      </w:tr>
      <w:tr>
        <w:trPr>
          <w:trHeight w:val="43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October 31,</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25,017</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12,902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94"/>
              </w:rPr>
              <w:t>11,630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10,889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94"/>
              </w:rPr>
              <w:t>12,969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11,253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4"/>
              </w:rPr>
              <w:t>49,616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35,044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Inventories are stated at the lower of cost or net realizable value. We periodically review the value of items in inventory and record any necessary write downs of inventory based on our assessment of market conditions. No additional inventory reserve was considered necessary as of April 30, 2019 and October 31, 2018.</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Certain members of our Board of Directors market California avocados through Calavo pursuant to marketing agreements substantially similar to the marketing agreements that we enter into with other growers. For the three months ended April 30, 2019 and 2018, the aggregate amount of avocados procured from entities owned or controlled by members of our Board of Directors was $2.1 million and $1.9 million. During the six months ended April 30, 2019 and 2018, the aggregate amount of avocados procured from entities owned or controlled by members of our Board of Directors was $2.1 million and $2.0 million. Amounts payable to these Board members were $2.0 million as of April 30, 2019.We did not have any amounts payable to these Board members as of October 31, 2018.</w:t>
      </w:r>
    </w:p>
    <w:p>
      <w:pPr>
        <w:spacing w:after="0" w:line="178"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During the three months ended April 30, 2019 and 2018, we received $0.1 million as dividend income from Limoneira Company (Limoneira). During the six months ended April 30, 2019 and 2018, we received $0.2 million as dividend income from Limoneira. In addition, we lease office space from Limoneira for our corporate office. We paid to rent expense to Limoneira totaling $0.1 million for the three and six months ended April 30, 2019 and 2018. Harold Edwards, who is a member of our Board of Directors, is the Chief Executive Officer of Limoneira Company. As of April 30, 2019, we own less than 10% ownership interest in Limoneira. Effective December 2018, our Chief Executive Officer retired from Limoneira’s Board of Directors.</w:t>
      </w:r>
    </w:p>
    <w:p>
      <w:pPr>
        <w:spacing w:after="0" w:line="189"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We currently have a member of our Board of Directors who also serves as a partner in the law firm of TroyGould PC, which frequently represents Calavo as legal counsel. During each of the three months ended April 30, 2019 and 2018, Calavo Growers, Inc. paid fees totaling less than $0.1 million to TroyGould PC. During each of the six months ended April 30, 2019 and 2018, Calavo Growers, Inc. paid fees totaling less than $0.2 million and $0.1 million to TroyGould PC.</w:t>
      </w:r>
    </w:p>
    <w:p>
      <w:pPr>
        <w:spacing w:after="0" w:line="154"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As of April 30, 2019 and October 31, 2018, we had an investment of $5.0 million and $5.2 million, representing Calavo Sub’s 50% ownership in Agricola Don Memo, S.A. de C.V. (Don Memo), which was included as an investment in unconsolidated entities on our balance sheet. We make advances to Don Memo for operating purposes, provide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additional advances as shipments are made during the season, and return the proceeds from tomato sales under our marketing program to Don Memo, net of our commission and aforementioned advances. As of April 30, 2019 and October 31, 2018, we had outstanding advances of $2.8 million and $2.5 million to Don Memo. During the three months ended April 30, 2019 and 2018, we recorded $0.2 million and $0.1 million of cost of sales to Don Memo pursuant to our consignment agreement.</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During the six months ended April 30, 2019 and 2018, we recorded $5.9 million and $3.8 million of cost of sales to Don Memo pursuant to our consignment agreement.</w:t>
      </w:r>
    </w:p>
    <w:p>
      <w:pPr>
        <w:spacing w:after="0" w:line="184" w:lineRule="exact"/>
        <w:rPr>
          <w:sz w:val="20"/>
          <w:szCs w:val="20"/>
          <w:color w:val="auto"/>
        </w:rPr>
      </w:pPr>
    </w:p>
    <w:p>
      <w:pPr>
        <w:ind w:right="180" w:firstLine="259"/>
        <w:spacing w:after="0" w:line="289" w:lineRule="auto"/>
        <w:rPr>
          <w:sz w:val="20"/>
          <w:szCs w:val="20"/>
          <w:color w:val="auto"/>
        </w:rPr>
      </w:pPr>
      <w:r>
        <w:rPr>
          <w:rFonts w:ascii="Arial" w:cs="Arial" w:eastAsia="Arial" w:hAnsi="Arial"/>
          <w:sz w:val="16"/>
          <w:szCs w:val="16"/>
          <w:color w:val="auto"/>
        </w:rPr>
        <w:t>We make advances to Agricola Belher (Belher) for operating purposes, provide additional advances as shipments are made during the season, and return the proceeds from tomato sales under our marketing program to Belher, net of our commission and aforementioned advances. We had grower advances due from Belher totaling $4.0 million as of April 30, 2019 and October 31, 2018, which are netted against the grower payable. In addition, we had infrastructure advances due from Belher of $3.4 million as of April 30, 2019 and October 31, 2018. $0.8 million of these infrastructure advances were recorded as a receivable in prepaid and other current assets. The remaining $2.6 million of these infrastructure advances were recorded in other assets. During the three months ended April 30, 2019 and 2018, we recorded $12.4 million and $6.7 million of cost of sales to Belher pursuant to our consignment agreement. During the six months ended April 30, 2019 and 2018, we recorded $17.6 million and $12.6 million of cost of sales to Belher pursuant to our consignment agreement.</w:t>
      </w:r>
    </w:p>
    <w:p>
      <w:pPr>
        <w:spacing w:after="0" w:line="167"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In August 2015, we entered into Shareholder’s Agreement with various partners and created Avocados de Jalisco, S.A.P.I. de C.V. (“Avocados de Jalisco”). Avocados de Jalisco is a Mexican corporation created to engage in procuring, packing and selling avocados. As of April 30, 2019, this entity was approximately 83% owned by Calavo and was consolidated in our financial statements. Avocados de Jalisco built a packinghouse located in Jalisco, Mexico, which began operations in June of 2017. As of April 30, 2019, and October 31, 2018, we have made preseason advances of approximately $0.1 million to various partners of Avocados de Jalisco. During the three months ended April 30, 2019, we purchased approximately $1.0 million of avocados from the partners of Avocados de Jalisco. During the six months ended April 30, 2019 and 2018, we purchased approximately $2.0 million and $0.2 million of avocados from the partners of Avocados de Jalisco. In January 2018, we transferred $1.0 million of interest to the Avocados de Jalisco noncontrolling members.</w:t>
      </w:r>
    </w:p>
    <w:p>
      <w:pPr>
        <w:spacing w:after="0" w:line="167"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As of April 30, 2019 and October 31, 2018, we had an investment of $10.3 million and $19.9 million in FreshRealm, LLC (“FreshRealm”). We record the amount of our investment in FreshRealm in “Investment in unconsolidated entities” on our Consolidated Condensed Balance Sheets and recognize losses in FreshRealm in “Income/ (loss) in unconsolidated entities” in our Consolidated Condensed Statement of Income. See Note 13 for additional information.</w:t>
      </w:r>
    </w:p>
    <w:p>
      <w:pPr>
        <w:spacing w:after="0" w:line="171"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Effective July 31, 2018, we entered into a Note and Membership Unit Purchase Agreement (“NMUPA”) with FreshRealm, pursuant to which we agreed to provide additional financing, subject to certain terms and conditions. Pursuant to such NMUPA, we entered into a Subscription Agreement, whereby we purchased $3.5 million of equity units in FreshRealm, on July 31, 2018. FreshRealm concurrently entered into subscription agreements with certain third-party investors for an additional $3.5 million of equity investments. As of April 30, 2019, our ownership percentage in FreshRealm was approximately 37%.</w:t>
      </w:r>
    </w:p>
    <w:p>
      <w:pPr>
        <w:spacing w:after="0" w:line="193"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Additionally, pursuant to the NMUPA, we entered into a $12 million Senior Promissory Note and corresponding Security Agreement (collectively, the “Agreements”) with FreshRealm, effective August 10, 2018. We funded $9 million of this loan commitment during the fourth quarter of fiscal 2018 and funded the remaining loan commitment amount of $3 million during the first quarter of fiscal 2019. During our second quarter of fiscal 2019, we amended this note, due October 31, 2019, and, among other things, included a provision whereby we have the option to extend repayment of this note to November 1, 2020.</w:t>
      </w:r>
    </w:p>
    <w:p>
      <w:pPr>
        <w:spacing w:after="0" w:line="158" w:lineRule="exact"/>
        <w:rPr>
          <w:sz w:val="20"/>
          <w:szCs w:val="20"/>
          <w:color w:val="auto"/>
        </w:rPr>
      </w:pPr>
    </w:p>
    <w:p>
      <w:pPr>
        <w:jc w:val="both"/>
        <w:ind w:right="240" w:firstLine="259"/>
        <w:spacing w:after="0" w:line="288" w:lineRule="auto"/>
        <w:rPr>
          <w:sz w:val="20"/>
          <w:szCs w:val="20"/>
          <w:color w:val="auto"/>
        </w:rPr>
      </w:pPr>
      <w:r>
        <w:rPr>
          <w:rFonts w:ascii="Arial" w:cs="Arial" w:eastAsia="Arial" w:hAnsi="Arial"/>
          <w:sz w:val="16"/>
          <w:szCs w:val="16"/>
          <w:color w:val="auto"/>
        </w:rPr>
        <w:t>During our first quarter of fiscal 2019 we loaned FreshRealm an additional $7.5 million, in unsecured notes receivable due October 31, 2019 with an option to extend repayment of this note to November 1, 2020. During our second quarter of fiscal 2019, we lent an additional $4.2 million on an unsecured basis to FreshRealm under similar terms. As of April 30,</w:t>
      </w:r>
    </w:p>
    <w:p>
      <w:pPr>
        <w:spacing w:after="0" w:line="255" w:lineRule="auto"/>
        <w:rPr>
          <w:sz w:val="20"/>
          <w:szCs w:val="20"/>
          <w:color w:val="auto"/>
        </w:rPr>
      </w:pPr>
      <w:r>
        <w:rPr>
          <w:rFonts w:ascii="Arial" w:cs="Arial" w:eastAsia="Arial" w:hAnsi="Arial"/>
          <w:sz w:val="18"/>
          <w:szCs w:val="18"/>
          <w:color w:val="auto"/>
        </w:rPr>
        <w:t>2019 and October 31, 2018, we have note receivables from FreshRealm totaling $24.7 million and $9.0 million. At October 31, 2018, note receivables from FreshRealm of $9.0 million was included in prepaids and other current assets. These loans to FreshRealm bear interest at 10% which is due by the final maturity date. At April 30,</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2019 we have a receivable of $1.0 million related to interest that we have recorded with Loans to FreshRealm on the balance sheet. See Note 13 for further information.</w:t>
      </w:r>
    </w:p>
    <w:p>
      <w:pPr>
        <w:spacing w:after="0" w:line="170" w:lineRule="exact"/>
        <w:rPr>
          <w:sz w:val="20"/>
          <w:szCs w:val="20"/>
          <w:color w:val="auto"/>
        </w:rPr>
      </w:pPr>
    </w:p>
    <w:p>
      <w:pPr>
        <w:ind w:right="200" w:firstLine="259"/>
        <w:spacing w:after="0" w:line="276" w:lineRule="auto"/>
        <w:rPr>
          <w:sz w:val="20"/>
          <w:szCs w:val="20"/>
          <w:color w:val="auto"/>
        </w:rPr>
      </w:pPr>
      <w:r>
        <w:rPr>
          <w:rFonts w:ascii="Arial" w:cs="Arial" w:eastAsia="Arial" w:hAnsi="Arial"/>
          <w:sz w:val="17"/>
          <w:szCs w:val="17"/>
          <w:color w:val="auto"/>
        </w:rPr>
        <w:t>Three officers and five members of our board of directors have investments in FreshRealm. In addition, as of April 30, 2019 and October 31, 2018, we have a loan to FreshRealm members of approximately $0.2 million and $0.3 million. In October and December 2017, our Chairman and Chief Executive Officer invested $7.0 million and $1.5 million into FreshRealm. In January 2018, one of our non-executive directors invested $1.8 million into FreshRealm. In the second quarter of fiscal 2018, two of our non-executive directors invested $1.2 million into FreshRealm.</w:t>
      </w:r>
    </w:p>
    <w:p>
      <w:pPr>
        <w:spacing w:after="0" w:line="17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ind w:right="100" w:firstLine="301"/>
        <w:spacing w:after="0" w:line="297" w:lineRule="auto"/>
        <w:rPr>
          <w:sz w:val="20"/>
          <w:szCs w:val="20"/>
          <w:color w:val="auto"/>
        </w:rPr>
      </w:pPr>
      <w:r>
        <w:rPr>
          <w:rFonts w:ascii="Arial" w:cs="Arial" w:eastAsia="Arial" w:hAnsi="Arial"/>
          <w:sz w:val="16"/>
          <w:szCs w:val="16"/>
          <w:color w:val="auto"/>
        </w:rPr>
        <w:t>We provide storage services to FreshRealm from select Value-Added Depots and RFG facilities. We have received $0.1 million in storage services revenue from FreshRealm in the three months ended April 30, 2019 and 2018. We have received $0.2 million in storage services revenue from FreshRealm in the six months ended April 30, 2019 and 2018. For the three months ended April 30, 2019 and 2018, RFG has sold $0.3 million and $2.4 million of products to FreshRealm. For the six months ended April 30, 2019 and 2018, RFG has sold $1.9 million and $3.9 million of products to FreshRealm.</w:t>
      </w:r>
    </w:p>
    <w:p>
      <w:pPr>
        <w:spacing w:after="0" w:line="15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previous owners of RFG, one of which is currently an officer of Calavo, have a majority ownership of certain entities that provide various services to RFG, specifically LIG Partners, LLC and THNC, LLC. One of RFG’s California operating facilities leases a building from LIG Partners, LLC (LIG) pursuant to an operating lease. RFG’s Texas operating facility leases a building from THNC, LLC (THNC) pursuant to an operating lease. See the following tables for the related party activity for the three and six months ended April 30, 2019 and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3"/>
              </w:rPr>
              <w:t>Three months ended April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Rent paid to THNC, LLC</w:t>
            </w:r>
          </w:p>
        </w:tc>
        <w:tc>
          <w:tcPr>
            <w:tcW w:w="1220" w:type="dxa"/>
            <w:vAlign w:val="bottom"/>
            <w:gridSpan w:val="4"/>
          </w:tcPr>
          <w:p>
            <w:pPr>
              <w:jc w:val="right"/>
              <w:ind w:right="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198</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Six months ended April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Rent paid to THNC, LLC</w:t>
            </w:r>
          </w:p>
        </w:tc>
        <w:tc>
          <w:tcPr>
            <w:tcW w:w="1220" w:type="dxa"/>
            <w:vAlign w:val="bottom"/>
            <w:gridSpan w:val="4"/>
          </w:tcPr>
          <w:p>
            <w:pPr>
              <w:jc w:val="right"/>
              <w:ind w:right="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397</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5.  Other assets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ind w:left="260"/>
              <w:spacing w:after="0"/>
              <w:rPr>
                <w:sz w:val="20"/>
                <w:szCs w:val="20"/>
                <w:color w:val="auto"/>
              </w:rPr>
            </w:pPr>
            <w:r>
              <w:rPr>
                <w:rFonts w:ascii="Arial" w:cs="Arial" w:eastAsia="Arial" w:hAnsi="Arial"/>
                <w:sz w:val="18"/>
                <w:szCs w:val="18"/>
                <w:color w:val="auto"/>
              </w:rPr>
              <w:t>Other assets consist of the following (in thousands):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5"/>
          </w:tcPr>
          <w:p>
            <w:pPr>
              <w:jc w:val="center"/>
              <w:ind w:right="5"/>
              <w:spacing w:after="0"/>
              <w:rPr>
                <w:sz w:val="20"/>
                <w:szCs w:val="20"/>
                <w:color w:val="auto"/>
              </w:rPr>
            </w:pPr>
            <w:r>
              <w:rPr>
                <w:rFonts w:ascii="Arial" w:cs="Arial" w:eastAsia="Arial" w:hAnsi="Arial"/>
                <w:sz w:val="14"/>
                <w:szCs w:val="14"/>
                <w:b w:val="1"/>
                <w:bCs w:val="1"/>
                <w:color w:val="auto"/>
                <w:w w:val="90"/>
              </w:rPr>
              <w:t>October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2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Mexican IVA (i.e. value-added) taxes receivable (see note 11)</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$ 25,404</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right w:val="single" w:sz="8" w:color="CCEEFF"/>
            </w:tcBorders>
            <w:gridSpan w:val="4"/>
            <w:shd w:val="clear" w:color="auto" w:fill="CCEEFF"/>
          </w:tcPr>
          <w:p>
            <w:pPr>
              <w:jc w:val="right"/>
              <w:ind w:right="25"/>
              <w:spacing w:after="0"/>
              <w:rPr>
                <w:sz w:val="20"/>
                <w:szCs w:val="20"/>
                <w:color w:val="auto"/>
              </w:rPr>
            </w:pPr>
            <w:r>
              <w:rPr>
                <w:rFonts w:ascii="Arial" w:cs="Arial" w:eastAsia="Arial" w:hAnsi="Arial"/>
                <w:sz w:val="18"/>
                <w:szCs w:val="18"/>
                <w:color w:val="auto"/>
              </w:rPr>
              <w:t>21,859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Infrastructure advance to Agricola Belher</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25"/>
              <w:spacing w:after="0"/>
              <w:rPr>
                <w:sz w:val="20"/>
                <w:szCs w:val="20"/>
                <w:color w:val="auto"/>
              </w:rPr>
            </w:pPr>
            <w:r>
              <w:rPr>
                <w:rFonts w:ascii="Arial" w:cs="Arial" w:eastAsia="Arial" w:hAnsi="Arial"/>
                <w:sz w:val="18"/>
                <w:szCs w:val="18"/>
                <w:color w:val="auto"/>
              </w:rPr>
              <w:t>2,600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25"/>
              <w:spacing w:after="0"/>
              <w:rPr>
                <w:sz w:val="20"/>
                <w:szCs w:val="20"/>
                <w:color w:val="auto"/>
              </w:rPr>
            </w:pPr>
            <w:r>
              <w:rPr>
                <w:rFonts w:ascii="Arial" w:cs="Arial" w:eastAsia="Arial" w:hAnsi="Arial"/>
                <w:sz w:val="18"/>
                <w:szCs w:val="18"/>
                <w:color w:val="auto"/>
              </w:rPr>
              <w:t>1,109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1,566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25"/>
              <w:spacing w:after="0"/>
              <w:rPr>
                <w:sz w:val="20"/>
                <w:szCs w:val="20"/>
                <w:color w:val="auto"/>
              </w:rPr>
            </w:pPr>
            <w:r>
              <w:rPr>
                <w:rFonts w:ascii="Arial" w:cs="Arial" w:eastAsia="Arial" w:hAnsi="Arial"/>
                <w:sz w:val="18"/>
                <w:szCs w:val="18"/>
                <w:color w:val="auto"/>
              </w:rPr>
              <w:t>1,462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0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$ 30,126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right w:val="single" w:sz="8" w:color="CCEEFF"/>
            </w:tcBorders>
            <w:gridSpan w:val="4"/>
            <w:shd w:val="clear" w:color="auto" w:fill="CCEEFF"/>
          </w:tcPr>
          <w:p>
            <w:pPr>
              <w:jc w:val="right"/>
              <w:ind w:right="25"/>
              <w:spacing w:after="0"/>
              <w:rPr>
                <w:sz w:val="20"/>
                <w:szCs w:val="20"/>
                <w:color w:val="auto"/>
              </w:rPr>
            </w:pPr>
            <w:r>
              <w:rPr>
                <w:rFonts w:ascii="Arial" w:cs="Arial" w:eastAsia="Arial" w:hAnsi="Arial"/>
                <w:sz w:val="18"/>
                <w:szCs w:val="18"/>
                <w:color w:val="auto"/>
              </w:rPr>
              <w:t>27,030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5900" w:type="dxa"/>
            <w:vAlign w:val="bottom"/>
            <w:gridSpan w:val="2"/>
          </w:tcPr>
          <w:p>
            <w:pPr>
              <w:ind w:left="44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April 30, 2019</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October 31,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25"/>
        </w:trPr>
        <w:tc>
          <w:tcPr>
            <w:tcW w:w="30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center"/>
              <w:ind w:right="33"/>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r>
      <w:tr>
        <w:trPr>
          <w:trHeight w:val="216"/>
        </w:trPr>
        <w:tc>
          <w:tcPr>
            <w:tcW w:w="30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Accum.</w:t>
            </w:r>
          </w:p>
        </w:tc>
        <w:tc>
          <w:tcPr>
            <w:tcW w:w="18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Book</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Book</w:t>
            </w:r>
          </w:p>
        </w:tc>
      </w:tr>
      <w:tr>
        <w:trPr>
          <w:trHeight w:val="201"/>
        </w:trPr>
        <w:tc>
          <w:tcPr>
            <w:tcW w:w="30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 years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Trade names</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9.2 years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 years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Brand name intangibles</w:t>
            </w: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indefinite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7"/>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We anticipate recording amortization expense of approximately $0.1 million for the remainder of fiscal 2019, $0.1 million for fiscal year 2020, $0.1 million for fiscal year 2021, $0.1 million for fiscal year 2022, and less than $0.1 million for thereafter, through fiscal year 2023.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11 for additional information related to Mexican IVA taxes.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right="520"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On January 2, 2019, all 12 of our non-employee directors were granted 1,750 restricted shares each (total of 21,000 shares). These shares have full voting rights and participate in dividends as if unrestricted. The closing price of our stock on such date was $71.56. On January 2, 2020, as long as the directors are still serving on the board, these shares lose their restriction and become non-forfeitable and transferable. These shares were granted pursuant to our 2011 Plan. The total recognized stock-based compensation expense for these grants was $0.5 million for the three months ended April 30, 2019. The total recognized stock-based compensation expense for these grants was $0.6 million for the six months ended April 30, 2019.</w:t>
      </w:r>
    </w:p>
    <w:p>
      <w:pPr>
        <w:spacing w:after="0" w:line="189"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On December 14, 2018, our executive officers were granted a total of 14,522 restricted shares. These shares have full voting rights and participate in dividends as if unrestricted. The closing price of our stock on such date was $85.67. These shares vest in one-third increments, on an annual basis, beginning December 14, 2019. These shares were granted pursuant to our 2011 Plan. The total recognized stock-based compensation expense for these grants was $0.2 million for the three months ended April 30, 2019. The total recognized stock-based compensation expense for these grants was $0.2 million for the six months ended April 30, 2019.</w:t>
      </w:r>
    </w:p>
    <w:p>
      <w:pPr>
        <w:spacing w:after="0" w:line="193" w:lineRule="exact"/>
        <w:rPr>
          <w:sz w:val="20"/>
          <w:szCs w:val="20"/>
          <w:color w:val="auto"/>
        </w:rPr>
      </w:pPr>
    </w:p>
    <w:p>
      <w:pPr>
        <w:ind w:right="600" w:firstLine="259"/>
        <w:spacing w:after="0" w:line="258"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tbl>
      <w:tblPr>
        <w:tblLayout w:type="fixed"/>
        <w:tblInd w:w="0" w:type="dxa"/>
        <w:tblCellMar>
          <w:top w:w="0" w:type="dxa"/>
          <w:left w:w="0" w:type="dxa"/>
          <w:bottom w:w="0" w:type="dxa"/>
          <w:right w:w="0" w:type="dxa"/>
        </w:tblCellMar>
      </w:tblPr>
      <w:tr>
        <w:trPr>
          <w:trHeight w:val="141"/>
        </w:trPr>
        <w:tc>
          <w:tcPr>
            <w:tcW w:w="3900" w:type="dxa"/>
            <w:vAlign w:val="bottom"/>
          </w:tcPr>
          <w:p>
            <w:pPr>
              <w:spacing w:after="0"/>
              <w:rPr>
                <w:sz w:val="12"/>
                <w:szCs w:val="12"/>
                <w:color w:val="auto"/>
              </w:rPr>
            </w:pPr>
          </w:p>
        </w:tc>
        <w:tc>
          <w:tcPr>
            <w:tcW w:w="2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34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2"/>
                <w:szCs w:val="12"/>
                <w:color w:val="auto"/>
              </w:rPr>
            </w:pPr>
          </w:p>
        </w:tc>
        <w:tc>
          <w:tcPr>
            <w:tcW w:w="88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Price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Vested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Outstanding at April 30, 2019</w:t>
            </w:r>
          </w:p>
        </w:tc>
        <w:tc>
          <w:tcPr>
            <w:tcW w:w="15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The total recognized stock-based compensation expense for restricted stock was $0.9 million for the three months ended April 30, 2019 and 2018. The total recognized stock-based compensation expense for restricted stock was $1.8 million for the six months ended April 30, 2019 and 2018. Total unrecognized stock-based compensation expense totaled $3.8 million as of April 30, 2019, and will be amortized through fiscal year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420" w:top="125" w:right="129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73"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 based compensation awards on the date of grant.</w:t>
      </w:r>
    </w:p>
    <w:p>
      <w:pPr>
        <w:spacing w:after="0" w:line="73" w:lineRule="exact"/>
        <w:rPr>
          <w:sz w:val="20"/>
          <w:szCs w:val="20"/>
          <w:color w:val="auto"/>
        </w:rPr>
      </w:pPr>
    </w:p>
    <w:p>
      <w:pPr>
        <w:ind w:right="240" w:firstLine="259"/>
        <w:spacing w:after="0" w:line="258" w:lineRule="auto"/>
        <w:rPr>
          <w:sz w:val="20"/>
          <w:szCs w:val="20"/>
          <w:color w:val="auto"/>
        </w:rPr>
      </w:pPr>
      <w:r>
        <w:rPr>
          <w:rFonts w:ascii="Arial" w:cs="Arial" w:eastAsia="Arial" w:hAnsi="Arial"/>
          <w:sz w:val="18"/>
          <w:szCs w:val="18"/>
          <w:color w:val="auto"/>
        </w:rPr>
        <w:t>A summary of stock option activity, related to our 2005 Stock Incentive Plan, is as follows (in thousands, except for per share amounts):</w:t>
      </w:r>
    </w:p>
    <w:tbl>
      <w:tblPr>
        <w:tblLayout w:type="fixed"/>
        <w:tblInd w:w="0" w:type="dxa"/>
        <w:tblCellMar>
          <w:top w:w="0" w:type="dxa"/>
          <w:left w:w="0" w:type="dxa"/>
          <w:bottom w:w="0" w:type="dxa"/>
          <w:right w:w="0" w:type="dxa"/>
        </w:tblCellMar>
      </w:tblPr>
      <w:tr>
        <w:trPr>
          <w:trHeight w:val="141"/>
        </w:trPr>
        <w:tc>
          <w:tcPr>
            <w:tcW w:w="5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Exercise Price</w:t>
            </w: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April 30, 2019</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19.20</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At April 30, 2019, outstanding and exercisable stock options had a weighted-average remaining contractual term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 years. The total recognized and unrecognized stock-based compensation expense was insignificant for the three and six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April 30, 2019.</w:t>
      </w:r>
    </w:p>
    <w:p>
      <w:pPr>
        <w:spacing w:after="0" w:line="184" w:lineRule="exact"/>
        <w:rPr>
          <w:sz w:val="20"/>
          <w:szCs w:val="20"/>
          <w:color w:val="auto"/>
        </w:rPr>
      </w:pPr>
    </w:p>
    <w:p>
      <w:pPr>
        <w:ind w:right="240" w:firstLine="259"/>
        <w:spacing w:after="0" w:line="258"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tbl>
      <w:tblPr>
        <w:tblLayout w:type="fixed"/>
        <w:tblInd w:w="0" w:type="dxa"/>
        <w:tblCellMar>
          <w:top w:w="0" w:type="dxa"/>
          <w:left w:w="0" w:type="dxa"/>
          <w:bottom w:w="0" w:type="dxa"/>
          <w:right w:w="0" w:type="dxa"/>
        </w:tblCellMar>
      </w:tblPr>
      <w:tr>
        <w:trPr>
          <w:trHeight w:val="141"/>
        </w:trPr>
        <w:tc>
          <w:tcPr>
            <w:tcW w:w="6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Average</w:t>
            </w:r>
          </w:p>
        </w:tc>
        <w:tc>
          <w:tcPr>
            <w:tcW w:w="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Exercise</w:t>
            </w:r>
          </w:p>
        </w:tc>
        <w:tc>
          <w:tcPr>
            <w:tcW w:w="20" w:type="dxa"/>
            <w:vAlign w:val="bottom"/>
          </w:tcPr>
          <w:p>
            <w:pPr>
              <w:spacing w:after="0"/>
              <w:rPr>
                <w:sz w:val="18"/>
                <w:szCs w:val="18"/>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01"/>
        </w:trPr>
        <w:tc>
          <w:tcPr>
            <w:tcW w:w="6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$ 40.07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$ 23.48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$ 41.91</w:t>
            </w:r>
          </w:p>
        </w:tc>
        <w:tc>
          <w:tcPr>
            <w:tcW w:w="2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April 30, 2019</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8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$ 25.10</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849</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At April 30, 2019, outstanding and exercisable stock options had a weighted-average remaining contractual term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 years. The total recognized and unrecognized stock-based compensation expense was insignificant for the three and six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April 30, 2019.</w:t>
      </w:r>
    </w:p>
    <w:p>
      <w:pPr>
        <w:spacing w:after="0" w:line="207" w:lineRule="exact"/>
        <w:rPr>
          <w:sz w:val="20"/>
          <w:szCs w:val="20"/>
          <w:color w:val="auto"/>
        </w:rPr>
      </w:pPr>
    </w:p>
    <w:p>
      <w:pPr>
        <w:ind w:left="360" w:hanging="357"/>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On December 7, 2018, we paid a $1.00 per share dividend in the aggregate amount of $17.6 million to shareholders of record on November 16, 2018.</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93"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$2.19 billion Mexican pesos related to Income Tax, Flat Rate Business Tax and Value Added Tax, corresponding to fiscal year 2011 tax audit. We have consulted with an internationally recognized tax advisor and continue to believe this tax assessment is without merit. Therefore, we intend to file an administrative appeal challenging the MFM’s 2011 assessment on or before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the SAT’s central legal department in Mexico City on another tax matter (see footnote 11 regarding VAT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0" w:lineRule="exact"/>
        <w:rPr>
          <w:sz w:val="20"/>
          <w:szCs w:val="20"/>
          <w:color w:val="auto"/>
        </w:rPr>
      </w:pPr>
    </w:p>
    <w:p>
      <w:pPr>
        <w:ind w:right="80" w:firstLine="259"/>
        <w:spacing w:after="0" w:line="271" w:lineRule="auto"/>
        <w:rPr>
          <w:sz w:val="20"/>
          <w:szCs w:val="20"/>
          <w:color w:val="auto"/>
        </w:rPr>
      </w:pPr>
      <w:r>
        <w:rPr>
          <w:rFonts w:ascii="Arial" w:cs="Arial" w:eastAsia="Arial" w:hAnsi="Arial"/>
          <w:sz w:val="17"/>
          <w:szCs w:val="17"/>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9"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$2.62 billion Mexican pesos related to Income Tax, Flat Rate Business Tax, and Value Added Tax, related to this fiscal 2013 tax audit. Additionally, the tax authorities have determined an employee’s profit sharing liability, totaling approximately $118 million Mexican pesos.</w:t>
      </w:r>
    </w:p>
    <w:p>
      <w:pPr>
        <w:spacing w:after="0" w:line="187" w:lineRule="exact"/>
        <w:rPr>
          <w:sz w:val="20"/>
          <w:szCs w:val="20"/>
          <w:color w:val="auto"/>
        </w:rPr>
      </w:pPr>
    </w:p>
    <w:p>
      <w:pPr>
        <w:ind w:right="120" w:firstLine="259"/>
        <w:spacing w:after="0" w:line="291" w:lineRule="auto"/>
        <w:rPr>
          <w:sz w:val="20"/>
          <w:szCs w:val="20"/>
          <w:color w:val="auto"/>
        </w:rPr>
      </w:pPr>
      <w:r>
        <w:rPr>
          <w:rFonts w:ascii="Arial" w:cs="Arial" w:eastAsia="Arial" w:hAnsi="Arial"/>
          <w:sz w:val="16"/>
          <w:szCs w:val="16"/>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Here,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VAT refunds) indicating that they believe that our legal interpretation is accurate on a matter that is also central to the 2013 Assessment. We believe this recent ruling significantly undermines the 2013 Assessment we received in July 2018.</w:t>
      </w:r>
    </w:p>
    <w:p>
      <w:pPr>
        <w:spacing w:after="0" w:line="167" w:lineRule="exact"/>
        <w:rPr>
          <w:sz w:val="20"/>
          <w:szCs w:val="20"/>
          <w:color w:val="auto"/>
        </w:rPr>
      </w:pPr>
    </w:p>
    <w:p>
      <w:pPr>
        <w:ind w:right="880" w:firstLine="259"/>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Fair value measurements</w:t>
      </w:r>
    </w:p>
    <w:p>
      <w:pPr>
        <w:spacing w:after="0" w:line="229"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April 30, 2019 that are measured on a recurring basis during the period, segregated by level within the fair value hierarchy: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Level 1</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2</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20" w:type="dxa"/>
            <w:vAlign w:val="bottom"/>
            <w:gridSpan w:val="8"/>
          </w:tcPr>
          <w:p>
            <w:pPr>
              <w:ind w:left="160"/>
              <w:spacing w:after="0"/>
              <w:rPr>
                <w:sz w:val="20"/>
                <w:szCs w:val="20"/>
                <w:color w:val="auto"/>
              </w:rPr>
            </w:pPr>
            <w:r>
              <w:rPr>
                <w:rFonts w:ascii="Arial" w:cs="Arial" w:eastAsia="Arial" w:hAnsi="Arial"/>
                <w:sz w:val="14"/>
                <w:szCs w:val="14"/>
                <w:b w:val="1"/>
                <w:bCs w:val="1"/>
                <w:color w:val="auto"/>
                <w:w w:val="99"/>
              </w:rPr>
              <w:t>(All amounts are pres</w:t>
            </w:r>
            <w:r>
              <w:rPr>
                <w:rFonts w:ascii="Arial" w:cs="Arial" w:eastAsia="Arial" w:hAnsi="Arial"/>
                <w:sz w:val="14"/>
                <w:szCs w:val="14"/>
                <w:color w:val="auto"/>
                <w:w w:val="99"/>
              </w:rPr>
              <w:t>e</w:t>
            </w:r>
            <w:r>
              <w:rPr>
                <w:rFonts w:ascii="Arial" w:cs="Arial" w:eastAsia="Arial" w:hAnsi="Arial"/>
                <w:sz w:val="14"/>
                <w:szCs w:val="14"/>
                <w:b w:val="1"/>
                <w:bCs w:val="1"/>
                <w:color w:val="auto"/>
                <w:w w:val="99"/>
              </w:rPr>
              <w:t>nted in thousands)</w:t>
            </w:r>
          </w:p>
        </w:tc>
      </w:tr>
      <w:tr>
        <w:trPr>
          <w:trHeight w:val="216"/>
        </w:trPr>
        <w:tc>
          <w:tcPr>
            <w:tcW w:w="88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Investment in Limoneira Company</w:t>
            </w:r>
            <w:r>
              <w:rPr>
                <w:rFonts w:ascii="Arial" w:cs="Arial" w:eastAsia="Arial" w:hAnsi="Arial"/>
                <w:sz w:val="8"/>
                <w:szCs w:val="8"/>
                <w:color w:val="auto"/>
              </w:rPr>
              <w:t>(1)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$ 38,310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$ 38,310</w:t>
            </w:r>
          </w:p>
        </w:tc>
        <w:tc>
          <w:tcPr>
            <w:tcW w:w="60" w:type="dxa"/>
            <w:vAlign w:val="bottom"/>
          </w:tcPr>
          <w:p>
            <w:pPr>
              <w:spacing w:after="0"/>
              <w:rPr>
                <w:sz w:val="18"/>
                <w:szCs w:val="18"/>
                <w:color w:val="auto"/>
              </w:rPr>
            </w:pPr>
          </w:p>
        </w:tc>
      </w:tr>
      <w:tr>
        <w:trPr>
          <w:trHeight w:val="217"/>
        </w:trPr>
        <w:tc>
          <w:tcPr>
            <w:tcW w:w="880" w:type="dxa"/>
            <w:vAlign w:val="bottom"/>
          </w:tcPr>
          <w:p>
            <w:pPr>
              <w:spacing w:after="0"/>
              <w:rPr>
                <w:sz w:val="18"/>
                <w:szCs w:val="18"/>
                <w:color w:val="auto"/>
              </w:rPr>
            </w:pPr>
          </w:p>
        </w:tc>
        <w:tc>
          <w:tcPr>
            <w:tcW w:w="3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$ 38,310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89" w:lineRule="exact"/>
        <w:rPr>
          <w:sz w:val="20"/>
          <w:szCs w:val="20"/>
          <w:color w:val="auto"/>
        </w:rPr>
      </w:pPr>
    </w:p>
    <w:p>
      <w:pPr>
        <w:ind w:left="1220" w:right="80" w:hanging="322"/>
        <w:spacing w:after="0" w:line="228" w:lineRule="auto"/>
        <w:tabs>
          <w:tab w:leader="none" w:pos="1205"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investment in Limoneira Company consists of marketable securities in the Limoneira Company common stock. We currently own less than 10% of Limoneira’s outstanding common stock. These securities are measured at fair value using quoted market prices. For the three months ended April 30, 2019, we recognized gains of $1.4 million on the consolidated condensed statement of income. For the six months ended April 30, 2019, we recognized losses of $3.1 million on the consolidated condensed statement of income. In the prior year, unrealized gains and losses were recognized through other comprehensive income. Unrealized investment holding gains arising during the three months ended April 30, 2018 were $3.0 million. Unrealized investment holding losses arising during the six months ended April 30, 2018 were $0.1 million.</w:t>
      </w:r>
    </w:p>
    <w:p>
      <w:pPr>
        <w:spacing w:after="0" w:line="118" w:lineRule="exact"/>
        <w:rPr>
          <w:rFonts w:ascii="Arial" w:cs="Arial" w:eastAsia="Arial" w:hAnsi="Arial"/>
          <w:sz w:val="14"/>
          <w:szCs w:val="14"/>
          <w:color w:val="auto"/>
        </w:rPr>
      </w:pPr>
    </w:p>
    <w:p>
      <w:pPr>
        <w:ind w:left="320" w:hanging="317"/>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20" w:type="dxa"/>
            <w:vAlign w:val="bottom"/>
            <w:vMerge w:val="restart"/>
          </w:tcPr>
          <w:p>
            <w:pPr>
              <w:spacing w:after="0"/>
              <w:rPr>
                <w:sz w:val="14"/>
                <w:szCs w:val="14"/>
                <w:color w:val="auto"/>
              </w:rPr>
            </w:pPr>
          </w:p>
        </w:tc>
        <w:tc>
          <w:tcPr>
            <w:tcW w:w="230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Noncash transfer of noncontrolling interest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Noncontrolling interest, ending</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Noncash transfer of noncontrolling interest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Noncontrolling interest, ending</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April 30,</w:t>
            </w:r>
          </w:p>
        </w:tc>
      </w:t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16,345</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14,122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17,481</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7"/>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Calavo Growers, Inc:</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864"/>
        </w:trPr>
        <w:tc>
          <w:tcPr>
            <w:tcW w:w="7020" w:type="dxa"/>
            <w:vAlign w:val="bottom"/>
          </w:tcPr>
          <w:p>
            <w:pPr>
              <w:ind w:left="44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1"/>
        </w:trPr>
        <w:tc>
          <w:tcPr>
            <w:tcW w:w="7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4"/>
              </w:rPr>
              <w:t>Six months ended April 30,</w:t>
            </w:r>
          </w:p>
        </w:tc>
      </w:tr>
      <w:tr>
        <w:trPr>
          <w:trHeight w:val="142"/>
        </w:trPr>
        <w:tc>
          <w:tcPr>
            <w:tcW w:w="576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20,832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21,261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17,472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7"/>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Calavo Growers, Inc:</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81"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As of April 30, 2019 and October 31, 2018, CDM IVA receivables totaled $25.4 million and $21.9 million. Historically, CDM received IVA refund payments from the Mexican tax authorities on a timely basis. Beginning in fiscal 2014 and continuing into fiscal 2019,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79"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During the first quarter of fiscal 2017, tax authorities informed us that their internal opinion, based on the information provided by the local SAT office in Uruapan,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80"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In spite of the favorable ruling from the SAT’s central legal department in Mexico City, as discussed above, the local SAT audit office in Uruapan continues to believe that CDM is not properly documented relative to its declared tax structure. As a result, they believe CDM cannot claim certain refundable IVA balances, specifically in regards to our IVA refunds related to the months of January through June of 2013. CDM has strong arguments and supporting documentation to sustain its declared tax structure for IVA and income tax purposes. In March 2019, CDM (with the assistance of our internationally recognized tax advisory firm), filed an administrative appeal for the IVA related to the request of the months of January through June of 2013. A response to the administrative appeal that we filed is currently pending resolution.</w:t>
      </w:r>
    </w:p>
    <w:p>
      <w:pPr>
        <w:spacing w:after="0" w:line="167" w:lineRule="exact"/>
        <w:rPr>
          <w:sz w:val="20"/>
          <w:szCs w:val="20"/>
          <w:color w:val="auto"/>
        </w:rPr>
      </w:pPr>
    </w:p>
    <w:p>
      <w:pPr>
        <w:ind w:right="420" w:firstLine="259"/>
        <w:spacing w:after="0" w:line="264" w:lineRule="auto"/>
        <w:rPr>
          <w:sz w:val="20"/>
          <w:szCs w:val="20"/>
          <w:color w:val="auto"/>
        </w:rPr>
      </w:pPr>
      <w:r>
        <w:rPr>
          <w:rFonts w:ascii="Arial" w:cs="Arial" w:eastAsia="Arial" w:hAnsi="Arial"/>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December 22, 2017, the President of the United States signed and enacted comprehensive tax legislation into law H.R. 1, commonly referred to as the Tax Cuts and Jobs Act (the “Tax Act”). Except for certain provisions, the Tax Act was effective for tax years beginning on or after January 1, 2018. As a fiscal year U.S. taxpayer with an October 31 fiscal year end, the majority of the new provisions, such as eliminating the domestic manufacturing deduction, creating new taxes on certain foreign sourced income and introducing new limitations on certain business deductions, did not apply until our 2019 fiscal year. For fiscal 2018, the most significant impacts included: lowering of the U.S. federal corporate income tax rate; remeasuring certain net deferred tax assets and liabilities; and requiring the transition tax on the deemed repatriation of certain foreign earnings. In the first quarter of fiscal 2018, we recorded $1.7 million in one-time, non-cash charges related to the revaluation of our net deferred tax assets (approximately $1.4 million) and the transition tax on the deemed repatriation of foreign earnings (approximately $0.3 million).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FreshRealm</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Based on the NMUPA and related Agreements, as described in Note 4, we reconsidered whether FreshRealm is a variable interest entity (“VIE”). A VIE refers to a legal business structure in which an investor has a controlling interest in,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continue to believe that FreshRealm should be considered a</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VIE. In evaluating whether we are the primary beneficiary of FreshRealm, we considered several factors, including whether we (a) have the power to direct the activities that most significantly impact FreshRealm’s economic performance and (b) the obligation to absorb losses and the right to receive benefits that could potentially be significant to the VIE. We were not the primary beneficiary of FreshRealm at April 30, 2019 because the nature of our involvement with the activities of FreshRealm does not give us the power to direct the activities that most significantly impact its economic performance. We do not have a future obligation to fund losses or debts on behalf of FreshRealm. We may, however, voluntarily contribute funds. In the accompanying statements of income, we have presented the income (loss) from unconsolidated entities, subsequent to the provision for income taxes for all periods presented.</w:t>
      </w:r>
    </w:p>
    <w:p>
      <w:pPr>
        <w:spacing w:after="0" w:line="184"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We record the amount of our investment in FreshRealm, totaling $10.3. million at April 30, 2019, in “Investment in unconsolidated entities” on our Consolidated Condensed Balance Sheets and recognize losses in FreshRealm in “Income/(loss) in unconsolidated entities” on our Consolidated Condensed Statement of Income.</w:t>
      </w:r>
    </w:p>
    <w:p>
      <w:pPr>
        <w:spacing w:after="0" w:line="166"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For the three months ended April 30, 2019, FreshRealm incurred losses totaling $7.4 million. For the six months ended April 30, 2019, FreshRealm incurred losses totaling $18.7 million.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 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 15, 2018 totaling $4.2 million. Losses incurred by FreshRealm from December 16, 2018 to January 31, 2019 (after the change in tax status was effective) were recorded to reflect our proportionate share of FreshRealm losses. From December 16, 2018 to January 31, 2019, our ownership percentage was approximately 37% and accordingly, we recorded losses from December 16, 2018 through January 31, 2019 totaling $2.7 million, for a total of $6.9 million in our first fiscal quarter of 2019. Our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ownership remains at 37% for our second fiscal quarter of 2019, and we recorded losses of approximately $2.7 million. As a result of FreshRealm’s recent change in tax status (described above), future operating results for FreshRealm will be allocated to its owners based on ownership percentage.</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April 30, 2019, and October 31, 2018, we have note receivables from FreshRealm totaling $24.7 million and $9.0 million. See Note 4 for further information.</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Except for the performance guarantee noted above (for which we are unable to quantify our current exposure, if any), our exposure to the obligations of FreshRealm is generally limited to our interests in it. We believe our maximum exposure to loss in FreshRealm is the carrying value of our investment and our loans to it, which totaled $10.3 million and $24.7 million, as of April 30, 2019. Our maximum exposure to loss could increase in the future if FreshRealm receives additional financing (i.e. equity or debt) from Calavo or any other investor/lender. We are under no obligation to provide FreshRealm additional financing.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described in footnote 4, we own approximately 37% of FreshRealm as of April 30, 2019 and October 31, 2018. In accordance with Rule 10-01(b)(1) of Regulation S-X, which applies for interim reports on Form 10-Q, we must determine if our unconsolidated subsidiaries are considered, “significant subsidiaries”. In evaluating our investments, there are two tests utilized to determine if our subsidiaries are considered significant subsidiaries: the income test and the investment test. Rule 10-01(b)(1) of Regulation S-X requires summarized income statement information of an unconsolidated subsidiary in an interim report if either of the two tests exceed 20%. Pursuant to Rule 10-01(b)(1) of Regulation S-X, this requires summarized income statement information of FreshRealm in our second fiscal quarter Form 10-Q.</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following table shows summarized financial information for FreshRealm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Statement: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4"/>
              </w:rPr>
              <w:t>Three months ended April 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Gross loss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7"/>
              </w:rPr>
              <w:t>Six months ended April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Gross loss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tcPr>
          <w:p>
            <w:pPr>
              <w:jc w:val="right"/>
              <w:ind w:right="135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recognition</w:t>
      </w:r>
    </w:p>
    <w:p>
      <w:pPr>
        <w:spacing w:after="0" w:line="229"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Effective at the beginning of our fiscal 2019, the Company adopted Accounting Standards Update (ASU) No. 2014-09, "Revenue from Contracts with Customers," and all the related amendments (Accounting Standards Codification (ASC) 606) 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pacing w:after="0" w:line="173"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 Incentives and Other Promotional Programs</w:t>
      </w:r>
    </w:p>
    <w:p>
      <w:pPr>
        <w:spacing w:after="0" w:line="225"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condensed consolidated balance sheets as part of accrued expenses.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Principle vs. Agent Considerations</w:t>
      </w:r>
    </w:p>
    <w:p>
      <w:pPr>
        <w:spacing w:after="0" w:line="225"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We frequently enter into consignment arrangements with avocado and tomato growers and packers located outside of the U.S. and growers of certain perishable products in the U.S. We evaluated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elected the following practical expedients upon its adoption of Accounting Standards Update ("ASU")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Topic 606).</w:t>
      </w:r>
    </w:p>
    <w:p>
      <w:pPr>
        <w:spacing w:after="0" w:line="211" w:lineRule="exact"/>
        <w:rPr>
          <w:sz w:val="20"/>
          <w:szCs w:val="20"/>
          <w:color w:val="auto"/>
        </w:rPr>
      </w:pPr>
    </w:p>
    <w:p>
      <w:pPr>
        <w:ind w:left="580" w:right="80" w:hanging="321"/>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Shipping and handling costs </w:t>
      </w:r>
      <w:r>
        <w:rPr>
          <w:rFonts w:ascii="Arial" w:cs="Arial" w:eastAsia="Arial" w:hAnsi="Arial"/>
          <w:sz w:val="17"/>
          <w:szCs w:val="17"/>
          <w:color w:val="auto"/>
        </w:rPr>
        <w:t>- The company elected to account for shipping and handling activities that occur before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has obtained control of a good as fulfillment activities rather than as a promised service.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right="140" w:hanging="321"/>
        <w:spacing w:after="0" w:line="286"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Measurement of transaction price - </w:t>
      </w:r>
      <w:r>
        <w:rPr>
          <w:rFonts w:ascii="Arial" w:cs="Arial" w:eastAsia="Arial" w:hAnsi="Arial"/>
          <w:sz w:val="17"/>
          <w:szCs w:val="17"/>
          <w:color w:val="auto"/>
        </w:rPr>
        <w:t>The Company has elected to exclude from the measurement of transaction price</w:t>
      </w:r>
      <w:r>
        <w:rPr>
          <w:rFonts w:ascii="Arial" w:cs="Arial" w:eastAsia="Arial" w:hAnsi="Arial"/>
          <w:sz w:val="17"/>
          <w:szCs w:val="17"/>
          <w:i w:val="1"/>
          <w:iCs w:val="1"/>
          <w:color w:val="auto"/>
        </w:rPr>
        <w:t xml:space="preserve"> </w:t>
      </w:r>
      <w:r>
        <w:rPr>
          <w:rFonts w:ascii="Arial" w:cs="Arial" w:eastAsia="Arial" w:hAnsi="Arial"/>
          <w:sz w:val="17"/>
          <w:szCs w:val="17"/>
          <w:color w:val="auto"/>
        </w:rPr>
        <w:t>all taxes assessed by a governmental authority that are both imposed on, and concurrent with, a specific revenue-producing transaction and collected by the Company from a customer for sales taxes.</w:t>
      </w:r>
    </w:p>
    <w:p>
      <w:pPr>
        <w:spacing w:after="0" w:line="165" w:lineRule="exact"/>
        <w:rPr>
          <w:rFonts w:ascii="Arial" w:cs="Arial" w:eastAsia="Arial" w:hAnsi="Arial"/>
          <w:sz w:val="17"/>
          <w:szCs w:val="17"/>
          <w:color w:val="auto"/>
        </w:rPr>
      </w:pPr>
    </w:p>
    <w:p>
      <w:pPr>
        <w:ind w:left="580" w:right="220" w:hanging="321"/>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Contract costs - </w:t>
      </w:r>
      <w:r>
        <w:rPr>
          <w:rFonts w:ascii="Arial" w:cs="Arial" w:eastAsia="Arial" w:hAnsi="Arial"/>
          <w:sz w:val="18"/>
          <w:szCs w:val="18"/>
          <w:color w:val="auto"/>
        </w:rPr>
        <w:t>The Company has elected to recognize the incremental costs of obtaining a contract as an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when incurred if the amortization period is one year or less.</w:t>
      </w:r>
    </w:p>
    <w:p>
      <w:pPr>
        <w:spacing w:after="0" w:line="170" w:lineRule="exact"/>
        <w:rPr>
          <w:sz w:val="20"/>
          <w:szCs w:val="20"/>
          <w:color w:val="auto"/>
        </w:rPr>
      </w:pPr>
    </w:p>
    <w:p>
      <w:pPr>
        <w:ind w:right="800" w:firstLine="259"/>
        <w:spacing w:after="0" w:line="277" w:lineRule="auto"/>
        <w:rPr>
          <w:sz w:val="20"/>
          <w:szCs w:val="20"/>
          <w:color w:val="auto"/>
        </w:rPr>
      </w:pPr>
      <w:r>
        <w:rPr>
          <w:rFonts w:ascii="Arial" w:cs="Arial" w:eastAsia="Arial" w:hAnsi="Arial"/>
          <w:sz w:val="18"/>
          <w:szCs w:val="18"/>
          <w:color w:val="auto"/>
        </w:rPr>
        <w:t>The adoption of ASC 606 did not have an impact on our consolidated results of operations for the three and six months ended April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Amendment to Credit Agreement</w:t>
      </w:r>
    </w:p>
    <w:p>
      <w:pPr>
        <w:spacing w:after="0" w:line="229"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Effective March 1, 2019, we entered into a Second Amendment to Credit Agreement (the “Second Amendment”) with Farm Credit West, PCA, and Bank of America, N.A., relating to our Credit Agreement dated as of June 14, 2016 and the First Amendment to Credit Agreement dated as of August 29, 2016. The Second Amendment, among other things, excludes financial results of FreshRealm from Calavo’s financial reporting requirements and covenant calculations and provides flexibility in making investments in joint ventures and non-wholly owned subsidiaries of Calavo.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Sale of Temecula, California Packinghouse</w:t>
      </w:r>
    </w:p>
    <w:p>
      <w:pPr>
        <w:spacing w:after="0" w:line="229"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In April 2019, we sold our Temecula, California packinghouse for $7.1 million in cash ($6.7 million, net of transaction costs (primarily sales commissions) totaling $0.4 million)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and recorded a deferred gain of $4.5 million, which will be recognized over the life of the lease (i.e. straight-line over 15 years).</w:t>
      </w:r>
    </w:p>
    <w:p>
      <w:pPr>
        <w:spacing w:after="0" w:line="189"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In connection with the leaseback of this packinghouse, we calculated the present value of the minimum lease payments related to the building and have capitalized $3.3 million as a capital lease in our property, plant and equipment and recorded $3.3 million as a lease obligation.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ind w:firstLine="180"/>
        <w:spacing w:after="0" w:line="286" w:lineRule="auto"/>
        <w:rPr>
          <w:sz w:val="20"/>
          <w:szCs w:val="20"/>
          <w:color w:val="auto"/>
        </w:rPr>
      </w:pPr>
      <w:r>
        <w:rPr>
          <w:rFonts w:ascii="Arial" w:cs="Arial" w:eastAsia="Arial" w:hAnsi="Arial"/>
          <w:sz w:val="17"/>
          <w:szCs w:val="17"/>
          <w:color w:val="auto"/>
        </w:rPr>
        <w:t>During our third quarter of fiscal year 2019, we entered into a 10-year building and equipment lease. This facility is in Conley, GA and is primarily intended to process fresh-cut fruits and vegetables related to our RFG business segment. Annual rent for the facility and equipment approximates $0.9 million and $0.6 million over the life of the lease.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2018 of Calavo Growers, Inc. (we, Calavo, or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On December 7, 2018, we paid a $1.00 per share dividend in the aggregate amount of $17.6 million to shareholders of record on November 16,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8"/>
          <w:szCs w:val="18"/>
          <w:i w:val="1"/>
          <w:iCs w:val="1"/>
          <w:color w:val="auto"/>
        </w:rPr>
        <w:t>exico tax audits</w:t>
      </w:r>
    </w:p>
    <w:p>
      <w:pPr>
        <w:spacing w:after="0" w:line="225"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3"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$2.19 billion Mexican pesos related to Income Tax, Flat Rate Business Tax and Value Added Tax, corresponding to fiscal year 2011 tax audit. We have consulted with an internationally recognized tax advisor and continue to believe this tax assessment is without merit. Therefore, we intend to file an administrative appeal challenging the MFM’s 2011 assessment on or before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the SAT’s central legal department in Mexico City on another tax matter (see footnote 11 regarding VAT refunds) indicating that they believe that our legal interpretation is accurate on a matter that is also central to the 2011 Assessment. We believe this recent ruling undermines the 2011 Assessment we received in April 2019. We believe we have the legal arguments and documentation to sustain the positions challenged by the MFM.</w:t>
      </w:r>
    </w:p>
    <w:p>
      <w:pPr>
        <w:spacing w:after="0" w:line="180" w:lineRule="exact"/>
        <w:rPr>
          <w:sz w:val="20"/>
          <w:szCs w:val="20"/>
          <w:color w:val="auto"/>
        </w:rPr>
      </w:pPr>
    </w:p>
    <w:p>
      <w:pPr>
        <w:jc w:val="both"/>
        <w:ind w:right="100" w:firstLine="259"/>
        <w:spacing w:after="0" w:line="293" w:lineRule="auto"/>
        <w:rPr>
          <w:sz w:val="20"/>
          <w:szCs w:val="20"/>
          <w:color w:val="auto"/>
        </w:rPr>
      </w:pPr>
      <w:r>
        <w:rPr>
          <w:rFonts w:ascii="Arial" w:cs="Arial" w:eastAsia="Arial" w:hAnsi="Arial"/>
          <w:sz w:val="16"/>
          <w:szCs w:val="16"/>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the SAT through working meetings attended by representatives of the SAT, CDM and the PRODECON. However, we were unable to materially resolve our case with the SAT through the PRODECON process.</w:t>
      </w:r>
    </w:p>
    <w:p>
      <w:pPr>
        <w:spacing w:after="0" w:line="170"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$2.62 billion Mexican pesos related to Income Tax, Flat Rate Business Tax, and Value Added Tax, related to this fiscal 2013 tax audit. Additionally, the tax authorities have determined an employee’s profit sharing liability, totaling approximately $118 million Mexican pesos.</w:t>
      </w:r>
    </w:p>
    <w:p>
      <w:pPr>
        <w:spacing w:after="0" w:line="187" w:lineRule="exact"/>
        <w:rPr>
          <w:sz w:val="20"/>
          <w:szCs w:val="20"/>
          <w:color w:val="auto"/>
        </w:rPr>
      </w:pPr>
    </w:p>
    <w:p>
      <w:pPr>
        <w:ind w:right="140" w:firstLine="259"/>
        <w:spacing w:after="0" w:line="291" w:lineRule="auto"/>
        <w:rPr>
          <w:sz w:val="20"/>
          <w:szCs w:val="20"/>
          <w:color w:val="auto"/>
        </w:rPr>
      </w:pPr>
      <w:r>
        <w:rPr>
          <w:rFonts w:ascii="Arial" w:cs="Arial" w:eastAsia="Arial" w:hAnsi="Arial"/>
          <w:sz w:val="16"/>
          <w:szCs w:val="16"/>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Here,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VAT refunds) indicating that they believe that our legal interpretation is accurate on a matter that is also central to the 2013 Assessment. We believe this recent ruling significantly undermines the 2013 Assessment we received in July 2018.</w:t>
      </w:r>
    </w:p>
    <w:p>
      <w:pPr>
        <w:spacing w:after="0" w:line="167" w:lineRule="exact"/>
        <w:rPr>
          <w:sz w:val="20"/>
          <w:szCs w:val="20"/>
          <w:color w:val="auto"/>
        </w:rPr>
      </w:pPr>
    </w:p>
    <w:p>
      <w:pPr>
        <w:ind w:right="900" w:firstLine="259"/>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and realized net loss on Limoneira Stock</w:t>
      </w:r>
    </w:p>
    <w:p>
      <w:pPr>
        <w:spacing w:after="0" w:line="212"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In January 2016, the FASB issued an ASU, which requires equity investments (except those accounted for under the equity method of accounting) to be measured at fair value with changes in fair value recognized in net income. The guidance is effective for fiscal years and interim period within those fiscal years beginning after December 15, 2017. The Company adopted this new standard at the beginning of fiscal 2019. With the adoption of this new standard, we reclassed unrealized gains of $12.1 million in accumulated other comprehensive income to retained earnings as of November 1, 2018. Additionally, for the six months ended April 30, 2019, we sold 51,271 shares of Limoneira stock and recorded a loss of $0.1 million in our consolidated statements of income. Limoneira’s stock price at April 30, 2019, January 31, 2019 and October 31, 2018 equaled $22.84 per share, $22.03 per share, and $24.65 per share. Our remaining shares of Limoneira stock, totaling 1,677,299, were revalued to $22.84 per share at April 30, 2019 and, as a result, we recorded a gain of $1.4 million for the three months ended April 30, 2019 and we recorded a loss of $3.0 million for the six months ended April 30, 2019 in our consolidated statements of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to Credit Agreement</w:t>
      </w:r>
    </w:p>
    <w:p>
      <w:pPr>
        <w:spacing w:after="0" w:line="212"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Effective March 1, 2019, we entered into a Second Amendment to Credit Agreement (the “Second Amendment”) with Farm Credit West, PCA, and Bank of America, N.A., relating to our Credit Agreement dated as of June 14, 2016 and the First Amendment to Credit Agreement dated as of August 29, 2016. The Second Amendment, among other things, excludes financial results of FreshRealm from Calavo’s financial reporting requirements and covenant calculations and provides flexibility in making investments in joint ventures and non-wholly owned subsidiaries of Calavo.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Temecula, California Packinghouse</w:t>
      </w:r>
    </w:p>
    <w:p>
      <w:pPr>
        <w:spacing w:after="0" w:line="212"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In April 2019, we sold our Temecula, California packinghouse for $7.1 million in cash ($6.7 million, net of transaction costs (primarily sales commissions) totaling $0.4 million)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and recorded a deferred gain of $4.5 million, which will be recognized over the life of the lease (i.e. straight-line over 15 years).</w:t>
      </w:r>
    </w:p>
    <w:p>
      <w:pPr>
        <w:spacing w:after="0" w:line="176"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In connection with the leaseback of this packinghouse, we calculated the present value of the minimum lease payments related to the building and have capitalized $3.3 million as a capital lease in our property, plant and equipment and recorded $3.3 million as a lease obligation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20" w:firstLine="259"/>
        <w:spacing w:after="0" w:line="258" w:lineRule="auto"/>
        <w:rPr>
          <w:sz w:val="20"/>
          <w:szCs w:val="20"/>
          <w:color w:val="auto"/>
        </w:rPr>
      </w:pPr>
      <w:r>
        <w:rPr>
          <w:rFonts w:ascii="Arial" w:cs="Arial" w:eastAsia="Arial" w:hAnsi="Arial"/>
          <w:sz w:val="18"/>
          <w:szCs w:val="18"/>
          <w:color w:val="auto"/>
        </w:rPr>
        <w:t>The following table summarizes our net sales by business segment for each of the three and six months ended April 30,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rPr>
              <w:t>Three months ended April 30,</w:t>
            </w:r>
          </w:p>
        </w:tc>
        <w:tc>
          <w:tcPr>
            <w:tcW w:w="260" w:type="dxa"/>
            <w:vAlign w:val="bottom"/>
          </w:tcPr>
          <w:p>
            <w:pPr>
              <w:spacing w:after="0"/>
              <w:rPr>
                <w:sz w:val="14"/>
                <w:szCs w:val="14"/>
                <w:color w:val="auto"/>
              </w:rPr>
            </w:pPr>
          </w:p>
        </w:tc>
        <w:tc>
          <w:tcPr>
            <w:tcW w:w="2680" w:type="dxa"/>
            <w:vAlign w:val="bottom"/>
            <w:gridSpan w:val="7"/>
          </w:tcPr>
          <w:p>
            <w:pPr>
              <w:ind w:left="36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Change</w:t>
            </w: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$150,935</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9.4 % $137,935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$267,789</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2.7 % $260,720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RFG</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113,992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9.0 %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104,557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233,056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10.6 %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210,663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286,236</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264,405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544,268</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512,333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a percentage of net sales:</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1700" w:type="dxa"/>
            <w:vAlign w:val="bottom"/>
            <w:gridSpan w:val="2"/>
          </w:tcPr>
          <w:p>
            <w:pPr>
              <w:jc w:val="right"/>
              <w:ind w:right="710"/>
              <w:spacing w:after="0"/>
              <w:rPr>
                <w:sz w:val="20"/>
                <w:szCs w:val="20"/>
                <w:color w:val="auto"/>
              </w:rPr>
            </w:pPr>
            <w:r>
              <w:rPr>
                <w:rFonts w:ascii="Arial" w:cs="Arial" w:eastAsia="Arial" w:hAnsi="Arial"/>
                <w:sz w:val="18"/>
                <w:szCs w:val="18"/>
                <w:color w:val="auto"/>
              </w:rPr>
              <w:t>52.7 %</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52.2 %</w:t>
            </w:r>
          </w:p>
        </w:tc>
        <w:tc>
          <w:tcPr>
            <w:tcW w:w="1700" w:type="dxa"/>
            <w:vAlign w:val="bottom"/>
            <w:gridSpan w:val="2"/>
          </w:tcPr>
          <w:p>
            <w:pPr>
              <w:jc w:val="right"/>
              <w:ind w:right="730"/>
              <w:spacing w:after="0"/>
              <w:rPr>
                <w:sz w:val="20"/>
                <w:szCs w:val="20"/>
                <w:color w:val="auto"/>
              </w:rPr>
            </w:pPr>
            <w:r>
              <w:rPr>
                <w:rFonts w:ascii="Arial" w:cs="Arial" w:eastAsia="Arial" w:hAnsi="Arial"/>
                <w:sz w:val="18"/>
                <w:szCs w:val="18"/>
                <w:color w:val="auto"/>
              </w:rPr>
              <w:t>49.2 %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50.9 %</w:t>
            </w:r>
          </w:p>
        </w:tc>
      </w:tr>
      <w:tr>
        <w:trPr>
          <w:trHeight w:val="216"/>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7.5 %</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8.3 %</w:t>
            </w:r>
          </w:p>
        </w:tc>
        <w:tc>
          <w:tcPr>
            <w:tcW w:w="17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8.0 %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8.0 %</w:t>
            </w: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RFG</w:t>
            </w:r>
          </w:p>
        </w:tc>
        <w:tc>
          <w:tcPr>
            <w:tcW w:w="1700" w:type="dxa"/>
            <w:vAlign w:val="bottom"/>
            <w:gridSpan w:val="2"/>
          </w:tcPr>
          <w:p>
            <w:pPr>
              <w:jc w:val="right"/>
              <w:ind w:right="710"/>
              <w:spacing w:after="0"/>
              <w:rPr>
                <w:sz w:val="20"/>
                <w:szCs w:val="20"/>
                <w:color w:val="auto"/>
              </w:rPr>
            </w:pPr>
            <w:r>
              <w:rPr>
                <w:rFonts w:ascii="Arial" w:cs="Arial" w:eastAsia="Arial" w:hAnsi="Arial"/>
                <w:sz w:val="18"/>
                <w:szCs w:val="18"/>
                <w:color w:val="auto"/>
              </w:rPr>
              <w:t>39.8 %</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39.5 %</w:t>
            </w:r>
          </w:p>
        </w:tc>
        <w:tc>
          <w:tcPr>
            <w:tcW w:w="1700" w:type="dxa"/>
            <w:vAlign w:val="bottom"/>
            <w:gridSpan w:val="2"/>
          </w:tcPr>
          <w:p>
            <w:pPr>
              <w:jc w:val="right"/>
              <w:ind w:right="730"/>
              <w:spacing w:after="0"/>
              <w:rPr>
                <w:sz w:val="20"/>
                <w:szCs w:val="20"/>
                <w:color w:val="auto"/>
              </w:rPr>
            </w:pPr>
            <w:r>
              <w:rPr>
                <w:rFonts w:ascii="Arial" w:cs="Arial" w:eastAsia="Arial" w:hAnsi="Arial"/>
                <w:sz w:val="18"/>
                <w:szCs w:val="18"/>
                <w:color w:val="auto"/>
              </w:rPr>
              <w:t>42.8 %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41.1 %</w:t>
            </w:r>
          </w:p>
        </w:tc>
      </w:tr>
      <w:tr>
        <w:trPr>
          <w:trHeight w:val="217"/>
        </w:trPr>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sales for the three months ended April 30, 2019, compared to the corresponding period in fiscal 2018, increased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$21.8 million, or approximately 8%. The increase in sales, when compared to the same corresponding prior year periods,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related to gains in the Fresh products segment and RFG, partially offset by a decline in Calavo Foods. Net sales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six months ended April 30, 2019, compared to the corresponding period in fiscal 2018, increased by $31.9 million,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 with gains in all three segments.</w:t>
      </w:r>
    </w:p>
    <w:p>
      <w:pPr>
        <w:spacing w:after="0" w:line="211"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For the quarter ended April 30, 2019, our Fresh products segment had our largest percentage increase in sales, followed by our RFG segment. Calavo Foods decreased, as shown above. The increase in Fresh products sales was due primarily to an increase in sales of avocados and tomatoes. The increase in RFG sales was due primarily to increased sales from fresh-cut fruit &amp; vegetables and prepared foods products. The decrease in Calavo Foods was due primarily to a decrease in pounds sold of prepared avocado products. See discussion below for further details.</w:t>
      </w:r>
    </w:p>
    <w:p>
      <w:pPr>
        <w:spacing w:after="0" w:line="173" w:lineRule="exact"/>
        <w:rPr>
          <w:sz w:val="20"/>
          <w:szCs w:val="20"/>
          <w:color w:val="auto"/>
        </w:rPr>
      </w:pPr>
    </w:p>
    <w:p>
      <w:pPr>
        <w:ind w:right="320" w:firstLine="259"/>
        <w:spacing w:after="0" w:line="257" w:lineRule="auto"/>
        <w:rPr>
          <w:sz w:val="20"/>
          <w:szCs w:val="20"/>
          <w:color w:val="auto"/>
        </w:rPr>
      </w:pPr>
      <w:r>
        <w:rPr>
          <w:rFonts w:ascii="Arial" w:cs="Arial" w:eastAsia="Arial" w:hAnsi="Arial"/>
          <w:sz w:val="18"/>
          <w:szCs w:val="18"/>
          <w:color w:val="auto"/>
        </w:rPr>
        <w:t>For the six months ended April 30, 2019, RFG had our largest percentage increase in sales, followed by Calavo Foods and our Fresh products segment. The increase in RFG sales was due primarily to increased sales from fresh-cut fruit &amp; vegetables and prepared foods products. The increase in Fresh products sales was due primarily to an increase in sales of avocados and tomatoes. The increase in Calavo Foods sales was due primarily to increased sales of our prepared avocado products. See discussion below for further details.</w:t>
      </w:r>
    </w:p>
    <w:p>
      <w:pPr>
        <w:spacing w:after="0" w:line="188" w:lineRule="exact"/>
        <w:rPr>
          <w:sz w:val="20"/>
          <w:szCs w:val="20"/>
          <w:color w:val="auto"/>
        </w:rPr>
      </w:pPr>
    </w:p>
    <w:p>
      <w:pPr>
        <w:ind w:right="420" w:firstLine="25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fruit sourced in any particular quarter. All intercompany sales are eliminated in our consolidated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Second Quarter 2019 vs. Second Quarter 2018</w:t>
      </w:r>
    </w:p>
    <w:p>
      <w:pPr>
        <w:spacing w:after="0" w:line="225" w:lineRule="exact"/>
        <w:rPr>
          <w:sz w:val="20"/>
          <w:szCs w:val="20"/>
          <w:color w:val="auto"/>
        </w:rPr>
      </w:pPr>
    </w:p>
    <w:p>
      <w:pPr>
        <w:ind w:right="440" w:firstLine="259"/>
        <w:spacing w:after="0" w:line="286" w:lineRule="auto"/>
        <w:rPr>
          <w:sz w:val="20"/>
          <w:szCs w:val="20"/>
          <w:color w:val="auto"/>
        </w:rPr>
      </w:pPr>
      <w:r>
        <w:rPr>
          <w:rFonts w:ascii="Arial" w:cs="Arial" w:eastAsia="Arial" w:hAnsi="Arial"/>
          <w:sz w:val="17"/>
          <w:szCs w:val="17"/>
          <w:color w:val="auto"/>
        </w:rPr>
        <w:t>Net sales for the Fresh products business increased by approximately $13.0 million, or 9%, for the second quarter of fiscal 2019, when compared to the same period for fiscal 2018. This increase in Fresh product sales during the second quarter of fiscal 2019 was primarily related to increased sales of avocados and tomatoes.</w:t>
      </w:r>
    </w:p>
    <w:p>
      <w:pPr>
        <w:spacing w:after="0" w:line="166" w:lineRule="exact"/>
        <w:rPr>
          <w:sz w:val="20"/>
          <w:szCs w:val="20"/>
          <w:color w:val="auto"/>
        </w:rPr>
      </w:pPr>
    </w:p>
    <w:p>
      <w:pPr>
        <w:jc w:val="both"/>
        <w:ind w:right="160" w:firstLine="259"/>
        <w:spacing w:after="0" w:line="259" w:lineRule="auto"/>
        <w:rPr>
          <w:sz w:val="20"/>
          <w:szCs w:val="20"/>
          <w:color w:val="auto"/>
        </w:rPr>
      </w:pPr>
      <w:r>
        <w:rPr>
          <w:rFonts w:ascii="Arial" w:cs="Arial" w:eastAsia="Arial" w:hAnsi="Arial"/>
          <w:sz w:val="18"/>
          <w:szCs w:val="18"/>
          <w:color w:val="auto"/>
        </w:rPr>
        <w:t>Sales of avocados increased $7.5 million, or 6%, for the second quarter of 2019, when compared to the same prior year period. This increase in avocado sales was primarily due to a 7% increase in the in the volume of avocados sold during the quarter. Our average avocado sales price per carton declined by 1% compared to last years’ second quarter, however market prices increased substantially toward the end of the period.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Sales of tomatoes increased $6.5 million, or 84%, for the second quarter of 2019, when compared to the same prior year period. This increase in tomato sales was primarily due to an 81% increase in the volume of tomatoes sold during the quarter.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Six Months Ended 2019 vs. Six Months Ended 2018</w:t>
      </w:r>
    </w:p>
    <w:p>
      <w:pPr>
        <w:spacing w:after="0" w:line="225"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Net sales for the Fresh products business increased by approximately $7.1 million, or 3%, for the six months ended April 30, 2019, when compared to the same period for fiscal 2018. This increase in Fresh product sales during the first six months of fiscal 2019 was primarily related to increased sales of avocados and tomatoes.</w:t>
      </w:r>
    </w:p>
    <w:p>
      <w:pPr>
        <w:spacing w:after="0" w:line="181" w:lineRule="exact"/>
        <w:rPr>
          <w:sz w:val="20"/>
          <w:szCs w:val="20"/>
          <w:color w:val="auto"/>
        </w:rPr>
      </w:pPr>
    </w:p>
    <w:p>
      <w:pPr>
        <w:jc w:val="both"/>
        <w:ind w:right="220" w:firstLine="259"/>
        <w:spacing w:after="0" w:line="286" w:lineRule="auto"/>
        <w:rPr>
          <w:sz w:val="20"/>
          <w:szCs w:val="20"/>
          <w:color w:val="auto"/>
        </w:rPr>
      </w:pPr>
      <w:r>
        <w:rPr>
          <w:rFonts w:ascii="Arial" w:cs="Arial" w:eastAsia="Arial" w:hAnsi="Arial"/>
          <w:sz w:val="17"/>
          <w:szCs w:val="17"/>
          <w:color w:val="auto"/>
        </w:rPr>
        <w:t>Sales of avocados increased $2.1 million, or 1%, for the six months ended April 30, 2019, when compared to the same prior year period. This increase in avocado sales was primarily due to a 7% increase in the in the volume of avocados sold during the six month period, offset by a decrease in the average sales prices per carton of 6%.</w:t>
      </w:r>
    </w:p>
    <w:p>
      <w:pPr>
        <w:spacing w:after="0" w:line="166" w:lineRule="exact"/>
        <w:rPr>
          <w:sz w:val="20"/>
          <w:szCs w:val="20"/>
          <w:color w:val="auto"/>
        </w:rPr>
      </w:pPr>
    </w:p>
    <w:p>
      <w:pPr>
        <w:jc w:val="both"/>
        <w:ind w:right="200" w:firstLine="259"/>
        <w:spacing w:after="0" w:line="286" w:lineRule="auto"/>
        <w:rPr>
          <w:sz w:val="20"/>
          <w:szCs w:val="20"/>
          <w:color w:val="auto"/>
        </w:rPr>
      </w:pPr>
      <w:r>
        <w:rPr>
          <w:rFonts w:ascii="Arial" w:cs="Arial" w:eastAsia="Arial" w:hAnsi="Arial"/>
          <w:sz w:val="17"/>
          <w:szCs w:val="17"/>
          <w:color w:val="auto"/>
        </w:rPr>
        <w:t>Sales of tomatoes increased $5.8 million, or 30%, for the six months ended April 30, 2019, when compared to the same prior year period. This increase in tomato sales was primarily due to a 40% increase in the in the volume of tomatoes sold during the six month period, partially offset by a 7% decrease in the sales prices per carton.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Second Quarter 2019 vs. Second Quarter 2018</w:t>
      </w:r>
    </w:p>
    <w:p>
      <w:pPr>
        <w:spacing w:after="0" w:line="225"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Sales for Calavo Foods for the quarter ended April 30, 2019, when compared to the same period for fiscal 2018, decreased $0.6 million, or 3%. Sales of prepared avocado products decreased by approximately $0.5 million, or 2%, for the quarter ended April 30, 2019, when compared to the same prior year period. This decrease was the result of a decrease in the total volume of pounds sold.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Six Months Ended 2019 vs. Six Months Ended 2018</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Sales for Calavo Foods for six months ended April 30, 2019, when compared to the same period for fiscal 2018, increased $2.5 million, or 6%. Sales of prepared avocado products increased by approximately $2.6 million, or 7%, for the six months ended April 30, 2019, when compared to the same prior year period. This increase was the result of both an increase in the total volume of pounds sold and an increase in the average sales price per pound.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Second Quarter 2019 vs. Second Quarter 2018</w:t>
      </w:r>
    </w:p>
    <w:p>
      <w:pPr>
        <w:spacing w:after="0" w:line="225"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Sales for RFG for the quarter ended April 30, 2019, when compared to the same period for fiscal 2018, increased $9.4 million, or 9%. The overall increase in sales is primarily due to higher sales volume from expanded retail partnerships in multiple geographies, most notably in a few regions in which the Company has added production capacity, including a partial quarter from RFG’s newest manufacturing facility in Atlanta, GA. Offsetting those increases were lower sales from one specific geographic region, which was adversely impacted by issues experienced at RFG’s co-packer servicing that specific geographic region.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Six Months Ended 2019 vs. Six Months Ended 2018</w:t>
      </w:r>
    </w:p>
    <w:p>
      <w:pPr>
        <w:spacing w:after="0" w:line="225" w:lineRule="exact"/>
        <w:rPr>
          <w:sz w:val="20"/>
          <w:szCs w:val="20"/>
          <w:color w:val="auto"/>
        </w:rPr>
      </w:pPr>
    </w:p>
    <w:p>
      <w:pPr>
        <w:ind w:right="280" w:firstLine="259"/>
        <w:spacing w:after="0" w:line="297" w:lineRule="auto"/>
        <w:rPr>
          <w:sz w:val="20"/>
          <w:szCs w:val="20"/>
          <w:color w:val="auto"/>
        </w:rPr>
      </w:pPr>
      <w:r>
        <w:rPr>
          <w:rFonts w:ascii="Arial" w:cs="Arial" w:eastAsia="Arial" w:hAnsi="Arial"/>
          <w:sz w:val="16"/>
          <w:szCs w:val="16"/>
          <w:color w:val="auto"/>
        </w:rPr>
        <w:t>Sales for RFG for the six months ended April 30, 2019, when compared to the same period for fiscal 2018, increased $22.4 million, or 11%. The overall increase in sales is primarily due to higher sales volume from expanded retail partnerships in multiple geographies, most notably in a few regions in which the Company has added production capacity. This increase was partially offset by impacts related to the FDA’s romaine lettuce advisory in November (which affected all manufacturing locations), issues experienced in Q2 at RFG’s co-packer servicing one specific</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geographic region, as well as raw material challenges that constrained output for certain key products during Q1 and a portion of Q2.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80" w:firstLine="259"/>
        <w:spacing w:after="0" w:line="258"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and six months ended April 30,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4"/>
                <w:szCs w:val="14"/>
                <w:color w:val="auto"/>
              </w:rPr>
            </w:pPr>
          </w:p>
        </w:tc>
        <w:tc>
          <w:tcPr>
            <w:tcW w:w="2540" w:type="dxa"/>
            <w:vAlign w:val="bottom"/>
            <w:gridSpan w:val="7"/>
          </w:tcPr>
          <w:p>
            <w:pPr>
              <w:ind w:left="28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7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66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7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$27,766</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83.6 % $15,120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$48,556</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65.3 % $29,377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RFG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2,751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6,366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(58.6)%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15,375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gross profit</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36,837</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31,969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67,674</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58,279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percentages:</w:t>
            </w:r>
          </w:p>
        </w:tc>
        <w:tc>
          <w:tcPr>
            <w:tcW w:w="2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280" w:type="dxa"/>
            <w:vAlign w:val="bottom"/>
          </w:tcPr>
          <w:p>
            <w:pPr>
              <w:jc w:val="right"/>
              <w:ind w:right="470"/>
              <w:spacing w:after="0"/>
              <w:rPr>
                <w:sz w:val="20"/>
                <w:szCs w:val="20"/>
                <w:color w:val="auto"/>
              </w:rPr>
            </w:pPr>
            <w:r>
              <w:rPr>
                <w:rFonts w:ascii="Arial" w:cs="Arial" w:eastAsia="Arial" w:hAnsi="Arial"/>
                <w:sz w:val="18"/>
                <w:szCs w:val="18"/>
                <w:color w:val="auto"/>
              </w:rPr>
              <w:t>18.4 %</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11.0 %</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18.1 %</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11.3 %</w:t>
            </w: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22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29.7 %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34.5 %</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29.4 %</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33.0 %</w:t>
            </w: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RFG</w:t>
            </w:r>
          </w:p>
        </w:tc>
        <w:tc>
          <w:tcPr>
            <w:tcW w:w="2280" w:type="dxa"/>
            <w:vAlign w:val="bottom"/>
          </w:tcPr>
          <w:p>
            <w:pPr>
              <w:jc w:val="right"/>
              <w:ind w:right="470"/>
              <w:spacing w:after="0"/>
              <w:rPr>
                <w:sz w:val="20"/>
                <w:szCs w:val="20"/>
                <w:color w:val="auto"/>
              </w:rPr>
            </w:pPr>
            <w:r>
              <w:rPr>
                <w:rFonts w:ascii="Arial" w:cs="Arial" w:eastAsia="Arial" w:hAnsi="Arial"/>
                <w:sz w:val="18"/>
                <w:szCs w:val="18"/>
                <w:color w:val="auto"/>
              </w:rPr>
              <w:t>2.4 %</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8.9 %</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2.7 %</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7.3 %</w:t>
            </w: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12.9 %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12.1 %</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12.4 %</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140" w:firstLine="259"/>
        <w:spacing w:after="0" w:line="290" w:lineRule="auto"/>
        <w:rPr>
          <w:sz w:val="20"/>
          <w:szCs w:val="20"/>
          <w:color w:val="auto"/>
        </w:rPr>
      </w:pPr>
      <w:r>
        <w:rPr>
          <w:rFonts w:ascii="Arial" w:cs="Arial" w:eastAsia="Arial" w:hAnsi="Arial"/>
          <w:sz w:val="16"/>
          <w:szCs w:val="16"/>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$4.9 million, or 15%, for the second quarter of fiscal 2019, when compared to the same period for fiscal 2018. The increase was primarily attributable to gross profit increases in our Fresh products segment, partially offset by decreases in the RFG segment and the Calavo Foods segment. Gross profit increased by approximately $9.4 million, or 16%, for the first six months of fiscal 2019, when compared to the same period for fiscal 2018. The increase was primarily attributable to gross profit increases in our Fresh products segment, partially offset by decreases in the RFG segment and the Calavo Foods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right="160" w:firstLine="259"/>
        <w:spacing w:after="0" w:line="271" w:lineRule="auto"/>
        <w:rPr>
          <w:sz w:val="20"/>
          <w:szCs w:val="20"/>
          <w:color w:val="auto"/>
        </w:rPr>
      </w:pPr>
      <w:r>
        <w:rPr>
          <w:rFonts w:ascii="Arial" w:cs="Arial" w:eastAsia="Arial" w:hAnsi="Arial"/>
          <w:sz w:val="17"/>
          <w:szCs w:val="17"/>
          <w:color w:val="auto"/>
        </w:rPr>
        <w:t>During our three months ended April 30, 2019, as compared to the same prior year period, the increase in our Fresh products segment gross profit percentage was the result of increased profit for avocados. For the second quarter ended April 30, 2019, compared to the same prior year period, the gross profit percentage for avocados increased to 19.4% in 2019 from 11.0% in 2018. The increase was primarily related to our strength in fresh avocado sourcing, production and sales management during a period of strong consumer demand. In addition, the U.S. Dollar to Mexican Peso exchange rate was stronger in the second quarter 2019, when compared to the same prior year period. Note that any significant fluctuations in the exchange rate between the U.S. Dollar and the Mexican Peso may have a material impact on future gross profits for our Fresh products segment.</w:t>
      </w:r>
    </w:p>
    <w:p>
      <w:pPr>
        <w:spacing w:after="0" w:line="179" w:lineRule="exact"/>
        <w:rPr>
          <w:sz w:val="20"/>
          <w:szCs w:val="20"/>
          <w:color w:val="auto"/>
        </w:rPr>
      </w:pPr>
    </w:p>
    <w:p>
      <w:pPr>
        <w:ind w:right="100" w:firstLine="259"/>
        <w:spacing w:after="0" w:line="254" w:lineRule="auto"/>
        <w:rPr>
          <w:sz w:val="20"/>
          <w:szCs w:val="20"/>
          <w:color w:val="auto"/>
        </w:rPr>
      </w:pPr>
      <w:r>
        <w:rPr>
          <w:rFonts w:ascii="Arial" w:cs="Arial" w:eastAsia="Arial" w:hAnsi="Arial"/>
          <w:sz w:val="18"/>
          <w:szCs w:val="18"/>
          <w:color w:val="auto"/>
        </w:rPr>
        <w:t>During our six months ended April 30, 2019, as compared to the same prior year period, the increase in our Fresh products segment gross profit percentage was the result of increased profit for avocados. For the six months ended April 30, 2019, compared to the same prior year period, the gross profit percentage for avocados increased to 19.1% in 2019 from 11.3% in 2018. The increase was primarily related to our strength in fresh avocado sourcing, production and sales management during the six month period. In addition, the U.S. Dollar to Mexican Peso exchange rate was stronger in the second quarter 2019, when compared to the same prior year period. Note that any significant fluctuations in the exchange rate between the U.S. Dollar and the Mexican Peso may have a material impact on future gross profits for our Fresh products segment.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right="140" w:firstLine="259"/>
        <w:spacing w:after="0" w:line="291" w:lineRule="auto"/>
        <w:rPr>
          <w:sz w:val="20"/>
          <w:szCs w:val="20"/>
          <w:color w:val="auto"/>
        </w:rPr>
      </w:pPr>
      <w:r>
        <w:rPr>
          <w:rFonts w:ascii="Arial" w:cs="Arial" w:eastAsia="Arial" w:hAnsi="Arial"/>
          <w:sz w:val="16"/>
          <w:szCs w:val="16"/>
          <w:color w:val="auto"/>
        </w:rPr>
        <w:t>Calavo Foods gross profit percentage decreased to 29.7% from 34.5% of net sales, during our three months ended April 30, 2019 compared to the same prior year period; however, gross profit percentage was slightly higher on a sequential basis (relative to our first fiscal quarter ended January 31, 2019). Calavo Foods gross profit percentage decreased to 29.4% from 33.0% of net sales, during our six months ended April 30, 2019 compared to the same prior year periods. The decrease in Calavo Foods gross profit percentage was due primarily to higher production, raw material costs and freight costs during the period. Note that any significant fluctuation in the cost of fruit used in the production process or the exchange rate between the U.S. Dollar and the Mexican Peso may have a material impact on future gross profit for our Calavo Foods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RFG’s gross profit percentage for the quarter ended April 30, 2019 was 2.4%, compared to 8.9% in the same prior year period. RFG’s gross profit percentage for the six months ended April 30, 2019 was 2.7%, compared to 7.3% in the same prior year period. The raw material issues described in detail during Q1 continued into a portion of Q2, though in general conditions improved as the second quarter progressed. Additionally, sales and gross profit in one specific geographic region served by RFG were significantly constrained in Q2 as a result of issues experienced at RFG’s co-packer servicing that region. Further, RFG had approximately $1.1 million in pre-opening cost related to the new Pacific Northwest production facility during the six months ended April 30,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 April 30,</w:t>
            </w:r>
          </w:p>
        </w:tc>
        <w:tc>
          <w:tcPr>
            <w:tcW w:w="40" w:type="dxa"/>
            <w:vAlign w:val="bottom"/>
          </w:tcPr>
          <w:p>
            <w:pPr>
              <w:spacing w:after="0"/>
              <w:rPr>
                <w:sz w:val="14"/>
                <w:szCs w:val="14"/>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Six months ended April 30,</w:t>
            </w:r>
          </w:p>
        </w:tc>
      </w:tr>
      <w:tr>
        <w:trPr>
          <w:trHeight w:val="142"/>
        </w:trPr>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3"/>
              </w:rPr>
              <w:t>Change</w:t>
            </w:r>
          </w:p>
        </w:tc>
        <w:tc>
          <w:tcPr>
            <w:tcW w:w="7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89"/>
              </w:rPr>
              <w:t>Change</w:t>
            </w:r>
          </w:p>
        </w:tc>
        <w:tc>
          <w:tcPr>
            <w:tcW w:w="7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2"/>
                <w:szCs w:val="12"/>
                <w:color w:val="auto"/>
              </w:rPr>
            </w:pPr>
          </w:p>
        </w:tc>
        <w:tc>
          <w:tcPr>
            <w:tcW w:w="252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$ 15,657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$ 12,875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1"/>
              </w:rPr>
              <w:t>$ 29,933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$ 28,392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7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7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5.5 %</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Selling, general and administrative expenses of $15.7 million for the three months ended April 30, 2019 include costs of marketing and advertising, sales expenses (including broker commissions) and other general and administrative</w:t>
      </w:r>
    </w:p>
    <w:p>
      <w:pPr>
        <w:ind w:right="60"/>
        <w:spacing w:after="0" w:line="273" w:lineRule="auto"/>
        <w:rPr>
          <w:sz w:val="20"/>
          <w:szCs w:val="20"/>
          <w:color w:val="auto"/>
        </w:rPr>
      </w:pPr>
      <w:r>
        <w:rPr>
          <w:rFonts w:ascii="Arial" w:cs="Arial" w:eastAsia="Arial" w:hAnsi="Arial"/>
          <w:sz w:val="17"/>
          <w:szCs w:val="17"/>
          <w:color w:val="auto"/>
        </w:rPr>
        <w:t>costs. Selling, general and administrative expenses increased by $2.8 million, or 21.6%, for the three months ended April 30, 2019, when compared to the same period for fiscal 2018. This increase was primarily related to an increase in accrued management bonuses (approximately $1.8 million), transaction costs, including sales commission, related to the sale of the Temecula packinghouse (approximately $0.4 million), and salaries (approximately $0.2 million).</w:t>
      </w:r>
    </w:p>
    <w:p>
      <w:pPr>
        <w:spacing w:after="0" w:line="177" w:lineRule="exact"/>
        <w:rPr>
          <w:sz w:val="20"/>
          <w:szCs w:val="20"/>
          <w:color w:val="auto"/>
        </w:rPr>
      </w:pPr>
    </w:p>
    <w:p>
      <w:pPr>
        <w:ind w:right="360" w:firstLine="225"/>
        <w:spacing w:after="0" w:line="291" w:lineRule="auto"/>
        <w:rPr>
          <w:sz w:val="20"/>
          <w:szCs w:val="20"/>
          <w:color w:val="auto"/>
        </w:rPr>
      </w:pPr>
      <w:r>
        <w:rPr>
          <w:rFonts w:ascii="Arial" w:cs="Arial" w:eastAsia="Arial" w:hAnsi="Arial"/>
          <w:sz w:val="16"/>
          <w:szCs w:val="16"/>
          <w:color w:val="auto"/>
        </w:rPr>
        <w:t>Selling, general and administrative expenses of $29.9 million for the six months ended April 30, 2019 include costs of marketing and advertising, sales expenses (including broker commissions) and other general and administrative</w:t>
      </w:r>
    </w:p>
    <w:p>
      <w:pPr>
        <w:ind w:right="140"/>
        <w:spacing w:after="0" w:line="252" w:lineRule="auto"/>
        <w:rPr>
          <w:sz w:val="20"/>
          <w:szCs w:val="20"/>
          <w:color w:val="auto"/>
        </w:rPr>
      </w:pPr>
      <w:r>
        <w:rPr>
          <w:rFonts w:ascii="Arial" w:cs="Arial" w:eastAsia="Arial" w:hAnsi="Arial"/>
          <w:sz w:val="18"/>
          <w:szCs w:val="18"/>
          <w:color w:val="auto"/>
        </w:rPr>
        <w:t>costs. Selling, general and administrative expenses increased by $1.5 million, or 5.4%, for the six months ended April 30, 2019, when compared to the same period for fiscal 2018. This increase was primarily related to an increase in accrued management bonuses (approximately $1.8 million), and transaction costs, including sales commission, related to the sale of the Temecula packinghouse (approximately $0.4 million), partially offset by a decrease of $0.9 million due to senior management transition expenses recognized in the first quarter of fiscal 2018 related to the stock grant issued to two officers who retired.</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unconsolidated entities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 April 30,</w:t>
            </w:r>
          </w:p>
        </w:tc>
        <w:tc>
          <w:tcPr>
            <w:tcW w:w="60" w:type="dxa"/>
            <w:vAlign w:val="bottom"/>
          </w:tcPr>
          <w:p>
            <w:pPr>
              <w:spacing w:after="0"/>
              <w:rPr>
                <w:sz w:val="14"/>
                <w:szCs w:val="14"/>
                <w:color w:val="auto"/>
              </w:rPr>
            </w:pPr>
          </w:p>
        </w:tc>
        <w:tc>
          <w:tcPr>
            <w:tcW w:w="2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Six months ended April 30,</w:t>
            </w:r>
          </w:p>
        </w:tc>
      </w:tr>
      <w:tr>
        <w:trPr>
          <w:trHeight w:val="142"/>
        </w:trPr>
        <w:tc>
          <w:tcPr>
            <w:tcW w:w="3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Change</w:t>
            </w:r>
          </w:p>
        </w:tc>
        <w:tc>
          <w:tcPr>
            <w:tcW w:w="6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Change</w:t>
            </w: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2"/>
          </w:tcPr>
          <w:p>
            <w:pPr>
              <w:jc w:val="center"/>
              <w:ind w:left="36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unconsolidated entities</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$(3,136)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864.9 % $(325)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$(9,434)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7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680" w:type="dxa"/>
            <w:vAlign w:val="bottom"/>
            <w:gridSpan w:val="2"/>
          </w:tcPr>
          <w:p>
            <w:pPr>
              <w:jc w:val="right"/>
              <w:ind w:right="108"/>
              <w:spacing w:after="0"/>
              <w:rPr>
                <w:sz w:val="20"/>
                <w:szCs w:val="20"/>
                <w:color w:val="auto"/>
              </w:rPr>
            </w:pPr>
            <w:r>
              <w:rPr>
                <w:rFonts w:ascii="Arial" w:cs="Arial" w:eastAsia="Arial" w:hAnsi="Arial"/>
                <w:sz w:val="18"/>
                <w:szCs w:val="18"/>
                <w:color w:val="auto"/>
              </w:rPr>
              <w:t>(1.7)</w:t>
            </w:r>
          </w:p>
        </w:tc>
        <w:tc>
          <w:tcPr>
            <w:tcW w:w="1260" w:type="dxa"/>
            <w:vAlign w:val="bottom"/>
          </w:tcPr>
          <w:p>
            <w:pPr>
              <w:jc w:val="right"/>
              <w:ind w:right="1036"/>
              <w:spacing w:after="0"/>
              <w:rPr>
                <w:sz w:val="20"/>
                <w:szCs w:val="20"/>
                <w:color w:val="auto"/>
              </w:rPr>
            </w:pPr>
            <w:r>
              <w:rPr>
                <w:rFonts w:ascii="Arial" w:cs="Arial" w:eastAsia="Arial" w:hAnsi="Arial"/>
                <w:sz w:val="18"/>
                <w:szCs w:val="18"/>
                <w:color w:val="auto"/>
                <w:w w:val="74"/>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0.1 %</w:t>
            </w:r>
          </w:p>
        </w:tc>
      </w:tr>
    </w:tbl>
    <w:p>
      <w:pPr>
        <w:spacing w:after="0" w:line="18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Income (loss) from unconsolidated entities includes our allocation of earnings or losses from our investments in FreshRealm and Don Memo. For the three months ended April 30, 2019, we recognized $0.4 million of losses related to Don Memo compared to $0.3 million in the three months ended April 30, 2018. For the six months ended April 30, 2019, we recognized $0.2 million of income related to Don Memo compared to $0.3 million of income in the prior comparable period. For the three months ended April 30, 2019, we recognized $2.7 million of losses related to FreshRealm. For the six months ended April 30, 2019, we recognized $9.6 million of losses related to FreshRealm. While we are unable to determine with certainty the future operating results of FreshRealm and future non-Calavo investments, if any, we anticipate recording additional non-cash losses from FreshRealm during the remainder of fiscal 2019. As a result of FreshRealm’s recent change in tax status (described earlier), we expect that future operating results for FreshRealm will be allocated to its owners based on ownership percentage, (as of April 30, 2019 our ownership was approximately 37%). As of April 30, 2019, our total investment in and loan balance to Freshrealm was approximately $10.3 million, and $24.7 million, respectively. See Note 13 in our consolidated financial statements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 April 30,</w:t>
            </w:r>
          </w:p>
        </w:tc>
        <w:tc>
          <w:tcPr>
            <w:tcW w:w="60" w:type="dxa"/>
            <w:vAlign w:val="bottom"/>
          </w:tcPr>
          <w:p>
            <w:pPr>
              <w:spacing w:after="0"/>
              <w:rPr>
                <w:sz w:val="14"/>
                <w:szCs w:val="14"/>
                <w:color w:val="auto"/>
              </w:rPr>
            </w:pPr>
          </w:p>
        </w:tc>
        <w:tc>
          <w:tcPr>
            <w:tcW w:w="25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3"/>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Change</w:t>
            </w:r>
          </w:p>
        </w:tc>
        <w:tc>
          <w:tcPr>
            <w:tcW w:w="6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17.0 % $4,764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$7,106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$9,066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Effective tax rate</w:t>
            </w:r>
          </w:p>
        </w:tc>
        <w:tc>
          <w:tcPr>
            <w:tcW w:w="1960" w:type="dxa"/>
            <w:vAlign w:val="bottom"/>
            <w:gridSpan w:val="3"/>
          </w:tcPr>
          <w:p>
            <w:pPr>
              <w:jc w:val="right"/>
              <w:ind w:right="80"/>
              <w:spacing w:after="0"/>
              <w:rPr>
                <w:sz w:val="20"/>
                <w:szCs w:val="20"/>
                <w:color w:val="auto"/>
              </w:rPr>
            </w:pPr>
            <w:r>
              <w:rPr>
                <w:rFonts w:ascii="Arial" w:cs="Arial" w:eastAsia="Arial" w:hAnsi="Arial"/>
                <w:sz w:val="18"/>
                <w:szCs w:val="18"/>
                <w:color w:val="auto"/>
              </w:rPr>
              <w:t>25.5 %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25.4 %</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25.5 %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259"/>
        <w:spacing w:after="0" w:line="270" w:lineRule="auto"/>
        <w:rPr>
          <w:sz w:val="20"/>
          <w:szCs w:val="20"/>
          <w:color w:val="auto"/>
        </w:rPr>
      </w:pPr>
      <w:r>
        <w:rPr>
          <w:rFonts w:ascii="Arial" w:cs="Arial" w:eastAsia="Arial" w:hAnsi="Arial"/>
          <w:sz w:val="17"/>
          <w:szCs w:val="17"/>
          <w:color w:val="auto"/>
        </w:rPr>
        <w:t xml:space="preserve">Our tax provision is determined using an estimated annual effective tax rate and adjusted for discrete taxable events that may occur during the quarter. In the first quarter ended in fiscal 2019 and 2018, we recorded an income tax benefit of approximately $0.1 million and $0.4 million, pursuant to ASU 2016-09,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In addition, in the first quarter of fiscal 2018, we recorded $1.7 million in one-time, non-cash charges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revaluation of our net deferred tax assets (approx. $1.4 million) and the transition tax on the deemed repatriation of foreign earnings (approx. $0.3 million). We recognize the effects of tax legislation in the period in which the law is enacted. Our deferred tax assets and liabilities are remeasured using enacted tax rates expected to apply to taxable income in the years we estimate the related temporary differences to reverse based on the Tax Act and a change accelerating certain tax deductions on our 2017 federal tax return.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Cash provided by operating activities was $26.6 million for the six months ended April 30, 2019, compared to cash provided by operating activities of $21.2 million for the similar period in fiscal 2018. Cash provided by operating activities for the six months ended April 30, 2019 reflect primarily our net income of $20.8 million, non-cash activities (depreciation and amortization, stock-based compensation expense, deferred taxes, (loss)/income from unconsolidated entities net losses on Limoneira shares, interest income on loans to FreshRealm and gain on the sale of the Temecula packinghouse) of $18.3 million and a net decrease in the components of our operating capital of approximately $12.5 million.</w:t>
      </w:r>
    </w:p>
    <w:p>
      <w:pPr>
        <w:spacing w:after="0" w:line="165"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The working capital decrease results from an increase in accounts receivable of $17.3 million, an increase in inventory of $14.6 million, an increase in other assets of $3.7 million and an increase in prepaid expenses and other current assets of $0.4 million, partially offset by an increase in payable to growers of $11.6 million, a net increase in accounts payable and accrued expenses of $5.9 million, a decrease in income taxes receivable of $3.5 million, a decrease in advances to suppliers of $1.4 million, an increase of $0.5 million in deferred rent and a decrease of $0.4 million in income tax payable.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The increase in our accounts receivable, as of April 30, 2019 when compared to October 31, 2018, primarily reflects higher sales recorded in the month of April 2019 (due to higher avocado prices), as compared to October 2018. The increase in inventory is related to an increase in both the volume and cost of avocados on hand, an increase in frozen guacamole inventory pounds, and increased RFG inventories at April 30, 2019 when compared to October 31, 2018. The increase in other assets is due to an increase in long-term Mexican IVA tax receivable (see Note 11 to our consolidated condensed financial statements). The increase in prepaids and other current assets is due primarily to increased current Mexican IVA tax receivable. The increase in payable to growers primarily reflects an increase in our Mexican avocado grower liability related both to increased volume and higher avocado pricing. The increase in accounts payable and accrued expenses is primarily related to an increase in our payables related to RFG. The decrease in income taxes receivable is primarily related to the taxes on current year earnings. The decrease in advances to suppliers primarily reflects liabilities from Tomato sales that offset more pre-season advances in April 2019, compared to October 2018.</w:t>
      </w:r>
    </w:p>
    <w:p>
      <w:pPr>
        <w:spacing w:after="0" w:line="173" w:lineRule="exact"/>
        <w:rPr>
          <w:sz w:val="20"/>
          <w:szCs w:val="20"/>
          <w:color w:val="auto"/>
        </w:rPr>
      </w:pPr>
    </w:p>
    <w:p>
      <w:pPr>
        <w:ind w:right="100" w:firstLine="259"/>
        <w:spacing w:after="0" w:line="279" w:lineRule="auto"/>
        <w:rPr>
          <w:sz w:val="20"/>
          <w:szCs w:val="20"/>
          <w:color w:val="auto"/>
        </w:rPr>
      </w:pPr>
      <w:r>
        <w:rPr>
          <w:rFonts w:ascii="Arial" w:cs="Arial" w:eastAsia="Arial" w:hAnsi="Arial"/>
          <w:sz w:val="17"/>
          <w:szCs w:val="17"/>
          <w:color w:val="auto"/>
        </w:rPr>
        <w:t>Cash used in investing activities was $13.7 million for the six months ended April 30, 2019, which primarily related to loans to FreshRealm of $14.7 million, and property, plant and equipment purchases of $7.5 million, partially offset by proceeds received on the sale of the Temecula packinghouse of $7.1 million, by proceeds received on the sales of Limoneira stock of $1.2 million and proceeds received from the repayment of the San Rafael note of $0.2 million.</w:t>
      </w:r>
    </w:p>
    <w:p>
      <w:pPr>
        <w:spacing w:after="0" w:line="171" w:lineRule="exact"/>
        <w:rPr>
          <w:sz w:val="20"/>
          <w:szCs w:val="20"/>
          <w:color w:val="auto"/>
        </w:rPr>
      </w:pPr>
    </w:p>
    <w:p>
      <w:pPr>
        <w:jc w:val="both"/>
        <w:ind w:right="100" w:firstLine="259"/>
        <w:spacing w:after="0" w:line="286" w:lineRule="auto"/>
        <w:rPr>
          <w:sz w:val="20"/>
          <w:szCs w:val="20"/>
          <w:color w:val="auto"/>
        </w:rPr>
      </w:pPr>
      <w:r>
        <w:rPr>
          <w:rFonts w:ascii="Arial" w:cs="Arial" w:eastAsia="Arial" w:hAnsi="Arial"/>
          <w:sz w:val="17"/>
          <w:szCs w:val="17"/>
          <w:color w:val="auto"/>
        </w:rPr>
        <w:t>Cash used by financing activities was $7.1 million for the six months ended April 30, 2019, which related principally to the payment of our $17.6 million dividend and the payment of minimum withholding taxes on net share settlement of equity awards of $1.0 million, partially offset by the proceeds received on our credit facilities totaling $11.5 million.</w:t>
      </w:r>
    </w:p>
    <w:p>
      <w:pPr>
        <w:spacing w:after="0" w:line="84" w:lineRule="exact"/>
        <w:rPr>
          <w:sz w:val="20"/>
          <w:szCs w:val="20"/>
          <w:color w:val="auto"/>
        </w:rPr>
      </w:pPr>
    </w:p>
    <w:p>
      <w:pPr>
        <w:ind w:right="180" w:firstLine="259"/>
        <w:spacing w:after="0" w:line="297" w:lineRule="auto"/>
        <w:rPr>
          <w:sz w:val="20"/>
          <w:szCs w:val="20"/>
          <w:color w:val="auto"/>
        </w:rPr>
      </w:pPr>
      <w:r>
        <w:rPr>
          <w:rFonts w:ascii="Arial" w:cs="Arial" w:eastAsia="Arial" w:hAnsi="Arial"/>
          <w:sz w:val="16"/>
          <w:szCs w:val="16"/>
          <w:color w:val="auto"/>
        </w:rPr>
        <w:t>Our principal sources of liquidity are our existing cash balances, cash generated from operations and amounts available for borrowing under our existing Credit Facility. Cash and cash equivalents as of April 30, 2019 and October 31, 2018 totaled $7.4 million and $1.5 million. The cash balance as of April 30, 2019 includes approximately $6.7 million held in escrow by an exchange accommodator in connection with a possible 1031 exchange from the Temecula packinghouse sale. Our working capital at April 30, 2019 was $42.5 million, compared to $29.6 million at October 31, 2018.</w:t>
      </w:r>
    </w:p>
    <w:p>
      <w:pPr>
        <w:spacing w:after="0" w:line="77"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3.7% and 3.4% at April 30, 2019 and October 31, 2018. Under these credit facilities, we had $26.5 million and $15.0 million outstanding as April 30, 2019 and October 31, 2018.</w:t>
      </w:r>
    </w:p>
    <w:p>
      <w:pPr>
        <w:spacing w:after="0" w:line="183"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such covenants.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There have been no material changes to our contractual commitments, from those previously disclosed in our Annual Report on Form 10-K for our fiscal year ended October 31, 2018. For a summary of the contractual commitments at October 31, 2018, see Part II, Item 7, in our 2018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gridSpan w:val="2"/>
          </w:tcPr>
          <w:p>
            <w:pPr>
              <w:spacing w:after="0"/>
              <w:rPr>
                <w:sz w:val="20"/>
                <w:szCs w:val="20"/>
                <w:color w:val="auto"/>
              </w:rPr>
            </w:pPr>
            <w:r>
              <w:rPr>
                <w:rFonts w:ascii="Arial" w:cs="Arial" w:eastAsia="Arial" w:hAnsi="Arial"/>
                <w:sz w:val="14"/>
                <w:szCs w:val="14"/>
                <w:color w:val="auto"/>
              </w:rPr>
              <w:t>(All amounts in thousands)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4"/>
                <w:szCs w:val="14"/>
                <w:color w:val="auto"/>
              </w:rPr>
              <w:t>Expected maturity date April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color w:val="auto"/>
                <w:w w:val="89"/>
              </w:rPr>
              <w:t>2021</w:t>
            </w: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2022</w:t>
            </w: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2023</w:t>
            </w: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2024</w:t>
            </w:r>
          </w:p>
        </w:tc>
        <w:tc>
          <w:tcPr>
            <w:tcW w:w="16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auto"/>
                <w:w w:val="92"/>
              </w:rPr>
              <w:t>Thereafter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83,392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Payable to growers (1)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25,632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25,632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Current borrowings pursuant to credit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facilities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26,500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26,500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Fixed-rate long-term obligations (2)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440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6" w:lineRule="exact"/>
        <w:rPr>
          <w:sz w:val="20"/>
          <w:szCs w:val="20"/>
          <w:color w:val="auto"/>
        </w:rPr>
      </w:pPr>
    </w:p>
    <w:p>
      <w:pPr>
        <w:ind w:left="320" w:right="200" w:hanging="317"/>
        <w:spacing w:after="0" w:line="248" w:lineRule="auto"/>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20" w:right="60" w:hanging="317"/>
        <w:spacing w:after="0" w:line="237" w:lineRule="auto"/>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Fixed-rate long-term obligations bear interest rates ranging from 3.6% to 4.3% with a weighted-average interest rate of 3.6%. We project the impact of an increase or decrease in interest rates of 100 basis points would result in a change of fair value of approximately $160,000.</w:t>
      </w:r>
    </w:p>
    <w:p>
      <w:pPr>
        <w:spacing w:after="0" w:line="10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00"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transaction losses for the three months ended April 30, 2019, net of losses, was $0.2 million. Total foreign currency transaction losses for the six months ended April 30, 2019, net of losses, was insignificant. Total foreign currency transaction losses for the three and six months ended April 30, 2018, net of gains, were $0.1 million and $0.3 million.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80"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April 30, 2019 that have materially affected, or are reasonably likely to materially affect, the Company’s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From time to time, we are also involved in litigation arising in the ordinary course of our business that we do not believe will have a material adverse impact on our financial statements.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For a discussion of our risk factors, see Part 1, item 1A “Risk Factors” of our Annual Report on Form 10-K for the year ended October 31, 2018. There have been no material changes from the risk factors set forth in such Annual Report on Form 10-K. However, the risks and uncertainties that we face are not limited to those set forth in the 2018 Form 10-K. Additional risks and uncertainties not presently known to us or that we currently believe to be immaterial may also adversely affect our business and the trading price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4" w:lineRule="exact"/>
        <w:rPr>
          <w:sz w:val="20"/>
          <w:szCs w:val="20"/>
          <w:color w:val="auto"/>
        </w:rPr>
      </w:pPr>
    </w:p>
    <w:p>
      <w:pPr>
        <w:ind w:left="1360" w:hanging="674"/>
        <w:spacing w:after="0" w:line="227" w:lineRule="auto"/>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15 U.S.C. § 7241, as Adopted Pursuant to Section 302 of the Sarbanes-Oxley Act of 2002.</w:t>
      </w:r>
    </w:p>
    <w:p>
      <w:pPr>
        <w:spacing w:after="0" w:line="66"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15 U.S.C. § 7241, as Adopted Pursuant to Section</w:t>
      </w:r>
    </w:p>
    <w:p>
      <w:pPr>
        <w:ind w:left="1360"/>
        <w:spacing w:after="0"/>
        <w:rPr>
          <w:sz w:val="20"/>
          <w:szCs w:val="20"/>
          <w:color w:val="auto"/>
        </w:rPr>
      </w:pPr>
      <w:r>
        <w:rPr>
          <w:rFonts w:ascii="Arial" w:cs="Arial" w:eastAsia="Arial" w:hAnsi="Arial"/>
          <w:sz w:val="18"/>
          <w:szCs w:val="18"/>
          <w:color w:val="auto"/>
        </w:rPr>
        <w:t>302 of the Sarbanes-Oxley Act of 2002.</w:t>
      </w:r>
    </w:p>
    <w:p>
      <w:pPr>
        <w:spacing w:after="0" w:line="101" w:lineRule="exact"/>
        <w:rPr>
          <w:sz w:val="20"/>
          <w:szCs w:val="20"/>
          <w:color w:val="auto"/>
        </w:rPr>
      </w:pPr>
    </w:p>
    <w:p>
      <w:pPr>
        <w:ind w:left="1360" w:right="300" w:hanging="674"/>
        <w:spacing w:after="0" w:line="227" w:lineRule="auto"/>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Chief Executive Officer and Chief Financial Officer of Periodic Report Pursuant to 18 U.S.C. Section 1350.</w:t>
      </w:r>
    </w:p>
    <w:p>
      <w:pPr>
        <w:spacing w:after="0" w:line="95" w:lineRule="exact"/>
        <w:rPr>
          <w:sz w:val="20"/>
          <w:szCs w:val="20"/>
          <w:color w:val="auto"/>
        </w:rPr>
      </w:pPr>
    </w:p>
    <w:p>
      <w:pPr>
        <w:ind w:left="1360" w:right="40" w:hanging="682"/>
        <w:spacing w:after="0" w:line="224" w:lineRule="auto"/>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April 30, 2019, formatted in XBRL (eXtensible Business Reporting Language): (1) Consolidated Condensed Balance Sheets as of April 30, 2019 and October 31, 2018; (2) Consolidated Condensed Statements of Income for the three and six months ended April 30, 2019 and 2018; (3) Consolidated Condensed Statements of Comprehensive Income for the three and six months ended April 30, 2019 and 2018; (4) Consolidated Condensed Statements of Cash Flows for the six months ended April 30, 2019 and 2018; and (5)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360" w:type="dxa"/>
            <w:vAlign w:val="bottom"/>
            <w:gridSpan w:val="6"/>
          </w:tcPr>
          <w:p>
            <w:pPr>
              <w:ind w:left="98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0" w:type="dxa"/>
            <w:vAlign w:val="bottom"/>
            <w:gridSpan w:val="4"/>
            <w:vMerge w:val="restart"/>
          </w:tcPr>
          <w:p>
            <w:pPr>
              <w:ind w:left="64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1180" w:type="dxa"/>
            <w:vAlign w:val="bottom"/>
            <w:gridSpan w:val="2"/>
          </w:tcPr>
          <w:p>
            <w:pPr>
              <w:spacing w:after="0" w:line="189" w:lineRule="exact"/>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31.1</w:t>
            </w:r>
          </w:p>
        </w:tc>
        <w:tc>
          <w:tcPr>
            <w:tcW w:w="240" w:type="dxa"/>
            <w:vAlign w:val="bottom"/>
          </w:tcPr>
          <w:p>
            <w:pPr>
              <w:spacing w:after="0"/>
              <w:rPr>
                <w:sz w:val="12"/>
                <w:szCs w:val="12"/>
                <w:color w:val="auto"/>
              </w:rPr>
            </w:pPr>
          </w:p>
        </w:tc>
        <w:tc>
          <w:tcPr>
            <w:tcW w:w="7880" w:type="dxa"/>
            <w:vAlign w:val="bottom"/>
            <w:tcBorders>
              <w:top w:val="single" w:sz="8" w:color="auto"/>
            </w:tcBorders>
            <w:gridSpan w:val="7"/>
          </w:tcPr>
          <w:p>
            <w:pPr>
              <w:spacing w:after="0" w:line="142" w:lineRule="exact"/>
              <w:rPr>
                <w:sz w:val="20"/>
                <w:szCs w:val="20"/>
                <w:color w:val="auto"/>
              </w:rPr>
            </w:pPr>
            <w:r>
              <w:rPr>
                <w:rFonts w:ascii="Arial" w:cs="Arial" w:eastAsia="Arial" w:hAnsi="Arial"/>
                <w:sz w:val="16"/>
                <w:szCs w:val="16"/>
                <w:color w:val="0000EE"/>
              </w:rPr>
              <w:t>Certification of Chief Executive Officer Pursuant to 15 U.S.C. § 7241, as Adopted Pursuant to Section 302</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6"/>
                <w:szCs w:val="16"/>
                <w:color w:val="0000EE"/>
              </w:rPr>
              <w:t>of the Sarbanes-Oxley Act of 2002.</w:t>
            </w:r>
          </w:p>
        </w:tc>
        <w:tc>
          <w:tcPr>
            <w:tcW w:w="5140" w:type="dxa"/>
            <w:vAlign w:val="bottom"/>
            <w:tcBorders>
              <w:top w:val="single" w:sz="8" w:color="0000EE"/>
            </w:tcBorders>
            <w:gridSpan w:val="4"/>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0000EE"/>
                <w:w w:val="94"/>
              </w:rPr>
              <w:t>Certification of Principal Financial Officer Pursuant to 15 U.S.C. § 7241, as Adopted Pursuant to Section</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3"/>
          </w:tcPr>
          <w:p>
            <w:pPr>
              <w:spacing w:after="0" w:line="142" w:lineRule="exact"/>
              <w:rPr>
                <w:sz w:val="20"/>
                <w:szCs w:val="20"/>
                <w:color w:val="auto"/>
              </w:rPr>
            </w:pPr>
            <w:r>
              <w:rPr>
                <w:rFonts w:ascii="Arial" w:cs="Arial" w:eastAsia="Arial" w:hAnsi="Arial"/>
                <w:sz w:val="16"/>
                <w:szCs w:val="16"/>
                <w:color w:val="0000EE"/>
              </w:rPr>
              <w:t>302 of the Sarbanes-Oxley Act of 2002.</w:t>
            </w:r>
          </w:p>
        </w:tc>
        <w:tc>
          <w:tcPr>
            <w:tcW w:w="4700" w:type="dxa"/>
            <w:vAlign w:val="bottom"/>
            <w:tcBorders>
              <w:top w:val="single" w:sz="8" w:color="0000EE"/>
            </w:tcBorders>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0000EE"/>
                <w:w w:val="98"/>
              </w:rPr>
              <w:t>Certification by Chief Executive Officer and Chief Financial Officer of Periodic Report Pursuant to 18</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Borders>
              <w:top w:val="single" w:sz="8" w:color="0000EE"/>
              <w:bottom w:val="single" w:sz="8" w:color="0000EE"/>
            </w:tcBorders>
          </w:tcPr>
          <w:p>
            <w:pPr>
              <w:spacing w:after="0" w:line="142" w:lineRule="exact"/>
              <w:rPr>
                <w:sz w:val="20"/>
                <w:szCs w:val="20"/>
                <w:color w:val="auto"/>
              </w:rPr>
            </w:pPr>
            <w:r>
              <w:rPr>
                <w:rFonts w:ascii="Arial" w:cs="Arial" w:eastAsia="Arial" w:hAnsi="Arial"/>
                <w:sz w:val="16"/>
                <w:szCs w:val="16"/>
                <w:color w:val="0000EE"/>
              </w:rPr>
              <w:t>U.S.C. Section 1350.</w:t>
            </w:r>
          </w:p>
        </w:tc>
        <w:tc>
          <w:tcPr>
            <w:tcW w:w="5860" w:type="dxa"/>
            <w:vAlign w:val="bottom"/>
            <w:tcBorders>
              <w:top w:val="single" w:sz="8" w:color="0000EE"/>
            </w:tcBorders>
            <w:gridSpan w:val="3"/>
          </w:tcPr>
          <w:p>
            <w:pPr>
              <w:spacing w:after="0"/>
              <w:rPr>
                <w:sz w:val="12"/>
                <w:szCs w:val="12"/>
                <w:color w:val="auto"/>
              </w:rPr>
            </w:pPr>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80" w:right="60" w:hanging="1177"/>
        <w:spacing w:after="0" w:line="224"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April 30, 2019, formatted in XBRL (eXtensible Business Reporting Language): (1) Consolidated Condensed Balance Sheets as of April 30, 2019 and October 31, 2018; (2) Consolidated Condensed Statements of Income for the three and six months ended April 30, 2019 and 2018; (3) Consolidated Condensed Statements of Comprehensive Income for the three and six months ended April 30, 2019 and 2018; (4) Consolidated Condensed Statements of Cash Flows for the six months ended April 30, 2019 and 2018; and (5) Notes to Unaudited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gridSpan w:val="2"/>
          </w:tcPr>
          <w:p>
            <w:pPr>
              <w:ind w:left="4460"/>
              <w:spacing w:after="0"/>
              <w:rPr>
                <w:sz w:val="20"/>
                <w:szCs w:val="20"/>
                <w:color w:val="auto"/>
              </w:rPr>
            </w:pPr>
            <w:r>
              <w:rPr>
                <w:rFonts w:ascii="Arial" w:cs="Arial" w:eastAsia="Arial" w:hAnsi="Arial"/>
                <w:sz w:val="18"/>
                <w:szCs w:val="18"/>
                <w:color w:val="auto"/>
              </w:rPr>
              <w:t>Calavo Growers, Inc.</w:t>
            </w:r>
          </w:p>
        </w:tc>
      </w:tr>
      <w:tr>
        <w:trPr>
          <w:trHeight w:val="230"/>
        </w:trPr>
        <w:tc>
          <w:tcPr>
            <w:tcW w:w="9060" w:type="dxa"/>
            <w:vAlign w:val="bottom"/>
            <w:gridSpan w:val="2"/>
          </w:tcPr>
          <w:p>
            <w:pPr>
              <w:ind w:left="4460"/>
              <w:spacing w:after="0"/>
              <w:rPr>
                <w:sz w:val="20"/>
                <w:szCs w:val="20"/>
                <w:color w:val="auto"/>
              </w:rPr>
            </w:pPr>
            <w:r>
              <w:rPr>
                <w:rFonts w:ascii="Arial" w:cs="Arial" w:eastAsia="Arial" w:hAnsi="Arial"/>
                <w:sz w:val="18"/>
                <w:szCs w:val="18"/>
                <w:color w:val="auto"/>
              </w:rPr>
              <w:t>(Registrant)</w:t>
            </w:r>
          </w:p>
        </w:tc>
      </w:tr>
      <w:tr>
        <w:trPr>
          <w:trHeight w:val="634"/>
        </w:trPr>
        <w:tc>
          <w:tcPr>
            <w:tcW w:w="4880" w:type="dxa"/>
            <w:vAlign w:val="bottom"/>
          </w:tcPr>
          <w:p>
            <w:pPr>
              <w:spacing w:after="0"/>
              <w:rPr>
                <w:sz w:val="20"/>
                <w:szCs w:val="20"/>
                <w:color w:val="auto"/>
              </w:rPr>
            </w:pPr>
            <w:r>
              <w:rPr>
                <w:rFonts w:ascii="Arial" w:cs="Arial" w:eastAsia="Arial" w:hAnsi="Arial"/>
                <w:sz w:val="18"/>
                <w:szCs w:val="18"/>
                <w:color w:val="auto"/>
              </w:rPr>
              <w:t>Date: June 6, 2019</w:t>
            </w:r>
          </w:p>
        </w:tc>
        <w:tc>
          <w:tcPr>
            <w:tcW w:w="4180" w:type="dxa"/>
            <w:vAlign w:val="bottom"/>
          </w:tcPr>
          <w:p>
            <w:pPr>
              <w:spacing w:after="0"/>
              <w:rPr>
                <w:sz w:val="24"/>
                <w:szCs w:val="24"/>
                <w:color w:val="auto"/>
              </w:rPr>
            </w:pPr>
          </w:p>
        </w:tc>
      </w:tr>
      <w:tr>
        <w:trPr>
          <w:trHeight w:val="230"/>
        </w:trPr>
        <w:tc>
          <w:tcPr>
            <w:tcW w:w="4880" w:type="dxa"/>
            <w:vAlign w:val="bottom"/>
          </w:tcPr>
          <w:p>
            <w:pPr>
              <w:ind w:left="44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488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Chairman of the Board of Directors, President, and</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4880" w:type="dxa"/>
            <w:vAlign w:val="bottom"/>
          </w:tcPr>
          <w:p>
            <w:pPr>
              <w:spacing w:after="0"/>
              <w:rPr>
                <w:sz w:val="20"/>
                <w:szCs w:val="20"/>
                <w:color w:val="auto"/>
              </w:rPr>
            </w:pPr>
            <w:r>
              <w:rPr>
                <w:rFonts w:ascii="Arial" w:cs="Arial" w:eastAsia="Arial" w:hAnsi="Arial"/>
                <w:sz w:val="18"/>
                <w:szCs w:val="18"/>
                <w:color w:val="auto"/>
              </w:rPr>
              <w:t>Date: June 6, 2019</w:t>
            </w:r>
          </w:p>
        </w:tc>
        <w:tc>
          <w:tcPr>
            <w:tcW w:w="4180" w:type="dxa"/>
            <w:vAlign w:val="bottom"/>
          </w:tcPr>
          <w:p>
            <w:pPr>
              <w:spacing w:after="0"/>
              <w:rPr>
                <w:sz w:val="24"/>
                <w:szCs w:val="24"/>
                <w:color w:val="auto"/>
              </w:rPr>
            </w:pPr>
          </w:p>
        </w:tc>
      </w:tr>
      <w:tr>
        <w:trPr>
          <w:trHeight w:val="230"/>
        </w:trPr>
        <w:tc>
          <w:tcPr>
            <w:tcW w:w="4880" w:type="dxa"/>
            <w:vAlign w:val="bottom"/>
          </w:tcPr>
          <w:p>
            <w:pPr>
              <w:ind w:left="44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John Lindeman</w:t>
            </w:r>
          </w:p>
        </w:tc>
      </w:tr>
      <w:tr>
        <w:trPr>
          <w:trHeight w:val="211"/>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 John Lindeman</w:t>
            </w:r>
          </w:p>
        </w:tc>
      </w:tr>
    </w:tbl>
    <w:p>
      <w:pPr>
        <w:ind w:left="4880"/>
        <w:spacing w:after="0"/>
        <w:rPr>
          <w:sz w:val="20"/>
          <w:szCs w:val="20"/>
          <w:color w:val="auto"/>
        </w:rPr>
      </w:pPr>
      <w:r>
        <w:rPr>
          <w:rFonts w:ascii="Arial" w:cs="Arial" w:eastAsia="Arial" w:hAnsi="Arial"/>
          <w:sz w:val="18"/>
          <w:szCs w:val="18"/>
          <w:color w:val="auto"/>
        </w:rPr>
        <w:t>Chief Financial Officer and Corporate Secretary</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Lecil E. Cole, certify that:</w:t>
      </w:r>
    </w:p>
    <w:p>
      <w:pPr>
        <w:spacing w:after="0" w:line="194" w:lineRule="exact"/>
        <w:rPr>
          <w:sz w:val="20"/>
          <w:szCs w:val="20"/>
          <w:color w:val="auto"/>
        </w:rPr>
      </w:pPr>
    </w:p>
    <w:p>
      <w:pPr>
        <w:ind w:left="660" w:hanging="657"/>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452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June 6, 2019</w:t>
      </w:r>
      <w:r>
        <w:rPr>
          <w:sz w:val="20"/>
          <w:szCs w:val="20"/>
          <w:color w:val="auto"/>
        </w:rPr>
        <w:tab/>
      </w:r>
      <w:r>
        <w:rPr>
          <w:rFonts w:ascii="Arial" w:cs="Arial" w:eastAsia="Arial" w:hAnsi="Arial"/>
          <w:sz w:val="15"/>
          <w:szCs w:val="15"/>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29" w:lineRule="auto"/>
        <w:rPr>
          <w:sz w:val="20"/>
          <w:szCs w:val="20"/>
          <w:color w:val="auto"/>
        </w:rPr>
      </w:pPr>
      <w:r>
        <w:rPr>
          <w:rFonts w:ascii="Arial" w:cs="Arial" w:eastAsia="Arial" w:hAnsi="Arial"/>
          <w:sz w:val="16"/>
          <w:szCs w:val="16"/>
          <w:color w:val="auto"/>
        </w:rPr>
        <w:t>Lecil E. Cole</w:t>
      </w:r>
    </w:p>
    <w:p>
      <w:pPr>
        <w:ind w:left="4540"/>
        <w:spacing w:after="0" w:line="212" w:lineRule="auto"/>
        <w:rPr>
          <w:sz w:val="20"/>
          <w:szCs w:val="20"/>
          <w:color w:val="auto"/>
        </w:rPr>
      </w:pPr>
      <w:r>
        <w:rPr>
          <w:rFonts w:ascii="Arial" w:cs="Arial" w:eastAsia="Arial" w:hAnsi="Arial"/>
          <w:sz w:val="16"/>
          <w:szCs w:val="16"/>
          <w:color w:val="auto"/>
        </w:rPr>
        <w:t>Chairman of the Board of Directors, President</w:t>
      </w:r>
    </w:p>
    <w:p>
      <w:pPr>
        <w:ind w:left="4540"/>
        <w:spacing w:after="0"/>
        <w:rPr>
          <w:sz w:val="20"/>
          <w:szCs w:val="20"/>
          <w:color w:val="auto"/>
        </w:rPr>
      </w:pPr>
      <w:r>
        <w:rPr>
          <w:rFonts w:ascii="Arial" w:cs="Arial" w:eastAsia="Arial" w:hAnsi="Arial"/>
          <w:sz w:val="16"/>
          <w:szCs w:val="16"/>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558165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B. John Lindeman, certify that:</w:t>
      </w:r>
    </w:p>
    <w:p>
      <w:pPr>
        <w:spacing w:after="0" w:line="194" w:lineRule="exact"/>
        <w:rPr>
          <w:sz w:val="20"/>
          <w:szCs w:val="20"/>
          <w:color w:val="auto"/>
        </w:rPr>
      </w:pPr>
    </w:p>
    <w:p>
      <w:pPr>
        <w:ind w:left="660" w:hanging="657"/>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spacing w:after="0"/>
        <w:tabs>
          <w:tab w:leader="none" w:pos="446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June 6, 2019</w:t>
      </w:r>
      <w:r>
        <w:rPr>
          <w:sz w:val="20"/>
          <w:szCs w:val="20"/>
          <w:color w:val="auto"/>
        </w:rPr>
        <w:tab/>
      </w:r>
      <w:r>
        <w:rPr>
          <w:rFonts w:ascii="Arial" w:cs="Arial" w:eastAsia="Arial" w:hAnsi="Arial"/>
          <w:sz w:val="15"/>
          <w:szCs w:val="15"/>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6350</wp:posOffset>
            </wp:positionV>
            <wp:extent cx="2915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480"/>
        <w:spacing w:after="0" w:line="229" w:lineRule="auto"/>
        <w:rPr>
          <w:sz w:val="20"/>
          <w:szCs w:val="20"/>
          <w:color w:val="auto"/>
        </w:rPr>
      </w:pPr>
      <w:r>
        <w:rPr>
          <w:rFonts w:ascii="Arial" w:cs="Arial" w:eastAsia="Arial" w:hAnsi="Arial"/>
          <w:sz w:val="16"/>
          <w:szCs w:val="16"/>
          <w:color w:val="auto"/>
        </w:rPr>
        <w:t>B. John Lindeman</w:t>
      </w:r>
    </w:p>
    <w:p>
      <w:pPr>
        <w:ind w:left="4480"/>
        <w:spacing w:after="0" w:line="212" w:lineRule="auto"/>
        <w:rPr>
          <w:sz w:val="20"/>
          <w:szCs w:val="20"/>
          <w:color w:val="auto"/>
        </w:rPr>
      </w:pPr>
      <w:r>
        <w:rPr>
          <w:rFonts w:ascii="Arial" w:cs="Arial" w:eastAsia="Arial" w:hAnsi="Arial"/>
          <w:sz w:val="16"/>
          <w:szCs w:val="16"/>
          <w:color w:val="auto"/>
        </w:rPr>
        <w:t>Chief Financial Officer and Corporate Secretary</w:t>
      </w:r>
    </w:p>
    <w:p>
      <w:pPr>
        <w:ind w:left="448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558165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jc w:val="center"/>
        <w:spacing w:after="0"/>
        <w:rPr>
          <w:sz w:val="20"/>
          <w:szCs w:val="20"/>
          <w:color w:val="auto"/>
        </w:rPr>
      </w:pPr>
      <w:r>
        <w:rPr>
          <w:rFonts w:ascii="Arial" w:cs="Arial" w:eastAsia="Arial" w:hAnsi="Arial"/>
          <w:sz w:val="18"/>
          <w:szCs w:val="18"/>
          <w:color w:val="auto"/>
        </w:rPr>
        <w:t>AND CHIEF FINANCIAL OFFICER</w:t>
      </w:r>
    </w:p>
    <w:p>
      <w:pPr>
        <w:spacing w:after="0" w:line="12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April 30, 2019,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2019</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Lecil E. Cole</w:t>
      </w:r>
    </w:p>
    <w:p>
      <w:pPr>
        <w:spacing w:after="0" w:line="204" w:lineRule="auto"/>
        <w:rPr>
          <w:sz w:val="20"/>
          <w:szCs w:val="20"/>
          <w:color w:val="auto"/>
        </w:rPr>
      </w:pPr>
      <w:r>
        <w:rPr>
          <w:rFonts w:ascii="Arial" w:cs="Arial" w:eastAsia="Arial" w:hAnsi="Arial"/>
          <w:sz w:val="18"/>
          <w:szCs w:val="18"/>
          <w:color w:val="auto"/>
        </w:rPr>
        <w:t>Chairman of the Board, President and</w:t>
      </w:r>
    </w:p>
    <w:p>
      <w:pPr>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 John Lindeman</w:t>
      </w:r>
    </w:p>
    <w:p>
      <w:pPr>
        <w:spacing w:after="0" w:line="204" w:lineRule="auto"/>
        <w:rPr>
          <w:sz w:val="20"/>
          <w:szCs w:val="20"/>
          <w:color w:val="auto"/>
        </w:rPr>
      </w:pPr>
      <w:r>
        <w:rPr>
          <w:rFonts w:ascii="Arial" w:cs="Arial" w:eastAsia="Arial" w:hAnsi="Arial"/>
          <w:sz w:val="18"/>
          <w:szCs w:val="18"/>
          <w:color w:val="auto"/>
        </w:rPr>
        <w:t>Chief Financial Officer and</w:t>
      </w: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776605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4" w:right="141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7"/>
    </w:lvl>
  </w:abstractNum>
  <w:abstractNum w:abstractNumId="3">
    <w:nsid w:val="7545E146"/>
    <w:multiLevelType w:val="hybridMultilevel"/>
    <w:lvl w:ilvl="0">
      <w:lvlJc w:val="left"/>
      <w:lvlText w:val="%1"/>
      <w:numFmt w:val="decimal"/>
      <w:start w:val="1"/>
    </w:lvl>
    <w:lvl w:ilvl="1">
      <w:lvlJc w:val="left"/>
      <w:lvlText w:val="(%2)"/>
      <w:numFmt w:val="decimal"/>
      <w:start w:val="1"/>
    </w:lvl>
  </w:abstractNum>
  <w:abstractNum w:abstractNumId="4">
    <w:nsid w:val="515F007C"/>
    <w:multiLevelType w:val="hybridMultilevel"/>
    <w:lvl w:ilvl="0">
      <w:lvlJc w:val="left"/>
      <w:lvlText w:val="%1."/>
      <w:numFmt w:val="decimal"/>
      <w:start w:val="9"/>
    </w:lvl>
    <w:lvl w:ilvl="1">
      <w:lvlJc w:val="left"/>
      <w:lvlText w:val="%2"/>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0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2019-12-01T23:50:46Z</dcterms:created>
  <dcterms:modified xsi:type="dcterms:W3CDTF">2019-12-01T23:50:46Z</dcterms:modified>
</cp:coreProperties>
</file>