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20, 2022</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60" w:right="159"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544830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167640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June 20, 2022, Rob Wedin, our Executive Vice President, Fresh Sales, gave notice of his retirement, which is expected to occur on October 31, 2022. Upon the commencement of service by Danny Dumas as Senior Vice President and General Manager of Calavo Grown, discussed under Item 8.01 below, which is expected to occur on July 11, 2022, Mr. Wedin will cease to serve Calavo Growers, Inc. (“Calavo”) in an executive officer capacity but will continue as an employee in a transitional role until his retirement date.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June 21, 2022, Calavo issued a press release announcing the appointment of Mr. Danny Dumas as Senior Vice President and General Manager of Calavo Grown and the retirement of Rob Wedin from the position of Executive Vice President, Fresh Sales. A copy of the press release is filed as Exhibit 99.1 hereto and incorporated herein by reference.</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B.2 of Form 8-K,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Calavo has appointed Mr. Danny Dumas to serve as Senior Vice President and General Manager of Calavo Grown commencing July 11, 2022.</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Mr. Dumas, age 53, has served as President of Courchesne Larose USA since February 2021. From January 2014 to May 2020, Mr. Dumas was the Senior Vice President of Sales and Product Management of Del Monte Fresh Produce (Nasdaq: FDP).</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Pursuant to an Employment Agreement between Calavo and Mr. Dumas (the “Dumas Employment Agreement”), Mr. Dumas will receive an annual base salary of $415,000, which is subject to increase on an annual basis at the discretion of Calavo’s Compensation Committee. Mr. Dumas will be eligible to receive a performance bonus of 40% of his annual base salary for any fiscal year (prorated for fiscal 2022) in which Calavo achieves its annual performance targets established by Calavo’s Compensation Committee for Calavo’s executive officers. The Compensation Committee may also elect to award Mr. Dumas a discretionary bonus. Mr. Dumas is also eligible to receive a total of up to 40% of his annual base salary (or higher, with respect to performance vested target component) in equity awards pursuant to the terms of the incentive plan, which will vest as described in the Employment Agreement. Mr. Dumas will receive a signing bonus consisting of restricted stock units representing a contingent right to Calavo’s common stock having a value of $150,000 upon the commencement of his employment, which restricted stock units will vest in three equal annual installments, subject to continued service on each vesting date, with the first installment to vest on the first anniversary of the commencement of Mr. Dumas’s employment. Calavo will also reimburse Mr. Dumas for six months of commuting expenses and an allowance to cover an additional $50,000 for certain personal commuting expenses subsequent to the first six months of employment, as detailed in the Employment Agreement. In the event that Mr. Dumas’ employment is terminated by Calavo without Cause (as defined in the Dumas Employment Agreement) or Mr. Dumas terminates his employment for Good Reason (as defined in the Dumas Employment Agreement), and Mr. Dumas executes a separation and release agreement, Mr. Dumas will be entitled to receive severance payments equal to one year of his annual base salary, Calavo-paid health benefits for one year following separation, a pro-rated portion of his annual bonus, and the restricted stock units issued to Mr. Dumas as a signing bonus will become fully vested as of the date of such termination.</w:t>
      </w:r>
    </w:p>
    <w:p>
      <w:pPr>
        <w:spacing w:after="0" w:line="19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preceding summary does not purport to be complete and is subject to and qualified in its entirety by the complete text of the Dumas Employment Agreement, which is filed as Exhibit 99.2 to this Current Report on Form 8-K and which is incorporated herein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21, 2022.</w:t>
      </w:r>
    </w:p>
    <w:p>
      <w:pPr>
        <w:spacing w:after="0" w:line="27"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Employment Agreement of Danny Dumas.</w:t>
      </w:r>
    </w:p>
    <w:p>
      <w:pPr>
        <w:spacing w:after="0" w:line="9" w:lineRule="exact"/>
        <w:rPr>
          <w:sz w:val="20"/>
          <w:szCs w:val="20"/>
          <w:color w:val="auto"/>
        </w:rPr>
      </w:pPr>
    </w:p>
    <w:p>
      <w:pPr>
        <w:ind w:left="580" w:hanging="524"/>
        <w:spacing w:after="0"/>
        <w:tabs>
          <w:tab w:leader="none" w:pos="5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9" w:lineRule="exact"/>
        <w:rPr>
          <w:rFonts w:ascii="Times New Roman" w:cs="Times New Roman" w:eastAsia="Times New Roman" w:hAnsi="Times New Roman"/>
          <w:sz w:val="17"/>
          <w:szCs w:val="17"/>
          <w:color w:val="auto"/>
        </w:rPr>
      </w:pPr>
    </w:p>
    <w:p>
      <w:pPr>
        <w:ind w:left="4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22, 2022</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Brian Kocher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right"/>
        <w:ind w:right="59"/>
        <w:spacing w:after="0"/>
        <w:rPr>
          <w:sz w:val="20"/>
          <w:szCs w:val="20"/>
          <w:color w:val="auto"/>
        </w:rPr>
      </w:pPr>
      <w:r>
        <w:rPr>
          <w:rFonts w:ascii="Calibri" w:cs="Calibri" w:eastAsia="Calibri" w:hAnsi="Calibri"/>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154305</wp:posOffset>
            </wp:positionV>
            <wp:extent cx="1337310" cy="131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31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Calavo Growers, Inc. Names Danny Dumas to Lead Grown Segment</w:t>
      </w: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5"/>
          <w:szCs w:val="25"/>
          <w:i w:val="1"/>
          <w:iCs w:val="1"/>
          <w:color w:val="auto"/>
        </w:rPr>
        <w:t>Robert Wedin to Retre Following Outstanding Career in Avocado Industry</w:t>
      </w:r>
    </w:p>
    <w:p>
      <w:pPr>
        <w:spacing w:after="0" w:line="234" w:lineRule="exact"/>
        <w:rPr>
          <w:sz w:val="20"/>
          <w:szCs w:val="20"/>
          <w:color w:val="auto"/>
        </w:rPr>
      </w:pPr>
    </w:p>
    <w:p>
      <w:pPr>
        <w:ind w:left="60" w:right="279"/>
        <w:spacing w:after="0" w:line="238" w:lineRule="auto"/>
        <w:rPr>
          <w:sz w:val="20"/>
          <w:szCs w:val="20"/>
          <w:color w:val="auto"/>
        </w:rPr>
      </w:pPr>
      <w:r>
        <w:rPr>
          <w:rFonts w:ascii="Calibri" w:cs="Calibri" w:eastAsia="Calibri" w:hAnsi="Calibri"/>
          <w:sz w:val="22"/>
          <w:szCs w:val="22"/>
          <w:b w:val="1"/>
          <w:bCs w:val="1"/>
          <w:color w:val="auto"/>
        </w:rPr>
        <w:t>SANTA PAULA, Calif., June 21, 2022—</w:t>
      </w:r>
      <w:r>
        <w:rPr>
          <w:rFonts w:ascii="Calibri" w:cs="Calibri" w:eastAsia="Calibri" w:hAnsi="Calibri"/>
          <w:sz w:val="22"/>
          <w:szCs w:val="22"/>
          <w:b w:val="1"/>
          <w:bCs w:val="1"/>
          <w:u w:val="single" w:color="auto"/>
          <w:color w:val="0000FF"/>
        </w:rPr>
        <w:t>Calavo Growers, Inc.</w:t>
      </w:r>
      <w:r>
        <w:rPr>
          <w:rFonts w:ascii="Calibri" w:cs="Calibri" w:eastAsia="Calibri" w:hAnsi="Calibri"/>
          <w:sz w:val="22"/>
          <w:szCs w:val="22"/>
          <w:b w:val="1"/>
          <w:bCs w:val="1"/>
          <w:color w:val="auto"/>
        </w:rPr>
        <w:t xml:space="preserve"> (Nasdaq-GS: CVGW), </w:t>
      </w:r>
      <w:r>
        <w:rPr>
          <w:rFonts w:ascii="Calibri" w:cs="Calibri" w:eastAsia="Calibri" w:hAnsi="Calibri"/>
          <w:sz w:val="22"/>
          <w:szCs w:val="22"/>
          <w:color w:val="auto"/>
        </w:rPr>
        <w:t>a global avocado-industry leader and provider of value-added fresh food, today announced that Danny Dumas has been named Senior Vice President &amp; General Manager Calavo Grown, flling the role held by Robert Wedin who is retring afer 49 years with Calavo.</w:t>
      </w:r>
    </w:p>
    <w:p>
      <w:pPr>
        <w:spacing w:after="0" w:line="231" w:lineRule="exact"/>
        <w:rPr>
          <w:sz w:val="20"/>
          <w:szCs w:val="20"/>
          <w:color w:val="auto"/>
        </w:rPr>
      </w:pPr>
    </w:p>
    <w:p>
      <w:pPr>
        <w:ind w:left="60" w:right="99"/>
        <w:spacing w:after="0" w:line="252" w:lineRule="auto"/>
        <w:rPr>
          <w:sz w:val="20"/>
          <w:szCs w:val="20"/>
          <w:color w:val="auto"/>
        </w:rPr>
      </w:pPr>
      <w:r>
        <w:rPr>
          <w:rFonts w:ascii="Calibri" w:cs="Calibri" w:eastAsia="Calibri" w:hAnsi="Calibri"/>
          <w:sz w:val="21"/>
          <w:szCs w:val="21"/>
          <w:color w:val="auto"/>
        </w:rPr>
        <w:t>Mr. Dumas is a veteran of the produce industry with more than 30 years of experience, primarily with Del Monte Fresh Produce and, most recently, serving as president of Courchesne Larose USA. At Del Monte, Mr. Dumas’ roles included Senior Vice President North American Sales, Marketng &amp; Product Management; Vice President Sales – Canada; and Vice President Operatons Fresh (Europe &amp; Africa).</w:t>
      </w:r>
    </w:p>
    <w:p>
      <w:pPr>
        <w:spacing w:after="0" w:line="219" w:lineRule="exact"/>
        <w:rPr>
          <w:sz w:val="20"/>
          <w:szCs w:val="20"/>
          <w:color w:val="auto"/>
        </w:rPr>
      </w:pPr>
    </w:p>
    <w:p>
      <w:pPr>
        <w:ind w:left="60" w:right="199"/>
        <w:spacing w:after="0" w:line="253" w:lineRule="auto"/>
        <w:rPr>
          <w:sz w:val="20"/>
          <w:szCs w:val="20"/>
          <w:color w:val="auto"/>
        </w:rPr>
      </w:pPr>
      <w:r>
        <w:rPr>
          <w:rFonts w:ascii="Calibri" w:cs="Calibri" w:eastAsia="Calibri" w:hAnsi="Calibri"/>
          <w:sz w:val="21"/>
          <w:szCs w:val="21"/>
          <w:color w:val="auto"/>
        </w:rPr>
        <w:t>In April, Calavo announced it would reorganize its business into two segments, Grown and Prepared, with a senior vice president and general manager responsible for each. Mr. Dumas will lead the Grown segment, which consists of fresh avocados, tomatoes and papayas, efectve July 11.</w:t>
      </w:r>
    </w:p>
    <w:p>
      <w:pPr>
        <w:spacing w:after="0" w:line="215" w:lineRule="exact"/>
        <w:rPr>
          <w:sz w:val="20"/>
          <w:szCs w:val="20"/>
          <w:color w:val="auto"/>
        </w:rPr>
      </w:pPr>
    </w:p>
    <w:p>
      <w:pPr>
        <w:ind w:left="60" w:right="79"/>
        <w:spacing w:after="0" w:line="252" w:lineRule="auto"/>
        <w:rPr>
          <w:sz w:val="20"/>
          <w:szCs w:val="20"/>
          <w:color w:val="auto"/>
        </w:rPr>
      </w:pPr>
      <w:r>
        <w:rPr>
          <w:rFonts w:ascii="Calibri" w:cs="Calibri" w:eastAsia="Calibri" w:hAnsi="Calibri"/>
          <w:sz w:val="21"/>
          <w:szCs w:val="21"/>
          <w:color w:val="auto"/>
        </w:rPr>
        <w:t>“We are fortunate to have someone with Danny’s experience and capabilites join the team,” said Brian W. Kocher, President and Chief Executve Ofcer of Calavo Growers, Inc. “His knowledge of fresh produce sales, marketng and operatons will be an asset to the company as we move forward under our new segment structure that aligns product fulfllment responsibilites with P&amp;L management.”</w:t>
      </w:r>
    </w:p>
    <w:p>
      <w:pPr>
        <w:spacing w:after="0" w:line="219" w:lineRule="exact"/>
        <w:rPr>
          <w:sz w:val="20"/>
          <w:szCs w:val="20"/>
          <w:color w:val="auto"/>
        </w:rPr>
      </w:pPr>
    </w:p>
    <w:p>
      <w:pPr>
        <w:ind w:left="60" w:right="319"/>
        <w:spacing w:after="0" w:line="237" w:lineRule="auto"/>
        <w:rPr>
          <w:sz w:val="20"/>
          <w:szCs w:val="20"/>
          <w:color w:val="auto"/>
        </w:rPr>
      </w:pPr>
      <w:r>
        <w:rPr>
          <w:rFonts w:ascii="Calibri" w:cs="Calibri" w:eastAsia="Calibri" w:hAnsi="Calibri"/>
          <w:sz w:val="22"/>
          <w:szCs w:val="22"/>
          <w:color w:val="auto"/>
        </w:rPr>
        <w:t>“I’m excited about assuming this new role at a tme when I can have a real impact on Calavo’s long-term growth” Mr. Dumas said. “I’m looking forward to working with our customers to provide consumers with the on-trend, healthy foods they seek.”</w:t>
      </w:r>
    </w:p>
    <w:p>
      <w:pPr>
        <w:spacing w:after="0" w:line="230" w:lineRule="exact"/>
        <w:rPr>
          <w:sz w:val="20"/>
          <w:szCs w:val="20"/>
          <w:color w:val="auto"/>
        </w:rPr>
      </w:pPr>
    </w:p>
    <w:p>
      <w:pPr>
        <w:ind w:left="60" w:right="259"/>
        <w:spacing w:after="0" w:line="238" w:lineRule="auto"/>
        <w:rPr>
          <w:sz w:val="20"/>
          <w:szCs w:val="20"/>
          <w:color w:val="auto"/>
        </w:rPr>
      </w:pPr>
      <w:r>
        <w:rPr>
          <w:rFonts w:ascii="Calibri" w:cs="Calibri" w:eastAsia="Calibri" w:hAnsi="Calibri"/>
          <w:sz w:val="22"/>
          <w:szCs w:val="22"/>
          <w:color w:val="auto"/>
        </w:rPr>
        <w:t>“I want to thank Rob Wedin for his nearly 50 years of service to Calavo,” Kocher said. “Rob has been looking forward to his retrement for some tme, and I appreciate that he has not only contnued working untl we flled his role he also agreed to stay on through the end of the year as an adviser through the transiton.”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636270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30" w:right="1440" w:bottom="1440" w:gutter="0" w:footer="0" w:header="0"/>
        </w:sectPr>
      </w:pPr>
    </w:p>
    <w:bookmarkStart w:id="5" w:name="page6"/>
    <w:bookmarkEnd w:id="5"/>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2</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3</w:t>
      </w:r>
    </w:p>
    <w:p>
      <w:pPr>
        <w:spacing w:after="0" w:line="225" w:lineRule="exact"/>
        <w:rPr>
          <w:sz w:val="20"/>
          <w:szCs w:val="20"/>
          <w:color w:val="auto"/>
        </w:rPr>
      </w:pPr>
    </w:p>
    <w:p>
      <w:pPr>
        <w:ind w:left="60" w:right="79"/>
        <w:spacing w:after="0" w:line="252" w:lineRule="auto"/>
        <w:rPr>
          <w:sz w:val="20"/>
          <w:szCs w:val="20"/>
          <w:color w:val="auto"/>
        </w:rPr>
      </w:pPr>
      <w:r>
        <w:rPr>
          <w:rFonts w:ascii="Calibri" w:cs="Calibri" w:eastAsia="Calibri" w:hAnsi="Calibri"/>
          <w:sz w:val="21"/>
          <w:szCs w:val="21"/>
          <w:color w:val="auto"/>
        </w:rPr>
        <w:t>Mr. Wedin has been instrumental in expanding Calavo’s line of high-growth avocado and related commodity foods; always provided steady and consistent guidance; and always strove to fnd winning solutons between our customers, our growers, and our company. He is a widely respected expert in the industry, serving as the current Chairman of the Hass Avocado Board Global Data Commitee and is a former Executve Commitee member at producesupply.org. Mr. Wedin also is the past Director of the California Avocado Commission and past Chairman of the Avocado Inspecton Commitee.</w:t>
      </w:r>
    </w:p>
    <w:p>
      <w:pPr>
        <w:spacing w:after="0" w:line="221" w:lineRule="exact"/>
        <w:rPr>
          <w:sz w:val="20"/>
          <w:szCs w:val="20"/>
          <w:color w:val="auto"/>
        </w:rPr>
      </w:pPr>
    </w:p>
    <w:p>
      <w:pPr>
        <w:jc w:val="both"/>
        <w:ind w:left="60" w:right="179"/>
        <w:spacing w:after="0" w:line="253" w:lineRule="auto"/>
        <w:rPr>
          <w:sz w:val="20"/>
          <w:szCs w:val="20"/>
          <w:color w:val="auto"/>
        </w:rPr>
      </w:pPr>
      <w:r>
        <w:rPr>
          <w:rFonts w:ascii="Calibri" w:cs="Calibri" w:eastAsia="Calibri" w:hAnsi="Calibri"/>
          <w:sz w:val="21"/>
          <w:szCs w:val="21"/>
          <w:color w:val="auto"/>
        </w:rPr>
        <w:t>“I’m truly fortunate that I’ve had such a long and successful career at one company, but afer nearly 50 years, it’s tme for me to take a step back,” Mr. Wedin said. “The people at Calavo are like a family to me, and while I will miss seeing everyone every day, I’m looking forward to this next chapter.”</w:t>
      </w:r>
    </w:p>
    <w:p>
      <w:pPr>
        <w:spacing w:after="0" w:line="205"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About Calavo Growers, Inc.</w:t>
      </w:r>
    </w:p>
    <w:p>
      <w:pPr>
        <w:spacing w:after="0" w:line="12" w:lineRule="exact"/>
        <w:rPr>
          <w:sz w:val="20"/>
          <w:szCs w:val="20"/>
          <w:color w:val="auto"/>
        </w:rPr>
      </w:pPr>
    </w:p>
    <w:p>
      <w:pPr>
        <w:ind w:left="60" w:right="179"/>
        <w:spacing w:after="0" w:line="238" w:lineRule="auto"/>
        <w:rPr>
          <w:sz w:val="20"/>
          <w:szCs w:val="20"/>
          <w:color w:val="auto"/>
        </w:rPr>
      </w:pPr>
      <w:r>
        <w:rPr>
          <w:rFonts w:ascii="Calibri" w:cs="Calibri" w:eastAsia="Calibri" w:hAnsi="Calibri"/>
          <w:sz w:val="22"/>
          <w:szCs w:val="22"/>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231" w:lineRule="exact"/>
        <w:rPr>
          <w:sz w:val="20"/>
          <w:szCs w:val="20"/>
          <w:color w:val="auto"/>
        </w:rPr>
      </w:pPr>
    </w:p>
    <w:p>
      <w:pPr>
        <w:ind w:left="60" w:right="79"/>
        <w:spacing w:after="0" w:line="238" w:lineRule="auto"/>
        <w:rPr>
          <w:sz w:val="20"/>
          <w:szCs w:val="20"/>
          <w:color w:val="auto"/>
        </w:rPr>
      </w:pPr>
      <w:r>
        <w:rPr>
          <w:rFonts w:ascii="Calibri" w:cs="Calibri" w:eastAsia="Calibri" w:hAnsi="Calibri"/>
          <w:sz w:val="22"/>
          <w:szCs w:val="22"/>
          <w:color w:val="auto"/>
        </w:rPr>
        <w:t xml:space="preserve">Founded in 1924, Calavo has a rich culture of constant innovaton, sustainable practces and market growth. The company serves retail grocery, foodservice, club stores, mass merchandisers, food distributors and wholesalers worldwide. Calavo is headquartered in Santa Paula, California, with processing plants and packing facilites throughout the U.S. and Mexico. Learn more about </w:t>
      </w:r>
      <w:r>
        <w:rPr>
          <w:rFonts w:ascii="Calibri" w:cs="Calibri" w:eastAsia="Calibri" w:hAnsi="Calibri"/>
          <w:sz w:val="22"/>
          <w:szCs w:val="22"/>
          <w:i w:val="1"/>
          <w:iCs w:val="1"/>
          <w:color w:val="auto"/>
        </w:rPr>
        <w:t>The Family</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 xml:space="preserve">of Fresh™ </w:t>
      </w:r>
      <w:r>
        <w:rPr>
          <w:rFonts w:ascii="Calibri" w:cs="Calibri" w:eastAsia="Calibri" w:hAnsi="Calibri"/>
          <w:sz w:val="22"/>
          <w:szCs w:val="22"/>
          <w:color w:val="auto"/>
        </w:rPr>
        <w:t>at</w:t>
      </w:r>
      <w:r>
        <w:rPr>
          <w:rFonts w:ascii="Calibri" w:cs="Calibri" w:eastAsia="Calibri" w:hAnsi="Calibri"/>
          <w:sz w:val="22"/>
          <w:szCs w:val="22"/>
          <w:i w:val="1"/>
          <w:iCs w:val="1"/>
          <w:color w:val="auto"/>
        </w:rPr>
        <w:t xml:space="preserve"> </w:t>
      </w:r>
      <w:r>
        <w:rPr>
          <w:rFonts w:ascii="Calibri" w:cs="Calibri" w:eastAsia="Calibri" w:hAnsi="Calibri"/>
          <w:sz w:val="22"/>
          <w:szCs w:val="22"/>
          <w:u w:val="single" w:color="auto"/>
          <w:color w:val="0000FF"/>
        </w:rPr>
        <w:t>calavo.com</w:t>
      </w:r>
      <w:r>
        <w:rPr>
          <w:rFonts w:ascii="Calibri" w:cs="Calibri" w:eastAsia="Calibri" w:hAnsi="Calibri"/>
          <w:sz w:val="22"/>
          <w:szCs w:val="22"/>
          <w:color w:val="auto"/>
        </w:rPr>
        <w:t>.</w:t>
      </w:r>
    </w:p>
    <w:p>
      <w:pPr>
        <w:spacing w:after="0" w:line="224"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Safe Harbor Statement</w:t>
      </w:r>
    </w:p>
    <w:p>
      <w:pPr>
        <w:spacing w:after="0" w:line="12" w:lineRule="exact"/>
        <w:rPr>
          <w:sz w:val="20"/>
          <w:szCs w:val="20"/>
          <w:color w:val="auto"/>
        </w:rPr>
      </w:pPr>
    </w:p>
    <w:p>
      <w:pPr>
        <w:ind w:left="60" w:right="79"/>
        <w:spacing w:after="0" w:line="239" w:lineRule="auto"/>
        <w:rPr>
          <w:sz w:val="20"/>
          <w:szCs w:val="20"/>
          <w:color w:val="auto"/>
        </w:rPr>
      </w:pPr>
      <w:r>
        <w:rPr>
          <w:rFonts w:ascii="Calibri" w:cs="Calibri" w:eastAsia="Calibri" w:hAnsi="Calibri"/>
          <w:sz w:val="22"/>
          <w:szCs w:val="22"/>
          <w:color w:val="auto"/>
        </w:rPr>
        <w:t>This press release contains statements relatng to future events and results of Calavo that are "forward-looking statements," as defned in the Private Securites Litgaton Reform Act of 1995, that involve risks, uncertaintes and assumptons. These statements are based on our current expectatons and are not promises or guarantees. If any of the risks or uncertaintes ever materialize or the assumptons prove incorrect, the results of Calavo may difer materially from those expressed or implied by such forward-looking statements and assumptons. The use of words such as "antcipates," "estmates," "expects," "projects," "intends," "plans" and "believes," among others, generally identfy forward-looking statements.</w:t>
      </w:r>
    </w:p>
    <w:p>
      <w:pPr>
        <w:spacing w:after="0" w:line="237" w:lineRule="exact"/>
        <w:rPr>
          <w:sz w:val="20"/>
          <w:szCs w:val="20"/>
          <w:color w:val="auto"/>
        </w:rPr>
      </w:pPr>
    </w:p>
    <w:p>
      <w:pPr>
        <w:ind w:left="60" w:right="159"/>
        <w:spacing w:after="0" w:line="239" w:lineRule="auto"/>
        <w:rPr>
          <w:sz w:val="20"/>
          <w:szCs w:val="20"/>
          <w:color w:val="auto"/>
        </w:rPr>
      </w:pPr>
      <w:r>
        <w:rPr>
          <w:rFonts w:ascii="Calibri" w:cs="Calibri" w:eastAsia="Calibri" w:hAnsi="Calibri"/>
          <w:sz w:val="22"/>
          <w:szCs w:val="22"/>
          <w:color w:val="auto"/>
        </w:rPr>
        <w:t>For a discussion of the risks and uncertaintes that we face, please see the risk factors described in our most recent Annual Report on Form 10-K fled with the Securites and Exchange Commission and any subsequent updates that may be contained in our Quarterly Reports on Form 10-Q and other flings with the Securites and Exchange Commission. Forward-looking statements contained in this press release are made only as of the date of this press release, and we undertake no obligaton to update or revise the forward-looking statements, whether as a result of new informaton,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638175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6" w:name="page7"/>
    <w:bookmarkEnd w:id="6"/>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3</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20" w:type="dxa"/>
            <w:vAlign w:val="bottom"/>
          </w:tcPr>
          <w:p>
            <w:pPr>
              <w:spacing w:after="0"/>
              <w:rPr>
                <w:sz w:val="23"/>
                <w:szCs w:val="23"/>
                <w:color w:val="auto"/>
              </w:rPr>
            </w:pPr>
          </w:p>
        </w:tc>
        <w:tc>
          <w:tcPr>
            <w:tcW w:w="3160" w:type="dxa"/>
            <w:vAlign w:val="bottom"/>
            <w:gridSpan w:val="2"/>
          </w:tcPr>
          <w:p>
            <w:pPr>
              <w:spacing w:after="0"/>
              <w:rPr>
                <w:sz w:val="20"/>
                <w:szCs w:val="20"/>
                <w:color w:val="auto"/>
              </w:rPr>
            </w:pPr>
            <w:r>
              <w:rPr>
                <w:rFonts w:ascii="Calibri" w:cs="Calibri" w:eastAsia="Calibri" w:hAnsi="Calibri"/>
                <w:sz w:val="22"/>
                <w:szCs w:val="22"/>
                <w:b w:val="1"/>
                <w:bCs w:val="1"/>
                <w:color w:val="auto"/>
              </w:rPr>
              <w:t>Investor Contact</w:t>
            </w:r>
          </w:p>
        </w:tc>
        <w:tc>
          <w:tcPr>
            <w:tcW w:w="5740" w:type="dxa"/>
            <w:vAlign w:val="bottom"/>
            <w:gridSpan w:val="3"/>
          </w:tcPr>
          <w:p>
            <w:pPr>
              <w:ind w:left="200"/>
              <w:spacing w:after="0"/>
              <w:rPr>
                <w:sz w:val="20"/>
                <w:szCs w:val="20"/>
                <w:color w:val="auto"/>
              </w:rPr>
            </w:pPr>
            <w:r>
              <w:rPr>
                <w:rFonts w:ascii="Calibri" w:cs="Calibri" w:eastAsia="Calibri" w:hAnsi="Calibri"/>
                <w:sz w:val="22"/>
                <w:szCs w:val="22"/>
                <w:b w:val="1"/>
                <w:bCs w:val="1"/>
                <w:color w:val="auto"/>
              </w:rPr>
              <w:t>Media Contact</w:t>
            </w:r>
          </w:p>
        </w:tc>
      </w:tr>
      <w:tr>
        <w:trPr>
          <w:trHeight w:val="270"/>
        </w:trPr>
        <w:tc>
          <w:tcPr>
            <w:tcW w:w="20" w:type="dxa"/>
            <w:vAlign w:val="bottom"/>
          </w:tcPr>
          <w:p>
            <w:pPr>
              <w:spacing w:after="0"/>
              <w:rPr>
                <w:sz w:val="23"/>
                <w:szCs w:val="23"/>
                <w:color w:val="auto"/>
              </w:rPr>
            </w:pPr>
          </w:p>
        </w:tc>
        <w:tc>
          <w:tcPr>
            <w:tcW w:w="3160" w:type="dxa"/>
            <w:vAlign w:val="bottom"/>
            <w:gridSpan w:val="2"/>
          </w:tcPr>
          <w:p>
            <w:pPr>
              <w:spacing w:after="0"/>
              <w:rPr>
                <w:sz w:val="20"/>
                <w:szCs w:val="20"/>
                <w:color w:val="auto"/>
              </w:rPr>
            </w:pPr>
            <w:r>
              <w:rPr>
                <w:rFonts w:ascii="Calibri" w:cs="Calibri" w:eastAsia="Calibri" w:hAnsi="Calibri"/>
                <w:sz w:val="22"/>
                <w:szCs w:val="22"/>
                <w:color w:val="auto"/>
              </w:rPr>
              <w:t>Julie Kegley, Senior Vice President</w:t>
            </w:r>
          </w:p>
        </w:tc>
        <w:tc>
          <w:tcPr>
            <w:tcW w:w="5740" w:type="dxa"/>
            <w:vAlign w:val="bottom"/>
            <w:gridSpan w:val="3"/>
          </w:tcPr>
          <w:p>
            <w:pPr>
              <w:ind w:left="200"/>
              <w:spacing w:after="0"/>
              <w:rPr>
                <w:sz w:val="20"/>
                <w:szCs w:val="20"/>
                <w:color w:val="auto"/>
              </w:rPr>
            </w:pPr>
            <w:r>
              <w:rPr>
                <w:rFonts w:ascii="Calibri" w:cs="Calibri" w:eastAsia="Calibri" w:hAnsi="Calibri"/>
                <w:sz w:val="22"/>
                <w:szCs w:val="22"/>
                <w:color w:val="auto"/>
              </w:rPr>
              <w:t>Thomas Federl, VP Communicatons, Marketng &amp; ESG</w:t>
            </w:r>
          </w:p>
        </w:tc>
      </w:tr>
      <w:tr>
        <w:trPr>
          <w:trHeight w:val="270"/>
        </w:trPr>
        <w:tc>
          <w:tcPr>
            <w:tcW w:w="20" w:type="dxa"/>
            <w:vAlign w:val="bottom"/>
          </w:tcPr>
          <w:p>
            <w:pPr>
              <w:spacing w:after="0"/>
              <w:rPr>
                <w:sz w:val="23"/>
                <w:szCs w:val="23"/>
                <w:color w:val="auto"/>
              </w:rPr>
            </w:pPr>
          </w:p>
        </w:tc>
        <w:tc>
          <w:tcPr>
            <w:tcW w:w="3160" w:type="dxa"/>
            <w:vAlign w:val="bottom"/>
            <w:gridSpan w:val="2"/>
          </w:tcPr>
          <w:p>
            <w:pPr>
              <w:spacing w:after="0"/>
              <w:rPr>
                <w:sz w:val="20"/>
                <w:szCs w:val="20"/>
                <w:color w:val="auto"/>
              </w:rPr>
            </w:pPr>
            <w:r>
              <w:rPr>
                <w:rFonts w:ascii="Calibri" w:cs="Calibri" w:eastAsia="Calibri" w:hAnsi="Calibri"/>
                <w:sz w:val="22"/>
                <w:szCs w:val="22"/>
                <w:color w:val="auto"/>
              </w:rPr>
              <w:t>Financial Profles, Inc.</w:t>
            </w:r>
          </w:p>
        </w:tc>
        <w:tc>
          <w:tcPr>
            <w:tcW w:w="5740" w:type="dxa"/>
            <w:vAlign w:val="bottom"/>
            <w:gridSpan w:val="3"/>
          </w:tcPr>
          <w:p>
            <w:pPr>
              <w:ind w:left="200"/>
              <w:spacing w:after="0"/>
              <w:rPr>
                <w:sz w:val="20"/>
                <w:szCs w:val="20"/>
                <w:color w:val="auto"/>
              </w:rPr>
            </w:pPr>
            <w:r>
              <w:rPr>
                <w:rFonts w:ascii="Calibri" w:cs="Calibri" w:eastAsia="Calibri" w:hAnsi="Calibri"/>
                <w:sz w:val="22"/>
                <w:szCs w:val="22"/>
                <w:color w:val="auto"/>
              </w:rPr>
              <w:t>Calavo Growers, Inc.</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line="230" w:lineRule="exact"/>
              <w:rPr>
                <w:sz w:val="20"/>
                <w:szCs w:val="20"/>
                <w:color w:val="auto"/>
              </w:rPr>
            </w:pPr>
            <w:r>
              <w:rPr>
                <w:rFonts w:ascii="Calibri" w:cs="Calibri" w:eastAsia="Calibri" w:hAnsi="Calibri"/>
                <w:sz w:val="22"/>
                <w:szCs w:val="22"/>
                <w:color w:val="0000FF"/>
              </w:rPr>
              <w:t>calavo@fnprofles.com</w:t>
            </w:r>
          </w:p>
        </w:tc>
        <w:tc>
          <w:tcPr>
            <w:tcW w:w="5740" w:type="dxa"/>
            <w:vAlign w:val="bottom"/>
            <w:gridSpan w:val="3"/>
          </w:tcPr>
          <w:p>
            <w:pPr>
              <w:ind w:left="200"/>
              <w:spacing w:after="0" w:line="230" w:lineRule="exact"/>
              <w:rPr>
                <w:sz w:val="20"/>
                <w:szCs w:val="20"/>
                <w:color w:val="auto"/>
              </w:rPr>
            </w:pPr>
            <w:r>
              <w:rPr>
                <w:rFonts w:ascii="Calibri" w:cs="Calibri" w:eastAsia="Calibri" w:hAnsi="Calibri"/>
                <w:sz w:val="22"/>
                <w:szCs w:val="22"/>
                <w:color w:val="0000FF"/>
              </w:rPr>
              <w:t>Thomas.Federl@calavo.com</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Calibri" w:cs="Calibri" w:eastAsia="Calibri" w:hAnsi="Calibri"/>
                <w:sz w:val="22"/>
                <w:szCs w:val="22"/>
                <w:color w:val="auto"/>
              </w:rPr>
              <w:t>310-622-8246</w:t>
            </w:r>
          </w:p>
        </w:tc>
        <w:tc>
          <w:tcPr>
            <w:tcW w:w="1100" w:type="dxa"/>
            <w:vAlign w:val="bottom"/>
          </w:tcPr>
          <w:p>
            <w:pPr>
              <w:spacing w:after="0"/>
              <w:rPr>
                <w:sz w:val="24"/>
                <w:szCs w:val="24"/>
                <w:color w:val="auto"/>
              </w:rPr>
            </w:pPr>
          </w:p>
        </w:tc>
        <w:tc>
          <w:tcPr>
            <w:tcW w:w="2660" w:type="dxa"/>
            <w:vAlign w:val="bottom"/>
            <w:gridSpan w:val="2"/>
          </w:tcPr>
          <w:p>
            <w:pPr>
              <w:ind w:left="200"/>
              <w:spacing w:after="0"/>
              <w:rPr>
                <w:sz w:val="20"/>
                <w:szCs w:val="20"/>
                <w:color w:val="auto"/>
              </w:rPr>
            </w:pPr>
            <w:r>
              <w:rPr>
                <w:rFonts w:ascii="Calibri" w:cs="Calibri" w:eastAsia="Calibri" w:hAnsi="Calibri"/>
                <w:sz w:val="22"/>
                <w:szCs w:val="22"/>
                <w:color w:val="auto"/>
              </w:rPr>
              <w:t>843-801-4174</w:t>
            </w:r>
          </w:p>
        </w:tc>
        <w:tc>
          <w:tcPr>
            <w:tcW w:w="3080" w:type="dxa"/>
            <w:vAlign w:val="bottom"/>
          </w:tcPr>
          <w:p>
            <w:pPr>
              <w:spacing w:after="0"/>
              <w:rPr>
                <w:sz w:val="24"/>
                <w:szCs w:val="24"/>
                <w:color w:val="auto"/>
              </w:rPr>
            </w:pPr>
          </w:p>
        </w:tc>
      </w:tr>
      <w:tr>
        <w:trPr>
          <w:trHeight w:val="1019"/>
        </w:trPr>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52" w:right="1440" w:bottom="1440" w:gutter="0" w:footer="0" w:header="0"/>
        </w:sectPr>
      </w:pPr>
    </w:p>
    <w:bookmarkStart w:id="7" w:name="page8"/>
    <w:bookmarkEnd w:id="7"/>
    <w:p>
      <w:pPr>
        <w:ind w:left="768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98" w:lineRule="exact"/>
        <w:rPr>
          <w:sz w:val="20"/>
          <w:szCs w:val="20"/>
          <w:color w:val="auto"/>
        </w:rPr>
      </w:pPr>
    </w:p>
    <w:p>
      <w:pPr>
        <w:jc w:val="both"/>
        <w:ind w:left="200" w:right="259" w:firstLine="632"/>
        <w:spacing w:after="0" w:line="246"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is entered into as of June 7, 2022, by and between Calavo Growers, Inc., a California corporation (the "</w:t>
      </w:r>
      <w:r>
        <w:rPr>
          <w:rFonts w:ascii="Times New Roman" w:cs="Times New Roman" w:eastAsia="Times New Roman" w:hAnsi="Times New Roman"/>
          <w:sz w:val="22"/>
          <w:szCs w:val="22"/>
          <w:b w:val="1"/>
          <w:bCs w:val="1"/>
          <w:u w:val="single" w:color="auto"/>
          <w:color w:val="auto"/>
        </w:rPr>
        <w:t>Employer</w:t>
      </w:r>
      <w:r>
        <w:rPr>
          <w:rFonts w:ascii="Times New Roman" w:cs="Times New Roman" w:eastAsia="Times New Roman" w:hAnsi="Times New Roman"/>
          <w:sz w:val="22"/>
          <w:szCs w:val="22"/>
          <w:color w:val="auto"/>
        </w:rPr>
        <w:t>"), and Danny Dumas (the "</w:t>
      </w:r>
      <w:r>
        <w:rPr>
          <w:rFonts w:ascii="Times New Roman" w:cs="Times New Roman" w:eastAsia="Times New Roman" w:hAnsi="Times New Roman"/>
          <w:sz w:val="22"/>
          <w:szCs w:val="22"/>
          <w:b w:val="1"/>
          <w:bCs w:val="1"/>
          <w:u w:val="single" w:color="auto"/>
          <w:color w:val="auto"/>
        </w:rPr>
        <w:t>Employee</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w:t>
      </w:r>
    </w:p>
    <w:p>
      <w:pPr>
        <w:spacing w:after="0" w:line="237" w:lineRule="exact"/>
        <w:rPr>
          <w:sz w:val="20"/>
          <w:szCs w:val="20"/>
          <w:color w:val="auto"/>
        </w:rPr>
      </w:pPr>
    </w:p>
    <w:p>
      <w:pPr>
        <w:ind w:left="200" w:right="259" w:firstLine="632"/>
        <w:spacing w:after="0" w:line="244" w:lineRule="auto"/>
        <w:rPr>
          <w:sz w:val="20"/>
          <w:szCs w:val="20"/>
          <w:color w:val="auto"/>
        </w:rPr>
      </w:pPr>
      <w:r>
        <w:rPr>
          <w:rFonts w:ascii="Times New Roman" w:cs="Times New Roman" w:eastAsia="Times New Roman" w:hAnsi="Times New Roman"/>
          <w:sz w:val="22"/>
          <w:szCs w:val="22"/>
          <w:color w:val="auto"/>
        </w:rPr>
        <w:t>The Employer desires to employ the Employee as the Employer's General Manager, Calavo Grown, and the Employee desires to accept such employment, upon the terms set forth in this Agreement.</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consideration, the receipt and sufficiency of which hereby are acknowledged, the Employer and the</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Employee hereby agree as follows:</w:t>
      </w:r>
    </w:p>
    <w:p>
      <w:pPr>
        <w:spacing w:after="0" w:line="205" w:lineRule="exact"/>
        <w:rPr>
          <w:sz w:val="20"/>
          <w:szCs w:val="20"/>
          <w:color w:val="auto"/>
        </w:rPr>
      </w:pPr>
    </w:p>
    <w:p>
      <w:pPr>
        <w:ind w:left="1660" w:hanging="704"/>
        <w:spacing w:after="0"/>
        <w:tabs>
          <w:tab w:leader="none" w:pos="16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p>
    <w:p>
      <w:pPr>
        <w:spacing w:after="0" w:line="219" w:lineRule="exact"/>
        <w:rPr>
          <w:rFonts w:ascii="Times New Roman" w:cs="Times New Roman" w:eastAsia="Times New Roman" w:hAnsi="Times New Roman"/>
          <w:sz w:val="22"/>
          <w:szCs w:val="22"/>
          <w:b w:val="1"/>
          <w:bCs w:val="1"/>
          <w:color w:val="auto"/>
        </w:rPr>
      </w:pPr>
    </w:p>
    <w:p>
      <w:pPr>
        <w:ind w:left="200" w:right="399" w:firstLine="1305"/>
        <w:spacing w:after="0" w:line="236" w:lineRule="auto"/>
        <w:tabs>
          <w:tab w:leader="none" w:pos="2342"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Section 1(b) below, the Employer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hereby employs the Employee, and the Employee hereby accepts employment with the Employer </w:t>
      </w: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the terms and conditions of this Agreement. The term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Employee's Employment under the terms of this Agreement (the </w:t>
      </w: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xml:space="preserve"> shall commence on July 18, 2022 (the </w:t>
      </w:r>
      <w:r>
        <w:rPr>
          <w:rFonts w:ascii="Times New Roman" w:cs="Times New Roman" w:eastAsia="Times New Roman" w:hAnsi="Times New Roman"/>
          <w:sz w:val="22"/>
          <w:szCs w:val="22"/>
          <w:b w:val="1"/>
          <w:bCs w:val="1"/>
          <w:u w:val="single" w:color="auto"/>
          <w:color w:val="auto"/>
        </w:rPr>
        <w:t>"Commencement Date")</w:t>
      </w:r>
      <w:r>
        <w:rPr>
          <w:rFonts w:ascii="Times New Roman" w:cs="Times New Roman" w:eastAsia="Times New Roman" w:hAnsi="Times New Roman"/>
          <w:sz w:val="22"/>
          <w:szCs w:val="22"/>
          <w:color w:val="auto"/>
        </w:rPr>
        <w:t xml:space="preserve"> and shall continue until terminated by the Employer or Employee as provided herein. Employee shall not begin his employment with Employer until the Commencement Date.</w:t>
      </w:r>
    </w:p>
    <w:p>
      <w:pPr>
        <w:spacing w:after="0" w:line="202" w:lineRule="exact"/>
        <w:rPr>
          <w:rFonts w:ascii="Times New Roman" w:cs="Times New Roman" w:eastAsia="Times New Roman" w:hAnsi="Times New Roman"/>
          <w:sz w:val="22"/>
          <w:szCs w:val="22"/>
          <w:b w:val="1"/>
          <w:bCs w:val="1"/>
          <w:color w:val="auto"/>
        </w:rPr>
      </w:pPr>
    </w:p>
    <w:p>
      <w:pPr>
        <w:ind w:left="200" w:right="299" w:firstLine="1305"/>
        <w:spacing w:after="0" w:line="235" w:lineRule="auto"/>
        <w:tabs>
          <w:tab w:leader="none" w:pos="2300"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At Will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foregoing, the Employer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 to terminate the Employee's Employment at any time, with or without prior notice, and with or without cause and for any reason or for no specified reason, subject to the terms of Section 5 below of this Agreement. The Employee has the right to terminate his Employment at any time, with or without prior notice, subject to the terms of Section 5 below of this Agreement. The Employee is employed by the Employer "at will" and this Agreement does not provide the Employee with any right to continue in the Employment of the Employer for any minimum or specified period.</w:t>
      </w:r>
    </w:p>
    <w:p>
      <w:pPr>
        <w:spacing w:after="0" w:line="205" w:lineRule="exact"/>
        <w:rPr>
          <w:rFonts w:ascii="Times New Roman" w:cs="Times New Roman" w:eastAsia="Times New Roman" w:hAnsi="Times New Roman"/>
          <w:sz w:val="22"/>
          <w:szCs w:val="22"/>
          <w:b w:val="1"/>
          <w:bCs w:val="1"/>
          <w:color w:val="auto"/>
        </w:rPr>
      </w:pPr>
    </w:p>
    <w:p>
      <w:pPr>
        <w:ind w:left="1660" w:hanging="704"/>
        <w:spacing w:after="0"/>
        <w:tabs>
          <w:tab w:leader="none" w:pos="16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POSITION, DUTIES, AUTHORITY AND EXCLUSIVITY OF SERVICES.</w:t>
      </w:r>
    </w:p>
    <w:p>
      <w:pPr>
        <w:spacing w:after="0" w:line="244" w:lineRule="exact"/>
        <w:rPr>
          <w:rFonts w:ascii="Times New Roman" w:cs="Times New Roman" w:eastAsia="Times New Roman" w:hAnsi="Times New Roman"/>
          <w:sz w:val="21"/>
          <w:szCs w:val="21"/>
          <w:b w:val="1"/>
          <w:bCs w:val="1"/>
          <w:color w:val="auto"/>
        </w:rPr>
      </w:pPr>
    </w:p>
    <w:p>
      <w:pPr>
        <w:ind w:left="200" w:right="459" w:firstLine="1305"/>
        <w:spacing w:after="0" w:line="246" w:lineRule="auto"/>
        <w:tabs>
          <w:tab w:leader="none" w:pos="2342"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of Employment, the Employee shall serve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Employer's General Manager, Grown (or such other title as the parties may mutually agree upon from time to time).</w:t>
      </w:r>
    </w:p>
    <w:p>
      <w:pPr>
        <w:spacing w:after="0" w:line="302" w:lineRule="exact"/>
        <w:rPr>
          <w:rFonts w:ascii="Times New Roman" w:cs="Times New Roman" w:eastAsia="Times New Roman" w:hAnsi="Times New Roman"/>
          <w:sz w:val="22"/>
          <w:szCs w:val="22"/>
          <w:b w:val="1"/>
          <w:bCs w:val="1"/>
          <w:color w:val="auto"/>
        </w:rPr>
      </w:pPr>
    </w:p>
    <w:p>
      <w:pPr>
        <w:ind w:left="200" w:right="439" w:firstLine="1305"/>
        <w:spacing w:after="0" w:line="286" w:lineRule="auto"/>
        <w:tabs>
          <w:tab w:leader="none" w:pos="2300" w:val="left"/>
        </w:tabs>
        <w:numPr>
          <w:ilvl w:val="1"/>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Reporting.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Employee shall report on a regular basis directly to,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subject to the supervision and direction of, the Employer's Chief Executive Officer.</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ind w:left="200" w:right="239" w:firstLine="1305"/>
        <w:spacing w:after="0" w:line="234" w:lineRule="auto"/>
        <w:tabs>
          <w:tab w:leader="none" w:pos="2330"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Duties, Responsibilities and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Employee's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responsibilities and authority shall consist of the duties as determined by the Chief Executive Officer or the Board of Directors of the Employer. The Employee shall be responsible for diligently and competently performing all services and acts that are necessary or advisable to fulfill those duties and responsibilities and shall render such services on the terms set forth in this Agreement. The Employee shall at all times be subject to, observe and carry out such reasonable employment-related rules, regulations and policies as the Employer's Board of Directors or Chief Executive Officer may from time to time establish for the Employer's employees, including, without limitation, the Employer's Employee Handbook, Insider Trading Policy and Code of Business Conduct and Ethics.</w:t>
      </w:r>
    </w:p>
    <w:p>
      <w:pPr>
        <w:spacing w:after="0" w:line="207" w:lineRule="exact"/>
        <w:rPr>
          <w:rFonts w:ascii="Times New Roman" w:cs="Times New Roman" w:eastAsia="Times New Roman" w:hAnsi="Times New Roman"/>
          <w:sz w:val="22"/>
          <w:szCs w:val="22"/>
          <w:b w:val="1"/>
          <w:bCs w:val="1"/>
          <w:color w:val="auto"/>
        </w:rPr>
      </w:pPr>
    </w:p>
    <w:p>
      <w:pPr>
        <w:ind w:left="200" w:right="219" w:firstLine="1305"/>
        <w:spacing w:after="0" w:line="235" w:lineRule="auto"/>
        <w:tabs>
          <w:tab w:leader="none" w:pos="2300"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Principal Business Office.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restricting any requirement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engage in reasonable business-related travel, the principal location in which the Employee shall be required to perform his duties and responsibilities shall be remote with a principal workplace at the Employer's Corporate Headquarters, which are presently located at 1141A Cummings Road, Santa Paula, California 93060. Notwithstanding the foregoing, the Employee may work remotely so long as doing so does not interfere with the Employee’s responsibilities under this Agreement; provided that, subject to any health or safety concerns related to the COVID-19 pandemic or other similar extraordinary circumstances, such remote work policy may be modified at the Chief Executive Officer’s discretion.</w:t>
      </w:r>
    </w:p>
    <w:p>
      <w:pPr>
        <w:spacing w:after="0" w:line="200" w:lineRule="exact"/>
        <w:rPr>
          <w:rFonts w:ascii="Times New Roman" w:cs="Times New Roman" w:eastAsia="Times New Roman" w:hAnsi="Times New Roman"/>
          <w:sz w:val="22"/>
          <w:szCs w:val="22"/>
          <w:b w:val="1"/>
          <w:bCs w:val="1"/>
          <w:color w:val="auto"/>
        </w:rPr>
      </w:pPr>
    </w:p>
    <w:p>
      <w:pPr>
        <w:ind w:left="200" w:right="259" w:firstLine="1305"/>
        <w:spacing w:after="0" w:line="244" w:lineRule="auto"/>
        <w:tabs>
          <w:tab w:leader="none" w:pos="2330" w:val="left"/>
        </w:tabs>
        <w:numPr>
          <w:ilvl w:val="1"/>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Exclusivity of Services.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for sick leave and other forms of leave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are permitted under the Employer's rules, regulations and policies and except for the paid vacation time or paid time off to which Employee may be entitled, the Employee shall, throughout the Term of Employment, devote his full business time and attention during the Employer's normal business hours to serving in the position described in this Agreement and to the performance of his duties and responsibilities in good faith and to the best of his ability. The Employee may spend reasonable time managing his personal and family business and affairs and engaging in civic, educational, social, and charitable activities, so long as the same do not conflict or interfere with performance of his duties hereunder. The Employee may continue to serve on the boards of directors on which he serves as of the Effective Date. The Employee may serve on the board of directors of other for-profit entities with the prior written consent of the Employer's Board of Directors, which will not be unreasonably withheld. Notwithstanding the foregoing, the Employee shall not serve on the board of directors of any entity that competes with the Employer and the Employee shall not serve on the board of directors of more than two for-profit entities.</w:t>
      </w:r>
    </w:p>
    <w:p>
      <w:pPr>
        <w:spacing w:after="0" w:line="207" w:lineRule="exact"/>
        <w:rPr>
          <w:rFonts w:ascii="Times New Roman" w:cs="Times New Roman" w:eastAsia="Times New Roman" w:hAnsi="Times New Roman"/>
          <w:sz w:val="21"/>
          <w:szCs w:val="21"/>
          <w:b w:val="1"/>
          <w:bCs w:val="1"/>
          <w:color w:val="auto"/>
        </w:rPr>
      </w:pPr>
    </w:p>
    <w:p>
      <w:pPr>
        <w:ind w:left="1620" w:hanging="646"/>
        <w:spacing w:after="0"/>
        <w:tabs>
          <w:tab w:leader="none" w:pos="162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u w:val="single" w:color="auto"/>
          <w:color w:val="auto"/>
        </w:rPr>
        <w:t>.</w:t>
      </w:r>
    </w:p>
    <w:p>
      <w:pPr>
        <w:spacing w:after="0" w:line="233" w:lineRule="exact"/>
        <w:rPr>
          <w:rFonts w:ascii="Times New Roman" w:cs="Times New Roman" w:eastAsia="Times New Roman" w:hAnsi="Times New Roman"/>
          <w:sz w:val="22"/>
          <w:szCs w:val="22"/>
          <w:b w:val="1"/>
          <w:bCs w:val="1"/>
          <w:color w:val="auto"/>
        </w:rPr>
      </w:pPr>
    </w:p>
    <w:p>
      <w:pPr>
        <w:ind w:left="200" w:right="519" w:firstLine="1305"/>
        <w:spacing w:after="0" w:line="286" w:lineRule="auto"/>
        <w:tabs>
          <w:tab w:leader="none" w:pos="2234" w:val="left"/>
        </w:tabs>
        <w:numPr>
          <w:ilvl w:val="1"/>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services rendered during the Term of Employment,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Employer shall pay the Employee an annual salary base salary of $415,000, payable in regular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 w:name="page10"/>
    <w:bookmarkEnd w:id="9"/>
    <w:p>
      <w:pPr>
        <w:ind w:left="200" w:right="219"/>
        <w:spacing w:after="0" w:line="236" w:lineRule="auto"/>
        <w:rPr>
          <w:sz w:val="20"/>
          <w:szCs w:val="20"/>
          <w:color w:val="auto"/>
        </w:rPr>
      </w:pPr>
      <w:r>
        <w:rPr>
          <w:rFonts w:ascii="Times New Roman" w:cs="Times New Roman" w:eastAsia="Times New Roman" w:hAnsi="Times New Roman"/>
          <w:sz w:val="22"/>
          <w:szCs w:val="22"/>
          <w:color w:val="auto"/>
        </w:rPr>
        <w:t>installments in accordance with the Employer's customary payroll practices for employees. If the Employee is entitled to receive Base Salary for any period that is less than one calendar month, the Base Salary for such period shall be computed by prorating the annual Base Salary over such period based upon the actual number of days therein. The Employer's Compensation Committee, in its sole authority, shall determine on an annual basis whether an increase in the Employee's Base Salary is justified.</w:t>
      </w:r>
    </w:p>
    <w:p>
      <w:pPr>
        <w:spacing w:after="0" w:line="205" w:lineRule="exact"/>
        <w:rPr>
          <w:sz w:val="20"/>
          <w:szCs w:val="20"/>
          <w:color w:val="auto"/>
        </w:rPr>
      </w:pPr>
    </w:p>
    <w:p>
      <w:pPr>
        <w:ind w:left="2200" w:hanging="695"/>
        <w:spacing w:after="0"/>
        <w:tabs>
          <w:tab w:leader="none" w:pos="220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Annual Bonus.</w:t>
      </w:r>
    </w:p>
    <w:p>
      <w:pPr>
        <w:spacing w:after="0" w:line="237" w:lineRule="exact"/>
        <w:rPr>
          <w:rFonts w:ascii="Times New Roman" w:cs="Times New Roman" w:eastAsia="Times New Roman" w:hAnsi="Times New Roman"/>
          <w:sz w:val="22"/>
          <w:szCs w:val="22"/>
          <w:b w:val="1"/>
          <w:bCs w:val="1"/>
          <w:color w:val="auto"/>
        </w:rPr>
      </w:pPr>
    </w:p>
    <w:p>
      <w:pPr>
        <w:ind w:left="200" w:right="299" w:firstLine="1953"/>
        <w:spacing w:after="0" w:line="244" w:lineRule="auto"/>
        <w:tabs>
          <w:tab w:leader="none" w:pos="2780" w:val="left"/>
        </w:tabs>
        <w:numPr>
          <w:ilvl w:val="1"/>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With respect to each of the Employer's fiscal years during the Term of Employment beginning with the 2022 fiscal year, the Employee shall be eligible to receive an annual performance bonus (the "</w:t>
      </w:r>
      <w:r>
        <w:rPr>
          <w:rFonts w:ascii="Times New Roman" w:cs="Times New Roman" w:eastAsia="Times New Roman" w:hAnsi="Times New Roman"/>
          <w:sz w:val="21"/>
          <w:szCs w:val="21"/>
          <w:b w:val="1"/>
          <w:bCs w:val="1"/>
          <w:u w:val="single" w:color="auto"/>
          <w:color w:val="auto"/>
        </w:rPr>
        <w:t>Annual Bonus</w:t>
      </w:r>
      <w:r>
        <w:rPr>
          <w:rFonts w:ascii="Times New Roman" w:cs="Times New Roman" w:eastAsia="Times New Roman" w:hAnsi="Times New Roman"/>
          <w:sz w:val="21"/>
          <w:szCs w:val="21"/>
          <w:color w:val="auto"/>
        </w:rPr>
        <w:t>") to be determined annually by the Employer's Compensation Committee in connection with its determination of performance­based bonuses and performance targets, thresholds and requirements for other executive officers pursuant to a compensation plan or plans approved from time to time by the Compensation Committee. Notwithstanding the foregoing, the Employee will receive an Annual Bonus in the amount of 40% of Base Salary for any fiscal year in which the Employer achieves its annual performance target commencing with the 2022 fiscal year provided that the Employee is employed with the Employer for the entire fiscal year. For the period beginning on the Commencement Date and ending on the last day of the applicable fiscal year, the Employee shall be eligible to receive a prorated Annual Bonus (calculated as the Annual Bonus that would have been paid for the entire fiscal year multiplied by a fraction, the numerator of which is equal to the number of days the Employee worked in the applicable fiscal year, and the denominator of which is equal to the total number of days in such year). With respect to each of the Employer's fiscal years during the Term of Employment beginning with the 2022 fiscal year (ending October 2022), the Compensation Committee may elect to award the Employee a discretionary bonus.</w:t>
      </w:r>
    </w:p>
    <w:p>
      <w:pPr>
        <w:spacing w:after="0" w:line="200" w:lineRule="exact"/>
        <w:rPr>
          <w:rFonts w:ascii="Times New Roman" w:cs="Times New Roman" w:eastAsia="Times New Roman" w:hAnsi="Times New Roman"/>
          <w:sz w:val="21"/>
          <w:szCs w:val="21"/>
          <w:b w:val="1"/>
          <w:bCs w:val="1"/>
          <w:color w:val="auto"/>
        </w:rPr>
      </w:pPr>
    </w:p>
    <w:p>
      <w:pPr>
        <w:ind w:left="200" w:right="219" w:firstLine="1953"/>
        <w:spacing w:after="0" w:line="233" w:lineRule="auto"/>
        <w:tabs>
          <w:tab w:leader="none" w:pos="2786"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Beginning with the 2023 fiscal year, the Employee will also participate in the Employer’s Long Term Incentive Plan (“</w:t>
      </w:r>
      <w:r>
        <w:rPr>
          <w:rFonts w:ascii="Times New Roman" w:cs="Times New Roman" w:eastAsia="Times New Roman" w:hAnsi="Times New Roman"/>
          <w:sz w:val="22"/>
          <w:szCs w:val="22"/>
          <w:b w:val="1"/>
          <w:bCs w:val="1"/>
          <w:u w:val="single" w:color="auto"/>
          <w:color w:val="auto"/>
        </w:rPr>
        <w:t>LTIP</w:t>
      </w:r>
      <w:r>
        <w:rPr>
          <w:rFonts w:ascii="Times New Roman" w:cs="Times New Roman" w:eastAsia="Times New Roman" w:hAnsi="Times New Roman"/>
          <w:sz w:val="22"/>
          <w:szCs w:val="22"/>
          <w:color w:val="auto"/>
        </w:rPr>
        <w:t>”) to the extent such plan may exist, or any successor incentive plan that the Employer may develop (collectively, the “</w:t>
      </w:r>
      <w:r>
        <w:rPr>
          <w:rFonts w:ascii="Times New Roman" w:cs="Times New Roman" w:eastAsia="Times New Roman" w:hAnsi="Times New Roman"/>
          <w:sz w:val="22"/>
          <w:szCs w:val="22"/>
          <w:b w:val="1"/>
          <w:bCs w:val="1"/>
          <w:u w:val="single" w:color="auto"/>
          <w:color w:val="auto"/>
        </w:rPr>
        <w:t>Incentive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Employee shall be eligible to receive a total of up to 40% of his Base Salary (or higher,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performance vested target component described below) in equity awards pursuant to the terms of the Incentive Plan, including any vesting, incentive, and other requirements that may be incorporated into the Incentive Plan. Fifty percent of each such award shall vest over a three-year period in three equal annual installments, with the remaining fifty percent to be performance vested at the end of three years with targets based on the Employer's net sales, adjusted EBITDA, and return on invested capital. Cliff vesting shall apply to all LTIP awards and the Employee must be employed with the Employer on each date that restricted stock units are scheduled to vest. Employee shall forfeit any such restricted stock units that have not vested as of the date his Employment ends.</w:t>
      </w:r>
    </w:p>
    <w:p>
      <w:pPr>
        <w:spacing w:after="0" w:line="209"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1"/>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Employee acknowledges that the Compensation Committee may</w:t>
      </w:r>
    </w:p>
    <w:p>
      <w:pPr>
        <w:spacing w:after="0" w:line="25" w:lineRule="exact"/>
        <w:rPr>
          <w:rFonts w:ascii="Times New Roman" w:cs="Times New Roman" w:eastAsia="Times New Roman" w:hAnsi="Times New Roman"/>
          <w:sz w:val="21"/>
          <w:szCs w:val="21"/>
          <w:b w:val="1"/>
          <w:bCs w:val="1"/>
          <w:color w:val="auto"/>
        </w:rPr>
      </w:pPr>
    </w:p>
    <w:p>
      <w:pPr>
        <w:ind w:left="20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award Annual Bonuses and discretionary bonuses to him in cash, Employer common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 w:name="page11"/>
    <w:bookmarkEnd w:id="10"/>
    <w:p>
      <w:pPr>
        <w:ind w:left="200" w:right="239"/>
        <w:spacing w:after="0" w:line="238" w:lineRule="auto"/>
        <w:rPr>
          <w:sz w:val="20"/>
          <w:szCs w:val="20"/>
          <w:color w:val="auto"/>
        </w:rPr>
      </w:pPr>
      <w:r>
        <w:rPr>
          <w:rFonts w:ascii="Times New Roman" w:cs="Times New Roman" w:eastAsia="Times New Roman" w:hAnsi="Times New Roman"/>
          <w:sz w:val="22"/>
          <w:szCs w:val="22"/>
          <w:color w:val="auto"/>
        </w:rPr>
        <w:t>stock, or rights to acquire Employer common stock, and that such equity-based awards may be subject to vesting conditions and requirements. Equity-based awards made by the Employer to the Employee under this Agreement or otherwise shall be subject to the terms and conditions of the Employer’s 2020 Equity Incentive Plan, as it may be amended from time to time and including any successor plan adopted by the Employer.</w:t>
      </w:r>
    </w:p>
    <w:p>
      <w:pPr>
        <w:spacing w:after="0" w:line="200" w:lineRule="exact"/>
        <w:rPr>
          <w:sz w:val="20"/>
          <w:szCs w:val="20"/>
          <w:color w:val="auto"/>
        </w:rPr>
      </w:pPr>
    </w:p>
    <w:p>
      <w:pPr>
        <w:ind w:left="2340" w:hanging="835"/>
        <w:spacing w:after="0"/>
        <w:tabs>
          <w:tab w:leader="none" w:pos="234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Intentionally Omitted</w:t>
      </w:r>
      <w:r>
        <w:rPr>
          <w:rFonts w:ascii="Times New Roman" w:cs="Times New Roman" w:eastAsia="Times New Roman" w:hAnsi="Times New Roman"/>
          <w:sz w:val="22"/>
          <w:szCs w:val="22"/>
          <w:b w:val="1"/>
          <w:bCs w:val="1"/>
          <w:color w:val="auto"/>
        </w:rPr>
        <w:t>.</w:t>
      </w:r>
    </w:p>
    <w:p>
      <w:pPr>
        <w:spacing w:after="0" w:line="233" w:lineRule="exact"/>
        <w:rPr>
          <w:rFonts w:ascii="Times New Roman" w:cs="Times New Roman" w:eastAsia="Times New Roman" w:hAnsi="Times New Roman"/>
          <w:sz w:val="22"/>
          <w:szCs w:val="22"/>
          <w:b w:val="1"/>
          <w:bCs w:val="1"/>
          <w:color w:val="auto"/>
        </w:rPr>
      </w:pPr>
    </w:p>
    <w:p>
      <w:pPr>
        <w:ind w:left="2300" w:hanging="795"/>
        <w:spacing w:after="0"/>
        <w:tabs>
          <w:tab w:leader="none" w:pos="230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Signing Bonus</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left="200" w:right="999" w:firstLine="1953"/>
        <w:spacing w:after="0" w:line="258" w:lineRule="auto"/>
        <w:tabs>
          <w:tab w:leader="none" w:pos="2780"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Employee shall be eligible to receive a signing bonus of $150,000 in equity (the "</w:t>
      </w:r>
      <w:r>
        <w:rPr>
          <w:rFonts w:ascii="Times New Roman" w:cs="Times New Roman" w:eastAsia="Times New Roman" w:hAnsi="Times New Roman"/>
          <w:sz w:val="22"/>
          <w:szCs w:val="22"/>
          <w:b w:val="1"/>
          <w:bCs w:val="1"/>
          <w:u w:val="single" w:color="auto"/>
          <w:color w:val="auto"/>
        </w:rPr>
        <w:t>Signing Bonus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follows.</w:t>
      </w:r>
    </w:p>
    <w:p>
      <w:pPr>
        <w:spacing w:after="0" w:line="185" w:lineRule="exact"/>
        <w:rPr>
          <w:rFonts w:ascii="Times New Roman" w:cs="Times New Roman" w:eastAsia="Times New Roman" w:hAnsi="Times New Roman"/>
          <w:sz w:val="22"/>
          <w:szCs w:val="22"/>
          <w:b w:val="1"/>
          <w:bCs w:val="1"/>
          <w:color w:val="auto"/>
        </w:rPr>
      </w:pPr>
    </w:p>
    <w:p>
      <w:pPr>
        <w:ind w:left="200" w:right="219" w:firstLine="1953"/>
        <w:spacing w:after="0" w:line="234" w:lineRule="auto"/>
        <w:tabs>
          <w:tab w:leader="none" w:pos="2786"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Employee shall be awarded restricted stock units representing a contingent right to the Employer's common stock having a value of $150,000 based on the closing price of the Employer's common stock on the Commencement Date. The restricted stock units will vest in three equal annual installments with the first installment to vest on the first anniversary of the Commencement Date and with the remainder of the restricted stock units to vest in equal installments on the next two anniversaries of the Commencement Date, subject to the requirement that the Employee must be employed with the Employer on each date that restricted stock units are scheduled to vest and the Employee shall forfeit any such restricted stock units that have not vested as of the date his Employment ends. The parties hereto shall sign a restricted stock unit agreement governing the restricted stock units issuable to the Employee.</w:t>
      </w:r>
    </w:p>
    <w:p>
      <w:pPr>
        <w:spacing w:after="0" w:line="202" w:lineRule="exact"/>
        <w:rPr>
          <w:rFonts w:ascii="Times New Roman" w:cs="Times New Roman" w:eastAsia="Times New Roman" w:hAnsi="Times New Roman"/>
          <w:sz w:val="22"/>
          <w:szCs w:val="22"/>
          <w:b w:val="1"/>
          <w:bCs w:val="1"/>
          <w:color w:val="auto"/>
        </w:rPr>
      </w:pPr>
    </w:p>
    <w:p>
      <w:pPr>
        <w:ind w:left="200" w:right="279" w:firstLine="1305"/>
        <w:spacing w:after="0" w:line="238" w:lineRule="auto"/>
        <w:tabs>
          <w:tab w:leader="none" w:pos="233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that a Change in Control,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13(i) of the 2020 Equity Incentive Plan (a “</w:t>
      </w: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occurs during the Term of Employment or during any other period contemplated by this Agreement, then the effect upon any compensation paid to the Employee under the 2020 Equity Incentive Plan shall be governed in accordance with Section 9(c) of the 2020 Equity Incentive Plan.</w:t>
      </w:r>
    </w:p>
    <w:p>
      <w:pPr>
        <w:spacing w:after="0" w:line="203" w:lineRule="exact"/>
        <w:rPr>
          <w:rFonts w:ascii="Times New Roman" w:cs="Times New Roman" w:eastAsia="Times New Roman" w:hAnsi="Times New Roman"/>
          <w:sz w:val="22"/>
          <w:szCs w:val="22"/>
          <w:b w:val="1"/>
          <w:bCs w:val="1"/>
          <w:color w:val="auto"/>
        </w:rPr>
      </w:pPr>
    </w:p>
    <w:p>
      <w:pPr>
        <w:ind w:left="200" w:right="539" w:firstLine="1305"/>
        <w:spacing w:after="0" w:line="238" w:lineRule="auto"/>
        <w:tabs>
          <w:tab w:leader="none" w:pos="2306"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Signing Bonus and all Base Salary, Annual Bonuses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other payments to be made to the Employee under this Agreement are subject to the Employer's right to make customary and applicable deductions and withholdings, including, without limitation, for federal and state taxes, FICA, Medicaid and other customary payroll activities.</w:t>
      </w:r>
    </w:p>
    <w:p>
      <w:pPr>
        <w:spacing w:after="0" w:line="203" w:lineRule="exact"/>
        <w:rPr>
          <w:rFonts w:ascii="Times New Roman" w:cs="Times New Roman" w:eastAsia="Times New Roman" w:hAnsi="Times New Roman"/>
          <w:sz w:val="22"/>
          <w:szCs w:val="22"/>
          <w:b w:val="1"/>
          <w:bCs w:val="1"/>
          <w:color w:val="auto"/>
        </w:rPr>
      </w:pPr>
    </w:p>
    <w:p>
      <w:pPr>
        <w:ind w:left="200" w:right="359" w:firstLine="1305"/>
        <w:spacing w:after="0" w:line="237" w:lineRule="auto"/>
        <w:tabs>
          <w:tab w:leader="none" w:pos="2342"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Provisions</w:t>
      </w:r>
      <w:r>
        <w:rPr>
          <w:rFonts w:ascii="Times New Roman" w:cs="Times New Roman" w:eastAsia="Times New Roman" w:hAnsi="Times New Roman"/>
          <w:sz w:val="22"/>
          <w:szCs w:val="22"/>
          <w:color w:val="auto"/>
        </w:rPr>
        <w:t>. Notwithstanding any other provisions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the contrary, any incentive-based compensation, or any other compensation, paid to the Employee pursuant to this Agreement or any other agreement or arrangement with the Employer which is subject to recovery under any law, government regulation or stock exchange listing requirement, or which is subject to recovery under any clawback policy adopted by the Employer that is applicable to its executive officers, will be subject to such deductions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 w:name="page12"/>
    <w:bookmarkEnd w:id="11"/>
    <w:p>
      <w:pPr>
        <w:ind w:left="200" w:right="499"/>
        <w:spacing w:after="0" w:line="238" w:lineRule="auto"/>
        <w:rPr>
          <w:sz w:val="20"/>
          <w:szCs w:val="20"/>
          <w:color w:val="auto"/>
        </w:rPr>
      </w:pPr>
      <w:r>
        <w:rPr>
          <w:rFonts w:ascii="Times New Roman" w:cs="Times New Roman" w:eastAsia="Times New Roman" w:hAnsi="Times New Roman"/>
          <w:sz w:val="22"/>
          <w:szCs w:val="22"/>
          <w:color w:val="auto"/>
        </w:rPr>
        <w:t>clawback as may be required to be made pursuant to such law, government regulation or stock exchange listing requirement or pursuant to such Employer clawback policy. The Employer will make any determination for clawback or recovery in accordance with its determination of any applicable law or regulation and based upon its review of any clawback policy adopted by the Employer.</w:t>
      </w:r>
    </w:p>
    <w:p>
      <w:pPr>
        <w:spacing w:after="0" w:line="200" w:lineRule="exact"/>
        <w:rPr>
          <w:sz w:val="20"/>
          <w:szCs w:val="20"/>
          <w:color w:val="auto"/>
        </w:rPr>
      </w:pPr>
    </w:p>
    <w:p>
      <w:pPr>
        <w:ind w:left="200" w:right="279" w:firstLine="1305"/>
        <w:spacing w:after="0" w:line="237" w:lineRule="auto"/>
        <w:tabs>
          <w:tab w:leader="none" w:pos="2246"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Equity Interests in the Employer.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 acknowledges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agrees </w:t>
      </w:r>
      <w:r>
        <w:rPr>
          <w:rFonts w:ascii="Times New Roman" w:cs="Times New Roman" w:eastAsia="Times New Roman" w:hAnsi="Times New Roman"/>
          <w:sz w:val="22"/>
          <w:szCs w:val="22"/>
          <w:b w:val="1"/>
          <w:bCs w:val="1"/>
          <w:color w:val="auto"/>
        </w:rPr>
        <w:t>that</w:t>
      </w:r>
      <w:r>
        <w:rPr>
          <w:rFonts w:ascii="Times New Roman" w:cs="Times New Roman" w:eastAsia="Times New Roman" w:hAnsi="Times New Roman"/>
          <w:sz w:val="22"/>
          <w:szCs w:val="22"/>
          <w:color w:val="auto"/>
        </w:rPr>
        <w:t>, except as set forth in this Agreement, the Employer has not made any representations or promises to him regarding his receipt of (1) stock options or other rights to acquire shares of the Employer's common stock under an employee stock plan or otherwise or (2) equity interests in the Employer, and that nothing in this Agreement entitles him to any such stock options, shares or other equity interests except as provided herein.</w:t>
      </w:r>
    </w:p>
    <w:p>
      <w:pPr>
        <w:spacing w:after="0" w:line="202" w:lineRule="exact"/>
        <w:rPr>
          <w:rFonts w:ascii="Times New Roman" w:cs="Times New Roman" w:eastAsia="Times New Roman" w:hAnsi="Times New Roman"/>
          <w:sz w:val="22"/>
          <w:szCs w:val="22"/>
          <w:b w:val="1"/>
          <w:bCs w:val="1"/>
          <w:color w:val="auto"/>
        </w:rPr>
      </w:pPr>
    </w:p>
    <w:p>
      <w:pPr>
        <w:ind w:left="1580" w:right="1399" w:hanging="612"/>
        <w:spacing w:after="0" w:line="262" w:lineRule="auto"/>
        <w:tabs>
          <w:tab w:leader="none" w:pos="1609"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BENEFITS, EXPENSE REIMBURSEMENT AND INDEMNIFICATION; 409(A) COMPLIANCE.</w:t>
      </w:r>
    </w:p>
    <w:p>
      <w:pPr>
        <w:spacing w:after="0" w:line="176" w:lineRule="exact"/>
        <w:rPr>
          <w:rFonts w:ascii="Times New Roman" w:cs="Times New Roman" w:eastAsia="Times New Roman" w:hAnsi="Times New Roman"/>
          <w:sz w:val="22"/>
          <w:szCs w:val="22"/>
          <w:b w:val="1"/>
          <w:bCs w:val="1"/>
          <w:color w:val="auto"/>
        </w:rPr>
      </w:pPr>
    </w:p>
    <w:p>
      <w:pPr>
        <w:ind w:left="200" w:right="239" w:firstLine="1305"/>
        <w:spacing w:after="0" w:line="233" w:lineRule="auto"/>
        <w:tabs>
          <w:tab w:leader="none" w:pos="2288"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of Employment, the Employee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entitled to receive all benefits under any and all deferred compensation plans, retirement plans, life, disability, health, accident and other insurance programs, automobile allowances, and similar employee benefit plans and programs, sick leave, vacation time and paid time off (if any) that the Employer elects in its sole discretion to provide from time to time to its other executive officers (collectively referred to herein as the “</w:t>
      </w: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However, the Employer reserves the right to terminate, reduce or otherwise amend any or all of the Benefits from time to time to the extent allowed by law, so long as such action applies generally to all of its executive officers. Except as otherwise required by applicable law or as provided herein and except as provided under the terms of the Employer's life, disability, health, accident and other insurance programs and similar employee benefit plans and programs, the Employee's right to receive Benefits shall terminate upon the termination of his Employment for any reason. The Employee shall be entitled to not less than four weeks vacation per year.</w:t>
      </w:r>
    </w:p>
    <w:p>
      <w:pPr>
        <w:spacing w:after="0" w:line="209" w:lineRule="exact"/>
        <w:rPr>
          <w:rFonts w:ascii="Times New Roman" w:cs="Times New Roman" w:eastAsia="Times New Roman" w:hAnsi="Times New Roman"/>
          <w:sz w:val="22"/>
          <w:szCs w:val="22"/>
          <w:b w:val="1"/>
          <w:bCs w:val="1"/>
          <w:color w:val="auto"/>
        </w:rPr>
      </w:pPr>
    </w:p>
    <w:p>
      <w:pPr>
        <w:ind w:left="200" w:right="299" w:firstLine="1305"/>
        <w:spacing w:after="0" w:line="233" w:lineRule="auto"/>
        <w:tabs>
          <w:tab w:leader="none" w:pos="2246"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Business Expense Reimbursement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that the Employee provides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documentation of his expenses, the Employee shall be entitled to receive full reimbursement for all reasonable out-of-pocket business expenses that are incurred by him during the Term of Employment in accordance with the policies and procedures established from time to time by the Employer. Further, provided the Employee provides appropriate documentation, the Employee shall be entitled to receive full reimbursement for flights, hotels, and car rentals for six months beginning on the Commencement Date, and at the end of such six month period, shall receive $50,000 (less taxes) to use for personal commuting expenses and ancillary expenses associated with commuting. Employee shall return this sum if he leaves his employment without Good Reason as defined in this Agreement within one year of the Payment Date. The Employee's rights under this paragraph shall terminate as of the date that his Employment terminates for any reason, provided that the Employer shall remain obligated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ind w:left="200" w:right="519"/>
        <w:spacing w:after="0" w:line="259" w:lineRule="auto"/>
        <w:rPr>
          <w:sz w:val="20"/>
          <w:szCs w:val="20"/>
          <w:color w:val="auto"/>
        </w:rPr>
      </w:pPr>
      <w:r>
        <w:rPr>
          <w:rFonts w:ascii="Times New Roman" w:cs="Times New Roman" w:eastAsia="Times New Roman" w:hAnsi="Times New Roman"/>
          <w:sz w:val="22"/>
          <w:szCs w:val="22"/>
          <w:color w:val="auto"/>
        </w:rPr>
        <w:t>to reimburse the Employee for any such expenses that were properly incurred by him during the Term of Employment.</w:t>
      </w:r>
    </w:p>
    <w:p>
      <w:pPr>
        <w:spacing w:after="0" w:line="180" w:lineRule="exact"/>
        <w:rPr>
          <w:sz w:val="20"/>
          <w:szCs w:val="20"/>
          <w:color w:val="auto"/>
        </w:rPr>
      </w:pPr>
    </w:p>
    <w:p>
      <w:pPr>
        <w:jc w:val="both"/>
        <w:ind w:left="200" w:right="639" w:firstLine="1305"/>
        <w:spacing w:after="0" w:line="246" w:lineRule="auto"/>
        <w:tabs>
          <w:tab w:leader="none" w:pos="2276"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Employer and the Employee shall enter into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Employer’s form of indemnification agreement that is provided to members of the Employer’s Board of Directors and its executive officers.</w:t>
      </w:r>
    </w:p>
    <w:p>
      <w:pPr>
        <w:spacing w:after="0" w:line="198" w:lineRule="exact"/>
        <w:rPr>
          <w:rFonts w:ascii="Times New Roman" w:cs="Times New Roman" w:eastAsia="Times New Roman" w:hAnsi="Times New Roman"/>
          <w:sz w:val="22"/>
          <w:szCs w:val="22"/>
          <w:b w:val="1"/>
          <w:bCs w:val="1"/>
          <w:color w:val="auto"/>
        </w:rPr>
      </w:pPr>
    </w:p>
    <w:p>
      <w:pPr>
        <w:ind w:left="200" w:right="219" w:firstLine="1305"/>
        <w:spacing w:after="0" w:line="235" w:lineRule="auto"/>
        <w:tabs>
          <w:tab w:leader="none" w:pos="2246"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the Employer’s intention that the benefits and rights to which the Employee could become entitled to under this Agreement comply with, or alternatively fall within one of the exceptions to, Section 409A of the Internal Revenue Code of 1986, as amended, and the regulations promulgated thereunder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If the Employee or the Employer believes, at any time, that any of such benefit or right does not comply, it shall promptly advise the other and shall negotiate reasonably and in good faith to amend the terms of such benefits and rights such that they comply (with the most limited possible economic effect on the Employee and on the Employer) with Section 409A.</w:t>
      </w:r>
    </w:p>
    <w:p>
      <w:pPr>
        <w:spacing w:after="0" w:line="201" w:lineRule="exact"/>
        <w:rPr>
          <w:rFonts w:ascii="Times New Roman" w:cs="Times New Roman" w:eastAsia="Times New Roman" w:hAnsi="Times New Roman"/>
          <w:sz w:val="22"/>
          <w:szCs w:val="22"/>
          <w:b w:val="1"/>
          <w:bCs w:val="1"/>
          <w:color w:val="auto"/>
        </w:rPr>
      </w:pPr>
    </w:p>
    <w:p>
      <w:pPr>
        <w:ind w:left="1620" w:hanging="638"/>
        <w:spacing w:after="0"/>
        <w:tabs>
          <w:tab w:leader="none" w:pos="162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POST-EMPLOYMENT COMPENSATION</w:t>
      </w:r>
      <w:r>
        <w:rPr>
          <w:rFonts w:ascii="Times New Roman" w:cs="Times New Roman" w:eastAsia="Times New Roman" w:hAnsi="Times New Roman"/>
          <w:sz w:val="22"/>
          <w:szCs w:val="22"/>
          <w:b w:val="1"/>
          <w:bCs w:val="1"/>
          <w:color w:val="auto"/>
        </w:rPr>
        <w:t>.</w:t>
      </w:r>
    </w:p>
    <w:p>
      <w:pPr>
        <w:spacing w:after="0" w:line="233" w:lineRule="exact"/>
        <w:rPr>
          <w:rFonts w:ascii="Times New Roman" w:cs="Times New Roman" w:eastAsia="Times New Roman" w:hAnsi="Times New Roman"/>
          <w:sz w:val="22"/>
          <w:szCs w:val="22"/>
          <w:b w:val="1"/>
          <w:bCs w:val="1"/>
          <w:color w:val="auto"/>
        </w:rPr>
      </w:pPr>
    </w:p>
    <w:p>
      <w:pPr>
        <w:jc w:val="both"/>
        <w:ind w:left="200" w:right="279" w:firstLine="1305"/>
        <w:spacing w:after="0" w:line="241" w:lineRule="auto"/>
        <w:tabs>
          <w:tab w:leader="none" w:pos="2234" w:val="left"/>
        </w:tabs>
        <w:numPr>
          <w:ilvl w:val="1"/>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specifically provided in this Agreement, the Employer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no obligation to make any compensation, severance or other payments to the Employee, or to provide any other benefits to the Employee, after the date of the termination of the Employee's Employment for any reason.</w:t>
      </w:r>
    </w:p>
    <w:p>
      <w:pPr>
        <w:spacing w:after="0" w:line="198" w:lineRule="exact"/>
        <w:rPr>
          <w:rFonts w:ascii="Times New Roman" w:cs="Times New Roman" w:eastAsia="Times New Roman" w:hAnsi="Times New Roman"/>
          <w:sz w:val="22"/>
          <w:szCs w:val="22"/>
          <w:b w:val="1"/>
          <w:bCs w:val="1"/>
          <w:color w:val="auto"/>
        </w:rPr>
      </w:pPr>
    </w:p>
    <w:p>
      <w:pPr>
        <w:jc w:val="both"/>
        <w:ind w:left="200" w:right="239" w:firstLine="1305"/>
        <w:spacing w:after="0" w:line="246" w:lineRule="auto"/>
        <w:tabs>
          <w:tab w:leader="none" w:pos="2300" w:val="left"/>
        </w:tabs>
        <w:numPr>
          <w:ilvl w:val="1"/>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termination of the Employee's Employment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the Employee shall not be entitled to receive any additional Base Salary payments from the Employer except:</w:t>
      </w:r>
    </w:p>
    <w:p>
      <w:pPr>
        <w:spacing w:after="0" w:line="198" w:lineRule="exact"/>
        <w:rPr>
          <w:rFonts w:ascii="Times New Roman" w:cs="Times New Roman" w:eastAsia="Times New Roman" w:hAnsi="Times New Roman"/>
          <w:sz w:val="22"/>
          <w:szCs w:val="22"/>
          <w:b w:val="1"/>
          <w:bCs w:val="1"/>
          <w:color w:val="auto"/>
        </w:rPr>
      </w:pPr>
    </w:p>
    <w:p>
      <w:pPr>
        <w:jc w:val="both"/>
        <w:ind w:left="200" w:right="279" w:firstLine="1953"/>
        <w:spacing w:after="0" w:line="244" w:lineRule="auto"/>
        <w:tabs>
          <w:tab w:leader="none" w:pos="2888" w:val="left"/>
        </w:tabs>
        <w:numPr>
          <w:ilvl w:val="2"/>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Employee shall have the right to receive any earned but unpaid Base Salary and, to the extent required by law, accrued vacation pay or accrued paid time off, as of the date of the Employment termination; and</w:t>
      </w:r>
    </w:p>
    <w:p>
      <w:pPr>
        <w:spacing w:after="0" w:line="200" w:lineRule="exact"/>
        <w:rPr>
          <w:rFonts w:ascii="Times New Roman" w:cs="Times New Roman" w:eastAsia="Times New Roman" w:hAnsi="Times New Roman"/>
          <w:sz w:val="22"/>
          <w:szCs w:val="22"/>
          <w:b w:val="1"/>
          <w:bCs w:val="1"/>
          <w:color w:val="auto"/>
        </w:rPr>
      </w:pPr>
    </w:p>
    <w:p>
      <w:pPr>
        <w:ind w:left="200" w:right="219" w:firstLine="1953"/>
        <w:spacing w:after="0" w:line="233" w:lineRule="auto"/>
        <w:tabs>
          <w:tab w:leader="none" w:pos="2786" w:val="left"/>
        </w:tabs>
        <w:numPr>
          <w:ilvl w:val="2"/>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Employer terminates the Employee's Employment without Cause (as defined in this Agreement), or the Employee terminates his Employment for Good Reason (as defined in this Agreement), then, provided that the Employee executes a Separation and Release Agreement in the form attached to this Agreement, the Employer shall: (1) pay the Employee an amount equal to one year of his annual Base Salary, payable at regular payroll intervals; (2) make payments on behalf of the Employee in an amount sufficient for the Employee to maintain his then-current group health benefits for one year; (3) provide the Employee with a pro rata portion of his Annual Bonus pursuant to the Annual Bonus plan then in effect for the Employer’s executive officers for the year in which his Employment terminates, payable at the time that the Employer’s other executive officers receive their Annual Bonuses; and (4) the Signing Bonus will become fully vested as of the date of such termination of Employment. The Employee will be treated as an in-service employee for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 w:name="page14"/>
    <w:bookmarkEnd w:id="13"/>
    <w:p>
      <w:pPr>
        <w:ind w:left="200" w:right="259"/>
        <w:spacing w:after="0" w:line="247" w:lineRule="auto"/>
        <w:rPr>
          <w:sz w:val="20"/>
          <w:szCs w:val="20"/>
          <w:color w:val="auto"/>
        </w:rPr>
      </w:pPr>
      <w:r>
        <w:rPr>
          <w:rFonts w:ascii="Times New Roman" w:cs="Times New Roman" w:eastAsia="Times New Roman" w:hAnsi="Times New Roman"/>
          <w:sz w:val="21"/>
          <w:szCs w:val="21"/>
          <w:color w:val="auto"/>
        </w:rPr>
        <w:t>purposes of benefits continuation during any benefits continuation period. The payments and benefits described in this paragraph shall be subject to the Employer's right to make customary and applicable deductions and withholdings, including, without limitation, for federal and state taxes, FICA, Medicaid and other customary payroll activities. Such payments described above in clause</w:t>
      </w:r>
    </w:p>
    <w:p>
      <w:pPr>
        <w:spacing w:after="0" w:line="2" w:lineRule="exact"/>
        <w:rPr>
          <w:sz w:val="20"/>
          <w:szCs w:val="20"/>
          <w:color w:val="auto"/>
        </w:rPr>
      </w:pPr>
    </w:p>
    <w:p>
      <w:pPr>
        <w:ind w:left="200" w:right="319" w:firstLine="9"/>
        <w:spacing w:after="0" w:line="232" w:lineRule="auto"/>
        <w:tabs>
          <w:tab w:leader="none" w:pos="50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include medical, dental, and vision insurance coverage, and all other Calavo provided benefits. Under such circumstances, Calavo will also provide the Employee the option, for a period of eighteen (18) months thereafter, at the Employee’s own expense to continue his medical, dental, and vision benefits at the equivalent of his COBRA continuation cost, if and to the extent the continuation of such benefits is permitted under COBRA and other applicable law and the terms of the insurance policies. The Employee shall not be entitled to receive the payments and benefits described in this paragraph if the Employer terminates the Employee’s Employment for Cause or if he terminates his Employment other than for Good Reason</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22"/>
          <w:szCs w:val="22"/>
          <w:color w:val="auto"/>
        </w:rPr>
      </w:pPr>
    </w:p>
    <w:p>
      <w:pPr>
        <w:ind w:left="200" w:right="259" w:firstLine="1953"/>
        <w:spacing w:after="0" w:line="232" w:lineRule="auto"/>
        <w:tabs>
          <w:tab w:leader="none" w:pos="2792"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color w:val="auto"/>
        </w:rPr>
        <w:t>" means: (1) willful misconduct by the Employee with respect to the Employer that has a material adverse effect on the Employer and continues for a period of at least ten (10) days after written notice of such misconduct is given by Employer to the Employee; (2) the Employee’s willful refusal to attempt to follow any proper written direction of the Chairman of the Board of Directors, the Board of Directors, or the Company’s Chief Executive Officer unless the Employee has a good faith reason to believe that such direction is illegal or is a violation of the Employer's rules, regulations and policies, which refusal shall continue for a period of at least ten (10) days after written notice of such refusal is given by the Employer to the Employee; (3) the substantial and continuing refusal by the Employee to attempt to perform his duties required under this Agreement after written notice of demand for performance of such duties is delivered to the Employee by the Employer (which notice must specifically identify the manner in which the Employer believes the Employee has substantially and continually refused to attempt to perform his duties under this Agreement) and after such refusal to attempt to perform his duties has continued for at least ten days after his receipt of such notice; (4) the Employee's conviction of, or entry of a plea of guilty or nolo contendere to, a felony (other than a felony involving a traffic violation); (5) the Employee's theft, embezzlement or other criminal misappropriation of funds from the Employer; or (6) the Employee's willful breach of any other material provision of this Agreement or of the Employer’s Employee Handbook, Insider Trading Policy or Code of Business Conduct and Ethics and such willful breach continues for at least ten (10) days after written notice from Employer to the Employee specifying the breach if such breach is curable.</w:t>
      </w:r>
    </w:p>
    <w:p>
      <w:pPr>
        <w:spacing w:after="0" w:line="210" w:lineRule="exact"/>
        <w:rPr>
          <w:rFonts w:ascii="Times New Roman" w:cs="Times New Roman" w:eastAsia="Times New Roman" w:hAnsi="Times New Roman"/>
          <w:sz w:val="22"/>
          <w:szCs w:val="22"/>
          <w:b w:val="1"/>
          <w:bCs w:val="1"/>
          <w:color w:val="auto"/>
        </w:rPr>
      </w:pPr>
    </w:p>
    <w:p>
      <w:pPr>
        <w:ind w:left="200" w:right="419" w:firstLine="1953"/>
        <w:spacing w:after="0" w:line="236" w:lineRule="auto"/>
        <w:tabs>
          <w:tab w:leader="none" w:pos="2780"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color w:val="auto"/>
        </w:rPr>
        <w:t>" means the occurrence, without the Employee's written consent, of any of the following: (1) any requirement (whether as a result of change in duties or otherwise) that Employee perform the majority of his hours of employment more than 35 miles from the Employer’s Corporate Headquarters or then designated principle working location of the Employee, if the Employer fails to remedy such change within thirty days after written notice is given by the Employee to the Employer; (2) any reduction in base salary below $415,000 per year; (3) any material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p>
      <w:pPr>
        <w:ind w:left="200" w:right="239"/>
        <w:spacing w:after="0" w:line="247" w:lineRule="auto"/>
        <w:rPr>
          <w:sz w:val="20"/>
          <w:szCs w:val="20"/>
          <w:color w:val="auto"/>
        </w:rPr>
      </w:pPr>
      <w:r>
        <w:rPr>
          <w:rFonts w:ascii="Times New Roman" w:cs="Times New Roman" w:eastAsia="Times New Roman" w:hAnsi="Times New Roman"/>
          <w:sz w:val="21"/>
          <w:szCs w:val="21"/>
          <w:color w:val="auto"/>
        </w:rPr>
        <w:t>reduction in the Employee’s title, duties, responsibilities or authority, including, without limitation, any adverse change in reporting relationship or assignment to Employee of duties inconsistent with the position of General Manager, Calavo Grown for the Employer’s North American operations, including in a successor entity in the event of a Change in Control, which is not cured within thirty</w:t>
      </w:r>
    </w:p>
    <w:p>
      <w:pPr>
        <w:spacing w:after="0" w:line="2" w:lineRule="exact"/>
        <w:rPr>
          <w:sz w:val="20"/>
          <w:szCs w:val="20"/>
          <w:color w:val="auto"/>
        </w:rPr>
      </w:pPr>
    </w:p>
    <w:p>
      <w:pPr>
        <w:ind w:left="200" w:right="279" w:firstLine="9"/>
        <w:spacing w:after="0" w:line="242" w:lineRule="auto"/>
        <w:tabs>
          <w:tab w:leader="none" w:pos="61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written notice from the Employee to Employer; (4) any breach by the Employer of any material provision of this Agreement (whether or not described above), which breach is not cured by the Employer within thirty (30) days after written notice of such breach is given by the Employee to the Employer; or (5</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failure of any successor to the Employer (whether direct or indirect or whether by merger, acquisition of assets, consolidation or otherwise) to assume in a writing delivered to the Employee the obligations of the Employer under this Agreement, if such assumption agreement is not delivered to the Employee within ten (10) days after he provides the successor to the Employer with written notice of his desire to receive such agreement. Notwithstanding the foregoing, the Employee shall be deemed to have terminated his Employment for Good Reason for purposes of this Agreement only if he terminates his Employment within sixty (60) days after the occurrence of the event described in this paragraph (including expiration of the applicable notice and cure period) that permits him to terminate his Employment for Good Reason. In the event that the Employee elects to terminate his Employment for Good Reason pursuant to subsection (3) above following a Change in Control, the Employee shall provide the Employer with at least six (6) month’s notice of his intention to terminate his employment for Good reason and the Employer shall retain the option to shorten such notice period.</w:t>
      </w:r>
    </w:p>
    <w:p>
      <w:pPr>
        <w:spacing w:after="0" w:line="207" w:lineRule="exact"/>
        <w:rPr>
          <w:rFonts w:ascii="Times New Roman" w:cs="Times New Roman" w:eastAsia="Times New Roman" w:hAnsi="Times New Roman"/>
          <w:sz w:val="21"/>
          <w:szCs w:val="21"/>
          <w:color w:val="auto"/>
        </w:rPr>
      </w:pPr>
    </w:p>
    <w:p>
      <w:pPr>
        <w:ind w:left="1700" w:hanging="653"/>
        <w:spacing w:after="0"/>
        <w:tabs>
          <w:tab w:leader="none" w:pos="1700" w:val="left"/>
        </w:tabs>
        <w:numPr>
          <w:ilvl w:val="1"/>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CONFIDENTIALITY/UNFAIR COMPETITION.</w:t>
      </w:r>
    </w:p>
    <w:p>
      <w:pPr>
        <w:spacing w:after="0" w:line="233" w:lineRule="exact"/>
        <w:rPr>
          <w:rFonts w:ascii="Times New Roman" w:cs="Times New Roman" w:eastAsia="Times New Roman" w:hAnsi="Times New Roman"/>
          <w:sz w:val="22"/>
          <w:szCs w:val="22"/>
          <w:b w:val="1"/>
          <w:bCs w:val="1"/>
          <w:color w:val="auto"/>
        </w:rPr>
      </w:pPr>
    </w:p>
    <w:p>
      <w:pPr>
        <w:ind w:left="200" w:right="299" w:firstLine="1305"/>
        <w:spacing w:after="0" w:line="232" w:lineRule="auto"/>
        <w:tabs>
          <w:tab w:leader="none" w:pos="2342" w:val="left"/>
        </w:tabs>
        <w:numPr>
          <w:ilvl w:val="2"/>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 shall at no time, either during 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or after the termination of his Employment for any reason, use or disclose to any person, directly or indirectly, any confidential or proprietary information concerning the business of the Employer, including,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Employee's duties during the period that he is so employed, (2) required by an order of a court of competent jurisdiction, or (3) authorized in writing by the Employer’s Chairman of the Board of Directors or the Board of Directors. The prohibition that is contained in the preceding sentence shall not apply to any information that is or becomes generally available to the public other than through an improper disclosure by the Employee or by a person acting in concert with him to effect such improper disclosure. Within five (5) days after the termination of his Employment, the Employee shall return to the Employer all memoranda, notes and other documents in his possession or control that relate to the confidential information of the Employer. Upon the Employer’s request, the Employee agrees to execute and deliver to the Employer any reasonable form of confidentiality agreement that the Employer requires generally from its employees.</w:t>
      </w:r>
    </w:p>
    <w:p>
      <w:pPr>
        <w:spacing w:after="0" w:line="216" w:lineRule="exact"/>
        <w:rPr>
          <w:rFonts w:ascii="Times New Roman" w:cs="Times New Roman" w:eastAsia="Times New Roman" w:hAnsi="Times New Roman"/>
          <w:sz w:val="22"/>
          <w:szCs w:val="22"/>
          <w:b w:val="1"/>
          <w:bCs w:val="1"/>
          <w:color w:val="auto"/>
        </w:rPr>
      </w:pPr>
    </w:p>
    <w:p>
      <w:pPr>
        <w:ind w:left="200" w:right="619" w:firstLine="1305"/>
        <w:spacing w:after="0" w:line="286" w:lineRule="auto"/>
        <w:tabs>
          <w:tab w:leader="none" w:pos="2408" w:val="left"/>
        </w:tabs>
        <w:numPr>
          <w:ilvl w:val="2"/>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Competition During the Term of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the Employee shall not, directly or indirectly (as owner, principal, agent, partner,</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 w:name="page16"/>
    <w:bookmarkEnd w:id="15"/>
    <w:p>
      <w:pPr>
        <w:ind w:left="200" w:right="259"/>
        <w:spacing w:after="0" w:line="235" w:lineRule="auto"/>
        <w:rPr>
          <w:sz w:val="20"/>
          <w:szCs w:val="20"/>
          <w:color w:val="auto"/>
        </w:rPr>
      </w:pPr>
      <w:r>
        <w:rPr>
          <w:rFonts w:ascii="Times New Roman" w:cs="Times New Roman" w:eastAsia="Times New Roman" w:hAnsi="Times New Roman"/>
          <w:sz w:val="22"/>
          <w:szCs w:val="22"/>
          <w:color w:val="auto"/>
        </w:rPr>
        <w:t>officer, employee, independent contractor, consultant, shareholder or otherwise), (1) hire (or solicit for the purpose of hiring) or cause any other person to hire (or solicit for the purpose of hiring) any employee or officer of the Employer or (2) compete in any manner with the business then being conducted by the Employer. The prohibition that is set forth in the preceding sentence shall not be construed as prohibiting the Employee from acquiring and owning up to one percent (1%) of the outstanding common stock of any corporation whose common stock is traded on a national securities exchange.</w:t>
      </w:r>
    </w:p>
    <w:p>
      <w:pPr>
        <w:spacing w:after="0" w:line="207" w:lineRule="exact"/>
        <w:rPr>
          <w:sz w:val="20"/>
          <w:szCs w:val="20"/>
          <w:color w:val="auto"/>
        </w:rPr>
      </w:pPr>
    </w:p>
    <w:p>
      <w:pPr>
        <w:ind w:left="200" w:right="239" w:firstLine="1305"/>
        <w:spacing w:after="0" w:line="233" w:lineRule="auto"/>
        <w:tabs>
          <w:tab w:leader="none" w:pos="2330"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Employee breaches any of the provisions of this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if the Employee breaches any of the terms of any other confidentiality or unfair competition agreement that he may enter into with the Employer, the Employer may, among its other remedies and notwithstanding any provision to the contrary in this Agreement, terminate all payments that are otherwise owed to the Employee under this Agreement, and the Employer shall be relieved of any obligation to make such payments to the Employee. Furthermore, the Employee acknowledges that damages and such termination of payments would be an inadequate remedy for his breach of any of the provisions of this Section, and that his breach of any of such provisions will result in immeasurable and irreparable harm to the Employer. Therefore, in addition to any other remedy to which the Employer may be entitled by reason of the Employee’s breach of any such provision, the Employer shall be entitled to seek and obtain temporary, preliminary and permanent injunctive relief restraining the Employee from committing or continuing any breach of any provision of this Section.</w:t>
      </w:r>
    </w:p>
    <w:p>
      <w:pPr>
        <w:spacing w:after="0" w:line="209" w:lineRule="exact"/>
        <w:rPr>
          <w:rFonts w:ascii="Times New Roman" w:cs="Times New Roman" w:eastAsia="Times New Roman" w:hAnsi="Times New Roman"/>
          <w:sz w:val="22"/>
          <w:szCs w:val="22"/>
          <w:b w:val="1"/>
          <w:bCs w:val="1"/>
          <w:color w:val="auto"/>
        </w:rPr>
      </w:pPr>
    </w:p>
    <w:p>
      <w:pPr>
        <w:ind w:left="1700" w:hanging="641"/>
        <w:spacing w:after="0"/>
        <w:tabs>
          <w:tab w:leader="none" w:pos="170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INVENTIONS/WORK PRODUCT</w:t>
      </w:r>
    </w:p>
    <w:p>
      <w:pPr>
        <w:spacing w:after="0" w:line="233" w:lineRule="exact"/>
        <w:rPr>
          <w:rFonts w:ascii="Times New Roman" w:cs="Times New Roman" w:eastAsia="Times New Roman" w:hAnsi="Times New Roman"/>
          <w:sz w:val="22"/>
          <w:szCs w:val="22"/>
          <w:b w:val="1"/>
          <w:bCs w:val="1"/>
          <w:color w:val="auto"/>
        </w:rPr>
      </w:pPr>
    </w:p>
    <w:p>
      <w:pPr>
        <w:ind w:left="200" w:right="259" w:firstLine="1305"/>
        <w:spacing w:after="0" w:line="233" w:lineRule="auto"/>
        <w:tabs>
          <w:tab w:leader="none" w:pos="2342"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Work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 acknowledges and agrees that all writings,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works of authorship, technology, inventions, discoveries, ideas and other work product of any nature whatsoever that are created, prepared, produced, authored, edited, amended, conceived or reduced to practice by the Employee individually or jointly with others during the period of his Employment by the Employer and relating in any way to the business or contemplated business, research or development of the Employer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t>
      </w:r>
      <w:r>
        <w:rPr>
          <w:rFonts w:ascii="Times New Roman" w:cs="Times New Roman" w:eastAsia="Times New Roman" w:hAnsi="Times New Roman"/>
          <w:sz w:val="22"/>
          <w:szCs w:val="22"/>
          <w:b w:val="1"/>
          <w:bCs w:val="1"/>
          <w:u w:val="single" w:color="auto"/>
          <w:color w:val="auto"/>
        </w:rPr>
        <w:t>Work Product</w:t>
      </w:r>
      <w:r>
        <w:rPr>
          <w:rFonts w:ascii="Times New Roman" w:cs="Times New Roman" w:eastAsia="Times New Roman" w:hAnsi="Times New Roman"/>
          <w:sz w:val="22"/>
          <w:szCs w:val="22"/>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w:t>
      </w:r>
      <w:r>
        <w:rPr>
          <w:rFonts w:ascii="Times New Roman" w:cs="Times New Roman" w:eastAsia="Times New Roman" w:hAnsi="Times New Roman"/>
          <w:sz w:val="22"/>
          <w:szCs w:val="22"/>
          <w:b w:val="1"/>
          <w:bCs w:val="1"/>
          <w:u w:val="single" w:color="auto"/>
          <w:color w:val="auto"/>
        </w:rPr>
        <w:t>Intellectual Property Rights</w:t>
      </w:r>
      <w:r>
        <w:rPr>
          <w:rFonts w:ascii="Times New Roman" w:cs="Times New Roman" w:eastAsia="Times New Roman" w:hAnsi="Times New Roman"/>
          <w:sz w:val="22"/>
          <w:szCs w:val="22"/>
          <w:color w:val="auto"/>
        </w:rPr>
        <w:t>"), shall be the sole and exclusive property of the Employer.</w:t>
      </w:r>
    </w:p>
    <w:p>
      <w:pPr>
        <w:spacing w:after="0" w:line="204" w:lineRule="exact"/>
        <w:rPr>
          <w:rFonts w:ascii="Times New Roman" w:cs="Times New Roman" w:eastAsia="Times New Roman" w:hAnsi="Times New Roman"/>
          <w:sz w:val="22"/>
          <w:szCs w:val="22"/>
          <w:b w:val="1"/>
          <w:bCs w:val="1"/>
          <w:color w:val="auto"/>
        </w:rPr>
      </w:pPr>
    </w:p>
    <w:p>
      <w:pPr>
        <w:ind w:left="200" w:right="239" w:firstLine="1305"/>
        <w:spacing w:after="0" w:line="262" w:lineRule="auto"/>
        <w:tabs>
          <w:tab w:leader="none" w:pos="2300"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Work Made for Hire; 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 acknowledges that,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of being employed by the Employer at the relevant times, to the extent permitted by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 w:name="page17"/>
    <w:bookmarkEnd w:id="16"/>
    <w:p>
      <w:pPr>
        <w:ind w:left="200" w:right="239"/>
        <w:spacing w:after="0" w:line="234" w:lineRule="auto"/>
        <w:rPr>
          <w:sz w:val="20"/>
          <w:szCs w:val="20"/>
          <w:color w:val="auto"/>
        </w:rPr>
      </w:pPr>
      <w:r>
        <w:rPr>
          <w:rFonts w:ascii="Times New Roman" w:cs="Times New Roman" w:eastAsia="Times New Roman" w:hAnsi="Times New Roman"/>
          <w:sz w:val="22"/>
          <w:szCs w:val="22"/>
          <w:color w:val="auto"/>
        </w:rPr>
        <w:t xml:space="preserve">law, all of the Work Product consisting of copyrightable subject matter is "work made for hire" ac; defined in 17 U.S.C.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101 and such copyrights are therefore owned by the Employer. To the extent that the foregoing does not apply, the Employee hereby irrevocably assigns to the Employer, for no additional consideration, the Employee's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Employer’s rights, title or interest in any Work Product or Intellectual Property Rights so as to be less in any respect than that the Employer would have had in the absence of this Agreement.</w:t>
      </w:r>
    </w:p>
    <w:p>
      <w:pPr>
        <w:spacing w:after="0" w:line="203" w:lineRule="exact"/>
        <w:rPr>
          <w:sz w:val="20"/>
          <w:szCs w:val="20"/>
          <w:color w:val="auto"/>
        </w:rPr>
      </w:pPr>
    </w:p>
    <w:p>
      <w:pPr>
        <w:ind w:left="200" w:right="219" w:firstLine="1305"/>
        <w:spacing w:after="0" w:line="233" w:lineRule="auto"/>
        <w:tabs>
          <w:tab w:leader="none" w:pos="2276"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Further Assurances; Power of Attorney.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and after 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the Employee agrees to reasonably cooperate with the Employer to (1) apply for, obtain, perfect and transfer to the Employer the Work Product as well as an Intellectual Property Right in the Work Product in any jurisdiction in the world, and (2) maintain, protect and enforce the same, including, without limitation, executing and delivering to the Employer any and all applications, oaths, declarations, affidavits, waivers, assignments and other documents and instruments as shall be requested by the Employer. The Employee hereby irrevocably grants the Employer a power of attorney to execute and deliver any such documents on the Employee's behalf in his name and to do all other lawfully permitted acts to transfer the Work Product to the Employer and further the transfer, issuance, prosecution and maintenance of all Intellectual Property Rights therein, to the full extent permitted by law, if the Employee does not promptly cooperate with the Employer’s request (without limiting the rights the Employer shall have in such circumstances by operation of law). The power of attorney is coupled with an interest and shall not be affected by the Employee's subsequent incapacity.</w:t>
      </w:r>
    </w:p>
    <w:p>
      <w:pPr>
        <w:spacing w:after="0" w:line="206" w:lineRule="exact"/>
        <w:rPr>
          <w:rFonts w:ascii="Times New Roman" w:cs="Times New Roman" w:eastAsia="Times New Roman" w:hAnsi="Times New Roman"/>
          <w:sz w:val="22"/>
          <w:szCs w:val="22"/>
          <w:b w:val="1"/>
          <w:bCs w:val="1"/>
          <w:color w:val="auto"/>
        </w:rPr>
      </w:pPr>
    </w:p>
    <w:p>
      <w:pPr>
        <w:ind w:left="1720" w:hanging="648"/>
        <w:spacing w:after="0"/>
        <w:tabs>
          <w:tab w:leader="none" w:pos="172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PROVISIONS</w:t>
      </w:r>
      <w:r>
        <w:rPr>
          <w:rFonts w:ascii="Times New Roman" w:cs="Times New Roman" w:eastAsia="Times New Roman" w:hAnsi="Times New Roman"/>
          <w:sz w:val="22"/>
          <w:szCs w:val="22"/>
          <w:u w:val="single" w:color="auto"/>
          <w:color w:val="auto"/>
        </w:rPr>
        <w:t>.</w:t>
      </w:r>
    </w:p>
    <w:p>
      <w:pPr>
        <w:spacing w:after="0" w:line="233" w:lineRule="exact"/>
        <w:rPr>
          <w:rFonts w:ascii="Times New Roman" w:cs="Times New Roman" w:eastAsia="Times New Roman" w:hAnsi="Times New Roman"/>
          <w:sz w:val="22"/>
          <w:szCs w:val="22"/>
          <w:b w:val="1"/>
          <w:bCs w:val="1"/>
          <w:color w:val="auto"/>
        </w:rPr>
      </w:pPr>
    </w:p>
    <w:p>
      <w:pPr>
        <w:ind w:left="200" w:right="239" w:firstLine="1305"/>
        <w:spacing w:after="0" w:line="238" w:lineRule="auto"/>
        <w:tabs>
          <w:tab w:leader="none" w:pos="2342"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any separate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confidentiality agreements that may be entered into between the Employer and the Employee) constitutes the entire agreement of the Employer and the Employee relating to the terms and conditions of the Employee’s Employment and supersedes all prior oral and written understandings and agreements relating to such subject matter.</w:t>
      </w:r>
    </w:p>
    <w:p>
      <w:pPr>
        <w:spacing w:after="0" w:line="203" w:lineRule="exact"/>
        <w:rPr>
          <w:rFonts w:ascii="Times New Roman" w:cs="Times New Roman" w:eastAsia="Times New Roman" w:hAnsi="Times New Roman"/>
          <w:sz w:val="22"/>
          <w:szCs w:val="22"/>
          <w:b w:val="1"/>
          <w:bCs w:val="1"/>
          <w:color w:val="auto"/>
        </w:rPr>
      </w:pPr>
    </w:p>
    <w:p>
      <w:pPr>
        <w:ind w:left="200" w:right="219" w:firstLine="1305"/>
        <w:spacing w:after="0" w:line="235" w:lineRule="auto"/>
        <w:tabs>
          <w:tab w:leader="none" w:pos="2300"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notices required or permitted by this Agreement to be given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one party to the other party shall be delivered in writing, by email and by registered or certified United States mail (postage prepaid and return receipt requested) or by email and by reputable overnight delivery service, to the Employer or the Employee, as applicable, at the address that appears on the signature page of this Agreement (or to such other address that one party gives the other in the foregoing manner or, in the case of the Employee, to his principal residential address on file with the Employer). Any such notice that is sent in the foregoing manner shall be deemed to have been delivered three days after deposit in the United States mail or one day after delivery to an overnight delivery service.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 w:name="page18"/>
    <w:bookmarkEnd w:id="17"/>
    <w:p>
      <w:pPr>
        <w:ind w:left="200" w:right="759" w:firstLine="1305"/>
        <w:spacing w:after="0" w:line="246" w:lineRule="auto"/>
        <w:tabs>
          <w:tab w:leader="none" w:pos="233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party to this Agreement shall bear its own costs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(including, without limitation, attorneys' fees) incurred in connection with this Agreement.</w:t>
      </w:r>
    </w:p>
    <w:p>
      <w:pPr>
        <w:spacing w:after="0" w:line="194" w:lineRule="exact"/>
        <w:rPr>
          <w:rFonts w:ascii="Times New Roman" w:cs="Times New Roman" w:eastAsia="Times New Roman" w:hAnsi="Times New Roman"/>
          <w:sz w:val="22"/>
          <w:szCs w:val="22"/>
          <w:b w:val="1"/>
          <w:bCs w:val="1"/>
          <w:color w:val="auto"/>
        </w:rPr>
      </w:pPr>
    </w:p>
    <w:p>
      <w:pPr>
        <w:ind w:left="200" w:right="719" w:firstLine="1305"/>
        <w:spacing w:after="0" w:line="262" w:lineRule="auto"/>
        <w:tabs>
          <w:tab w:leader="none" w:pos="230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only pursuant to a writing executed by the Employer and the Employee.</w:t>
      </w:r>
    </w:p>
    <w:p>
      <w:pPr>
        <w:spacing w:after="0" w:line="176" w:lineRule="exact"/>
        <w:rPr>
          <w:rFonts w:ascii="Times New Roman" w:cs="Times New Roman" w:eastAsia="Times New Roman" w:hAnsi="Times New Roman"/>
          <w:sz w:val="22"/>
          <w:szCs w:val="22"/>
          <w:b w:val="1"/>
          <w:bCs w:val="1"/>
          <w:color w:val="auto"/>
        </w:rPr>
      </w:pPr>
    </w:p>
    <w:p>
      <w:pPr>
        <w:ind w:left="200" w:right="239" w:firstLine="1305"/>
        <w:spacing w:after="0" w:line="235" w:lineRule="auto"/>
        <w:tabs>
          <w:tab w:leader="none" w:pos="233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binding upon,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the Employer and the Employee and their respective successors and assigns (including, without limitation, the Employee's personal representative and beneficiaries and any corporation or other entity into which the Employer is merged); provided, however, that the Employee is not entitled to assign his obligations hereunder to another person. A successor of the Employer shall include, without limitation, any corporation or other entity that acquires, directly or indirectly, all or substantially all of the Employer’s assets, whether by merger, acquisition, lease or another form of transaction. Any such successor to the Employer referred to in this paragraph shall thereafter be deemed the “Employer" for purposes of this Agreement.</w:t>
      </w:r>
    </w:p>
    <w:p>
      <w:pPr>
        <w:spacing w:after="0" w:line="200" w:lineRule="exact"/>
        <w:rPr>
          <w:rFonts w:ascii="Times New Roman" w:cs="Times New Roman" w:eastAsia="Times New Roman" w:hAnsi="Times New Roman"/>
          <w:sz w:val="22"/>
          <w:szCs w:val="22"/>
          <w:b w:val="1"/>
          <w:bCs w:val="1"/>
          <w:color w:val="auto"/>
        </w:rPr>
      </w:pPr>
    </w:p>
    <w:p>
      <w:pPr>
        <w:ind w:left="200" w:right="279" w:firstLine="1305"/>
        <w:spacing w:after="0" w:line="241" w:lineRule="auto"/>
        <w:tabs>
          <w:tab w:leader="none" w:pos="2306"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Calculation of Time</w:t>
      </w:r>
      <w:r>
        <w:rPr>
          <w:rFonts w:ascii="Times New Roman" w:cs="Times New Roman" w:eastAsia="Times New Roman" w:hAnsi="Times New Roman"/>
          <w:sz w:val="22"/>
          <w:szCs w:val="22"/>
          <w:color w:val="auto"/>
        </w:rPr>
        <w:t>. Wherever in this Agreement a period of time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stated in a number of days, it shall be deemed to mean calendar days. However, when any period of time so stated would end upon a Saturday, Sunday or legal holiday, such period shall be deemed to end upon the next day following that is not a Saturday, Sunday or legal holiday.</w:t>
      </w:r>
    </w:p>
    <w:p>
      <w:pPr>
        <w:spacing w:after="0" w:line="198" w:lineRule="exact"/>
        <w:rPr>
          <w:rFonts w:ascii="Times New Roman" w:cs="Times New Roman" w:eastAsia="Times New Roman" w:hAnsi="Times New Roman"/>
          <w:sz w:val="22"/>
          <w:szCs w:val="22"/>
          <w:b w:val="1"/>
          <w:bCs w:val="1"/>
          <w:color w:val="auto"/>
        </w:rPr>
      </w:pPr>
    </w:p>
    <w:p>
      <w:pPr>
        <w:ind w:left="200" w:right="559" w:firstLine="1305"/>
        <w:spacing w:after="0" w:line="246" w:lineRule="auto"/>
        <w:tabs>
          <w:tab w:leader="none" w:pos="237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Employer and the Employee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any further acts and execute and deliver any further documents that may be reasonably necessary to carry out the provisions of this Agreement.</w:t>
      </w:r>
    </w:p>
    <w:p>
      <w:pPr>
        <w:spacing w:after="0" w:line="194" w:lineRule="exact"/>
        <w:rPr>
          <w:rFonts w:ascii="Times New Roman" w:cs="Times New Roman" w:eastAsia="Times New Roman" w:hAnsi="Times New Roman"/>
          <w:sz w:val="20"/>
          <w:szCs w:val="20"/>
          <w:b w:val="1"/>
          <w:bCs w:val="1"/>
          <w:color w:val="auto"/>
        </w:rPr>
      </w:pPr>
    </w:p>
    <w:p>
      <w:pPr>
        <w:ind w:left="200" w:right="219" w:firstLine="1305"/>
        <w:spacing w:after="0" w:line="236" w:lineRule="auto"/>
        <w:tabs>
          <w:tab w:leader="none" w:pos="2331"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Provisions Subject to Applicable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provisions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applicable only to the extent that they do not violate any applicable law and are intended to be limited to the extent necessary so that they will not render this Agreement invalid, illegal or unenforceable under any applicable law. If any provision of this Agreement or any application thereof shall be held to be invalid, illegal or unenforceable, the validity, legality and enforceability of other provisions of this Agreement or of any other application of such provision shall in no way be affected thereby.</w:t>
      </w:r>
    </w:p>
    <w:p>
      <w:pPr>
        <w:spacing w:after="0" w:line="202" w:lineRule="exact"/>
        <w:rPr>
          <w:rFonts w:ascii="Times New Roman" w:cs="Times New Roman" w:eastAsia="Times New Roman" w:hAnsi="Times New Roman"/>
          <w:sz w:val="20"/>
          <w:szCs w:val="20"/>
          <w:b w:val="1"/>
          <w:bCs w:val="1"/>
          <w:color w:val="auto"/>
        </w:rPr>
      </w:pPr>
    </w:p>
    <w:p>
      <w:pPr>
        <w:ind w:left="200" w:right="239" w:firstLine="1305"/>
        <w:spacing w:after="0" w:line="237" w:lineRule="auto"/>
        <w:tabs>
          <w:tab w:leader="none" w:pos="2326"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Waiver of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party shall be deemed to have waived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remedy that it has under this Agreement unless this Agreement expressly provides a period of time within which such right or remedy must be exercised and such period has expired or unless such party has expressly waived the same in writing. The waiver by either party of a right or remedy hereunder shall not be deemed to be a waiver of any other right or remedy or of any subsequent right or remedy of the same kind.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 w:name="page19"/>
    <w:bookmarkEnd w:id="18"/>
    <w:p>
      <w:pPr>
        <w:ind w:left="200" w:right="359" w:firstLine="1305"/>
        <w:spacing w:after="0" w:line="235" w:lineRule="auto"/>
        <w:tabs>
          <w:tab w:leader="none" w:pos="2337" w:val="left"/>
        </w:tabs>
        <w:numPr>
          <w:ilvl w:val="1"/>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Headings; Gender and Number</w:t>
      </w:r>
      <w:r>
        <w:rPr>
          <w:rFonts w:ascii="Times New Roman" w:cs="Times New Roman" w:eastAsia="Times New Roman" w:hAnsi="Times New Roman"/>
          <w:sz w:val="22"/>
          <w:szCs w:val="22"/>
          <w:color w:val="auto"/>
        </w:rPr>
        <w:t>. The headings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are for reference purposes only and shall not affect in any manner the meaning or interpretation of this Agreement. Where appropriate to the context of this Agreement, use of 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of this Agreement. The term “</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refers to any natural person, corporation, partnership, limited liability company or other association or entity, as applicable.</w:t>
      </w:r>
    </w:p>
    <w:p>
      <w:pPr>
        <w:spacing w:after="0" w:line="201" w:lineRule="exact"/>
        <w:rPr>
          <w:rFonts w:ascii="Times New Roman" w:cs="Times New Roman" w:eastAsia="Times New Roman" w:hAnsi="Times New Roman"/>
          <w:sz w:val="20"/>
          <w:szCs w:val="20"/>
          <w:b w:val="1"/>
          <w:bCs w:val="1"/>
          <w:color w:val="auto"/>
        </w:rPr>
      </w:pPr>
    </w:p>
    <w:p>
      <w:pPr>
        <w:ind w:left="200" w:right="239" w:firstLine="1305"/>
        <w:spacing w:after="0" w:line="236" w:lineRule="auto"/>
        <w:tabs>
          <w:tab w:leader="none" w:pos="2183" w:val="left"/>
        </w:tabs>
        <w:numPr>
          <w:ilvl w:val="1"/>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Representation of the Employee; Interpretation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acknowledges and agrees that he has had an adequate opportunity to review this Agreement with his attorney prior to executing this Agreement, and that he is freely entering into this Agreement without coercion from any source. The Employer and the Employee have negotiated the terms of this Agreement, and the language used herein was chosen by the parties to express their mutual intent. This Agreement shall be construed without regard to any presumption or rule requiring construction against the party causing the instrument to be drafted.</w:t>
      </w:r>
    </w:p>
    <w:p>
      <w:pPr>
        <w:spacing w:after="0" w:line="202" w:lineRule="exact"/>
        <w:rPr>
          <w:rFonts w:ascii="Times New Roman" w:cs="Times New Roman" w:eastAsia="Times New Roman" w:hAnsi="Times New Roman"/>
          <w:sz w:val="20"/>
          <w:szCs w:val="20"/>
          <w:b w:val="1"/>
          <w:bCs w:val="1"/>
          <w:color w:val="auto"/>
        </w:rPr>
      </w:pPr>
    </w:p>
    <w:p>
      <w:pPr>
        <w:jc w:val="both"/>
        <w:ind w:left="200" w:right="419" w:firstLine="1305"/>
        <w:spacing w:after="0" w:line="246" w:lineRule="auto"/>
        <w:tabs>
          <w:tab w:leader="none" w:pos="2326" w:val="left"/>
        </w:tabs>
        <w:numPr>
          <w:ilvl w:val="1"/>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counterparts and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facsimile or electronic transmission in PDF format, each of which will be deemed an original but both of which together will constitute a single instrument.</w:t>
      </w:r>
    </w:p>
    <w:p>
      <w:pPr>
        <w:spacing w:after="0" w:line="194" w:lineRule="exact"/>
        <w:rPr>
          <w:rFonts w:ascii="Times New Roman" w:cs="Times New Roman" w:eastAsia="Times New Roman" w:hAnsi="Times New Roman"/>
          <w:sz w:val="20"/>
          <w:szCs w:val="20"/>
          <w:b w:val="1"/>
          <w:bCs w:val="1"/>
          <w:color w:val="auto"/>
        </w:rPr>
      </w:pPr>
    </w:p>
    <w:p>
      <w:pPr>
        <w:ind w:left="200" w:right="539" w:firstLine="1305"/>
        <w:spacing w:after="0" w:line="262" w:lineRule="auto"/>
        <w:tabs>
          <w:tab w:leader="none" w:pos="2287" w:val="left"/>
        </w:tabs>
        <w:numPr>
          <w:ilvl w:val="1"/>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Governing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enforced in accordance with, the internal laws of the State of California.</w:t>
      </w:r>
    </w:p>
    <w:p>
      <w:pPr>
        <w:spacing w:after="0" w:line="176" w:lineRule="exact"/>
        <w:rPr>
          <w:rFonts w:ascii="Times New Roman" w:cs="Times New Roman" w:eastAsia="Times New Roman" w:hAnsi="Times New Roman"/>
          <w:sz w:val="20"/>
          <w:szCs w:val="20"/>
          <w:b w:val="1"/>
          <w:bCs w:val="1"/>
          <w:color w:val="auto"/>
        </w:rPr>
      </w:pPr>
    </w:p>
    <w:p>
      <w:pPr>
        <w:ind w:left="1720" w:hanging="656"/>
        <w:spacing w:after="0"/>
        <w:tabs>
          <w:tab w:leader="none" w:pos="172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u w:val="single" w:color="auto"/>
          <w:color w:val="auto"/>
        </w:rPr>
        <w:t>.</w:t>
      </w:r>
    </w:p>
    <w:p>
      <w:pPr>
        <w:spacing w:after="0" w:line="233" w:lineRule="exact"/>
        <w:rPr>
          <w:rFonts w:ascii="Times New Roman" w:cs="Times New Roman" w:eastAsia="Times New Roman" w:hAnsi="Times New Roman"/>
          <w:sz w:val="22"/>
          <w:szCs w:val="22"/>
          <w:b w:val="1"/>
          <w:bCs w:val="1"/>
          <w:color w:val="auto"/>
        </w:rPr>
      </w:pPr>
    </w:p>
    <w:p>
      <w:pPr>
        <w:ind w:left="200" w:right="239" w:firstLine="1305"/>
        <w:spacing w:after="0" w:line="233" w:lineRule="auto"/>
        <w:tabs>
          <w:tab w:leader="none" w:pos="2342"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Submission to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dispute, controversy or claim arising 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or related to this Agreement, any breach of this Agreement or the Employee’s employment with the Employer shall be submitted to and decided exclusively by binding arbitration in Los Angeles, California. Claims covered by this provision include, but are not limited to, the following: (1) alleged violations of federal, state and/or local constitutions, statutes, regulations or ordinances, including, but not limited to, laws dealing with unlawful discrimination and harassment; (2) claims for misappropriation of trade secrets, breach of fiduciary duty, or other duties owed by the Employee to the Employer; (3) claims based on any purported breach of contractual obligation, including but not limited to breach of the covenant of good faith and fair dealing, wrongful termination or constructive discharge; (4) violations of public policy; (5) claims relating to a transfer, reassignment, denial of promotion, demotion, reduction in pay, or any other term or condition of employment; (6) claims based on contract or tort; and (7) any and all other claims arising out of the Employee’s employment with or termination by the Employer. This includes, but is not limited to, claims brought under Title VII of the Civil Rights Act of 1964; California Government Code Section 12960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any other federal, state or local anti-discrimination laws relating to discrimination, including,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p>
      <w:pPr>
        <w:ind w:left="200" w:right="319"/>
        <w:spacing w:after="0" w:line="235" w:lineRule="auto"/>
        <w:rPr>
          <w:sz w:val="20"/>
          <w:szCs w:val="20"/>
          <w:color w:val="auto"/>
        </w:rPr>
      </w:pPr>
      <w:r>
        <w:rPr>
          <w:rFonts w:ascii="Times New Roman" w:cs="Times New Roman" w:eastAsia="Times New Roman" w:hAnsi="Times New Roman"/>
          <w:sz w:val="22"/>
          <w:szCs w:val="22"/>
          <w:color w:val="auto"/>
        </w:rPr>
        <w:t>but not limited to, those based on the following protected categories: genetic information or characteristics; sex and gender; race; religion; national origin; mental or physical disability (including claims under the Americans With Disabilities Act); medical condition; veteran or military status; marital status; sexual orientation or preference; age; pregnancy; and retaliation or wrongful termination in violation of public policy for alleging or filing or participating in any grievance or otherwise complaining of any wrong relating to the aforementioned categories or any public policy.</w:t>
      </w:r>
    </w:p>
    <w:p>
      <w:pPr>
        <w:spacing w:after="0" w:line="207" w:lineRule="exact"/>
        <w:rPr>
          <w:sz w:val="20"/>
          <w:szCs w:val="20"/>
          <w:color w:val="auto"/>
        </w:rPr>
      </w:pPr>
    </w:p>
    <w:p>
      <w:pPr>
        <w:ind w:left="200" w:right="359" w:firstLine="1305"/>
        <w:spacing w:after="0" w:line="234" w:lineRule="auto"/>
        <w:tabs>
          <w:tab w:leader="none" w:pos="2138"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Exclusion of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claims are expressly excluded and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by this Agreement for final and binding arbitration: (1) claims related to Workers' Compensation and Unemployment Insurance; (2) administrative filings with governmental agencies such as the California Department of Fair Employment &amp; Housing, the Equal Employment Opportunity Commission, the U.S. Department of Labor or the National Labor Relations Board; (3) claims that are expressly excluded by statute or are expressly required to be arbitrated under a different procedure pursuant to the terms of an employee benefit plan; and (4) claims within the jurisdictional limits of small claims court. Nor does this Agreement preclude either party from seeking appropriate interim injunctive relief pursuant to the California Code of Civil Procedure or applicable federal law before arbitration or while arbitration proceedings are pending.</w:t>
      </w:r>
    </w:p>
    <w:p>
      <w:pPr>
        <w:spacing w:after="0" w:line="202" w:lineRule="exact"/>
        <w:rPr>
          <w:rFonts w:ascii="Times New Roman" w:cs="Times New Roman" w:eastAsia="Times New Roman" w:hAnsi="Times New Roman"/>
          <w:sz w:val="22"/>
          <w:szCs w:val="22"/>
          <w:b w:val="1"/>
          <w:bCs w:val="1"/>
          <w:color w:val="auto"/>
        </w:rPr>
      </w:pPr>
    </w:p>
    <w:p>
      <w:pPr>
        <w:ind w:left="200" w:right="239" w:firstLine="1305"/>
        <w:spacing w:after="0" w:line="235" w:lineRule="auto"/>
        <w:tabs>
          <w:tab w:leader="none" w:pos="233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 Provider and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claim arising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Employee and the Employer covered by the arbitration provisions of this Agreement shall be submitted to final and binding arbitration in the rules and procedures of JAMS, or any successor entity thereto, in effect upon the date the claim is submitted in writing to the Employer or the Employee, to which rules and procedures the parties hereby expressly agree. Such rules may be found at </w:t>
      </w:r>
      <w:r>
        <w:rPr>
          <w:rFonts w:ascii="Times New Roman" w:cs="Times New Roman" w:eastAsia="Times New Roman" w:hAnsi="Times New Roman"/>
          <w:sz w:val="22"/>
          <w:szCs w:val="22"/>
          <w:u w:val="single" w:color="auto"/>
          <w:color w:val="0000FF"/>
        </w:rPr>
        <w:t>https://www.jamsadr.com/rules-employment-arbitration/</w:t>
      </w:r>
      <w:r>
        <w:rPr>
          <w:rFonts w:ascii="Times New Roman" w:cs="Times New Roman" w:eastAsia="Times New Roman" w:hAnsi="Times New Roman"/>
          <w:sz w:val="22"/>
          <w:szCs w:val="22"/>
          <w:color w:val="auto"/>
        </w:rPr>
        <w:t xml:space="preserve"> Such rules allow for discovery by each party as ordered by the arbitrator. The arbitrator must allow discovery adequate to arbitrate all claims, including access to essential documents and witnesses. In making his or her award, the arbitrator shall have the authority to make any finding and provide any remedy.</w:t>
      </w:r>
    </w:p>
    <w:p>
      <w:pPr>
        <w:spacing w:after="0" w:line="200" w:lineRule="exact"/>
        <w:rPr>
          <w:rFonts w:ascii="Times New Roman" w:cs="Times New Roman" w:eastAsia="Times New Roman" w:hAnsi="Times New Roman"/>
          <w:sz w:val="22"/>
          <w:szCs w:val="22"/>
          <w:b w:val="1"/>
          <w:bCs w:val="1"/>
          <w:color w:val="auto"/>
        </w:rPr>
      </w:pPr>
    </w:p>
    <w:p>
      <w:pPr>
        <w:ind w:left="200" w:right="219" w:firstLine="1305"/>
        <w:spacing w:after="0" w:line="237" w:lineRule="auto"/>
        <w:tabs>
          <w:tab w:leader="none" w:pos="230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Written Award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arbitrator must issue a written award.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arbitrator shall, in the award or separately, make specific findings of fact, and set forth such facts in support of his or her decision, as well as the reasons and basis for his or her opinion. Should the arbitrator exceed the jurisdiction or authority here conferred, any party aggrieved thereby may file a petition to vacate, amend or correct the arbitrator's award in a court of competent jurisdiction, pursuant to applicable law.</w:t>
      </w:r>
    </w:p>
    <w:p>
      <w:pPr>
        <w:spacing w:after="0" w:line="202" w:lineRule="exact"/>
        <w:rPr>
          <w:rFonts w:ascii="Times New Roman" w:cs="Times New Roman" w:eastAsia="Times New Roman" w:hAnsi="Times New Roman"/>
          <w:sz w:val="22"/>
          <w:szCs w:val="22"/>
          <w:b w:val="1"/>
          <w:bCs w:val="1"/>
          <w:color w:val="auto"/>
        </w:rPr>
      </w:pPr>
    </w:p>
    <w:p>
      <w:pPr>
        <w:ind w:left="200" w:right="259" w:firstLine="1305"/>
        <w:spacing w:after="0" w:line="238" w:lineRule="auto"/>
        <w:tabs>
          <w:tab w:leader="none" w:pos="233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Fees and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required by law, the Employer shall pay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arbitrator's fees and other administrative costs of arbitration, and other reasonable costs as specified by the arbitrator under applicable law so that Employee does not have to bear any cost which he would not have to bear in court beyond any amount which would have to be paid as a filing fee in a superior court. The arbitrator may award attorneys’ fees and costs to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0" w:name="page21"/>
    <w:bookmarkEnd w:id="20"/>
    <w:p>
      <w:pPr>
        <w:ind w:left="200"/>
        <w:spacing w:after="0"/>
        <w:rPr>
          <w:sz w:val="20"/>
          <w:szCs w:val="20"/>
          <w:color w:val="auto"/>
        </w:rPr>
      </w:pPr>
      <w:r>
        <w:rPr>
          <w:rFonts w:ascii="Times New Roman" w:cs="Times New Roman" w:eastAsia="Times New Roman" w:hAnsi="Times New Roman"/>
          <w:sz w:val="22"/>
          <w:szCs w:val="22"/>
          <w:color w:val="auto"/>
        </w:rPr>
        <w:t>prevailing party to the extent allowed by law.</w:t>
      </w:r>
    </w:p>
    <w:p>
      <w:pPr>
        <w:spacing w:after="0" w:line="200" w:lineRule="exact"/>
        <w:rPr>
          <w:sz w:val="20"/>
          <w:szCs w:val="20"/>
          <w:color w:val="auto"/>
        </w:rPr>
      </w:pPr>
    </w:p>
    <w:p>
      <w:pPr>
        <w:spacing w:after="0" w:line="250" w:lineRule="exact"/>
        <w:rPr>
          <w:sz w:val="20"/>
          <w:szCs w:val="20"/>
          <w:color w:val="auto"/>
        </w:rPr>
      </w:pPr>
    </w:p>
    <w:p>
      <w:pPr>
        <w:ind w:left="200" w:right="739"/>
        <w:spacing w:after="0" w:line="258" w:lineRule="auto"/>
        <w:rPr>
          <w:sz w:val="20"/>
          <w:szCs w:val="20"/>
          <w:color w:val="auto"/>
        </w:rPr>
      </w:pPr>
      <w:r>
        <w:rPr>
          <w:rFonts w:ascii="Times New Roman" w:cs="Times New Roman" w:eastAsia="Times New Roman" w:hAnsi="Times New Roman"/>
          <w:sz w:val="22"/>
          <w:szCs w:val="22"/>
          <w:color w:val="auto"/>
        </w:rPr>
        <w:t>IN WITNESS WHEREOF, the Employer and the Employee have executed and delivered this Agreement as of the date first written above.</w:t>
      </w:r>
    </w:p>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Brian Kocher</w:t>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Title: Chief Executive Officer</w:t>
      </w:r>
    </w:p>
    <w:p>
      <w:pPr>
        <w:ind w:left="4520"/>
        <w:spacing w:after="0" w:line="230" w:lineRule="auto"/>
        <w:rPr>
          <w:sz w:val="20"/>
          <w:szCs w:val="20"/>
          <w:color w:val="auto"/>
        </w:rPr>
      </w:pPr>
      <w:r>
        <w:rPr>
          <w:rFonts w:ascii="Times New Roman" w:cs="Times New Roman" w:eastAsia="Times New Roman" w:hAnsi="Times New Roman"/>
          <w:sz w:val="22"/>
          <w:szCs w:val="22"/>
          <w:color w:val="auto"/>
        </w:rPr>
        <w:t>Current Address:</w:t>
      </w:r>
    </w:p>
    <w:p>
      <w:pPr>
        <w:spacing w:after="0" w:line="1"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22"/>
          <w:szCs w:val="22"/>
          <w:color w:val="auto"/>
        </w:rPr>
        <w:t>1141A Cummings Road Santa Paula, CA 93060</w:t>
      </w:r>
    </w:p>
    <w:p>
      <w:pPr>
        <w:spacing w:after="0" w:line="200" w:lineRule="exact"/>
        <w:rPr>
          <w:sz w:val="20"/>
          <w:szCs w:val="20"/>
          <w:color w:val="auto"/>
        </w:rPr>
      </w:pPr>
    </w:p>
    <w:p>
      <w:pPr>
        <w:spacing w:after="0" w:line="26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Danny Dumas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-151130</wp:posOffset>
            </wp:positionV>
            <wp:extent cx="27171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04"/>
    </w:lvl>
  </w:abstractNum>
  <w:abstractNum w:abstractNumId="2">
    <w:nsid w:val="66EF438D"/>
    <w:multiLevelType w:val="hybridMultilevel"/>
    <w:lvl w:ilvl="0">
      <w:lvlJc w:val="left"/>
      <w:lvlText w:val="%1."/>
      <w:numFmt w:val="decimal"/>
      <w:start w:val="1"/>
    </w:lvl>
    <w:lvl w:ilvl="1">
      <w:lvlJc w:val="left"/>
      <w:lvlText w:val="(%2)"/>
      <w:numFmt w:val="lowerLetter"/>
      <w:start w:val="1"/>
    </w:lvl>
  </w:abstractNum>
  <w:abstractNum w:abstractNumId="3">
    <w:nsid w:val="140E0F76"/>
    <w:multiLevelType w:val="hybridMultilevel"/>
    <w:lvl w:ilvl="0">
      <w:lvlJc w:val="left"/>
      <w:lvlText w:val="%1"/>
      <w:numFmt w:val="decimal"/>
      <w:start w:val="1"/>
    </w:lvl>
    <w:lvl w:ilvl="1">
      <w:lvlJc w:val="left"/>
      <w:lvlText w:val="(%2)"/>
      <w:numFmt w:val="lowerLetter"/>
      <w:start w:val="3"/>
    </w:lvl>
  </w:abstractNum>
  <w:abstractNum w:abstractNumId="4">
    <w:nsid w:val="3352255A"/>
    <w:multiLevelType w:val="hybridMultilevel"/>
    <w:lvl w:ilvl="0">
      <w:lvlJc w:val="left"/>
      <w:lvlText w:val="%1."/>
      <w:numFmt w:val="decimal"/>
      <w:start w:val="3"/>
    </w:lvl>
    <w:lvl w:ilvl="1">
      <w:lvlJc w:val="left"/>
      <w:lvlText w:val="(%2)"/>
      <w:numFmt w:val="lowerLetter"/>
      <w:start w:val="1"/>
    </w:lvl>
  </w:abstractNum>
  <w:abstractNum w:abstractNumId="5">
    <w:nsid w:val="109CF92E"/>
    <w:multiLevelType w:val="hybridMultilevel"/>
    <w:lvl w:ilvl="0">
      <w:lvlJc w:val="left"/>
      <w:lvlText w:val="(%1)"/>
      <w:numFmt w:val="lowerLetter"/>
      <w:start w:val="2"/>
    </w:lvl>
    <w:lvl w:ilvl="1">
      <w:lvlJc w:val="left"/>
      <w:lvlText w:val="(%2)"/>
      <w:numFmt w:val="lowerRoman"/>
      <w:start w:val="1"/>
    </w:lvl>
  </w:abstractNum>
  <w:abstractNum w:abstractNumId="6">
    <w:nsid w:val="DED7263"/>
    <w:multiLevelType w:val="hybridMultilevel"/>
    <w:lvl w:ilvl="0">
      <w:lvlJc w:val="left"/>
      <w:lvlText w:val="(%1)"/>
      <w:numFmt w:val="lowerLetter"/>
      <w:start w:val="3"/>
    </w:lvl>
    <w:lvl w:ilvl="1">
      <w:lvlJc w:val="left"/>
      <w:lvlText w:val="(%2)"/>
      <w:numFmt w:val="lowerRoman"/>
      <w:start w:val="1"/>
    </w:lvl>
  </w:abstractNum>
  <w:abstractNum w:abstractNumId="7">
    <w:nsid w:val="7FDCC233"/>
    <w:multiLevelType w:val="hybridMultilevel"/>
    <w:lvl w:ilvl="0">
      <w:lvlJc w:val="left"/>
      <w:lvlText w:val="%1"/>
      <w:numFmt w:val="decimal"/>
      <w:start w:val="1"/>
    </w:lvl>
    <w:lvl w:ilvl="1">
      <w:lvlJc w:val="left"/>
      <w:lvlText w:val="(%2)"/>
      <w:numFmt w:val="lowerLetter"/>
      <w:start w:val="8"/>
    </w:lvl>
  </w:abstractNum>
  <w:abstractNum w:abstractNumId="8">
    <w:nsid w:val="1BEFD79F"/>
    <w:multiLevelType w:val="hybridMultilevel"/>
    <w:lvl w:ilvl="0">
      <w:lvlJc w:val="left"/>
      <w:lvlText w:val="%1."/>
      <w:numFmt w:val="decimal"/>
      <w:start w:val="4"/>
    </w:lvl>
    <w:lvl w:ilvl="1">
      <w:lvlJc w:val="left"/>
      <w:lvlText w:val="(%2)"/>
      <w:numFmt w:val="lowerLetter"/>
      <w:start w:val="1"/>
    </w:lvl>
  </w:abstractNum>
  <w:abstractNum w:abstractNumId="9">
    <w:nsid w:val="41A7C4C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
    <w:nsid w:val="6B68079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
    <w:nsid w:val="4E6AFB66"/>
    <w:multiLevelType w:val="hybridMultilevel"/>
    <w:lvl w:ilvl="0">
      <w:lvlJc w:val="left"/>
      <w:lvlText w:val="(%1)"/>
      <w:numFmt w:val="decimal"/>
      <w:start w:val="2"/>
    </w:lvl>
    <w:lvl w:ilvl="1">
      <w:lvlJc w:val="left"/>
      <w:lvlText w:val="(%2)"/>
      <w:numFmt w:val="lowerRoman"/>
      <w:start w:val="3"/>
    </w:lvl>
  </w:abstractNum>
  <w:abstractNum w:abstractNumId="12">
    <w:nsid w:val="25E45D32"/>
    <w:multiLevelType w:val="hybridMultilevel"/>
    <w:lvl w:ilvl="0">
      <w:lvlJc w:val="left"/>
      <w:lvlText w:val="(%1)"/>
      <w:numFmt w:val="decimal"/>
      <w:start w:val="30"/>
    </w:lvl>
    <w:lvl w:ilvl="1">
      <w:lvlJc w:val="left"/>
      <w:lvlText w:val="%2."/>
      <w:numFmt w:val="decimal"/>
      <w:start w:val="6"/>
    </w:lvl>
    <w:lvl w:ilvl="2">
      <w:lvlJc w:val="left"/>
      <w:lvlText w:val="(%3)"/>
      <w:numFmt w:val="lowerLetter"/>
      <w:start w:val="1"/>
    </w:lvl>
  </w:abstractNum>
  <w:abstractNum w:abstractNumId="13">
    <w:nsid w:val="519B500D"/>
    <w:multiLevelType w:val="hybridMultilevel"/>
    <w:lvl w:ilvl="0">
      <w:lvlJc w:val="left"/>
      <w:lvlText w:val="%1"/>
      <w:numFmt w:val="decimal"/>
      <w:start w:val="1"/>
    </w:lvl>
    <w:lvl w:ilvl="1">
      <w:lvlJc w:val="left"/>
      <w:lvlText w:val="(%2)"/>
      <w:numFmt w:val="lowerLetter"/>
      <w:start w:val="3"/>
    </w:lvl>
  </w:abstractNum>
  <w:abstractNum w:abstractNumId="14">
    <w:nsid w:val="431BD7B7"/>
    <w:multiLevelType w:val="hybridMultilevel"/>
    <w:lvl w:ilvl="0">
      <w:lvlJc w:val="left"/>
      <w:lvlText w:val="%1."/>
      <w:numFmt w:val="decimal"/>
      <w:start w:val="7"/>
    </w:lvl>
    <w:lvl w:ilvl="1">
      <w:lvlJc w:val="left"/>
      <w:lvlText w:val="(%2)"/>
      <w:numFmt w:val="low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3"/>
    </w:lvl>
  </w:abstractNum>
  <w:abstractNum w:abstractNumId="16">
    <w:nsid w:val="7C83E458"/>
    <w:multiLevelType w:val="hybridMultilevel"/>
    <w:lvl w:ilvl="0">
      <w:lvlJc w:val="left"/>
      <w:lvlText w:val="%1."/>
      <w:numFmt w:val="decimal"/>
      <w:start w:val="8"/>
    </w:lvl>
    <w:lvl w:ilvl="1">
      <w:lvlJc w:val="left"/>
      <w:lvlText w:val="(%2)"/>
      <w:numFmt w:val="lowerLetter"/>
      <w:start w:val="1"/>
    </w:lvl>
  </w:abstractNum>
  <w:abstractNum w:abstractNumId="17">
    <w:nsid w:val="257130A3"/>
    <w:multiLevelType w:val="hybridMultilevel"/>
    <w:lvl w:ilvl="0">
      <w:lvlJc w:val="left"/>
      <w:lvlText w:val="(%1)"/>
      <w:numFmt w:val="lowerLetter"/>
      <w:start w:val="3"/>
    </w:lvl>
  </w:abstractNum>
  <w:abstractNum w:abstractNumId="18">
    <w:nsid w:val="62BBD95A"/>
    <w:multiLevelType w:val="hybridMultilevel"/>
    <w:lvl w:ilvl="0">
      <w:lvlJc w:val="left"/>
      <w:lvlText w:val="%1"/>
      <w:numFmt w:val="decimal"/>
      <w:start w:val="1"/>
    </w:lvl>
    <w:lvl w:ilvl="1">
      <w:lvlJc w:val="left"/>
      <w:lvlText w:val="(%2)"/>
      <w:numFmt w:val="lowerLetter"/>
      <w:start w:val="10"/>
    </w:lvl>
  </w:abstractNum>
  <w:abstractNum w:abstractNumId="19">
    <w:nsid w:val="436C6125"/>
    <w:multiLevelType w:val="hybridMultilevel"/>
    <w:lvl w:ilvl="0">
      <w:lvlJc w:val="left"/>
      <w:lvlText w:val="%1."/>
      <w:numFmt w:val="decimal"/>
      <w:start w:val="9"/>
    </w:lvl>
    <w:lvl w:ilvl="1">
      <w:lvlJc w:val="left"/>
      <w:lvlText w:val="(%2)"/>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2022-06-22T15:05:48Z</dcterms:created>
  <dcterms:modified xsi:type="dcterms:W3CDTF">2022-06-22T15:05:48Z</dcterms:modified>
</cp:coreProperties>
</file>