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31616e8vk.htm"/>
      <w:bookmarkStart w:id="1" w:name="ksv31616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240" w:after="283"/>
        <w:jc w:val="center"/>
        <w:rPr>
          <w:rFonts w:ascii="Times New Roman;Times;serif" w:hAnsi="Times New Roman;Times;serif"/>
          <w:b/>
          <w:sz w:val="30"/>
        </w:rPr>
      </w:pPr>
      <w:r>
        <w:rPr>
          <w:rFonts w:ascii="Times New Roman;Times;serif" w:hAnsi="Times New Roman;Times;serif"/>
          <w:b/>
          <w:sz w:val="30"/>
        </w:rPr>
        <w:t>FORM 8-K</w:t>
      </w:r>
    </w:p>
    <w:p>
      <w:pPr>
        <w:pStyle w:val="TextBody"/>
        <w:spacing w:before="240" w:after="283"/>
        <w:jc w:val="center"/>
        <w:rPr>
          <w:rFonts w:ascii="Times New Roman;Times;serif" w:hAnsi="Times New Roman;Times;serif"/>
          <w:b/>
          <w:sz w:val="20"/>
        </w:rPr>
      </w:pPr>
      <w:r>
        <w:rPr>
          <w:rFonts w:ascii="Times New Roman;Times;serif" w:hAnsi="Times New Roman;Times;serif"/>
          <w:b/>
          <w:sz w:val="20"/>
        </w:rPr>
        <w:t>CURRENT REPORT PURSUANT</w:t>
        <w:br/>
        <w:t>TO SECTION 13 OR 15(d) OF THE</w:t>
        <w:br/>
        <w:t>SECURITIES EXCHANGE ACT OF 1934</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June 27,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 xml:space="preserve">(State or Other </w:t>
              <w:br/>
              <w:t xml:space="preserve">Jurisdiction of </w:t>
              <w:br/>
              <w:t xml:space="preserve">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 File</w:t>
              <w:br/>
              <w:t xml:space="preserve">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1141-A Cummings Road, Santa Paula, California 93060</w:t>
      </w:r>
    </w:p>
    <w:p>
      <w:pPr>
        <w:pStyle w:val="TextBody"/>
        <w:spacing w:before="24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24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pPr>
      <w:r>
        <w:rPr/>
        <w:t>    </w:t>
      </w:r>
      <w:r>
        <w:rPr>
          <w:rFonts w:ascii="Times New Roman;Times;serif" w:hAnsi="Times New Roman;Times;serif"/>
          <w:sz w:val="17"/>
        </w:rPr>
        <w:t xml:space="preserve">Written communications pursuant to Rule 425 under the Securities Act (17 CFR 230.425) </w:t>
      </w:r>
    </w:p>
    <w:p>
      <w:pPr>
        <w:pStyle w:val="TextBody"/>
        <w:spacing w:before="120" w:after="283"/>
        <w:jc w:val="left"/>
        <w:rPr/>
      </w:pPr>
      <w:r>
        <w:rPr/>
        <w:t>    </w:t>
      </w:r>
      <w:r>
        <w:rPr>
          <w:rFonts w:ascii="Times New Roman;Times;serif" w:hAnsi="Times New Roman;Times;serif"/>
          <w:sz w:val="17"/>
        </w:rPr>
        <w:t xml:space="preserve">Soliciting material pursuant to Rule 14a-12 under the Exchange Act (17 CFR 240.14a-12) </w:t>
      </w:r>
    </w:p>
    <w:p>
      <w:pPr>
        <w:pStyle w:val="TextBody"/>
        <w:spacing w:before="120" w:after="283"/>
        <w:jc w:val="left"/>
        <w:rPr/>
      </w:pPr>
      <w:r>
        <w:rPr/>
        <w:t>    </w:t>
      </w:r>
      <w:r>
        <w:rPr>
          <w:rFonts w:ascii="Times New Roman;Times;serif" w:hAnsi="Times New Roman;Times;serif"/>
          <w:sz w:val="17"/>
        </w:rPr>
        <w:t xml:space="preserve">Pre-commencement communications pursuant to Rule 14d-2(b) under the Exchange Act (17 CFR 240.14d-2(b)) </w:t>
      </w:r>
    </w:p>
    <w:p>
      <w:pPr>
        <w:pStyle w:val="TextBody"/>
        <w:spacing w:before="120" w:after="283"/>
        <w:jc w:val="left"/>
        <w:rPr/>
      </w:pPr>
      <w:r>
        <w:rPr/>
        <w:t>    </w:t>
      </w:r>
      <w:r>
        <w:rPr>
          <w:rFonts w:ascii="Times New Roman;Times;serif" w:hAnsi="Times New Roman;Times;serif"/>
          <w:sz w:val="17"/>
        </w:rPr>
        <w:t xml:space="preserve">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discussion below in Item 2.03 is hereby incorporated by reference into this Item 1.01.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2.03 Creation of a Direct Financial Obligation or an Obligation under an Off-Balance Sheet Arrangement of a Registrant.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Effective June 27, 2007, Calavo Growers, Inc. (we or the Company), and Farm Credit West, PCA, entered into a Term Revolving Credit Agreement (the Agreement). Under the terms of the Agreement, we are advanced funds for the purchase and installation of long-term productive assets, acquisitions, and strategic relationships entered into from time to time by the Company. Total credit available under the borrowing agreement was $20 million. The credit facility contains various financial covenants, the most significant relating to working capital, tangible net worth (as defined), and Earnings Before Interest, Taxes, Depreciation and Amortization (EBITDA) (as defined). </w:t>
      </w:r>
    </w:p>
    <w:p>
      <w:pPr>
        <w:pStyle w:val="TextBody"/>
        <w:spacing w:before="120" w:after="283"/>
        <w:jc w:val="left"/>
        <w:rPr/>
      </w:pPr>
      <w:r>
        <w:rPr/>
        <w:t>     </w:t>
      </w:r>
      <w:r>
        <w:rPr>
          <w:rFonts w:ascii="Times New Roman;Times;serif" w:hAnsi="Times New Roman;Times;serif"/>
          <w:sz w:val="17"/>
        </w:rPr>
        <w:t xml:space="preserve">The preceding discussion is qualified by reference to the Agreement, which is filed as an exhibit to this Current Report on Form 8-K and is incorporated herein.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53"/>
        <w:gridCol w:w="138"/>
        <w:gridCol w:w="9614"/>
      </w:tblGrid>
      <w:tr>
        <w:trPr/>
        <w:tc>
          <w:tcPr>
            <w:tcW w:w="453" w:type="dxa"/>
            <w:tcBorders/>
            <w:shd w:fill="auto" w:val="clear"/>
          </w:tcPr>
          <w:p>
            <w:pPr>
              <w:pStyle w:val="TableContents"/>
              <w:spacing w:before="0" w:after="283"/>
              <w:jc w:val="left"/>
              <w:rPr/>
            </w:pPr>
            <w:r>
              <w:rPr/>
              <w:t>10.1</w:t>
            </w:r>
          </w:p>
        </w:tc>
        <w:tc>
          <w:tcPr>
            <w:tcW w:w="138" w:type="dxa"/>
            <w:tcBorders/>
            <w:shd w:fill="auto" w:val="clear"/>
          </w:tcPr>
          <w:p>
            <w:pPr>
              <w:pStyle w:val="TableContents"/>
              <w:spacing w:before="0" w:after="283"/>
              <w:rPr/>
            </w:pPr>
            <w:r>
              <w:rPr/>
              <w:t> </w:t>
            </w:r>
          </w:p>
        </w:tc>
        <w:tc>
          <w:tcPr>
            <w:tcW w:w="9614" w:type="dxa"/>
            <w:tcBorders/>
            <w:shd w:fill="auto" w:val="clear"/>
          </w:tcPr>
          <w:p>
            <w:pPr>
              <w:pStyle w:val="TableContents"/>
              <w:spacing w:before="0" w:after="283"/>
              <w:rPr/>
            </w:pPr>
            <w:r>
              <w:rPr/>
              <w:t>Term Revolving Credit Agreement dated as of June 7, 2007 between Calavo Growers, Inc. and Farm Credit West, PCA.</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74"/>
        <w:gridCol w:w="681"/>
        <w:gridCol w:w="805"/>
        <w:gridCol w:w="3051"/>
        <w:gridCol w:w="1294"/>
      </w:tblGrid>
      <w:tr>
        <w:trPr/>
        <w:tc>
          <w:tcPr>
            <w:tcW w:w="4374"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pPr>
            <w:r>
              <w:rPr/>
              <w:t> </w:t>
            </w:r>
          </w:p>
        </w:tc>
        <w:tc>
          <w:tcPr>
            <w:tcW w:w="3051" w:type="dxa"/>
            <w:tcBorders/>
            <w:shd w:fill="auto" w:val="clear"/>
            <w:vAlign w:val="center"/>
          </w:tcPr>
          <w:p>
            <w:pPr>
              <w:pStyle w:val="TableContents"/>
              <w:spacing w:before="0" w:after="283"/>
              <w:rPr/>
            </w:pPr>
            <w:r>
              <w:rPr/>
              <w:t> </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tcPr>
          <w:p>
            <w:pPr>
              <w:pStyle w:val="TableContents"/>
              <w:spacing w:before="0" w:after="283"/>
              <w:jc w:val="left"/>
              <w:rPr/>
            </w:pPr>
            <w:r>
              <w:rPr/>
              <w:t> </w:t>
            </w:r>
          </w:p>
        </w:tc>
        <w:tc>
          <w:tcPr>
            <w:tcW w:w="4537" w:type="dxa"/>
            <w:gridSpan w:val="3"/>
            <w:tcBorders/>
            <w:shd w:fill="auto" w:val="clear"/>
            <w:vAlign w:val="center"/>
          </w:tcPr>
          <w:p>
            <w:pPr>
              <w:pStyle w:val="TableContents"/>
              <w:spacing w:before="0" w:after="283"/>
              <w:jc w:val="left"/>
              <w:rPr/>
            </w:pPr>
            <w:r>
              <w:rPr/>
              <w:t>Calavo Growers, Inc.</w:t>
              <w:br/>
              <w:t> </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June 27, 2007 </w:t>
            </w:r>
          </w:p>
        </w:tc>
        <w:tc>
          <w:tcPr>
            <w:tcW w:w="681" w:type="dxa"/>
            <w:tcBorders/>
            <w:shd w:fill="auto" w:val="clear"/>
          </w:tcPr>
          <w:p>
            <w:pPr>
              <w:pStyle w:val="TableContents"/>
              <w:spacing w:before="0" w:after="283"/>
              <w:rPr/>
            </w:pPr>
            <w:r>
              <w:rPr/>
              <w:t>By:  </w:t>
            </w:r>
          </w:p>
        </w:tc>
        <w:tc>
          <w:tcPr>
            <w:tcW w:w="3856"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 </w:t>
            </w:r>
          </w:p>
        </w:tc>
        <w:tc>
          <w:tcPr>
            <w:tcW w:w="681" w:type="dxa"/>
            <w:tcBorders/>
            <w:shd w:fill="auto" w:val="clear"/>
            <w:vAlign w:val="center"/>
          </w:tcPr>
          <w:p>
            <w:pPr>
              <w:pStyle w:val="TableContents"/>
              <w:spacing w:before="0" w:after="283"/>
              <w:rPr/>
            </w:pPr>
            <w:r>
              <w:rPr/>
              <w:t> </w:t>
            </w:r>
          </w:p>
        </w:tc>
        <w:tc>
          <w:tcPr>
            <w:tcW w:w="3856" w:type="dxa"/>
            <w:gridSpan w:val="2"/>
            <w:tcBorders/>
            <w:shd w:fill="auto" w:val="clear"/>
            <w:vAlign w:val="center"/>
          </w:tcPr>
          <w:p>
            <w:pPr>
              <w:pStyle w:val="TableContents"/>
              <w:spacing w:before="0" w:after="283"/>
              <w:jc w:val="left"/>
              <w:rPr/>
            </w:pPr>
            <w:r>
              <w:rPr/>
              <w:t>Lecil E. Cole </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 </w:t>
            </w:r>
          </w:p>
        </w:tc>
        <w:tc>
          <w:tcPr>
            <w:tcW w:w="681" w:type="dxa"/>
            <w:tcBorders/>
            <w:shd w:fill="auto" w:val="clear"/>
            <w:vAlign w:val="center"/>
          </w:tcPr>
          <w:p>
            <w:pPr>
              <w:pStyle w:val="TableContents"/>
              <w:spacing w:before="0" w:after="283"/>
              <w:rPr/>
            </w:pPr>
            <w:r>
              <w:rPr/>
              <w:t> </w:t>
            </w:r>
          </w:p>
        </w:tc>
        <w:tc>
          <w:tcPr>
            <w:tcW w:w="3856" w:type="dxa"/>
            <w:gridSpan w:val="2"/>
            <w:tcBorders/>
            <w:shd w:fill="auto" w:val="clear"/>
            <w:vAlign w:val="center"/>
          </w:tcPr>
          <w:p>
            <w:pPr>
              <w:pStyle w:val="TableContents"/>
              <w:spacing w:before="0" w:after="283"/>
              <w:jc w:val="left"/>
              <w:rPr/>
            </w:pPr>
            <w:r>
              <w:rPr/>
              <w:t>Chairman of the Board of Directors, Chief Executive Officer and President</w:t>
              <w:br/>
              <w:t>(Principal Executive Officer) </w:t>
            </w:r>
          </w:p>
        </w:tc>
        <w:tc>
          <w:tcPr>
            <w:tcW w:w="129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v31616exv10w1.htm"/>
      <w:bookmarkStart w:id="3" w:name="ksv31616exv10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10.1 </w:t>
      </w:r>
    </w:p>
    <w:p>
      <w:pPr>
        <w:pStyle w:val="TextBody"/>
        <w:spacing w:before="120" w:after="283"/>
        <w:jc w:val="right"/>
        <w:rPr>
          <w:rFonts w:ascii="Times New Roman;Times;serif" w:hAnsi="Times New Roman;Times;serif"/>
          <w:sz w:val="17"/>
        </w:rPr>
      </w:pPr>
      <w:r>
        <w:rPr>
          <w:rFonts w:ascii="Times New Roman;Times;serif" w:hAnsi="Times New Roman;Times;serif"/>
          <w:sz w:val="17"/>
        </w:rPr>
        <w:t xml:space="preserve">Loan No. 3789055-101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TERM REVOLVING CREDIT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THIS TERM REVOLVING CREDIT AGREEMENT </w:t>
      </w:r>
      <w:r>
        <w:rPr>
          <w:rFonts w:ascii="Times New Roman;Times;serif" w:hAnsi="Times New Roman;Times;serif"/>
          <w:sz w:val="17"/>
        </w:rPr>
        <w:t xml:space="preserve">(Agreement) is entered into as of June 7, 2007, between </w:t>
      </w:r>
      <w:r>
        <w:rPr>
          <w:rFonts w:ascii="Times New Roman;Times;serif" w:hAnsi="Times New Roman;Times;serif"/>
          <w:b/>
          <w:sz w:val="17"/>
        </w:rPr>
        <w:t>FARM CREDIT WEST, PCA</w:t>
      </w:r>
      <w:r>
        <w:rPr>
          <w:rFonts w:ascii="Times New Roman;Times;serif" w:hAnsi="Times New Roman;Times;serif"/>
          <w:sz w:val="17"/>
        </w:rPr>
        <w:t xml:space="preserve">, Visalia, California (FCW) and </w:t>
      </w:r>
      <w:r>
        <w:rPr>
          <w:rFonts w:ascii="Times New Roman;Times;serif" w:hAnsi="Times New Roman;Times;serif"/>
          <w:b/>
          <w:sz w:val="17"/>
        </w:rPr>
        <w:t>CALAVO GROWERS, INC.</w:t>
      </w:r>
      <w:r>
        <w:rPr>
          <w:rFonts w:ascii="Times New Roman;Times;serif" w:hAnsi="Times New Roman;Times;serif"/>
          <w:sz w:val="17"/>
        </w:rPr>
        <w:t xml:space="preserve">, Santa Paula, California (the Company). </w:t>
      </w:r>
    </w:p>
    <w:p>
      <w:pPr>
        <w:pStyle w:val="TextBody"/>
        <w:spacing w:before="120" w:after="283"/>
        <w:jc w:val="left"/>
        <w:rPr/>
      </w:pPr>
      <w:r>
        <w:rPr/>
        <w:t>     </w:t>
      </w:r>
      <w:r>
        <w:rPr>
          <w:rFonts w:ascii="Times New Roman;Times;serif" w:hAnsi="Times New Roman;Times;serif"/>
          <w:b/>
          <w:sz w:val="17"/>
        </w:rPr>
        <w:t xml:space="preserve">SECTION 1. The Credit Facility. </w:t>
      </w:r>
      <w:r>
        <w:rPr>
          <w:rFonts w:ascii="Times New Roman;Times;serif" w:hAnsi="Times New Roman;Times;serif"/>
          <w:sz w:val="17"/>
        </w:rPr>
        <w:t xml:space="preserve">On the terms and conditions set forth in this Agreement, FCW agrees to make advances to the Company during the period set forth below in an aggregate principal amount not to exceed $20,000,000.00 (the Commitment). The Agreement and Commitment is executed, delivered and accepted not in payment of but for the purpose of amending, restating and replacing the following described obligations, and renewing any unpaid balance(s) evidenced thereby: Note dated February 7, 2007, in the principal amount of $15,000,000.00. Furthermore, the Commitment also evidences an additional loan advance(s) to the extent the Commitment under this Agreement exceeds the renewed unpaid balance(s) referred to above. </w:t>
      </w:r>
    </w:p>
    <w:p>
      <w:pPr>
        <w:pStyle w:val="TextBody"/>
        <w:spacing w:before="120" w:after="283"/>
        <w:jc w:val="left"/>
        <w:rPr/>
      </w:pPr>
      <w:r>
        <w:rPr/>
        <w:t>     </w:t>
      </w:r>
      <w:r>
        <w:rPr>
          <w:rFonts w:ascii="Times New Roman;Times;serif" w:hAnsi="Times New Roman;Times;serif"/>
          <w:b/>
          <w:sz w:val="17"/>
        </w:rPr>
        <w:t xml:space="preserve">SECTION 2. Sale of Interest. </w:t>
      </w:r>
      <w:r>
        <w:rPr>
          <w:rFonts w:ascii="Times New Roman;Times;serif" w:hAnsi="Times New Roman;Times;serif"/>
          <w:sz w:val="17"/>
        </w:rPr>
        <w:t xml:space="preserve">The Company acknowledges that FCW has the option to participate all or a portion of the Commitment with one or more lenders, including CoBank, ACB (CoBank). All advances hereunder shall be made by CoBank as agent for FCW and all repayments by the Company hereunder shall be made to CoBank as agent for FCW. </w:t>
      </w:r>
    </w:p>
    <w:p>
      <w:pPr>
        <w:pStyle w:val="TextBody"/>
        <w:spacing w:before="120" w:after="283"/>
        <w:jc w:val="left"/>
        <w:rPr/>
      </w:pPr>
      <w:r>
        <w:rPr/>
        <w:t>     </w:t>
      </w:r>
      <w:r>
        <w:rPr>
          <w:rFonts w:ascii="Times New Roman;Times;serif" w:hAnsi="Times New Roman;Times;serif"/>
          <w:b/>
          <w:sz w:val="17"/>
        </w:rPr>
        <w:t xml:space="preserve">SECTION 3. Purpose. </w:t>
      </w:r>
      <w:r>
        <w:rPr>
          <w:rFonts w:ascii="Times New Roman;Times;serif" w:hAnsi="Times New Roman;Times;serif"/>
          <w:sz w:val="17"/>
        </w:rPr>
        <w:t xml:space="preserve">The purpose of the Commitment is to finance the purchase and installation of capital items and other corporate needs of the Company. </w:t>
      </w:r>
    </w:p>
    <w:p>
      <w:pPr>
        <w:pStyle w:val="TextBody"/>
        <w:spacing w:before="120" w:after="283"/>
        <w:jc w:val="left"/>
        <w:rPr/>
      </w:pPr>
      <w:r>
        <w:rPr/>
        <w:t>     </w:t>
      </w:r>
      <w:r>
        <w:rPr>
          <w:rFonts w:ascii="Times New Roman;Times;serif" w:hAnsi="Times New Roman;Times;serif"/>
          <w:b/>
          <w:sz w:val="17"/>
        </w:rPr>
        <w:t xml:space="preserve">SECTION 4. Term. </w:t>
      </w:r>
      <w:r>
        <w:rPr>
          <w:rFonts w:ascii="Times New Roman;Times;serif" w:hAnsi="Times New Roman;Times;serif"/>
          <w:sz w:val="17"/>
        </w:rPr>
        <w:t xml:space="preserve">The term of the Commitment shall be from the date hereof, up to and including February 1, 2012. </w:t>
      </w:r>
    </w:p>
    <w:p>
      <w:pPr>
        <w:pStyle w:val="TextBody"/>
        <w:spacing w:before="120" w:after="283"/>
        <w:jc w:val="left"/>
        <w:rPr/>
      </w:pPr>
      <w:r>
        <w:rPr/>
        <w:t>     </w:t>
      </w:r>
      <w:r>
        <w:rPr>
          <w:rFonts w:ascii="Times New Roman;Times;serif" w:hAnsi="Times New Roman;Times;serif"/>
          <w:b/>
          <w:sz w:val="17"/>
        </w:rPr>
        <w:t xml:space="preserve">SECTION 5. Availability. </w:t>
      </w:r>
      <w:r>
        <w:rPr>
          <w:rFonts w:ascii="Times New Roman;Times;serif" w:hAnsi="Times New Roman;Times;serif"/>
          <w:sz w:val="17"/>
        </w:rPr>
        <w:t xml:space="preserve">Subject to the provisions of Section 25, advances will be made available on any day on which FCW, CoBank, and the Federal Reserve Banks are open for business upon the telephonic or written request of the Company. Requests for advances must be received no later than 12:00 Noon, Companys local time, on the date the advance is desired. Advances will be made available by CoBank by wire transfer of immediately available funds to such account or accounts as may be authorized by the Company. The Company shall furnish to CoBank a duly completed and executed copy of a CoBank Delegation and Wire and Electronic Transfer Authorization Form, and CoBank shall be entitled to rely on (and shall incur no liability to the Company in acting on) any request or direction furnished in accordance with the terms thereof. </w:t>
      </w:r>
    </w:p>
    <w:p>
      <w:pPr>
        <w:pStyle w:val="TextBody"/>
        <w:spacing w:before="120" w:after="283"/>
        <w:jc w:val="left"/>
        <w:rPr/>
      </w:pPr>
      <w:r>
        <w:rPr/>
        <w:t>     </w:t>
      </w:r>
      <w:r>
        <w:rPr>
          <w:rFonts w:ascii="Times New Roman;Times;serif" w:hAnsi="Times New Roman;Times;serif"/>
          <w:b/>
          <w:sz w:val="17"/>
        </w:rPr>
        <w:t>SECTION 6. Interest and Fees.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(A) Interest. </w:t>
      </w:r>
      <w:r>
        <w:rPr>
          <w:rFonts w:ascii="Times New Roman;Times;serif" w:hAnsi="Times New Roman;Times;serif"/>
          <w:sz w:val="17"/>
        </w:rPr>
        <w:t xml:space="preserve">The Company agrees to pay interest on the unpaid balance of the Commitment in accordance with the following interest rate option: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2</w:t>
            </w:r>
          </w:p>
        </w:tc>
      </w:tr>
    </w:tbl>
    <w:p>
      <w:pPr>
        <w:pStyle w:val="TextBody"/>
        <w:spacing w:before="120" w:after="283"/>
        <w:jc w:val="left"/>
        <w:rPr/>
      </w:pPr>
      <w:r>
        <w:rPr/>
        <w:t>          </w:t>
      </w:r>
      <w:r>
        <w:rPr>
          <w:rFonts w:ascii="Times New Roman;Times;serif" w:hAnsi="Times New Roman;Times;serif"/>
          <w:b/>
          <w:sz w:val="17"/>
        </w:rPr>
        <w:t xml:space="preserve">(1) 7-Day LIBOR Index Rate. </w:t>
      </w:r>
      <w:r>
        <w:rPr>
          <w:rFonts w:ascii="Times New Roman;Times;serif" w:hAnsi="Times New Roman;Times;serif"/>
          <w:sz w:val="17"/>
        </w:rPr>
        <w:t xml:space="preserve">At a rate (rounded upward to the nearest 1/100th% and adjusted for reserves required on Eurocurrency Liabilities (as hereinafter defined) for banks subject to FRB Regulation D (as hereinafter defined) or required by any other federal law or regulation) per annum equal at all times to 100 basis points (1.00%) above the annual rate quoted by the British Bankers Association (the BBA) at 11:00 a.m. London time for the offering of seven (7) day of U.S. dollars deposits, as published by Bloomberg or another major information vendor listed on BBAs official website on the first U.S. Banking Day (as hereinafter defined) in each week with such rate to change weekly on such day. The rate shall be reset automatically, without the necessity of notice being provided to the Company or any other party, on the first U.S. Banking Day of each succeeding week and each change in the rate shall be applicable to all balances subject to this option and information about the then current rate shall be made available upon telephonic request. For purposes hereof (a) U.S. Banking Day shall mean a day on which CoBank is open for business, dealings in U.S. dollar deposits are being carried out in the London interbank market, and banks are open for business in New York City and London, England; (b) Eurocurrency Liabilities shall have meaning as set forth in FRB Regulation D; and (c) FRB Regulation D shall mean Regulation D as promulgated by the Board of Governors of the Federal Reserve System, 12 CFR Part 204, as amended. </w:t>
      </w:r>
    </w:p>
    <w:p>
      <w:pPr>
        <w:pStyle w:val="TextBody"/>
        <w:spacing w:before="120" w:after="283"/>
        <w:jc w:val="left"/>
        <w:rPr/>
      </w:pPr>
      <w:r>
        <w:rPr/>
        <w:t>          </w:t>
      </w:r>
      <w:r>
        <w:rPr>
          <w:rFonts w:ascii="Times New Roman;Times;serif" w:hAnsi="Times New Roman;Times;serif"/>
          <w:b/>
          <w:sz w:val="17"/>
        </w:rPr>
        <w:t xml:space="preserve">(2) LIBOR. </w:t>
      </w:r>
      <w:r>
        <w:rPr>
          <w:rFonts w:ascii="Times New Roman;Times;serif" w:hAnsi="Times New Roman;Times;serif"/>
          <w:sz w:val="17"/>
        </w:rPr>
        <w:t xml:space="preserve">At a fixed rate per annum equal to LIBOR (as hereinafter defined) plus 100 basis points (1%). Under this option: (1) rates may be fixed for Interest Periods (as hereinafter defined) of 1, 2, 3, 6, 9, 12, 24, 36 or 48 months as selected by the Company; (2) amounts may be fixed in increments of $100,000.00 or multiples thereof; (3) the maximum number of fixes in place at any one time shall be 10; and (4) rates may only be fixed on a Banking Day (as hereinafter defined) on 3 Banking Days prior written notice. For purposes hereof: (a) LIBOR shall mean the rate (rounded upward to the nearest sixteenth) and adjusted for reserves required on Eurocurrency Liabilities (as hereinafter defined) for banks subject to FRB Regulation D (as herein defined) or required by any other federal law or regulation) quoted by the British Bankers Association (the BBA) at 11:00 a.m. London time 2 Banking Days before the commencement of the Interest Period for the offering of U.S. dollar deposits in the London interbank market for the Interest Period designated by the Company; as published by Bloomberg or another major information vendor listed on BBAs official website; (b) Banking Day shall mean a day on which CoBank is open for business, dealings in U.S. dollar deposits are being carried out in the London interbank market, and banks are open for business in New York City and London, England; (c) Interest Period shall mean a period commencing on the date this option is to take effect and ending on the numerically corresponding day in the next calendar month or the month that is 2, 3, 6, 9, 12, 24, 36 or 48 months thereafter, as the case may be; provided, however, that: (i) in the event such ending day is not a Banking Day, such period shall be extended to the next Banking Day unless such next Banking Day falls in the next calendar month, in which case it shall end on the preceding Banking Day; and (ii) if there is no numerically corresponding day in the month, then such period shall end on the last Banking Day in the relevant month; (d) Eurocurrency Liabilities shall have meaning as set forth in FRB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2"/>
        <w:gridCol w:w="1020"/>
        <w:gridCol w:w="4593"/>
      </w:tblGrid>
      <w:tr>
        <w:trPr/>
        <w:tc>
          <w:tcPr>
            <w:tcW w:w="4592"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4593" w:type="dxa"/>
            <w:tcBorders/>
            <w:shd w:fill="auto"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ind w:left="0" w:right="0" w:hanging="0"/>
              <w:rPr/>
            </w:pPr>
            <w:r>
              <w:rPr/>
              <w:t>Calavo Growers, Inc.</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right"/>
              <w:rPr/>
            </w:pPr>
            <w:r>
              <w:rPr/>
              <w:t xml:space="preserve">Agreement No. 3789055-101 </w:t>
            </w:r>
          </w:p>
        </w:tc>
      </w:tr>
      <w:tr>
        <w:trPr/>
        <w:tc>
          <w:tcPr>
            <w:tcW w:w="4592" w:type="dxa"/>
            <w:tcBorders/>
            <w:shd w:fill="auto" w:val="clear"/>
          </w:tcPr>
          <w:p>
            <w:pPr>
              <w:pStyle w:val="TableContents"/>
              <w:spacing w:before="0" w:after="0"/>
              <w:ind w:left="0" w:right="0" w:hanging="0"/>
              <w:rPr/>
            </w:pPr>
            <w:r>
              <w:rPr/>
              <w:t xml:space="preserve">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right"/>
              <w:rPr/>
            </w:pPr>
            <w:r>
              <w:rPr/>
              <w:t>Page 3</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Regulation D; and (e) FRB Regulation D shall mean Regulation D as promulgated by the Board of Governors of the Federal Reserve System, 12 CFR Part 204, as amended. </w:t>
      </w:r>
    </w:p>
    <w:p>
      <w:pPr>
        <w:pStyle w:val="TextBody"/>
        <w:spacing w:before="120" w:after="283"/>
        <w:jc w:val="left"/>
        <w:rPr/>
      </w:pPr>
      <w:r>
        <w:rPr/>
        <w:t>          </w:t>
      </w:r>
      <w:r>
        <w:rPr>
          <w:rFonts w:ascii="Times New Roman;Times;serif" w:hAnsi="Times New Roman;Times;serif"/>
          <w:b/>
          <w:sz w:val="17"/>
        </w:rPr>
        <w:t xml:space="preserve">(3) Fixed Rate. </w:t>
      </w:r>
      <w:r>
        <w:rPr>
          <w:rFonts w:ascii="Times New Roman;Times;serif" w:hAnsi="Times New Roman;Times;serif"/>
          <w:sz w:val="17"/>
        </w:rPr>
        <w:t xml:space="preserve">At a fixed rate per annum to be quoted by FCW and CoBank in its sole discretion in each instance. Under this option, rates may be fixed on such balances and for such periods, as may be agreeable to FCW and CoBank in its sole discretion in each instance, provided that: (1) the minimum fixed period shall be 1 years; (2) amounts may be fixed in increments of $100,000.00 or multiples thereof; and (3) the maximum number of fixes in place at any one time shall be 10.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shall select the applicable rate option at the time it requests a loan hereunder and may, subject to the limitations set forth above, elect to convert balances bearing interest at the variable rate option to one of the fixed rate options. Upon the expiration of any fixed rate period, interest shall automatically accrue at the variable rate option provided for above unless the amount fixed is repaid or fixed for an additional period in accordance with the terms hereof. Notwithstanding the foregoing, rates may not be fixed in such a manner as to cause the Company to have to break any fixed rate balance in order to pay any installment of principal. All elections provided for herein shall be made telephonically or in writing and must be received by 12:00 Noon Companys local time. Interest shall be calculated on the actual number of days each loan is outstanding on the basis of a year consisting of 360 days and shall be payable monthly in arrears by the 20th day of the following month or on such other day in such month as CoBank shall require in a written notice to the Company. </w:t>
      </w:r>
    </w:p>
    <w:p>
      <w:pPr>
        <w:pStyle w:val="TextBody"/>
        <w:spacing w:before="120" w:after="283"/>
        <w:jc w:val="left"/>
        <w:rPr/>
      </w:pPr>
      <w:r>
        <w:rPr/>
        <w:t>          </w:t>
      </w:r>
      <w:r>
        <w:rPr>
          <w:rFonts w:ascii="Times New Roman;Times;serif" w:hAnsi="Times New Roman;Times;serif"/>
          <w:b/>
          <w:sz w:val="17"/>
        </w:rPr>
        <w:t xml:space="preserve">(B) Commitment Fee. </w:t>
      </w:r>
      <w:r>
        <w:rPr>
          <w:rFonts w:ascii="Times New Roman;Times;serif" w:hAnsi="Times New Roman;Times;serif"/>
          <w:sz w:val="17"/>
        </w:rPr>
        <w:t xml:space="preserve">In consideration of the Commitment, the Company agrees to pay to FCW a commitment fee on the average daily unused portion of the Commitment at the rate of 0.15% per annum (calculated on a 360 day basis based on utilization, which is defined as outstanding advances plus issued and outstanding letters of credit divided by the total available amount of the Commitment), payable quarterly in arrears by the 20th day following each quarter. Such fee shall be payable for each quarter (or portion thereof) occurring during the original or any extended term of the Commitment. </w:t>
      </w:r>
    </w:p>
    <w:p>
      <w:pPr>
        <w:pStyle w:val="TextBody"/>
        <w:spacing w:before="120" w:after="283"/>
        <w:jc w:val="left"/>
        <w:rPr/>
      </w:pPr>
      <w:r>
        <w:rPr/>
        <w:t>     </w:t>
      </w:r>
      <w:r>
        <w:rPr>
          <w:rFonts w:ascii="Times New Roman;Times;serif" w:hAnsi="Times New Roman;Times;serif"/>
          <w:b/>
          <w:sz w:val="17"/>
        </w:rPr>
        <w:t xml:space="preserve">SECTION 7. Repayment and Maturity. </w:t>
      </w:r>
      <w:r>
        <w:rPr>
          <w:rFonts w:ascii="Times New Roman;Times;serif" w:hAnsi="Times New Roman;Times;serif"/>
          <w:sz w:val="17"/>
        </w:rPr>
        <w:t xml:space="preserve">The unpaid principal balance of the Commitment shall mature and be due and payable on February 1, 2012 (the Maturity Date). </w:t>
      </w:r>
    </w:p>
    <w:p>
      <w:pPr>
        <w:pStyle w:val="TextBody"/>
        <w:spacing w:before="120" w:after="283"/>
        <w:jc w:val="left"/>
        <w:rPr/>
      </w:pPr>
      <w:r>
        <w:rPr/>
        <w:t>     </w:t>
      </w:r>
      <w:r>
        <w:rPr>
          <w:rFonts w:ascii="Times New Roman;Times;serif" w:hAnsi="Times New Roman;Times;serif"/>
          <w:b/>
          <w:sz w:val="17"/>
        </w:rPr>
        <w:t xml:space="preserve">SECTION 8. Promissory Note. </w:t>
      </w:r>
      <w:r>
        <w:rPr>
          <w:rFonts w:ascii="Times New Roman;Times;serif" w:hAnsi="Times New Roman;Times;serif"/>
          <w:sz w:val="17"/>
        </w:rPr>
        <w:t xml:space="preserve">The Companys obligation to repay the Commitment shall be evidenced by a promissory note in the form attached hereto as </w:t>
      </w:r>
      <w:r>
        <w:rPr>
          <w:rFonts w:ascii="Times New Roman;Times;serif" w:hAnsi="Times New Roman;Times;serif"/>
          <w:b/>
          <w:sz w:val="17"/>
        </w:rPr>
        <w:t>Exhibit A (Note).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SECTION 9. Manner and Time of Payment. </w:t>
      </w:r>
      <w:r>
        <w:rPr>
          <w:rFonts w:ascii="Times New Roman;Times;serif" w:hAnsi="Times New Roman;Times;serif"/>
          <w:sz w:val="17"/>
        </w:rPr>
        <w:t xml:space="preserve">CoBank shall maintain a record of all loans, the interest accrued thereon, and all payments made with respect thereto, and such record shall, absent proof of manifest error, be conclusive evidence of the outstanding principal and interest on the loans. All payments shall be made by wire transfer of immediately available funds, by check, or by automated clearing house or other similar cash handling processes as specified by separate agreement between the Company and CoBank. Wire transfers shall be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4</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made to ABA No. 307088754 for advice to and credit of CoBank (or to such other account as CoBank may direct by notice). The Company shall give CoBank telephonic notice no later than 12:00 Noon Companys local time of its intent to pay by wire and funds received after 3:00 p.m. Companys local time shall be credited on the next business day. Checks shall be mailed to CoBank, Department 167, Denver, Colorado 80291-0167 (or to such other place as CoBank may direct by notice). Credit for payment by check will not be given until the later of: (a) the day on which CoBank receives immediately available funds; or (b) the next business day after receipt of the check all as set forth in the </w:t>
      </w:r>
      <w:r>
        <w:rPr>
          <w:rFonts w:ascii="Times New Roman;Times;serif" w:hAnsi="Times New Roman;Times;serif"/>
          <w:b/>
          <w:sz w:val="17"/>
        </w:rPr>
        <w:t xml:space="preserve">Servicing Agreement </w:t>
      </w:r>
      <w:r>
        <w:rPr>
          <w:rFonts w:ascii="Times New Roman;Times;serif" w:hAnsi="Times New Roman;Times;serif"/>
          <w:sz w:val="17"/>
        </w:rPr>
        <w:t xml:space="preserve">between Borrower, FCW, and CoBank in form attached hereto as </w:t>
      </w:r>
      <w:r>
        <w:rPr>
          <w:rFonts w:ascii="Times New Roman;Times;serif" w:hAnsi="Times New Roman;Times;serif"/>
          <w:b/>
          <w:sz w:val="17"/>
        </w:rPr>
        <w:t>Exhibit B</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SECTION 10. Capitalization. </w:t>
      </w:r>
      <w:r>
        <w:rPr>
          <w:rFonts w:ascii="Times New Roman;Times;serif" w:hAnsi="Times New Roman;Times;serif"/>
          <w:sz w:val="17"/>
        </w:rPr>
        <w:t xml:space="preserve">The Company has purchased a $1,000.00 stock investment under FCWs capitalization plan. The Company understands that FCWs stock is at risk and that any reference to FCW equities or to stock or participation certificates required by Lenders bylaws in any document, agreement or Loan Document shall mean the FCW stock investment described herein. </w:t>
      </w:r>
    </w:p>
    <w:p>
      <w:pPr>
        <w:pStyle w:val="TextBody"/>
        <w:spacing w:before="120" w:after="283"/>
        <w:jc w:val="left"/>
        <w:rPr/>
      </w:pPr>
      <w:r>
        <w:rPr/>
        <w:t>     </w:t>
      </w:r>
      <w:r>
        <w:rPr>
          <w:rFonts w:ascii="Times New Roman;Times;serif" w:hAnsi="Times New Roman;Times;serif"/>
          <w:b/>
          <w:sz w:val="17"/>
        </w:rPr>
        <w:t xml:space="preserve">SECTION 11. Patronage. </w:t>
      </w:r>
      <w:r>
        <w:rPr>
          <w:rFonts w:ascii="Times New Roman;Times;serif" w:hAnsi="Times New Roman;Times;serif"/>
          <w:sz w:val="17"/>
        </w:rPr>
        <w:t xml:space="preserve">The Commitment is eligible for patronage under the plan and in accordance with the provisions of FCWs bylaws and its practices and procedures related to patronage distribution and as set forth in Section 27. </w:t>
      </w:r>
    </w:p>
    <w:p>
      <w:pPr>
        <w:pStyle w:val="TextBody"/>
        <w:spacing w:before="120" w:after="283"/>
        <w:jc w:val="left"/>
        <w:rPr/>
      </w:pPr>
      <w:r>
        <w:rPr/>
        <w:t>     </w:t>
      </w:r>
      <w:r>
        <w:rPr>
          <w:rFonts w:ascii="Times New Roman;Times;serif" w:hAnsi="Times New Roman;Times;serif"/>
          <w:b/>
          <w:sz w:val="17"/>
        </w:rPr>
        <w:t xml:space="preserve">SECTION 12. Security. </w:t>
      </w:r>
      <w:r>
        <w:rPr>
          <w:rFonts w:ascii="Times New Roman;Times;serif" w:hAnsi="Times New Roman;Times;serif"/>
          <w:sz w:val="17"/>
        </w:rPr>
        <w:t xml:space="preserve">The Companys obligations under this Agreement and the Note shall be secured by a statutory first lien on all equity which the Company may now own or hereafter acquire in FCW. With the exception of the security referenced in the preceding sentence, the Companys obligations under this Agreement and the Note shall be unsecured. </w:t>
      </w:r>
    </w:p>
    <w:p>
      <w:pPr>
        <w:pStyle w:val="TextBody"/>
        <w:spacing w:before="120" w:after="283"/>
        <w:jc w:val="left"/>
        <w:rPr/>
      </w:pPr>
      <w:r>
        <w:rPr/>
        <w:t>     </w:t>
      </w:r>
      <w:r>
        <w:rPr>
          <w:rFonts w:ascii="Times New Roman;Times;serif" w:hAnsi="Times New Roman;Times;serif"/>
          <w:b/>
          <w:sz w:val="17"/>
        </w:rPr>
        <w:t xml:space="preserve">SECTION 13. Conditions Precedent. </w:t>
      </w:r>
      <w:r>
        <w:rPr>
          <w:rFonts w:ascii="Times New Roman;Times;serif" w:hAnsi="Times New Roman;Times;serif"/>
          <w:sz w:val="17"/>
        </w:rPr>
        <w:t xml:space="preserve">FCWs obligation to make advances hereunder is subject to the condition precedent that FCW receive, in form and content satisfactory to FCW, each of the following: </w:t>
      </w:r>
    </w:p>
    <w:p>
      <w:pPr>
        <w:pStyle w:val="TextBody"/>
        <w:spacing w:before="120" w:after="283"/>
        <w:jc w:val="left"/>
        <w:rPr/>
      </w:pPr>
      <w:r>
        <w:rPr/>
        <w:t>          </w:t>
      </w:r>
      <w:r>
        <w:rPr>
          <w:rFonts w:ascii="Times New Roman;Times;serif" w:hAnsi="Times New Roman;Times;serif"/>
          <w:b/>
          <w:sz w:val="17"/>
        </w:rPr>
        <w:t xml:space="preserve">(A) Agreement. </w:t>
      </w:r>
      <w:r>
        <w:rPr>
          <w:rFonts w:ascii="Times New Roman;Times;serif" w:hAnsi="Times New Roman;Times;serif"/>
          <w:sz w:val="17"/>
        </w:rPr>
        <w:t xml:space="preserve">A duly executed copy of this Agreement and all instruments and documents contemplated hereby. </w:t>
      </w:r>
    </w:p>
    <w:p>
      <w:pPr>
        <w:pStyle w:val="TextBody"/>
        <w:spacing w:before="120" w:after="283"/>
        <w:jc w:val="left"/>
        <w:rPr/>
      </w:pPr>
      <w:r>
        <w:rPr/>
        <w:t>          </w:t>
      </w:r>
      <w:r>
        <w:rPr>
          <w:rFonts w:ascii="Times New Roman;Times;serif" w:hAnsi="Times New Roman;Times;serif"/>
          <w:b/>
          <w:sz w:val="17"/>
        </w:rPr>
        <w:t xml:space="preserve">(B) Evidence of Authority. </w:t>
      </w:r>
      <w:r>
        <w:rPr>
          <w:rFonts w:ascii="Times New Roman;Times;serif" w:hAnsi="Times New Roman;Times;serif"/>
          <w:sz w:val="17"/>
        </w:rPr>
        <w:t xml:space="preserve">Such certified board resolutions, evidence of incumbency, and other evidence that FCW may require that this Agreement and the Note have been duly authorized and executed. </w:t>
      </w:r>
    </w:p>
    <w:p>
      <w:pPr>
        <w:pStyle w:val="TextBody"/>
        <w:spacing w:before="120" w:after="283"/>
        <w:jc w:val="left"/>
        <w:rPr/>
      </w:pPr>
      <w:r>
        <w:rPr/>
        <w:t>          </w:t>
      </w:r>
      <w:r>
        <w:rPr>
          <w:rFonts w:ascii="Times New Roman;Times;serif" w:hAnsi="Times New Roman;Times;serif"/>
          <w:b/>
          <w:sz w:val="17"/>
        </w:rPr>
        <w:t xml:space="preserve">(C) Fees and Other Charges. </w:t>
      </w:r>
      <w:r>
        <w:rPr>
          <w:rFonts w:ascii="Times New Roman;Times;serif" w:hAnsi="Times New Roman;Times;serif"/>
          <w:sz w:val="17"/>
        </w:rPr>
        <w:t xml:space="preserve">All fees and other charges provided for herein. </w:t>
      </w:r>
    </w:p>
    <w:p>
      <w:pPr>
        <w:pStyle w:val="TextBody"/>
        <w:spacing w:before="120" w:after="283"/>
        <w:jc w:val="left"/>
        <w:rPr/>
      </w:pPr>
      <w:r>
        <w:rPr/>
        <w:t>          </w:t>
      </w:r>
      <w:r>
        <w:rPr>
          <w:rFonts w:ascii="Times New Roman;Times;serif" w:hAnsi="Times New Roman;Times;serif"/>
          <w:b/>
          <w:sz w:val="17"/>
        </w:rPr>
        <w:t xml:space="preserve">(D) Evidence of Insurance. </w:t>
      </w:r>
      <w:r>
        <w:rPr>
          <w:rFonts w:ascii="Times New Roman;Times;serif" w:hAnsi="Times New Roman;Times;serif"/>
          <w:sz w:val="17"/>
        </w:rPr>
        <w:t xml:space="preserve">Such evidence as FCW may require that the Company is in compliance with Section 15(C) hereof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5</w:t>
            </w:r>
          </w:p>
        </w:tc>
      </w:tr>
    </w:tbl>
    <w:p>
      <w:pPr>
        <w:pStyle w:val="TextBody"/>
        <w:spacing w:before="120" w:after="283"/>
        <w:jc w:val="left"/>
        <w:rPr/>
      </w:pPr>
      <w:r>
        <w:rPr/>
        <w:t>          </w:t>
      </w:r>
      <w:r>
        <w:rPr>
          <w:rFonts w:ascii="Times New Roman;Times;serif" w:hAnsi="Times New Roman;Times;serif"/>
          <w:b/>
          <w:sz w:val="17"/>
        </w:rPr>
        <w:t xml:space="preserve">(E) Event of Default. </w:t>
      </w:r>
      <w:r>
        <w:rPr>
          <w:rFonts w:ascii="Times New Roman;Times;serif" w:hAnsi="Times New Roman;Times;serif"/>
          <w:sz w:val="17"/>
        </w:rPr>
        <w:t xml:space="preserve">That no Event of Default (as defined in Section 18 hereof) or event which with the giving of notice and/or the passage of time would become an Event of Default hereunder (a Potential Default), shall have occurred and be continuing. </w:t>
      </w:r>
    </w:p>
    <w:p>
      <w:pPr>
        <w:pStyle w:val="TextBody"/>
        <w:spacing w:before="120" w:after="283"/>
        <w:jc w:val="left"/>
        <w:rPr/>
      </w:pPr>
      <w:r>
        <w:rPr/>
        <w:t>     </w:t>
      </w:r>
      <w:r>
        <w:rPr>
          <w:rFonts w:ascii="Times New Roman;Times;serif" w:hAnsi="Times New Roman;Times;serif"/>
          <w:b/>
          <w:sz w:val="17"/>
        </w:rPr>
        <w:t>SECTION 14. Representations and Warranties.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(A) Agreement. </w:t>
      </w:r>
      <w:r>
        <w:rPr>
          <w:rFonts w:ascii="Times New Roman;Times;serif" w:hAnsi="Times New Roman;Times;serif"/>
          <w:sz w:val="17"/>
        </w:rPr>
        <w:t xml:space="preserve">The Company represents and warrants to FCW that as of the date of this Agreement: </w:t>
      </w:r>
    </w:p>
    <w:p>
      <w:pPr>
        <w:pStyle w:val="TextBody"/>
        <w:spacing w:before="120" w:after="283"/>
        <w:jc w:val="left"/>
        <w:rPr/>
      </w:pPr>
      <w:r>
        <w:rPr/>
        <w:t>               </w:t>
      </w:r>
      <w:r>
        <w:rPr>
          <w:rFonts w:ascii="Times New Roman;Times;serif" w:hAnsi="Times New Roman;Times;serif"/>
          <w:b/>
          <w:sz w:val="17"/>
        </w:rPr>
        <w:t xml:space="preserve">(1) Compliance. </w:t>
      </w:r>
      <w:r>
        <w:rPr>
          <w:rFonts w:ascii="Times New Roman;Times;serif" w:hAnsi="Times New Roman;Times;serif"/>
          <w:sz w:val="17"/>
        </w:rPr>
        <w:t xml:space="preserve">The Company and, to the extent contemplated hereunder, each Subsidiary (as defined below), is in compliance with all of the terms of this Agreement, and no Event of Default or Potential Default exists hereunder. </w:t>
      </w:r>
    </w:p>
    <w:p>
      <w:pPr>
        <w:pStyle w:val="TextBody"/>
        <w:spacing w:before="120" w:after="283"/>
        <w:jc w:val="left"/>
        <w:rPr/>
      </w:pPr>
      <w:r>
        <w:rPr/>
        <w:t>               </w:t>
      </w:r>
      <w:r>
        <w:rPr>
          <w:rFonts w:ascii="Times New Roman;Times;serif" w:hAnsi="Times New Roman;Times;serif"/>
          <w:b/>
          <w:sz w:val="17"/>
        </w:rPr>
        <w:t xml:space="preserve">(2) Subsidiaries. </w:t>
      </w:r>
      <w:r>
        <w:rPr>
          <w:rFonts w:ascii="Times New Roman;Times;serif" w:hAnsi="Times New Roman;Times;serif"/>
          <w:sz w:val="17"/>
        </w:rPr>
        <w:t xml:space="preserve">The Company has the following Subsidiaries: Calavo Foods, Inc. (CFI); Maui Fresh International, Inc.; Calavo de Mexico S.A. de C.V.; and Calavo Foods de Mexico S.A. de C.V.. For purposes hereof, a Subsidiary shall mean a corporation of which shares of stock having ordinary voting power to elect a majority of the board of directors or other managers of such corporation are owned, directly or indirectly, by the Company. </w:t>
      </w:r>
    </w:p>
    <w:p>
      <w:pPr>
        <w:pStyle w:val="TextBody"/>
        <w:spacing w:before="120" w:after="283"/>
        <w:jc w:val="left"/>
        <w:rPr/>
      </w:pPr>
      <w:r>
        <w:rPr/>
        <w:t>               </w:t>
      </w:r>
      <w:r>
        <w:rPr>
          <w:rFonts w:ascii="Times New Roman;Times;serif" w:hAnsi="Times New Roman;Times;serif"/>
          <w:b/>
          <w:sz w:val="17"/>
        </w:rPr>
        <w:t xml:space="preserve">(3) Conflicting Agreements. </w:t>
      </w:r>
      <w:r>
        <w:rPr>
          <w:rFonts w:ascii="Times New Roman;Times;serif" w:hAnsi="Times New Roman;Times;serif"/>
          <w:sz w:val="17"/>
        </w:rPr>
        <w:t xml:space="preserve">This Agreement and the Note (collectively, at any time, the Loan Documents), do not conflict with, or require the consent of any party to, any other agreement to which the Company is a party or by which it or its property may be bound or affected, and do not conflict with any provision of the Companys bylaws, articles of incorporation, or other organizational documents. </w:t>
      </w:r>
    </w:p>
    <w:p>
      <w:pPr>
        <w:pStyle w:val="TextBody"/>
        <w:spacing w:before="120" w:after="283"/>
        <w:jc w:val="left"/>
        <w:rPr/>
      </w:pPr>
      <w:r>
        <w:rPr/>
        <w:t>               </w:t>
      </w:r>
      <w:r>
        <w:rPr>
          <w:rFonts w:ascii="Times New Roman;Times;serif" w:hAnsi="Times New Roman;Times;serif"/>
          <w:b/>
          <w:sz w:val="17"/>
        </w:rPr>
        <w:t xml:space="preserve">(4) Compliance. </w:t>
      </w:r>
      <w:r>
        <w:rPr>
          <w:rFonts w:ascii="Times New Roman;Times;serif" w:hAnsi="Times New Roman;Times;serif"/>
          <w:sz w:val="17"/>
        </w:rPr>
        <w:t xml:space="preserve">The Company and, to the extent contemplated hereunder, each Subsidiary, if any, is in compliance with all of the terms of the Loan Documents. </w:t>
      </w:r>
    </w:p>
    <w:p>
      <w:pPr>
        <w:pStyle w:val="TextBody"/>
        <w:spacing w:before="120" w:after="283"/>
        <w:jc w:val="left"/>
        <w:rPr/>
      </w:pPr>
      <w:r>
        <w:rPr/>
        <w:t>               </w:t>
      </w:r>
      <w:r>
        <w:rPr>
          <w:rFonts w:ascii="Times New Roman;Times;serif" w:hAnsi="Times New Roman;Times;serif"/>
          <w:b/>
          <w:sz w:val="17"/>
        </w:rPr>
        <w:t xml:space="preserve">(5) Binding Agreement. </w:t>
      </w:r>
      <w:r>
        <w:rPr>
          <w:rFonts w:ascii="Times New Roman;Times;serif" w:hAnsi="Times New Roman;Times;serif"/>
          <w:sz w:val="17"/>
        </w:rPr>
        <w:t xml:space="preserve">The Loan Documents create legal, valid, and binding obligations of the Company which are enforceable in accordance with their terms, except to the extent that enforcement may be limited by applicable bankruptcy, insolvency, or similar laws affecting creditors rights generally. </w:t>
      </w:r>
    </w:p>
    <w:p>
      <w:pPr>
        <w:pStyle w:val="TextBody"/>
        <w:spacing w:before="120" w:after="283"/>
        <w:jc w:val="left"/>
        <w:rPr/>
      </w:pPr>
      <w:r>
        <w:rPr/>
        <w:t>     </w:t>
      </w:r>
      <w:r>
        <w:rPr>
          <w:rFonts w:ascii="Times New Roman;Times;serif" w:hAnsi="Times New Roman;Times;serif"/>
          <w:b/>
          <w:sz w:val="17"/>
        </w:rPr>
        <w:t xml:space="preserve">SECTION 15. Affirmative Covenants. </w:t>
      </w:r>
      <w:r>
        <w:rPr>
          <w:rFonts w:ascii="Times New Roman;Times;serif" w:hAnsi="Times New Roman;Times;serif"/>
          <w:sz w:val="17"/>
        </w:rPr>
        <w:t xml:space="preserve">Unless otherwise agreed to in writing by FCW, while this Agreement is in effect, the Company agrees to and with respect to Subsections 15(A) through 15(F) hereof, agrees to cause each Subsidiary, if any, to: </w:t>
      </w:r>
    </w:p>
    <w:p>
      <w:pPr>
        <w:pStyle w:val="TextBody"/>
        <w:spacing w:before="120" w:after="283"/>
        <w:jc w:val="left"/>
        <w:rPr/>
      </w:pPr>
      <w:r>
        <w:rPr/>
        <w:t>          </w:t>
      </w:r>
      <w:r>
        <w:rPr>
          <w:rFonts w:ascii="Times New Roman;Times;serif" w:hAnsi="Times New Roman;Times;serif"/>
          <w:b/>
          <w:sz w:val="17"/>
        </w:rPr>
        <w:t xml:space="preserve">(A) Corporate Existence, Licenses. </w:t>
      </w:r>
      <w:r>
        <w:rPr>
          <w:rFonts w:ascii="Times New Roman;Times;serif" w:hAnsi="Times New Roman;Times;serif"/>
          <w:sz w:val="17"/>
        </w:rPr>
        <w:t xml:space="preserve">(i) Preserve and keep in full force and effect its existence and good standing in the jurisdiction of its incorporation or formation; (ii) qualify and remain qualified to transact business in all jurisdictions where such qualification is required; and (iii) obtain and maintain all licenses, certificates, permits, authorizations, approvals, and the like which are material to the conduct of its business or required by law, rule, regulation, ordinance, code, order, and the like (collectively, Laws).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6</w:t>
            </w:r>
          </w:p>
        </w:tc>
      </w:tr>
    </w:tbl>
    <w:p>
      <w:pPr>
        <w:pStyle w:val="TextBody"/>
        <w:spacing w:before="120" w:after="283"/>
        <w:jc w:val="left"/>
        <w:rPr/>
      </w:pPr>
      <w:r>
        <w:rPr/>
        <w:t>          </w:t>
      </w:r>
      <w:r>
        <w:rPr>
          <w:rFonts w:ascii="Times New Roman;Times;serif" w:hAnsi="Times New Roman;Times;serif"/>
          <w:b/>
          <w:sz w:val="17"/>
        </w:rPr>
        <w:t xml:space="preserve">(B) Compliance with Laws. </w:t>
      </w:r>
      <w:r>
        <w:rPr>
          <w:rFonts w:ascii="Times New Roman;Times;serif" w:hAnsi="Times New Roman;Times;serif"/>
          <w:sz w:val="17"/>
        </w:rPr>
        <w:t xml:space="preserve">Comply in all material respects with all applicable Laws, including, without limitation, all Laws relating to environmental protection. In addition, the Company agrees to cause all persons occupying or present on any of its properties, and to cause each Subsidiary, if any, to cause all persons occupying or present on any of its properties, to comply in all material respects with all environmental protection Laws. </w:t>
      </w:r>
    </w:p>
    <w:p>
      <w:pPr>
        <w:pStyle w:val="TextBody"/>
        <w:spacing w:before="120" w:after="283"/>
        <w:jc w:val="left"/>
        <w:rPr/>
      </w:pPr>
      <w:r>
        <w:rPr/>
        <w:t>          </w:t>
      </w:r>
      <w:r>
        <w:rPr>
          <w:rFonts w:ascii="Times New Roman;Times;serif" w:hAnsi="Times New Roman;Times;serif"/>
          <w:b/>
          <w:sz w:val="17"/>
        </w:rPr>
        <w:t xml:space="preserve">(C) Insurance. </w:t>
      </w:r>
      <w:r>
        <w:rPr>
          <w:rFonts w:ascii="Times New Roman;Times;serif" w:hAnsi="Times New Roman;Times;serif"/>
          <w:sz w:val="17"/>
        </w:rPr>
        <w:t xml:space="preserve">Maintain insurance with insurance companies or associations acceptable to FCW in such amounts and covering such risks as are usually carried by companies engaged in the same or similar business and similarly situated, and make such increases in the type or amount of coverage as FCW may request. At FCWs request, all policies (or such other proof of compliance with this Subsection as may be satisfactory to FCW) shall be delivered to FCW. </w:t>
      </w:r>
    </w:p>
    <w:p>
      <w:pPr>
        <w:pStyle w:val="TextBody"/>
        <w:spacing w:before="120" w:after="283"/>
        <w:jc w:val="left"/>
        <w:rPr/>
      </w:pPr>
      <w:r>
        <w:rPr/>
        <w:t>          </w:t>
      </w:r>
      <w:r>
        <w:rPr>
          <w:rFonts w:ascii="Times New Roman;Times;serif" w:hAnsi="Times New Roman;Times;serif"/>
          <w:b/>
          <w:sz w:val="17"/>
        </w:rPr>
        <w:t xml:space="preserve">(D) Property Maintenance. </w:t>
      </w:r>
      <w:r>
        <w:rPr>
          <w:rFonts w:ascii="Times New Roman;Times;serif" w:hAnsi="Times New Roman;Times;serif"/>
          <w:sz w:val="17"/>
        </w:rPr>
        <w:t xml:space="preserve">Maintain all of its property that is necessary to or useful in the proper conduct of its business in good working condition, ordinary wear and tear excepted. </w:t>
      </w:r>
    </w:p>
    <w:p>
      <w:pPr>
        <w:pStyle w:val="TextBody"/>
        <w:spacing w:before="120" w:after="283"/>
        <w:jc w:val="left"/>
        <w:rPr/>
      </w:pPr>
      <w:r>
        <w:rPr/>
        <w:t>          </w:t>
      </w:r>
      <w:r>
        <w:rPr>
          <w:rFonts w:ascii="Times New Roman;Times;serif" w:hAnsi="Times New Roman;Times;serif"/>
          <w:b/>
          <w:sz w:val="17"/>
        </w:rPr>
        <w:t xml:space="preserve">(E) Books and Records. </w:t>
      </w:r>
      <w:r>
        <w:rPr>
          <w:rFonts w:ascii="Times New Roman;Times;serif" w:hAnsi="Times New Roman;Times;serif"/>
          <w:sz w:val="17"/>
        </w:rPr>
        <w:t xml:space="preserve">Keep adequate records and books of account in which complete entries will be made in accordance with generally accepted accounting principles (GAAP) consistently applied. </w:t>
      </w:r>
    </w:p>
    <w:p>
      <w:pPr>
        <w:pStyle w:val="TextBody"/>
        <w:spacing w:before="120" w:after="283"/>
        <w:jc w:val="left"/>
        <w:rPr/>
      </w:pPr>
      <w:r>
        <w:rPr/>
        <w:t>          </w:t>
      </w:r>
      <w:r>
        <w:rPr>
          <w:rFonts w:ascii="Times New Roman;Times;serif" w:hAnsi="Times New Roman;Times;serif"/>
          <w:b/>
          <w:sz w:val="17"/>
        </w:rPr>
        <w:t xml:space="preserve">(F) Inspection. </w:t>
      </w:r>
      <w:r>
        <w:rPr>
          <w:rFonts w:ascii="Times New Roman;Times;serif" w:hAnsi="Times New Roman;Times;serif"/>
          <w:sz w:val="17"/>
        </w:rPr>
        <w:t xml:space="preserve">Permit FCW or its agents, upon reasonable notice and during normal business hours or at such other times as the parties may agree, to examine its properties, books, and records, and to discuss its affairs, finances, and accounts, with its respective officers, directors, employees, and independent certified public accountants. </w:t>
      </w:r>
    </w:p>
    <w:p>
      <w:pPr>
        <w:pStyle w:val="TextBody"/>
        <w:spacing w:before="120" w:after="283"/>
        <w:jc w:val="left"/>
        <w:rPr/>
      </w:pPr>
      <w:r>
        <w:rPr/>
        <w:t>          </w:t>
      </w:r>
      <w:r>
        <w:rPr>
          <w:rFonts w:ascii="Times New Roman;Times;serif" w:hAnsi="Times New Roman;Times;serif"/>
          <w:b/>
          <w:sz w:val="17"/>
        </w:rPr>
        <w:t xml:space="preserve">(G) Reports and Notices. </w:t>
      </w:r>
      <w:r>
        <w:rPr>
          <w:rFonts w:ascii="Times New Roman;Times;serif" w:hAnsi="Times New Roman;Times;serif"/>
          <w:sz w:val="17"/>
        </w:rPr>
        <w:t xml:space="preserve">Furnish to FCW: </w:t>
      </w:r>
    </w:p>
    <w:p>
      <w:pPr>
        <w:pStyle w:val="TextBody"/>
        <w:spacing w:before="120" w:after="283"/>
        <w:jc w:val="left"/>
        <w:rPr/>
      </w:pPr>
      <w:r>
        <w:rPr/>
        <w:t>               </w:t>
      </w:r>
      <w:r>
        <w:rPr>
          <w:rFonts w:ascii="Times New Roman;Times;serif" w:hAnsi="Times New Roman;Times;serif"/>
          <w:b/>
          <w:sz w:val="17"/>
        </w:rPr>
        <w:t xml:space="preserve">(1) Annual Financial Statements. </w:t>
      </w:r>
      <w:r>
        <w:rPr>
          <w:rFonts w:ascii="Times New Roman;Times;serif" w:hAnsi="Times New Roman;Times;serif"/>
          <w:sz w:val="17"/>
        </w:rPr>
        <w:t xml:space="preserve">As soon as available, but in no event more than 90 days after the end of each fiscal year of the Company occurring during the term hereof, annual consolidated and consolidating financial statements of the Company and its consolidated Subsidiaries, if any, prepared in accordance with GAAP consistently applied. Such financial statements shall: (a) be audited by independent certified public accountants selected by the Company and acceptable to FCW; (b) be accompanied by a report of such accountants containing an opinion thereon acceptable to FCW; (c) be prepared in reasonable detail and in comparative form; and (d) include a balance sheet, a statement of income, a statement of retained earnings, a statement of cash flows, and all notes and schedules relating thereto. </w:t>
      </w:r>
    </w:p>
    <w:p>
      <w:pPr>
        <w:pStyle w:val="TextBody"/>
        <w:spacing w:before="120" w:after="283"/>
        <w:jc w:val="left"/>
        <w:rPr/>
      </w:pPr>
      <w:r>
        <w:rPr/>
        <w:t>               </w:t>
      </w:r>
      <w:r>
        <w:rPr>
          <w:rFonts w:ascii="Times New Roman;Times;serif" w:hAnsi="Times New Roman;Times;serif"/>
          <w:b/>
          <w:sz w:val="17"/>
        </w:rPr>
        <w:t xml:space="preserve">(2) Interim Financial Statements. </w:t>
      </w:r>
      <w:r>
        <w:rPr>
          <w:rFonts w:ascii="Times New Roman;Times;serif" w:hAnsi="Times New Roman;Times;serif"/>
          <w:sz w:val="17"/>
        </w:rPr>
        <w:t xml:space="preserve">As soon as available, but in no event more than 45 days after the end of each fiscal quarter, a consolidated balance sheet of the Company and its consolidated Subsidiaries, if any, as of the end of such quarter, a consolidated statement of income for the Company and its consolidated Subsidiaries, if any, for such period and for the period year to date, and such other interim statements as FCW may specifically request, all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7</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prepared in reasonable detail and in comparative form in accordance with GAAP consistently applied and certified by an authorized officer or employee of the Company acceptable to FCW. </w:t>
      </w:r>
    </w:p>
    <w:p>
      <w:pPr>
        <w:pStyle w:val="TextBody"/>
        <w:spacing w:before="120" w:after="283"/>
        <w:jc w:val="left"/>
        <w:rPr/>
      </w:pPr>
      <w:r>
        <w:rPr/>
        <w:t>               </w:t>
      </w:r>
      <w:r>
        <w:rPr>
          <w:rFonts w:ascii="Times New Roman;Times;serif" w:hAnsi="Times New Roman;Times;serif"/>
          <w:b/>
          <w:sz w:val="17"/>
        </w:rPr>
        <w:t xml:space="preserve">(3) Notice of Default. </w:t>
      </w:r>
      <w:r>
        <w:rPr>
          <w:rFonts w:ascii="Times New Roman;Times;serif" w:hAnsi="Times New Roman;Times;serif"/>
          <w:sz w:val="17"/>
        </w:rPr>
        <w:t xml:space="preserve">Promptly after becoming aware thereof, notice of the occurrence of an Event of Default or a Potential Default. </w:t>
      </w:r>
    </w:p>
    <w:p>
      <w:pPr>
        <w:pStyle w:val="TextBody"/>
        <w:spacing w:before="120" w:after="283"/>
        <w:jc w:val="left"/>
        <w:rPr/>
      </w:pPr>
      <w:r>
        <w:rPr/>
        <w:t>               </w:t>
      </w:r>
      <w:r>
        <w:rPr>
          <w:rFonts w:ascii="Times New Roman;Times;serif" w:hAnsi="Times New Roman;Times;serif"/>
          <w:b/>
          <w:sz w:val="17"/>
        </w:rPr>
        <w:t xml:space="preserve">(4) Notice of Non-Environmental Litigation. </w:t>
      </w:r>
      <w:r>
        <w:rPr>
          <w:rFonts w:ascii="Times New Roman;Times;serif" w:hAnsi="Times New Roman;Times;serif"/>
          <w:sz w:val="17"/>
        </w:rPr>
        <w:t xml:space="preserve">Promptly after the commencement thereof, notice of the commencement of all actions, suits, or proceedings before any court, arbitrator, or governmental department, commission, board, bureau, agency, or instrumentality affecting the Company or any Subsidiary which, if determined adversely to the Company or any such Subsidiary, could have a material adverse effect on the financial condition, properties, profits, or operations of the Company or any such Subsidiary. </w:t>
      </w:r>
    </w:p>
    <w:p>
      <w:pPr>
        <w:pStyle w:val="TextBody"/>
        <w:spacing w:before="120" w:after="283"/>
        <w:jc w:val="left"/>
        <w:rPr/>
      </w:pPr>
      <w:r>
        <w:rPr/>
        <w:t>               </w:t>
      </w:r>
      <w:r>
        <w:rPr>
          <w:rFonts w:ascii="Times New Roman;Times;serif" w:hAnsi="Times New Roman;Times;serif"/>
          <w:b/>
          <w:sz w:val="17"/>
        </w:rPr>
        <w:t xml:space="preserve">(5) Notice of Environmental Litigation. </w:t>
      </w:r>
      <w:r>
        <w:rPr>
          <w:rFonts w:ascii="Times New Roman;Times;serif" w:hAnsi="Times New Roman;Times;serif"/>
          <w:sz w:val="17"/>
        </w:rPr>
        <w:t xml:space="preserve">Promptly after receipt thereof, notice of the receipt of all pleadings, orders, complaints, indictments, or any other communication alleging a condition that may require the Company or any Subsidiary to undertake or to contribute to a cleanup or other response under environmental Laws, or which seek penalties, damages, injunctive relief, or criminal sanctions related to alleged violations of such Laws, or which claim personal injury or property damage to any person as a result of environmental factors or conditions. </w:t>
      </w:r>
    </w:p>
    <w:p>
      <w:pPr>
        <w:pStyle w:val="TextBody"/>
        <w:spacing w:before="120" w:after="283"/>
        <w:jc w:val="left"/>
        <w:rPr/>
      </w:pPr>
      <w:r>
        <w:rPr/>
        <w:t>               </w:t>
      </w:r>
      <w:r>
        <w:rPr>
          <w:rFonts w:ascii="Times New Roman;Times;serif" w:hAnsi="Times New Roman;Times;serif"/>
          <w:b/>
          <w:sz w:val="17"/>
        </w:rPr>
        <w:t xml:space="preserve">(6) Bylaws and Articles. </w:t>
      </w:r>
      <w:r>
        <w:rPr>
          <w:rFonts w:ascii="Times New Roman;Times;serif" w:hAnsi="Times New Roman;Times;serif"/>
          <w:sz w:val="17"/>
        </w:rPr>
        <w:t xml:space="preserve">Promptly after any change in the Companys bylaws or articles of incorporation (or like documents), copies of all such changes, certified by the Companys Secretary. </w:t>
      </w:r>
    </w:p>
    <w:p>
      <w:pPr>
        <w:pStyle w:val="TextBody"/>
        <w:spacing w:before="120" w:after="283"/>
        <w:jc w:val="left"/>
        <w:rPr/>
      </w:pPr>
      <w:r>
        <w:rPr/>
        <w:t>               </w:t>
      </w:r>
      <w:r>
        <w:rPr>
          <w:rFonts w:ascii="Times New Roman;Times;serif" w:hAnsi="Times New Roman;Times;serif"/>
          <w:b/>
          <w:sz w:val="17"/>
        </w:rPr>
        <w:t xml:space="preserve">(7) Other Information. </w:t>
      </w:r>
      <w:r>
        <w:rPr>
          <w:rFonts w:ascii="Times New Roman;Times;serif" w:hAnsi="Times New Roman;Times;serif"/>
          <w:sz w:val="17"/>
        </w:rPr>
        <w:t xml:space="preserve">Such other information regarding the condition or operations, financial or otherwise, of the Company or any Subsidiary as FCW may from time to time reasonably request, including but not limited to copies of all pleadings, notices, and communications referred to in Subsections 15(G)(4) and (5) above. </w:t>
      </w:r>
    </w:p>
    <w:p>
      <w:pPr>
        <w:pStyle w:val="TextBody"/>
        <w:spacing w:before="120" w:after="283"/>
        <w:jc w:val="left"/>
        <w:rPr/>
      </w:pPr>
      <w:r>
        <w:rPr/>
        <w:t>               </w:t>
      </w:r>
      <w:r>
        <w:rPr>
          <w:rFonts w:ascii="Times New Roman;Times;serif" w:hAnsi="Times New Roman;Times;serif"/>
          <w:b/>
          <w:sz w:val="17"/>
        </w:rPr>
        <w:t xml:space="preserve">(8) Financial Certificate. </w:t>
      </w:r>
      <w:r>
        <w:rPr>
          <w:rFonts w:ascii="Times New Roman;Times;serif" w:hAnsi="Times New Roman;Times;serif"/>
          <w:sz w:val="17"/>
        </w:rPr>
        <w:t xml:space="preserve">Together with each set of financial statements furnished to FCW pursuant to Section 15(G)(1), and each quarterly statement submitted pursuant to Section 15(G)(2) for a period corresponding to a period for which one or more of the financial covenants set forth in Section 17 hereof are required to be tested, a certificate of an officer or employee of the Company acceptable to FCW setting forth calculations showing compliance with each of the financial covenants that require compliance at the end of the period for which the statements are being furnished. </w:t>
      </w:r>
    </w:p>
    <w:p>
      <w:pPr>
        <w:pStyle w:val="TextBody"/>
        <w:spacing w:before="120" w:after="283"/>
        <w:jc w:val="left"/>
        <w:rPr/>
      </w:pPr>
      <w:r>
        <w:rPr/>
        <w:t>          </w:t>
      </w:r>
      <w:r>
        <w:rPr>
          <w:rFonts w:ascii="Times New Roman;Times;serif" w:hAnsi="Times New Roman;Times;serif"/>
          <w:b/>
          <w:sz w:val="17"/>
        </w:rPr>
        <w:t xml:space="preserve">(H) Certain Organizational Changes. </w:t>
      </w:r>
      <w:r>
        <w:rPr>
          <w:rFonts w:ascii="Times New Roman;Times;serif" w:hAnsi="Times New Roman;Times;serif"/>
          <w:sz w:val="17"/>
        </w:rPr>
        <w:t xml:space="preserve">Provide FCW with prior notice (and as early as practicable) of any merger, consolidation reorganization under a different provision of law, acquisition of all or a material part of the assets of another organization, change of name, adoption of any trade name, or creation of any Subsidiary, affiliate or material joint venture(s).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8</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purposes of this covenant, joint venture transaction(s), which alone or in the aggregate exceed $1,000,000, are considered material. </w:t>
      </w:r>
    </w:p>
    <w:p>
      <w:pPr>
        <w:pStyle w:val="TextBody"/>
        <w:spacing w:before="120" w:after="283"/>
        <w:jc w:val="left"/>
        <w:rPr/>
      </w:pPr>
      <w:r>
        <w:rPr/>
        <w:t>     </w:t>
      </w:r>
      <w:r>
        <w:rPr>
          <w:rFonts w:ascii="Times New Roman;Times;serif" w:hAnsi="Times New Roman;Times;serif"/>
          <w:b/>
          <w:sz w:val="17"/>
        </w:rPr>
        <w:t xml:space="preserve">SECTION 16. Negative Covenants. </w:t>
      </w:r>
      <w:r>
        <w:rPr>
          <w:rFonts w:ascii="Times New Roman;Times;serif" w:hAnsi="Times New Roman;Times;serif"/>
          <w:sz w:val="17"/>
        </w:rPr>
        <w:t xml:space="preserve">Unless otherwise agreed to in writing by FCW, which agreement will not be unreasonably withheld, while this Agreement is in effect, the Company will not: </w:t>
      </w:r>
    </w:p>
    <w:p>
      <w:pPr>
        <w:pStyle w:val="TextBody"/>
        <w:spacing w:before="120" w:after="283"/>
        <w:jc w:val="left"/>
        <w:rPr/>
      </w:pPr>
      <w:r>
        <w:rPr/>
        <w:t>          </w:t>
      </w:r>
      <w:r>
        <w:rPr>
          <w:rFonts w:ascii="Times New Roman;Times;serif" w:hAnsi="Times New Roman;Times;serif"/>
          <w:b/>
          <w:sz w:val="17"/>
        </w:rPr>
        <w:t xml:space="preserve">(A) Borrowings. </w:t>
      </w:r>
      <w:r>
        <w:rPr>
          <w:rFonts w:ascii="Times New Roman;Times;serif" w:hAnsi="Times New Roman;Times;serif"/>
          <w:sz w:val="17"/>
        </w:rPr>
        <w:t xml:space="preserve">Create, incur, assume, or allow to exist, directly or indirectly, any indebtedness or liability for borrowed money (including trade or bankers acceptances), letters of credit, or the deferred purchase price of property or services (including capitalized leases), except for: (i) debt to FCW; (ii) accounts payable to trade creditors incurred in the ordinary course of business; and (iii) current operating liabilities (other than for borrowed money) incurred in the ordinary course of business; (iv) debt of the Company to Bank of America in an amount not to exceed $10,000,000.00 and all extensions, renewals, and refinancings thereof; (v) (vi) letters of credit issued by any bank for the account of the Company in an aggregate face amount not to exceed $5,000,000.00 at any one time outstanding; and (vii) capitalized leases existing on the date hereof existing from time to time. </w:t>
      </w:r>
    </w:p>
    <w:p>
      <w:pPr>
        <w:pStyle w:val="TextBody"/>
        <w:spacing w:before="120" w:after="283"/>
        <w:jc w:val="left"/>
        <w:rPr/>
      </w:pPr>
      <w:r>
        <w:rPr/>
        <w:t>          </w:t>
      </w:r>
      <w:r>
        <w:rPr>
          <w:rFonts w:ascii="Times New Roman;Times;serif" w:hAnsi="Times New Roman;Times;serif"/>
          <w:b/>
          <w:sz w:val="17"/>
        </w:rPr>
        <w:t xml:space="preserve">(B) Liens. </w:t>
      </w:r>
      <w:r>
        <w:rPr>
          <w:rFonts w:ascii="Times New Roman;Times;serif" w:hAnsi="Times New Roman;Times;serif"/>
          <w:sz w:val="17"/>
        </w:rPr>
        <w:t xml:space="preserve">Create, incur, assume, or allow to exist any mortgage, deed of trust, pledge, lien (including the lien of an attachment, judgment, or execution), security interest, or other encumbrance of any kind upon any of its property, real or personal (collectively, Liens). The foregoing restrictions shall not apply to: (i) Liens in favor of FCW or CoBank; (ii) Liens for taxes, assessments, or governmental charges that are not past due; (iii) Liens and deposits under workers compensation, unemployment insurance, and social security Laws; (iv) Liens and deposits to secure the performance of bids, tenders, contracts (other than contracts for the payment of money), and like obligations arising in the ordinary course of business as conducted on the date hereof; (v) Liens imposed by Law in favor of mechanics, materialmen, warehousemen, and like persons that secure obligations that are not past due; and (vi) easements, rights-of-way, restrictions, and other similar encumbrances which, in the aggregate, do not materially interfere with the occupation, use, and enjoyment of the property or assets encumbered thereby in the normal course of its business or materially impair the value of the property subject thereto. </w:t>
      </w:r>
    </w:p>
    <w:p>
      <w:pPr>
        <w:pStyle w:val="TextBody"/>
        <w:spacing w:before="120" w:after="283"/>
        <w:jc w:val="left"/>
        <w:rPr/>
      </w:pPr>
      <w:r>
        <w:rPr/>
        <w:t>          </w:t>
      </w:r>
      <w:r>
        <w:rPr>
          <w:rFonts w:ascii="Times New Roman;Times;serif" w:hAnsi="Times New Roman;Times;serif"/>
          <w:b/>
          <w:sz w:val="17"/>
        </w:rPr>
        <w:t xml:space="preserve">(C) Transfer of Assets. </w:t>
      </w:r>
      <w:r>
        <w:rPr>
          <w:rFonts w:ascii="Times New Roman;Times;serif" w:hAnsi="Times New Roman;Times;serif"/>
          <w:sz w:val="17"/>
        </w:rPr>
        <w:t xml:space="preserve">Sell, transfer, lease, or otherwise dispose of any of its assets, except in the ordinary course of business. </w:t>
      </w:r>
    </w:p>
    <w:p>
      <w:pPr>
        <w:pStyle w:val="TextBody"/>
        <w:spacing w:before="120" w:after="283"/>
        <w:jc w:val="left"/>
        <w:rPr/>
      </w:pPr>
      <w:r>
        <w:rPr/>
        <w:t>          </w:t>
      </w:r>
      <w:r>
        <w:rPr>
          <w:rFonts w:ascii="Times New Roman;Times;serif" w:hAnsi="Times New Roman;Times;serif"/>
          <w:b/>
          <w:sz w:val="17"/>
        </w:rPr>
        <w:t xml:space="preserve">(D) Contingent Liabilities. </w:t>
      </w:r>
      <w:r>
        <w:rPr>
          <w:rFonts w:ascii="Times New Roman;Times;serif" w:hAnsi="Times New Roman;Times;serif"/>
          <w:sz w:val="17"/>
        </w:rPr>
        <w:t xml:space="preserve">Assume, guarantee, become liable as a surety, endorse, contingently agree to purchase, or otherwise be or become liable, directly or indirectly (including, but not limited to, by means of a maintenance agreement, an asset or stock purchase agreement, or any other agreement designed to ensure any creditor against loss), for or on account of the obligation of any person or entity, except by the endorsement of negotiable instruments for deposit or collection or similar transactions in the ordinary course of the Companys business.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9</w:t>
            </w:r>
          </w:p>
        </w:tc>
      </w:tr>
    </w:tbl>
    <w:p>
      <w:pPr>
        <w:pStyle w:val="TextBody"/>
        <w:spacing w:before="120" w:after="283"/>
        <w:jc w:val="left"/>
        <w:rPr/>
      </w:pPr>
      <w:r>
        <w:rPr/>
        <w:t>          </w:t>
      </w:r>
      <w:r>
        <w:rPr>
          <w:rFonts w:ascii="Times New Roman;Times;serif" w:hAnsi="Times New Roman;Times;serif"/>
          <w:b/>
          <w:sz w:val="17"/>
        </w:rPr>
        <w:t xml:space="preserve">(E) Change in Business. </w:t>
      </w:r>
      <w:r>
        <w:rPr>
          <w:rFonts w:ascii="Times New Roman;Times;serif" w:hAnsi="Times New Roman;Times;serif"/>
          <w:sz w:val="17"/>
        </w:rPr>
        <w:t xml:space="preserve">Engage in any business activities or operations substantially different from or unrelated to the Companys present business activities or operations. </w:t>
      </w:r>
    </w:p>
    <w:p>
      <w:pPr>
        <w:pStyle w:val="TextBody"/>
        <w:spacing w:before="120" w:after="283"/>
        <w:jc w:val="left"/>
        <w:rPr/>
      </w:pPr>
      <w:r>
        <w:rPr/>
        <w:t>     </w:t>
      </w:r>
      <w:r>
        <w:rPr>
          <w:rFonts w:ascii="Times New Roman;Times;serif" w:hAnsi="Times New Roman;Times;serif"/>
          <w:b/>
          <w:sz w:val="17"/>
        </w:rPr>
        <w:t xml:space="preserve">SECTION 17. Financial Covenants. </w:t>
      </w:r>
      <w:r>
        <w:rPr>
          <w:rFonts w:ascii="Times New Roman;Times;serif" w:hAnsi="Times New Roman;Times;serif"/>
          <w:sz w:val="17"/>
        </w:rPr>
        <w:t xml:space="preserve">Unless otherwise agreed to in writing, while this Agreement is in effect: </w:t>
      </w:r>
    </w:p>
    <w:p>
      <w:pPr>
        <w:pStyle w:val="TextBody"/>
        <w:spacing w:before="120" w:after="283"/>
        <w:jc w:val="left"/>
        <w:rPr/>
      </w:pPr>
      <w:r>
        <w:rPr/>
        <w:t>          </w:t>
      </w:r>
      <w:r>
        <w:rPr>
          <w:rFonts w:ascii="Times New Roman;Times;serif" w:hAnsi="Times New Roman;Times;serif"/>
          <w:b/>
          <w:sz w:val="17"/>
        </w:rPr>
        <w:t xml:space="preserve">(A) Working Capital. </w:t>
      </w:r>
      <w:r>
        <w:rPr>
          <w:rFonts w:ascii="Times New Roman;Times;serif" w:hAnsi="Times New Roman;Times;serif"/>
          <w:sz w:val="17"/>
        </w:rPr>
        <w:t xml:space="preserve">The Company will maintain, on a consolidated basis, current assets in excess of current liabilities of at least Fifteen Million Dollars ($15,000,000), measured on a quarterly basis beginning January 31, 2008 </w:t>
      </w:r>
    </w:p>
    <w:p>
      <w:pPr>
        <w:pStyle w:val="TextBody"/>
        <w:spacing w:before="120" w:after="283"/>
        <w:jc w:val="left"/>
        <w:rPr/>
      </w:pPr>
      <w:r>
        <w:rPr/>
        <w:t>          </w:t>
      </w:r>
      <w:r>
        <w:rPr>
          <w:rFonts w:ascii="Times New Roman;Times;serif" w:hAnsi="Times New Roman;Times;serif"/>
          <w:b/>
          <w:sz w:val="17"/>
        </w:rPr>
        <w:t xml:space="preserve">(B) Tangible Net Worth. </w:t>
      </w:r>
      <w:r>
        <w:rPr>
          <w:rFonts w:ascii="Times New Roman;Times;serif" w:hAnsi="Times New Roman;Times;serif"/>
          <w:sz w:val="17"/>
        </w:rPr>
        <w:t xml:space="preserve">The Company will maintain, on a consolidated basis, a Tangible Net Worth equal to at least Thirty-Two Million Five Hundred Thousand Dollars ($32,500,000.00), measured on a quarterly basis. Tangible Net Worth means the value of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w:t>
      </w:r>
      <w:r>
        <w:rPr>
          <w:rFonts w:ascii="Times New Roman;Times;serif" w:hAnsi="Times New Roman;Times;serif"/>
          <w:sz w:val="17"/>
          <w:u w:val="single"/>
        </w:rPr>
        <w:t>less</w:t>
      </w:r>
      <w:r>
        <w:rPr>
          <w:rFonts w:ascii="Times New Roman;Times;serif" w:hAnsi="Times New Roman;Times;serif"/>
          <w:sz w:val="17"/>
        </w:rPr>
        <w:t xml:space="preserve"> total liabilities, including but not limited to accrued and deferred income taxes, but excluding the non-current portion of Subordinated Liabilities. Subordinated Liabilities means liabilities subordinated to the Borrowers obligations to FCW in a manner acceptable to FCW in its sole discretion. </w:t>
      </w:r>
    </w:p>
    <w:p>
      <w:pPr>
        <w:pStyle w:val="TextBody"/>
        <w:spacing w:before="120" w:after="283"/>
        <w:jc w:val="left"/>
        <w:rPr/>
      </w:pPr>
      <w:r>
        <w:rPr/>
        <w:t>          </w:t>
      </w:r>
      <w:r>
        <w:rPr>
          <w:rFonts w:ascii="Times New Roman;Times;serif" w:hAnsi="Times New Roman;Times;serif"/>
          <w:b/>
          <w:sz w:val="17"/>
        </w:rPr>
        <w:t xml:space="preserve">(C) EBITDA. </w:t>
      </w:r>
      <w:r>
        <w:rPr>
          <w:rFonts w:ascii="Times New Roman;Times;serif" w:hAnsi="Times New Roman;Times;serif"/>
          <w:sz w:val="17"/>
        </w:rPr>
        <w:t xml:space="preserve">The Company will maintain an EBITDA of at least Seven Million Five Hundred Thousand Dollars ($7,500,000.00). EBITDA means net income, less income or plus loss from discontinued operations and extraordinary items, </w:t>
      </w:r>
      <w:r>
        <w:rPr>
          <w:rFonts w:ascii="Times New Roman;Times;serif" w:hAnsi="Times New Roman;Times;serif"/>
          <w:sz w:val="17"/>
          <w:u w:val="single"/>
        </w:rPr>
        <w:t>plus</w:t>
      </w:r>
      <w:r>
        <w:rPr>
          <w:rFonts w:ascii="Times New Roman;Times;serif" w:hAnsi="Times New Roman;Times;serif"/>
          <w:sz w:val="17"/>
        </w:rPr>
        <w:t xml:space="preserve"> income taxes, plus interest expense, plus depreciation, depletion, and amortization. This covenant will be calculated at the end of each reporting period for which FCW requires financial statements, using the results of the twelve-month period ending with that reporting period. </w:t>
      </w:r>
    </w:p>
    <w:p>
      <w:pPr>
        <w:pStyle w:val="TextBody"/>
        <w:spacing w:before="120" w:after="283"/>
        <w:jc w:val="left"/>
        <w:rPr/>
      </w:pPr>
      <w:r>
        <w:rPr/>
        <w:t>     </w:t>
      </w:r>
      <w:r>
        <w:rPr>
          <w:rFonts w:ascii="Times New Roman;Times;serif" w:hAnsi="Times New Roman;Times;serif"/>
          <w:b/>
          <w:sz w:val="17"/>
        </w:rPr>
        <w:t xml:space="preserve">SECTION 18. Events of Default. </w:t>
      </w:r>
      <w:r>
        <w:rPr>
          <w:rFonts w:ascii="Times New Roman;Times;serif" w:hAnsi="Times New Roman;Times;serif"/>
          <w:sz w:val="17"/>
        </w:rPr>
        <w:t xml:space="preserve">Each of the following shall constitute an Event of Default under this Agreement: </w:t>
      </w:r>
    </w:p>
    <w:p>
      <w:pPr>
        <w:pStyle w:val="TextBody"/>
        <w:spacing w:before="120" w:after="283"/>
        <w:jc w:val="left"/>
        <w:rPr/>
      </w:pPr>
      <w:r>
        <w:rPr/>
        <w:t>          </w:t>
      </w:r>
      <w:r>
        <w:rPr>
          <w:rFonts w:ascii="Times New Roman;Times;serif" w:hAnsi="Times New Roman;Times;serif"/>
          <w:b/>
          <w:sz w:val="17"/>
        </w:rPr>
        <w:t xml:space="preserve">(A) Payment Default. </w:t>
      </w:r>
      <w:r>
        <w:rPr>
          <w:rFonts w:ascii="Times New Roman;Times;serif" w:hAnsi="Times New Roman;Times;serif"/>
          <w:sz w:val="17"/>
        </w:rPr>
        <w:t xml:space="preserve">The Company should fail to make any payment when due. </w:t>
      </w:r>
    </w:p>
    <w:p>
      <w:pPr>
        <w:pStyle w:val="TextBody"/>
        <w:spacing w:before="120" w:after="283"/>
        <w:jc w:val="left"/>
        <w:rPr/>
      </w:pPr>
      <w:r>
        <w:rPr/>
        <w:t>          </w:t>
      </w:r>
      <w:r>
        <w:rPr>
          <w:rFonts w:ascii="Times New Roman;Times;serif" w:hAnsi="Times New Roman;Times;serif"/>
          <w:b/>
          <w:sz w:val="17"/>
        </w:rPr>
        <w:t xml:space="preserve">(B) Representations and Warranties. </w:t>
      </w:r>
      <w:r>
        <w:rPr>
          <w:rFonts w:ascii="Times New Roman;Times;serif" w:hAnsi="Times New Roman;Times;serif"/>
          <w:sz w:val="17"/>
        </w:rPr>
        <w:t xml:space="preserve">Any representation or warranty made or deemed made by the Company herein or in the Note, application, agreement, certificate, or other document related to or furnished in connection with this Agreement or the Note, shall prove to have been false or misleading in any material respect on or as of the date made or deemed made. </w:t>
      </w:r>
    </w:p>
    <w:p>
      <w:pPr>
        <w:pStyle w:val="TextBody"/>
        <w:spacing w:before="120" w:after="283"/>
        <w:jc w:val="left"/>
        <w:rPr/>
      </w:pPr>
      <w:r>
        <w:rPr/>
        <w:t>          </w:t>
      </w:r>
      <w:r>
        <w:rPr>
          <w:rFonts w:ascii="Times New Roman;Times;serif" w:hAnsi="Times New Roman;Times;serif"/>
          <w:b/>
          <w:sz w:val="17"/>
        </w:rPr>
        <w:t xml:space="preserve">(C) Certain Affirmative Covenants. </w:t>
      </w:r>
      <w:r>
        <w:rPr>
          <w:rFonts w:ascii="Times New Roman;Times;serif" w:hAnsi="Times New Roman;Times;serif"/>
          <w:sz w:val="17"/>
        </w:rPr>
        <w:t xml:space="preserve">The Company or, to the extent required hereunder, any Subsidiary should fail to perform or comply with Sections 15(A) through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10</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15(G)(2), and 15(G)(6) and such failure continues for 15 days after written notice thereof shall have been delivered by FCW to the Company. </w:t>
      </w:r>
    </w:p>
    <w:p>
      <w:pPr>
        <w:pStyle w:val="TextBody"/>
        <w:spacing w:before="120" w:after="283"/>
        <w:jc w:val="left"/>
        <w:rPr/>
      </w:pPr>
      <w:r>
        <w:rPr/>
        <w:t>          </w:t>
      </w:r>
      <w:r>
        <w:rPr>
          <w:rFonts w:ascii="Times New Roman;Times;serif" w:hAnsi="Times New Roman;Times;serif"/>
          <w:b/>
          <w:sz w:val="17"/>
        </w:rPr>
        <w:t xml:space="preserve">(D) Other Covenants and Agreements. </w:t>
      </w:r>
      <w:r>
        <w:rPr>
          <w:rFonts w:ascii="Times New Roman;Times;serif" w:hAnsi="Times New Roman;Times;serif"/>
          <w:sz w:val="17"/>
        </w:rPr>
        <w:t xml:space="preserve">The Company or, to the extent required hereunder, any Subsidiary should fail to perform or comply with any other covenant or agreement contained herein or in any other Loan Document or shall use the proceeds of any loan for an unauthorized purpose. </w:t>
      </w:r>
    </w:p>
    <w:p>
      <w:pPr>
        <w:pStyle w:val="TextBody"/>
        <w:spacing w:before="120" w:after="283"/>
        <w:jc w:val="left"/>
        <w:rPr/>
      </w:pPr>
      <w:r>
        <w:rPr/>
        <w:t>          </w:t>
      </w:r>
      <w:r>
        <w:rPr>
          <w:rFonts w:ascii="Times New Roman;Times;serif" w:hAnsi="Times New Roman;Times;serif"/>
          <w:b/>
          <w:sz w:val="17"/>
        </w:rPr>
        <w:t xml:space="preserve">(E) Cross-Default. </w:t>
      </w:r>
      <w:r>
        <w:rPr>
          <w:rFonts w:ascii="Times New Roman;Times;serif" w:hAnsi="Times New Roman;Times;serif"/>
          <w:sz w:val="17"/>
        </w:rPr>
        <w:t xml:space="preserve">The Company should, after any applicable grace period, breach or be in default under the terms of any other agreement between the Company and FCW. </w:t>
      </w:r>
    </w:p>
    <w:p>
      <w:pPr>
        <w:pStyle w:val="TextBody"/>
        <w:spacing w:before="120" w:after="283"/>
        <w:jc w:val="left"/>
        <w:rPr/>
      </w:pPr>
      <w:r>
        <w:rPr/>
        <w:t>          </w:t>
      </w:r>
      <w:r>
        <w:rPr>
          <w:rFonts w:ascii="Times New Roman;Times;serif" w:hAnsi="Times New Roman;Times;serif"/>
          <w:b/>
          <w:sz w:val="17"/>
        </w:rPr>
        <w:t xml:space="preserve">(F) Other Indebtedness. </w:t>
      </w:r>
      <w:r>
        <w:rPr>
          <w:rFonts w:ascii="Times New Roman;Times;serif" w:hAnsi="Times New Roman;Times;serif"/>
          <w:sz w:val="17"/>
        </w:rPr>
        <w:t xml:space="preserve">The Company or any Subsidiary should fail to pay when due any indebtedness to any other person or entity for borrowed money or any long-term obligation for the deferred purchase price of property (including any capitalized lease), or any other event occurs which, under any agreement or instrument relating to such indebtedness or obligation, has the effect of accelerating or permitting the acceleration of such indebtedness or obligation, whether or not such indebtedness or obligation is actually accelerated or the right to accelerate is conditioned on the giving of notice, the passage of time, or otherwise. </w:t>
      </w:r>
    </w:p>
    <w:p>
      <w:pPr>
        <w:pStyle w:val="TextBody"/>
        <w:spacing w:before="120" w:after="283"/>
        <w:jc w:val="left"/>
        <w:rPr/>
      </w:pPr>
      <w:r>
        <w:rPr/>
        <w:t>          </w:t>
      </w:r>
      <w:r>
        <w:rPr>
          <w:rFonts w:ascii="Times New Roman;Times;serif" w:hAnsi="Times New Roman;Times;serif"/>
          <w:b/>
          <w:sz w:val="17"/>
        </w:rPr>
        <w:t xml:space="preserve">(G) Judgments. </w:t>
      </w:r>
      <w:r>
        <w:rPr>
          <w:rFonts w:ascii="Times New Roman;Times;serif" w:hAnsi="Times New Roman;Times;serif"/>
          <w:sz w:val="17"/>
        </w:rPr>
        <w:t xml:space="preserve">A judgment, decree, or order for the payment of money shall be rendered against the Company or any Subsidiary and either: (i) enforcement proceedings shall have been commenced; (ii) a Lien prohibited under Section 10(B) hereof shall have been obtained; or (iii) such judgment, decree, or order shall continue unsatisfied and in effect for a period of 20 consecutive days without being vacated, discharged, satisfied, or stayed pending appeal. </w:t>
      </w:r>
    </w:p>
    <w:p>
      <w:pPr>
        <w:pStyle w:val="TextBody"/>
        <w:spacing w:before="120" w:after="283"/>
        <w:jc w:val="left"/>
        <w:rPr/>
      </w:pPr>
      <w:r>
        <w:rPr/>
        <w:t>          </w:t>
      </w:r>
      <w:r>
        <w:rPr>
          <w:rFonts w:ascii="Times New Roman;Times;serif" w:hAnsi="Times New Roman;Times;serif"/>
          <w:b/>
          <w:sz w:val="17"/>
        </w:rPr>
        <w:t xml:space="preserve">(H) Insolvency. </w:t>
      </w:r>
      <w:r>
        <w:rPr>
          <w:rFonts w:ascii="Times New Roman;Times;serif" w:hAnsi="Times New Roman;Times;serif"/>
          <w:sz w:val="17"/>
        </w:rPr>
        <w:t xml:space="preserve">The Company or any Subsidiary shall: (i) become insolvent or shall generally not, or shall be unable to, or shall admit in writing its inability to, pay its debts as they come due; or (ii) suspend its business operations or a material part thereof or make an assignment for the benefit of creditors; or (iii) apply for, consent to, or acquiesce in the appointment of a trustee, receiver, or other custodian for it or any of its property or, in the absence of such application, consent, or acquiescence, a trustee, receiver, or other custodian is so appointed; or (iv) commence or have commenced against it any proceeding under any bankruptcy, reorganization, arrangement, readjustment of debt, dissolution, or liquidation Law of any jurisdiction. </w:t>
      </w:r>
    </w:p>
    <w:p>
      <w:pPr>
        <w:pStyle w:val="TextBody"/>
        <w:spacing w:before="120" w:after="283"/>
        <w:jc w:val="left"/>
        <w:rPr/>
      </w:pPr>
      <w:r>
        <w:rPr/>
        <w:t>          </w:t>
      </w:r>
      <w:r>
        <w:rPr>
          <w:rFonts w:ascii="Times New Roman;Times;serif" w:hAnsi="Times New Roman;Times;serif"/>
          <w:b/>
          <w:sz w:val="17"/>
        </w:rPr>
        <w:t xml:space="preserve">(I) Material Adverse Change. </w:t>
      </w:r>
      <w:r>
        <w:rPr>
          <w:rFonts w:ascii="Times New Roman;Times;serif" w:hAnsi="Times New Roman;Times;serif"/>
          <w:sz w:val="17"/>
        </w:rPr>
        <w:t xml:space="preserve">Any material adverse change occurs, as reasonably determined by FCW, in the Companys financial condition, results of operation, or ability to perform its obligations hereunder or under any instrument or document contemplated hereby. Material Adverse Change means any event, occurrence or circumstance that has a material negative effect on (i) the business, operations, property, financial condition or prospects of the Company, or (ii) the validity or enforcement of any of the Loan Documents or the rights or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11</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remedies of the Lenders hereunder, or (iii) the ability of the Company to perform its obligations under any of the Loan Documents. </w:t>
      </w:r>
    </w:p>
    <w:p>
      <w:pPr>
        <w:pStyle w:val="TextBody"/>
        <w:spacing w:before="120" w:after="283"/>
        <w:jc w:val="left"/>
        <w:rPr/>
      </w:pPr>
      <w:r>
        <w:rPr/>
        <w:t>     </w:t>
      </w:r>
      <w:r>
        <w:rPr>
          <w:rFonts w:ascii="Times New Roman;Times;serif" w:hAnsi="Times New Roman;Times;serif"/>
          <w:b/>
          <w:sz w:val="17"/>
        </w:rPr>
        <w:t xml:space="preserve">SECTION 19. Remedies. </w:t>
      </w:r>
      <w:r>
        <w:rPr>
          <w:rFonts w:ascii="Times New Roman;Times;serif" w:hAnsi="Times New Roman;Times;serif"/>
          <w:sz w:val="17"/>
        </w:rPr>
        <w:t xml:space="preserve">Upon the occurrence and during the continuance of an Event of Default or any Potential Default, FCW shall have no obligation to continue to extend credit to the Company and may discontinue doing so at any time without prior notice. For all purposes hereof, the term Potential Default means the occurrence of any event which, with the passage of time or the giving of notice or both would become an Event of Default. In addition, upon the occurrence and during the continuance of any Event of Default, FCW may, upon notice to the Company, terminate any commitment and declare the entire unpaid principal balance of the loans, all accrued interest thereon, and all other amounts payable under this Agreement, all Supplements, and the other Loan Documents to be immediately due and payable. Upon such a declaration, the unpaid principal balance of the loans and all such other amounts shall become immediately due and payable, without protest, presentment, demand, or further notice of any kind, all of which are hereby expressly waived by the Company. In addition, upon such an acceleration: </w:t>
      </w:r>
    </w:p>
    <w:p>
      <w:pPr>
        <w:pStyle w:val="TextBody"/>
        <w:spacing w:before="120" w:after="283"/>
        <w:jc w:val="left"/>
        <w:rPr/>
      </w:pPr>
      <w:r>
        <w:rPr/>
        <w:t>          </w:t>
      </w:r>
      <w:r>
        <w:rPr>
          <w:rFonts w:ascii="Times New Roman;Times;serif" w:hAnsi="Times New Roman;Times;serif"/>
          <w:b/>
          <w:sz w:val="17"/>
        </w:rPr>
        <w:t xml:space="preserve">(A) Enforcement. </w:t>
      </w:r>
      <w:r>
        <w:rPr>
          <w:rFonts w:ascii="Times New Roman;Times;serif" w:hAnsi="Times New Roman;Times;serif"/>
          <w:sz w:val="17"/>
        </w:rPr>
        <w:t xml:space="preserve">FCW may proceed to protect, exercise, and enforce such rights and remedies as may be provided by this Agreement, any other Loan Document or under Law. Each and every one of such rights and remedies shall be cumulative and may be exercised from time to time, and no failure on the part of FCW to exercise, and no delay in exercising, any right or remedy shall operate as a waiver thereof, and no single or partial exercise of any right or remedy shall preclude any other or future exercise thereof, or the exercise of any other right. Without limiting the foregoing, FCW may hold and/or set off and apply against the Companys obligations to FCW any cash collateral held by FCW, or any balances held by FCW for the Companys account (whether or not such balances are then due). </w:t>
      </w:r>
    </w:p>
    <w:p>
      <w:pPr>
        <w:pStyle w:val="TextBody"/>
        <w:spacing w:before="120" w:after="283"/>
        <w:jc w:val="left"/>
        <w:rPr/>
      </w:pPr>
      <w:r>
        <w:rPr/>
        <w:t>          </w:t>
      </w:r>
      <w:r>
        <w:rPr>
          <w:rFonts w:ascii="Times New Roman;Times;serif" w:hAnsi="Times New Roman;Times;serif"/>
          <w:b/>
          <w:sz w:val="17"/>
        </w:rPr>
        <w:t xml:space="preserve">(B) Application of Funds. </w:t>
      </w:r>
      <w:r>
        <w:rPr>
          <w:rFonts w:ascii="Times New Roman;Times;serif" w:hAnsi="Times New Roman;Times;serif"/>
          <w:sz w:val="17"/>
        </w:rPr>
        <w:t xml:space="preserve">CoBank may apply all payments received by it to the Companys obligations to FCW in such order and manner as FCW may elect in its sole discretion. </w:t>
      </w:r>
    </w:p>
    <w:p>
      <w:pPr>
        <w:pStyle w:val="TextBody"/>
        <w:spacing w:before="120" w:after="283"/>
        <w:jc w:val="left"/>
        <w:rPr/>
      </w:pPr>
      <w:r>
        <w:rPr/>
        <w:t>          </w:t>
      </w:r>
      <w:r>
        <w:rPr>
          <w:rFonts w:ascii="Times New Roman;Times;serif" w:hAnsi="Times New Roman;Times;serif"/>
          <w:sz w:val="17"/>
        </w:rPr>
        <w:t xml:space="preserve">In addition to the rights and remedies set forth above: (i) if the Company fails to make any payment when due, then at FCWs option in each instance, such payment shall bear interest from the date due to the date paid at 2% per annum in excess of the rate(s) of interest that would otherwise be in effect on that loan; and (ii) after the maturity of any loan (whether as a result of acceleration or otherwise), the unpaid principal balance of such loan (including without limitation, principal, interest, fees and expenses) shall automatically bear interest at 2% per annum in excess of the rate(s) of interest that would otherwise be in effect on that loan. All interest provided for herein shall be payable on demand and shall be calculated on the basis of a year consisting of 365 days. </w:t>
      </w:r>
    </w:p>
    <w:p>
      <w:pPr>
        <w:pStyle w:val="TextBody"/>
        <w:spacing w:before="120" w:after="283"/>
        <w:jc w:val="left"/>
        <w:rPr/>
      </w:pPr>
      <w:r>
        <w:rPr/>
        <w:t>     </w:t>
      </w:r>
      <w:r>
        <w:rPr>
          <w:rFonts w:ascii="Times New Roman;Times;serif" w:hAnsi="Times New Roman;Times;serif"/>
          <w:b/>
          <w:sz w:val="17"/>
        </w:rPr>
        <w:t xml:space="preserve">SECTION 20. Broken Funding Surcharge. </w:t>
      </w:r>
      <w:r>
        <w:rPr>
          <w:rFonts w:ascii="Times New Roman;Times;serif" w:hAnsi="Times New Roman;Times;serif"/>
          <w:sz w:val="17"/>
        </w:rPr>
        <w:t xml:space="preserve">Notwithstanding any provision contained in the Note giving the Company the right to repay any loan prior to the date it would otherwise be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12</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due and payable, the Company agrees to provide three Business Days prior written notice for any prepayment of a fixed rate balance and that in the event it repays any fixed rate balance prior to its scheduled due date or prior to the last day of the fixed rate period applicable thereto (whether such payment is made voluntarily, as a result of an acceleration, or otherwise), the Company will pay to CoBank a surcharge in an amount equal to the greater of: (i) an amount which would result in FCW being made whole (on a present value basis) for the actual or imputed funding losses incurred by FCW as a result thereof; or (ii) $300.00. Notwithstanding the foregoing, in the event any fixed rate balance is repaid as a result of the Company refinancing the loan with another lender or by other means, then in lieu of the foregoing, the Company shall pay to CoBank a surcharge in an amount sufficient (on a present value basis) to enable FCW to maintain the yield it would have earned during the fixed rate period on the amount repaid. Such surcharges will be calculated in accordance with methodology established by FCW (a copy of which will be made available to the Company upon request). </w:t>
      </w:r>
    </w:p>
    <w:p>
      <w:pPr>
        <w:pStyle w:val="TextBody"/>
        <w:spacing w:before="120" w:after="283"/>
        <w:jc w:val="left"/>
        <w:rPr/>
      </w:pPr>
      <w:r>
        <w:rPr/>
        <w:t>     </w:t>
      </w:r>
      <w:r>
        <w:rPr>
          <w:rFonts w:ascii="Times New Roman;Times;serif" w:hAnsi="Times New Roman;Times;serif"/>
          <w:b/>
          <w:sz w:val="17"/>
        </w:rPr>
        <w:t xml:space="preserve">SECTION 21. Complete Agreement, Amendments. </w:t>
      </w:r>
      <w:r>
        <w:rPr>
          <w:rFonts w:ascii="Times New Roman;Times;serif" w:hAnsi="Times New Roman;Times;serif"/>
          <w:sz w:val="17"/>
        </w:rPr>
        <w:t xml:space="preserve">This Agreement, the Note, and all other instruments and documents contemplated hereby and thereby, are intended by the parties to be a complete and final expression of their agreement. No amendment, modification, or waiver of any provision hereof or thereof, and no consent to any departure by the Company herefrom or therefrom, shall be effective unless approved by FCW and contained in a writing signed by or on behalf of FCW, and then such waiver or consent shall be effective only in the specific instance and for the specific purpose for which given. Additionally, any headings used in this Agreement are inserted only as a matter of convenience and for reference, and in no way define, limit or describe the scope or intent of any term or provision. As used herein, the word including means including without limitation and/or including but not limited to. </w:t>
      </w:r>
    </w:p>
    <w:p>
      <w:pPr>
        <w:pStyle w:val="TextBody"/>
        <w:spacing w:before="120" w:after="283"/>
        <w:jc w:val="left"/>
        <w:rPr/>
      </w:pPr>
      <w:r>
        <w:rPr/>
        <w:t>     </w:t>
      </w:r>
      <w:r>
        <w:rPr>
          <w:rFonts w:ascii="Times New Roman;Times;serif" w:hAnsi="Times New Roman;Times;serif"/>
          <w:b/>
          <w:sz w:val="17"/>
        </w:rPr>
        <w:t xml:space="preserve">SECTION 22. Applicable Law. </w:t>
      </w:r>
      <w:r>
        <w:rPr>
          <w:rFonts w:ascii="Times New Roman;Times;serif" w:hAnsi="Times New Roman;Times;serif"/>
          <w:sz w:val="17"/>
        </w:rPr>
        <w:t xml:space="preserve">Except to the extent governed by applicable federal law, this Agreement and the Note shall be governed by and construed in accordance with the laws of the State of California, without reference to choice of law doctrine. </w:t>
      </w:r>
    </w:p>
    <w:p>
      <w:pPr>
        <w:pStyle w:val="TextBody"/>
        <w:spacing w:before="120" w:after="283"/>
        <w:jc w:val="left"/>
        <w:rPr/>
      </w:pPr>
      <w:r>
        <w:rPr/>
        <w:t>     </w:t>
      </w:r>
      <w:r>
        <w:rPr>
          <w:rFonts w:ascii="Times New Roman;Times;serif" w:hAnsi="Times New Roman;Times;serif"/>
          <w:b/>
          <w:sz w:val="17"/>
        </w:rPr>
        <w:t xml:space="preserve">SECTION 23. Notices. </w:t>
      </w:r>
      <w:r>
        <w:rPr>
          <w:rFonts w:ascii="Times New Roman;Times;serif" w:hAnsi="Times New Roman;Times;serif"/>
          <w:sz w:val="17"/>
        </w:rPr>
        <w:t xml:space="preserve">All notices hereunder shall be in writing and shall be deemed to be duly given upon delivery if personally delivered or sent by telegram or facsimile transmission, or 3 days after mailing if sent by express, certified or registered mail, to the parties at the following addresses (or such other address for a party as shall be specified by like notice): </w:t>
      </w:r>
    </w:p>
    <w:tbl>
      <w:tblPr>
        <w:tblW w:w="5000" w:type="pct"/>
        <w:jc w:val="center"/>
        <w:tblInd w:w="0" w:type="dxa"/>
        <w:tblCellMar>
          <w:top w:w="0" w:type="dxa"/>
          <w:left w:w="0" w:type="dxa"/>
          <w:bottom w:w="0" w:type="dxa"/>
          <w:right w:w="0" w:type="dxa"/>
        </w:tblCellMar>
      </w:tblPr>
      <w:tblGrid>
        <w:gridCol w:w="4591"/>
        <w:gridCol w:w="510"/>
        <w:gridCol w:w="5104"/>
      </w:tblGrid>
      <w:tr>
        <w:trPr/>
        <w:tc>
          <w:tcPr>
            <w:tcW w:w="459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5104" w:type="dxa"/>
            <w:tcBorders/>
            <w:shd w:fill="auto" w:val="clear"/>
            <w:vAlign w:val="bottom"/>
          </w:tcPr>
          <w:p>
            <w:pPr>
              <w:pStyle w:val="TableContents"/>
              <w:spacing w:before="0" w:after="283"/>
              <w:rPr/>
            </w:pPr>
            <w:r>
              <w:rPr/>
              <w:t> </w:t>
            </w:r>
          </w:p>
        </w:tc>
      </w:tr>
      <w:tr>
        <w:trPr/>
        <w:tc>
          <w:tcPr>
            <w:tcW w:w="4591" w:type="dxa"/>
            <w:tcBorders/>
            <w:shd w:fill="auto" w:val="clear"/>
          </w:tcPr>
          <w:p>
            <w:pPr>
              <w:pStyle w:val="TableContents"/>
              <w:spacing w:before="0" w:after="0"/>
              <w:ind w:left="0" w:right="0" w:hanging="0"/>
              <w:rPr/>
            </w:pPr>
            <w:r>
              <w:rPr/>
              <w:t xml:space="preserve">If to FCW, as follows: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If to the Company, as follows:</w:t>
            </w:r>
          </w:p>
        </w:tc>
      </w:tr>
      <w:tr>
        <w:trPr/>
        <w:tc>
          <w:tcPr>
            <w:tcW w:w="4591" w:type="dxa"/>
            <w:tcBorders/>
            <w:shd w:fill="auto" w:val="clear"/>
          </w:tcPr>
          <w:p>
            <w:pPr>
              <w:pStyle w:val="TableContents"/>
              <w:spacing w:before="0" w:after="0"/>
              <w:ind w:left="0" w:right="0" w:hanging="0"/>
              <w:rPr/>
            </w:pPr>
            <w:r>
              <w:rPr/>
              <w:t>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4591" w:type="dxa"/>
            <w:tcBorders/>
            <w:shd w:fill="auto" w:val="clear"/>
          </w:tcPr>
          <w:p>
            <w:pPr>
              <w:pStyle w:val="TableContents"/>
              <w:spacing w:before="0" w:after="0"/>
              <w:ind w:left="0" w:right="0" w:hanging="0"/>
              <w:rPr/>
            </w:pPr>
            <w:r>
              <w:rPr/>
              <w:t xml:space="preserve">Farm Credit West, PCA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Calavo Growers, Inc.</w:t>
            </w:r>
          </w:p>
        </w:tc>
      </w:tr>
      <w:tr>
        <w:trPr/>
        <w:tc>
          <w:tcPr>
            <w:tcW w:w="4591" w:type="dxa"/>
            <w:tcBorders/>
            <w:shd w:fill="auto" w:val="clear"/>
          </w:tcPr>
          <w:p>
            <w:pPr>
              <w:pStyle w:val="TableContents"/>
              <w:spacing w:before="0" w:after="0"/>
              <w:ind w:left="0" w:right="0" w:hanging="0"/>
              <w:rPr/>
            </w:pPr>
            <w:r>
              <w:rPr/>
              <w:t xml:space="preserve">2929 W. Main Street, Suite A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Attn: Vice President-Finance</w:t>
            </w:r>
          </w:p>
        </w:tc>
      </w:tr>
      <w:tr>
        <w:trPr/>
        <w:tc>
          <w:tcPr>
            <w:tcW w:w="4591" w:type="dxa"/>
            <w:tcBorders/>
            <w:shd w:fill="auto" w:val="clear"/>
          </w:tcPr>
          <w:p>
            <w:pPr>
              <w:pStyle w:val="TableContents"/>
              <w:spacing w:before="0" w:after="0"/>
              <w:ind w:left="0" w:right="0" w:hanging="0"/>
              <w:rPr/>
            </w:pPr>
            <w:r>
              <w:rPr/>
              <w:t xml:space="preserve">Visalia, CA 93291-5700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1141-A Cummings Road</w:t>
            </w:r>
          </w:p>
        </w:tc>
      </w:tr>
      <w:tr>
        <w:trPr/>
        <w:tc>
          <w:tcPr>
            <w:tcW w:w="4591" w:type="dxa"/>
            <w:tcBorders/>
            <w:shd w:fill="auto" w:val="clear"/>
          </w:tcPr>
          <w:p>
            <w:pPr>
              <w:pStyle w:val="TableContents"/>
              <w:spacing w:before="0" w:after="0"/>
              <w:ind w:left="0" w:right="0" w:hanging="0"/>
              <w:rPr/>
            </w:pPr>
            <w:r>
              <w:rPr/>
              <w:t xml:space="preserve">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Santa Paula, CA 93060</w:t>
            </w:r>
          </w:p>
        </w:tc>
      </w:tr>
      <w:tr>
        <w:trPr/>
        <w:tc>
          <w:tcPr>
            <w:tcW w:w="4591" w:type="dxa"/>
            <w:tcBorders/>
            <w:shd w:fill="auto" w:val="clear"/>
          </w:tcPr>
          <w:p>
            <w:pPr>
              <w:pStyle w:val="TableContents"/>
              <w:spacing w:before="0" w:after="0"/>
              <w:ind w:left="0" w:right="0" w:hanging="0"/>
              <w:rPr/>
            </w:pPr>
            <w:r>
              <w:rPr/>
              <w:t xml:space="preserve">Attention: James Neeley </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Fax No: (805) 921-3232</w:t>
            </w:r>
          </w:p>
        </w:tc>
      </w:tr>
      <w:tr>
        <w:trPr/>
        <w:tc>
          <w:tcPr>
            <w:tcW w:w="4591" w:type="dxa"/>
            <w:tcBorders/>
            <w:shd w:fill="auto" w:val="clear"/>
          </w:tcPr>
          <w:p>
            <w:pPr>
              <w:pStyle w:val="TableContents"/>
              <w:spacing w:before="0" w:after="0"/>
              <w:ind w:left="0" w:right="0" w:hanging="0"/>
              <w:rPr/>
            </w:pPr>
            <w:r>
              <w:rPr/>
              <w:t>Fax No.: 559-627-4728</w:t>
            </w:r>
          </w:p>
        </w:tc>
        <w:tc>
          <w:tcPr>
            <w:tcW w:w="510"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13</w:t>
            </w:r>
          </w:p>
        </w:tc>
      </w:tr>
    </w:tbl>
    <w:p>
      <w:pPr>
        <w:pStyle w:val="TextBody"/>
        <w:spacing w:before="120" w:after="283"/>
        <w:jc w:val="left"/>
        <w:rPr/>
      </w:pPr>
      <w:r>
        <w:rPr/>
        <w:t>     </w:t>
      </w:r>
      <w:r>
        <w:rPr>
          <w:rFonts w:ascii="Times New Roman;Times;serif" w:hAnsi="Times New Roman;Times;serif"/>
          <w:b/>
          <w:sz w:val="17"/>
        </w:rPr>
        <w:t xml:space="preserve">SECTION 24. Taxes and Expenses. </w:t>
      </w:r>
      <w:r>
        <w:rPr>
          <w:rFonts w:ascii="Times New Roman;Times;serif" w:hAnsi="Times New Roman;Times;serif"/>
          <w:sz w:val="17"/>
        </w:rPr>
        <w:t xml:space="preserve">To the extent allowed by law, the Company agrees to pay all reasonable out-of-pocket costs and expenses (including the fees and expenses of counsel retained by FCW) incurred by FCW in connection with the administration, collection, and enforcement of this Agreement and the other Loan Documents, including, without limitation, all costs and expenses incurred in perfecting, maintaining, determining the priority of, and releasing any security for the Companys obligations to FCW, and any stamp, intangible, transfer, or like tax payable in connection with this Agreement or any other Loan Document. </w:t>
      </w:r>
    </w:p>
    <w:p>
      <w:pPr>
        <w:pStyle w:val="TextBody"/>
        <w:spacing w:before="120" w:after="283"/>
        <w:jc w:val="left"/>
        <w:rPr/>
      </w:pPr>
      <w:r>
        <w:rPr/>
        <w:t>     </w:t>
      </w:r>
      <w:r>
        <w:rPr>
          <w:rFonts w:ascii="Times New Roman;Times;serif" w:hAnsi="Times New Roman;Times;serif"/>
          <w:b/>
          <w:sz w:val="17"/>
        </w:rPr>
        <w:t xml:space="preserve">SECTION 25. Effectiveness and Severability. </w:t>
      </w:r>
      <w:r>
        <w:rPr>
          <w:rFonts w:ascii="Times New Roman;Times;serif" w:hAnsi="Times New Roman;Times;serif"/>
          <w:sz w:val="17"/>
        </w:rPr>
        <w:t xml:space="preserve">This Agreement shall continue in effect until: (i) all indebtedness and obligations of the Company under this Agreement, the Note, and all other Loan Documents shall have been paid or satisfied; and (ii) FCW has no commitment to extend credit to or for the account of the Company hereunder. Any provision of this Agreement or any other Loan Document which is prohibited or unenforceable in any jurisdiction shall, as to such jurisdiction, be ineffective to the extent of such prohibition or unenforceability without invalidating the remaining provisions hereof or thereof. </w:t>
      </w:r>
    </w:p>
    <w:p>
      <w:pPr>
        <w:pStyle w:val="TextBody"/>
        <w:spacing w:before="120" w:after="283"/>
        <w:jc w:val="left"/>
        <w:rPr/>
      </w:pPr>
      <w:r>
        <w:rPr/>
        <w:t>     </w:t>
      </w:r>
      <w:r>
        <w:rPr>
          <w:rFonts w:ascii="Times New Roman;Times;serif" w:hAnsi="Times New Roman;Times;serif"/>
          <w:b/>
          <w:sz w:val="17"/>
        </w:rPr>
        <w:t xml:space="preserve">SECTION 26. Successors and Assigns. </w:t>
      </w:r>
      <w:r>
        <w:rPr>
          <w:rFonts w:ascii="Times New Roman;Times;serif" w:hAnsi="Times New Roman;Times;serif"/>
          <w:sz w:val="17"/>
        </w:rPr>
        <w:t xml:space="preserve">This Agreement, the Note, and the other Loan Documents shall be binding upon and inure to the benefit of the Company and FCW and their respective successors and assigns, except that the Company may not assign or transfer its rights or obligations under this Agreement, the Note or any other Loan Document without the prior written consent of FCW. </w:t>
      </w:r>
    </w:p>
    <w:p>
      <w:pPr>
        <w:pStyle w:val="TextBody"/>
        <w:spacing w:before="120" w:after="283"/>
        <w:jc w:val="left"/>
        <w:rPr/>
      </w:pPr>
      <w:r>
        <w:rPr/>
        <w:t>     </w:t>
      </w:r>
      <w:r>
        <w:rPr>
          <w:rFonts w:ascii="Times New Roman;Times;serif" w:hAnsi="Times New Roman;Times;serif"/>
          <w:b/>
          <w:sz w:val="17"/>
        </w:rPr>
        <w:t xml:space="preserve">SECTION 27. Participations. </w:t>
      </w:r>
      <w:r>
        <w:rPr>
          <w:rFonts w:ascii="Times New Roman;Times;serif" w:hAnsi="Times New Roman;Times;serif"/>
          <w:sz w:val="17"/>
        </w:rPr>
        <w:t xml:space="preserve">From time to time, FCW may sell to one or more banks, financial institutions or other lenders a participation in all or a portion of the Commitment or other extensions of credit made pursuant to this Agreement. However, no such participation shall relieve FCW of any commitment made to the Company hereunder, or any obligation FCW may have to pay patronage due the Company from FCW under the provisions of the bylaws of FCW and its practices and procedures related to patronage distribution. In connection with the foregoing, FCW may disclose information concerning the Company and its Subsidiaries to any participant or prospective participant, provided that such participant or prospective participant agrees to keep such information confidential. Accordingly, all interests in the Commitment that is included in a sale of participation interests shall not be entitled to patronage distributions. A sale of participation interest may include certain voting rights of the participants regarding the Commitment hereunder (including without limitation the administration, servicing and enforcement thereof). FCW agrees to give written notification to the Company of any sale of participation interests. </w:t>
      </w:r>
    </w:p>
    <w:p>
      <w:pPr>
        <w:pStyle w:val="TextBody"/>
        <w:spacing w:before="120" w:after="283"/>
        <w:jc w:val="left"/>
        <w:rPr/>
      </w:pPr>
      <w:r>
        <w:rPr/>
        <w:t>     </w:t>
      </w:r>
      <w:r>
        <w:rPr>
          <w:rFonts w:ascii="Times New Roman;Times;serif" w:hAnsi="Times New Roman;Times;serif"/>
          <w:b/>
          <w:sz w:val="17"/>
        </w:rPr>
        <w:t>IN WITNESS WHEREOF</w:t>
      </w:r>
      <w:r>
        <w:rPr>
          <w:rFonts w:ascii="Times New Roman;Times;serif" w:hAnsi="Times New Roman;Times;serif"/>
          <w:sz w:val="17"/>
        </w:rPr>
        <w:t xml:space="preserve">, the parties have caused this Agreement to be executed by their duly authorized officers as of the date shown above.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1018"/>
        <w:gridCol w:w="4594"/>
      </w:tblGrid>
      <w:tr>
        <w:trPr/>
        <w:tc>
          <w:tcPr>
            <w:tcW w:w="4593"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Calavo Growers, Inc.</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 </w:t>
            </w:r>
          </w:p>
        </w:tc>
      </w:tr>
      <w:tr>
        <w:trPr/>
        <w:tc>
          <w:tcPr>
            <w:tcW w:w="4593" w:type="dxa"/>
            <w:tcBorders/>
            <w:shd w:fill="auto" w:val="clear"/>
          </w:tcPr>
          <w:p>
            <w:pPr>
              <w:pStyle w:val="TableContents"/>
              <w:spacing w:before="0" w:after="0"/>
              <w:ind w:left="0" w:right="0" w:hanging="0"/>
              <w:rPr/>
            </w:pPr>
            <w:r>
              <w:rPr/>
              <w:t xml:space="preserve">AGREEMENT NO. 3789055-101 </w:t>
            </w:r>
          </w:p>
        </w:tc>
        <w:tc>
          <w:tcPr>
            <w:tcW w:w="1018" w:type="dxa"/>
            <w:tcBorders/>
            <w:shd w:fill="auto" w:val="clear"/>
            <w:vAlign w:val="bottom"/>
          </w:tcPr>
          <w:p>
            <w:pPr>
              <w:pStyle w:val="TableContents"/>
              <w:spacing w:before="0" w:after="283"/>
              <w:rPr/>
            </w:pPr>
            <w:r>
              <w:rPr/>
              <w:t> </w:t>
            </w:r>
          </w:p>
        </w:tc>
        <w:tc>
          <w:tcPr>
            <w:tcW w:w="4594" w:type="dxa"/>
            <w:tcBorders/>
            <w:shd w:fill="auto" w:val="clear"/>
          </w:tcPr>
          <w:p>
            <w:pPr>
              <w:pStyle w:val="TableContents"/>
              <w:spacing w:before="0" w:after="283"/>
              <w:jc w:val="right"/>
              <w:rPr/>
            </w:pPr>
            <w:r>
              <w:rPr/>
              <w:t>Page 14</w:t>
            </w:r>
          </w:p>
        </w:tc>
      </w:tr>
    </w:tbl>
    <w:tbl>
      <w:tblPr>
        <w:tblW w:w="5000" w:type="pct"/>
        <w:jc w:val="center"/>
        <w:tblInd w:w="0" w:type="dxa"/>
        <w:tblCellMar>
          <w:top w:w="0" w:type="dxa"/>
          <w:left w:w="0" w:type="dxa"/>
          <w:bottom w:w="0" w:type="dxa"/>
          <w:right w:w="0" w:type="dxa"/>
        </w:tblCellMar>
      </w:tblPr>
      <w:tblGrid>
        <w:gridCol w:w="326"/>
        <w:gridCol w:w="117"/>
        <w:gridCol w:w="455"/>
        <w:gridCol w:w="117"/>
        <w:gridCol w:w="2823"/>
        <w:gridCol w:w="117"/>
        <w:gridCol w:w="982"/>
        <w:gridCol w:w="117"/>
        <w:gridCol w:w="327"/>
        <w:gridCol w:w="117"/>
        <w:gridCol w:w="454"/>
        <w:gridCol w:w="117"/>
        <w:gridCol w:w="3092"/>
        <w:gridCol w:w="117"/>
        <w:gridCol w:w="927"/>
      </w:tblGrid>
      <w:tr>
        <w:trPr/>
        <w:tc>
          <w:tcPr>
            <w:tcW w:w="326"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82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3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rPr/>
            </w:pPr>
            <w:r>
              <w:rPr/>
              <w:t> </w:t>
            </w:r>
          </w:p>
        </w:tc>
      </w:tr>
      <w:tr>
        <w:trPr/>
        <w:tc>
          <w:tcPr>
            <w:tcW w:w="3838" w:type="dxa"/>
            <w:gridSpan w:val="5"/>
            <w:tcBorders/>
            <w:shd w:fill="auto" w:val="clear"/>
          </w:tcPr>
          <w:p>
            <w:pPr>
              <w:pStyle w:val="TableContents"/>
              <w:spacing w:before="0" w:after="283"/>
              <w:jc w:val="left"/>
              <w:rPr>
                <w:b/>
              </w:rPr>
            </w:pPr>
            <w:r>
              <w:rPr>
                <w:b/>
              </w:rPr>
              <w:t>FARM CREDIT WEST, PCA</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107" w:type="dxa"/>
            <w:gridSpan w:val="5"/>
            <w:tcBorders/>
            <w:shd w:fill="auto" w:val="clear"/>
          </w:tcPr>
          <w:p>
            <w:pPr>
              <w:pStyle w:val="TableContents"/>
              <w:spacing w:before="0" w:after="283"/>
              <w:jc w:val="left"/>
              <w:rPr>
                <w:b/>
              </w:rPr>
            </w:pPr>
            <w:r>
              <w:rPr>
                <w:b/>
              </w:rPr>
              <w:t>CALAVO GROWERS, INC., a California Corporation</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55"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2823"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283"/>
              <w:rPr/>
            </w:pPr>
            <w:r>
              <w:rPr/>
              <w:t>By:</w:t>
            </w:r>
          </w:p>
        </w:tc>
        <w:tc>
          <w:tcPr>
            <w:tcW w:w="117" w:type="dxa"/>
            <w:tcBorders/>
            <w:shd w:fill="auto" w:val="clear"/>
            <w:vAlign w:val="bottom"/>
          </w:tcPr>
          <w:p>
            <w:pPr>
              <w:pStyle w:val="TableContents"/>
              <w:spacing w:before="0" w:after="283"/>
              <w:rPr/>
            </w:pPr>
            <w:r>
              <w:rPr/>
              <w:t> </w:t>
            </w:r>
          </w:p>
        </w:tc>
        <w:tc>
          <w:tcPr>
            <w:tcW w:w="3395" w:type="dxa"/>
            <w:gridSpan w:val="3"/>
            <w:tcBorders/>
            <w:shd w:fill="auto" w:val="clear"/>
          </w:tcPr>
          <w:p>
            <w:pPr>
              <w:pStyle w:val="TableContents"/>
              <w:spacing w:before="0" w:after="283"/>
              <w:jc w:val="left"/>
              <w:rPr/>
            </w:pPr>
            <w:r>
              <w:rPr/>
              <w:t>/s/ James Neeley</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tcPr>
          <w:p>
            <w:pPr>
              <w:pStyle w:val="TableContents"/>
              <w:spacing w:before="0" w:after="283"/>
              <w:jc w:val="left"/>
              <w:rPr/>
            </w:pPr>
            <w:r>
              <w:rPr/>
              <w:t>By:</w:t>
            </w:r>
          </w:p>
        </w:tc>
        <w:tc>
          <w:tcPr>
            <w:tcW w:w="117" w:type="dxa"/>
            <w:tcBorders/>
            <w:shd w:fill="auto" w:val="clear"/>
            <w:vAlign w:val="bottom"/>
          </w:tcPr>
          <w:p>
            <w:pPr>
              <w:pStyle w:val="TableContents"/>
              <w:spacing w:before="0" w:after="283"/>
              <w:rPr/>
            </w:pPr>
            <w:r>
              <w:rPr/>
              <w:t> </w:t>
            </w:r>
          </w:p>
        </w:tc>
        <w:tc>
          <w:tcPr>
            <w:tcW w:w="3663" w:type="dxa"/>
            <w:gridSpan w:val="3"/>
            <w:tcBorders/>
            <w:shd w:fill="auto" w:val="clear"/>
          </w:tcPr>
          <w:p>
            <w:pPr>
              <w:pStyle w:val="TableContents"/>
              <w:spacing w:before="0" w:after="283"/>
              <w:jc w:val="left"/>
              <w:rPr/>
            </w:pPr>
            <w:r>
              <w:rPr/>
              <w:t>/s/ Arthur J. Bruno</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3395"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327"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3663"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3395" w:type="dxa"/>
            <w:gridSpan w:val="3"/>
            <w:tcBorders/>
            <w:shd w:fill="auto" w:val="clear"/>
          </w:tcPr>
          <w:p>
            <w:pPr>
              <w:pStyle w:val="TableContents"/>
              <w:spacing w:before="0" w:after="283"/>
              <w:jc w:val="left"/>
              <w:rPr/>
            </w:pPr>
            <w:r>
              <w:rPr/>
              <w:t>James Neeley</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663" w:type="dxa"/>
            <w:gridSpan w:val="3"/>
            <w:tcBorders/>
            <w:shd w:fill="auto" w:val="clear"/>
          </w:tcPr>
          <w:p>
            <w:pPr>
              <w:pStyle w:val="TableContents"/>
              <w:spacing w:before="0" w:after="283"/>
              <w:jc w:val="left"/>
              <w:rPr/>
            </w:pPr>
            <w:r>
              <w:rPr/>
              <w:t>Arthur J. Bruno,</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55" w:type="dxa"/>
            <w:tcBorders/>
            <w:shd w:fill="auto" w:val="clear"/>
          </w:tcPr>
          <w:p>
            <w:pPr>
              <w:pStyle w:val="TableContents"/>
              <w:spacing w:before="0" w:after="283"/>
              <w:jc w:val="left"/>
              <w:rPr/>
            </w:pPr>
            <w:r>
              <w:rPr/>
              <w:t xml:space="preserve">Title: </w:t>
            </w:r>
          </w:p>
        </w:tc>
        <w:tc>
          <w:tcPr>
            <w:tcW w:w="117" w:type="dxa"/>
            <w:tcBorders/>
            <w:shd w:fill="auto" w:val="clear"/>
            <w:vAlign w:val="bottom"/>
          </w:tcPr>
          <w:p>
            <w:pPr>
              <w:pStyle w:val="TableContents"/>
              <w:spacing w:before="0" w:after="283"/>
              <w:rPr/>
            </w:pPr>
            <w:r>
              <w:rPr/>
              <w:t> </w:t>
            </w:r>
          </w:p>
        </w:tc>
        <w:tc>
          <w:tcPr>
            <w:tcW w:w="2823" w:type="dxa"/>
            <w:tcBorders/>
            <w:shd w:fill="auto" w:val="clear"/>
          </w:tcPr>
          <w:p>
            <w:pPr>
              <w:pStyle w:val="TableContents"/>
              <w:spacing w:before="0" w:after="283"/>
              <w:jc w:val="left"/>
              <w:rPr/>
            </w:pPr>
            <w:r>
              <w:rPr/>
              <w:t xml:space="preserve">Sr. Vice President </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xml:space="preserve">Title: </w:t>
            </w:r>
          </w:p>
        </w:tc>
        <w:tc>
          <w:tcPr>
            <w:tcW w:w="117"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left"/>
              <w:rPr/>
            </w:pPr>
            <w:r>
              <w:rPr/>
              <w:t>Chief Operating Officer, Chief Financial Officer &amp; Corporate Secretary</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283"/>
              <w:rPr/>
            </w:pPr>
            <w:r>
              <w:rPr/>
              <w:t> </w:t>
            </w:r>
          </w:p>
        </w:tc>
        <w:tc>
          <w:tcPr>
            <w:tcW w:w="455"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2823"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55"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2823"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tcPr>
          <w:p>
            <w:pPr>
              <w:pStyle w:val="TableContents"/>
              <w:spacing w:before="0" w:after="283"/>
              <w:jc w:val="left"/>
              <w:rPr/>
            </w:pPr>
            <w:r>
              <w:rPr/>
              <w:t>By:</w:t>
            </w:r>
          </w:p>
        </w:tc>
        <w:tc>
          <w:tcPr>
            <w:tcW w:w="117" w:type="dxa"/>
            <w:tcBorders/>
            <w:shd w:fill="auto" w:val="clear"/>
            <w:vAlign w:val="bottom"/>
          </w:tcPr>
          <w:p>
            <w:pPr>
              <w:pStyle w:val="TableContents"/>
              <w:spacing w:before="0" w:after="283"/>
              <w:rPr/>
            </w:pPr>
            <w:r>
              <w:rPr/>
              <w:t> </w:t>
            </w:r>
          </w:p>
        </w:tc>
        <w:tc>
          <w:tcPr>
            <w:tcW w:w="3663" w:type="dxa"/>
            <w:gridSpan w:val="3"/>
            <w:tcBorders/>
            <w:shd w:fill="auto" w:val="clear"/>
          </w:tcPr>
          <w:p>
            <w:pPr>
              <w:pStyle w:val="TableContents"/>
              <w:spacing w:before="0" w:after="283"/>
              <w:jc w:val="left"/>
              <w:rPr/>
            </w:pPr>
            <w:r>
              <w:rPr/>
              <w:t>/s/ Scott H. Runge</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55"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2823"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327"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3663"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55"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2823"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663" w:type="dxa"/>
            <w:gridSpan w:val="3"/>
            <w:tcBorders/>
            <w:shd w:fill="auto" w:val="clear"/>
          </w:tcPr>
          <w:p>
            <w:pPr>
              <w:pStyle w:val="TableContents"/>
              <w:spacing w:before="0" w:after="283"/>
              <w:jc w:val="left"/>
              <w:rPr/>
            </w:pPr>
            <w:r>
              <w:rPr/>
              <w:t>Scott H. Runge,</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r>
        <w:trPr/>
        <w:tc>
          <w:tcPr>
            <w:tcW w:w="326"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455"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2823"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982"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327"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xml:space="preserve">Title </w:t>
            </w:r>
          </w:p>
        </w:tc>
        <w:tc>
          <w:tcPr>
            <w:tcW w:w="117" w:type="dxa"/>
            <w:tcBorders/>
            <w:shd w:fill="auto" w:val="clear"/>
            <w:vAlign w:val="bottom"/>
          </w:tcPr>
          <w:p>
            <w:pPr>
              <w:pStyle w:val="TableContents"/>
              <w:spacing w:before="0" w:after="283"/>
              <w:rPr/>
            </w:pPr>
            <w:r>
              <w:rPr/>
              <w:t> </w:t>
            </w:r>
          </w:p>
        </w:tc>
        <w:tc>
          <w:tcPr>
            <w:tcW w:w="3092" w:type="dxa"/>
            <w:tcBorders/>
            <w:shd w:fill="auto" w:val="clear"/>
          </w:tcPr>
          <w:p>
            <w:pPr>
              <w:pStyle w:val="TableContents"/>
              <w:spacing w:before="0" w:after="283"/>
              <w:jc w:val="left"/>
              <w:rPr/>
            </w:pPr>
            <w:r>
              <w:rPr/>
              <w:t>Treasurer</w:t>
            </w:r>
          </w:p>
        </w:tc>
        <w:tc>
          <w:tcPr>
            <w:tcW w:w="117" w:type="dxa"/>
            <w:tcBorders/>
            <w:shd w:fill="auto" w:val="clear"/>
            <w:vAlign w:val="bottom"/>
          </w:tcPr>
          <w:p>
            <w:pPr>
              <w:pStyle w:val="TableContents"/>
              <w:spacing w:before="0" w:after="283"/>
              <w:rPr/>
            </w:pPr>
            <w:r>
              <w:rPr/>
              <w:t> </w:t>
            </w:r>
          </w:p>
        </w:tc>
        <w:tc>
          <w:tcPr>
            <w:tcW w:w="927"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2"/>
        <w:gridCol w:w="1020"/>
        <w:gridCol w:w="4593"/>
      </w:tblGrid>
      <w:tr>
        <w:trPr/>
        <w:tc>
          <w:tcPr>
            <w:tcW w:w="4592"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4593" w:type="dxa"/>
            <w:tcBorders/>
            <w:shd w:fill="auto"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ind w:left="0" w:right="0" w:hanging="0"/>
              <w:rPr/>
            </w:pPr>
            <w:r>
              <w:rPr/>
              <w:t xml:space="preserve">Calavo Growers, Inc.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right"/>
              <w:rPr/>
            </w:pPr>
            <w:r>
              <w:rPr/>
              <w:t>Agreement No. 3789055-101</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A</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u w:val="single"/>
        </w:rPr>
        <w:t>PROMISSORY NOTE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$20,000,000.00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June 7, 2007 </w:t>
      </w:r>
    </w:p>
    <w:p>
      <w:pPr>
        <w:pStyle w:val="TextBody"/>
        <w:spacing w:before="120" w:after="283"/>
        <w:jc w:val="left"/>
        <w:rPr/>
      </w:pPr>
      <w:r>
        <w:rPr/>
        <w:t>          </w:t>
      </w:r>
      <w:r>
        <w:rPr>
          <w:rFonts w:ascii="Times New Roman;Times;serif" w:hAnsi="Times New Roman;Times;serif"/>
          <w:sz w:val="17"/>
        </w:rPr>
        <w:t xml:space="preserve">FOR VALUE RECEIVED, on the Maturity Date as set forth in that certain Term Revolving Credit Agreement dated June 7, 2007, or in any amendments thereto (the Agreement), the undersigned promises to pay to the order of Farm Credit West, PCA (the Payee), or order, at the place and in the manner set forth in the Agreement, the principal amount of TWENTY MILLION DOLLARS ($20,000,000.00). The undersigned promises to pay interest on the principal amount hereof remaining unpaid from time to time from the date hereon until the date of payment in full, payable as provided below under Repayment Terms. </w:t>
      </w:r>
    </w:p>
    <w:p>
      <w:pPr>
        <w:pStyle w:val="TextBody"/>
        <w:spacing w:before="120" w:after="283"/>
        <w:jc w:val="left"/>
        <w:rPr/>
      </w:pPr>
      <w:r>
        <w:rPr/>
        <w:t>          </w:t>
      </w:r>
      <w:r>
        <w:rPr>
          <w:rFonts w:ascii="Times New Roman;Times;serif" w:hAnsi="Times New Roman;Times;serif"/>
          <w:sz w:val="17"/>
        </w:rPr>
        <w:t xml:space="preserve">This note is given for advances to be made by Payee to the undersigned from time to time in accordance with the terms and conditions of the Agreement, all the terms and conditions of which are incorporated herein by reference. Advances, accrued interest, and payments shall be posted by the Payee upon an appropriate accounting record, shall be prima facie evidence as to all such amounts and shall be binding on the undersigned absent manifest error. The total of such advances may not exceed the face amount of this note. This note is executed, delivered and accepted not in payment of but for the purpose of amending, restating and replacing the following described obligations, and renewing any unpaid balance(s) evidenced thereby: note dated February 7, 2007, in the principal amount of $15,000,000.00. Furthermore, this note also evidences an additional loan advance(s) to the extent the note exceeds the renewed unpaid balance(s) last referred to above. </w:t>
      </w:r>
    </w:p>
    <w:p>
      <w:pPr>
        <w:pStyle w:val="TextBody"/>
        <w:spacing w:before="120" w:after="283"/>
        <w:jc w:val="left"/>
        <w:rPr/>
      </w:pPr>
      <w:r>
        <w:rPr/>
        <w:t>          </w:t>
      </w:r>
      <w:r>
        <w:rPr>
          <w:rFonts w:ascii="Times New Roman;Times;serif" w:hAnsi="Times New Roman;Times;serif"/>
          <w:b/>
          <w:sz w:val="17"/>
        </w:rPr>
        <w:t xml:space="preserve">Repayment Terms: </w:t>
      </w:r>
      <w:r>
        <w:rPr>
          <w:rFonts w:ascii="Times New Roman;Times;serif" w:hAnsi="Times New Roman;Times;serif"/>
          <w:sz w:val="17"/>
        </w:rPr>
        <w:t xml:space="preserve">The undersigned shall pay to Payee, Fifty-five (55) monthly interest only payments, in the amount billed, beginning on July 01, 2007; and One (1) installment of interest in the amount billed plus principal of any amount necessary to pay the note in full on February 1, 2012. Payments, other than those required as specified in this Section or in the Agreement, may be made at any time and in any amount during the term of this note, unless limited or prohibited herein or unless otherwise required by FCW in writing. This note is due and payable in full on February 1, 2012 (Maturity Date), at which time the undersigned shall pay the unpaid principal balance and all accrued interest in full. Any amount of principal hereof which is not paid when due, whether at stated maturity, by acceleration or otherwise, shall bear interest from the date when due until said principal is paid in full, payable on demand, at a rate per annum set forth in the Agreement. </w:t>
      </w:r>
    </w:p>
    <w:p>
      <w:pPr>
        <w:pStyle w:val="TextBody"/>
        <w:spacing w:before="120" w:after="283"/>
        <w:jc w:val="left"/>
        <w:rPr/>
      </w:pPr>
      <w:r>
        <w:rPr/>
        <w:t>          </w:t>
      </w:r>
      <w:r>
        <w:rPr>
          <w:rFonts w:ascii="Times New Roman;Times;serif" w:hAnsi="Times New Roman;Times;serif"/>
          <w:sz w:val="17"/>
        </w:rPr>
        <w:t xml:space="preserve">The makers or endorsers hereof hereby waive presentment for payment, demand, protest, and notice of dishonor and nonpayment of this note, and all defenses on the ground of delay or of any extension of time for the payment hereof which may be hereafter given by the holder or holders hereof to them or either of them or to anyone who has assumed the payment of this note, and it is specifically agreed that the obligations of said makers or endorsers shall not be in anyway affected or altered to the prejudice of the holder or holders hereof by reason of the assumption of payment of the same by any other person or entity. </w:t>
      </w:r>
    </w:p>
    <w:p>
      <w:pPr>
        <w:pStyle w:val="TextBody"/>
        <w:spacing w:before="120" w:after="283"/>
        <w:jc w:val="left"/>
        <w:rPr/>
      </w:pPr>
      <w:r>
        <w:rPr/>
        <w:t>          </w:t>
      </w:r>
      <w:r>
        <w:rPr>
          <w:rFonts w:ascii="Times New Roman;Times;serif" w:hAnsi="Times New Roman;Times;serif"/>
          <w:sz w:val="17"/>
        </w:rPr>
        <w:t xml:space="preserve">The undersigned hereby promises to pay all costs and expenses of any rightful holder hereof incurred in collecting the undersigneds obligations hereunder or in enforcing or attempting to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2"/>
        <w:gridCol w:w="1020"/>
        <w:gridCol w:w="4593"/>
      </w:tblGrid>
      <w:tr>
        <w:trPr/>
        <w:tc>
          <w:tcPr>
            <w:tcW w:w="4592"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rPr/>
            </w:pPr>
            <w:r>
              <w:rPr/>
              <w:t> </w:t>
            </w:r>
          </w:p>
        </w:tc>
        <w:tc>
          <w:tcPr>
            <w:tcW w:w="4593" w:type="dxa"/>
            <w:tcBorders/>
            <w:shd w:fill="auto"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ind w:left="0" w:right="0" w:hanging="0"/>
              <w:rPr/>
            </w:pPr>
            <w:r>
              <w:rPr/>
              <w:t xml:space="preserve">Calavo Growers, Inc.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right"/>
              <w:rPr/>
            </w:pPr>
            <w:r>
              <w:rPr/>
              <w:t>Agreement No. 3789055-101</w:t>
            </w:r>
          </w:p>
        </w:tc>
      </w:tr>
      <w:tr>
        <w:trPr/>
        <w:tc>
          <w:tcPr>
            <w:tcW w:w="4592" w:type="dxa"/>
            <w:tcBorders/>
            <w:shd w:fill="auto" w:val="clear"/>
          </w:tcPr>
          <w:p>
            <w:pPr>
              <w:pStyle w:val="TableContents"/>
              <w:spacing w:before="0" w:after="0"/>
              <w:ind w:left="0" w:right="0" w:hanging="0"/>
              <w:rPr/>
            </w:pPr>
            <w:r>
              <w:rPr/>
              <w:t xml:space="preserve">  </w:t>
            </w:r>
          </w:p>
        </w:tc>
        <w:tc>
          <w:tcPr>
            <w:tcW w:w="1020" w:type="dxa"/>
            <w:tcBorders/>
            <w:shd w:fill="auto" w:val="clear"/>
            <w:vAlign w:val="bottom"/>
          </w:tcPr>
          <w:p>
            <w:pPr>
              <w:pStyle w:val="TableContents"/>
              <w:spacing w:before="0" w:after="283"/>
              <w:rPr/>
            </w:pPr>
            <w:r>
              <w:rPr/>
              <w:t> </w:t>
            </w:r>
          </w:p>
        </w:tc>
        <w:tc>
          <w:tcPr>
            <w:tcW w:w="4593" w:type="dxa"/>
            <w:tcBorders/>
            <w:shd w:fill="auto" w:val="clear"/>
          </w:tcPr>
          <w:p>
            <w:pPr>
              <w:pStyle w:val="TableContents"/>
              <w:spacing w:before="0" w:after="283"/>
              <w:jc w:val="right"/>
              <w:rPr/>
            </w:pPr>
            <w:r>
              <w:rPr/>
              <w:t>Page 2</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enforce any of such holders rights hereunder, including reasonable attorneys fees and disbursements, whether or not an action is filed in connection therewith.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NOTE SHALL BE GOVERNED BY, AND CONSTRUED AND ENFORCED IN ACCORDANCE WITH, THE LAWS OF THE STATE OF CALIFORNIA. REPRESENTATIVES OF FCW ARE NOT AUTHORIZED TO MAKE ANY ORAL AGREEMENTS OR ASSURANCES. DO NOT SIGN THIS NOTE IF YOU BELIEVE THAT THERE ARE ANY AGREEMENTS OR UNDERSTANDING BETWEEN YOU AND FCW THAT ARE NOT SET FORTH IN WRITING IN THIS NOTE, THE AGREEMENT OR OTHER LOAN DOCUMENTS EVIDENCING THE COMMITMENT.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INDORSEMENT </w:t>
      </w:r>
      <w:r>
        <w:rPr>
          <w:rFonts w:ascii="Times New Roman;Times;serif" w:hAnsi="Times New Roman;Times;serif"/>
          <w:sz w:val="17"/>
        </w:rPr>
        <w:t xml:space="preserve"> The within Note is hereby indorsed by the payee named in the body of said Note as if the name of the payee were actually executed under the indorsement.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 TO THE ORDER OF U.S. AgBANK, FCB, Wichita, Kansas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93"/>
        <w:gridCol w:w="509"/>
        <w:gridCol w:w="5103"/>
      </w:tblGrid>
      <w:tr>
        <w:trPr/>
        <w:tc>
          <w:tcPr>
            <w:tcW w:w="459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5103" w:type="dxa"/>
            <w:tcBorders/>
            <w:shd w:fill="auto" w:val="clear"/>
            <w:vAlign w:val="bottom"/>
          </w:tcPr>
          <w:p>
            <w:pPr>
              <w:pStyle w:val="TableContents"/>
              <w:spacing w:before="0" w:after="283"/>
              <w:rPr/>
            </w:pPr>
            <w:r>
              <w:rPr/>
              <w:t> </w:t>
            </w:r>
          </w:p>
        </w:tc>
      </w:tr>
      <w:tr>
        <w:trPr/>
        <w:tc>
          <w:tcPr>
            <w:tcW w:w="4593" w:type="dxa"/>
            <w:tcBorders/>
            <w:shd w:fill="auto" w:val="clear"/>
          </w:tcPr>
          <w:p>
            <w:pPr>
              <w:pStyle w:val="TableContents"/>
              <w:spacing w:before="0" w:after="0"/>
              <w:ind w:left="0" w:right="0" w:hanging="0"/>
              <w:rPr/>
            </w:pPr>
            <w:r>
              <w:rPr/>
              <w:t xml:space="preserve">Calavo Growers, Inc. </w:t>
            </w:r>
          </w:p>
        </w:tc>
        <w:tc>
          <w:tcPr>
            <w:tcW w:w="509" w:type="dxa"/>
            <w:tcBorders/>
            <w:shd w:fill="auto" w:val="clear"/>
            <w:vAlign w:val="bottom"/>
          </w:tcPr>
          <w:p>
            <w:pPr>
              <w:pStyle w:val="TableContents"/>
              <w:spacing w:before="0" w:after="283"/>
              <w:rPr/>
            </w:pPr>
            <w:r>
              <w:rPr/>
              <w:t> </w:t>
            </w:r>
          </w:p>
        </w:tc>
        <w:tc>
          <w:tcPr>
            <w:tcW w:w="5103" w:type="dxa"/>
            <w:tcBorders/>
            <w:shd w:fill="auto" w:val="clear"/>
          </w:tcPr>
          <w:p>
            <w:pPr>
              <w:pStyle w:val="TableContents"/>
              <w:spacing w:before="0" w:after="283"/>
              <w:jc w:val="right"/>
              <w:rPr/>
            </w:pPr>
            <w:r>
              <w:rPr/>
              <w:t>Agreement No. 3789055-101</w:t>
            </w:r>
          </w:p>
        </w:tc>
      </w:tr>
    </w:tbl>
    <w:p>
      <w:pPr>
        <w:pStyle w:val="TextBody"/>
        <w:spacing w:before="360" w:after="283"/>
        <w:jc w:val="center"/>
        <w:rPr>
          <w:rFonts w:ascii="Times New Roman;Times;serif" w:hAnsi="Times New Roman;Times;serif"/>
          <w:b/>
          <w:sz w:val="17"/>
          <w:u w:val="single"/>
        </w:rPr>
      </w:pPr>
      <w:r>
        <w:rPr>
          <w:rFonts w:ascii="Times New Roman;Times;serif" w:hAnsi="Times New Roman;Times;serif"/>
          <w:b/>
          <w:sz w:val="17"/>
          <w:u w:val="single"/>
        </w:rPr>
        <w:t xml:space="preserve">EXHIBIT B </w:t>
      </w:r>
    </w:p>
    <w:p>
      <w:pPr>
        <w:pStyle w:val="TextBody"/>
        <w:spacing w:before="120" w:after="283"/>
        <w:jc w:val="center"/>
        <w:rPr>
          <w:rFonts w:ascii="Times New Roman;Times;serif" w:hAnsi="Times New Roman;Times;serif"/>
          <w:sz w:val="17"/>
        </w:rPr>
      </w:pPr>
      <w:r>
        <w:rPr>
          <w:rFonts w:ascii="Times New Roman;Times;serif" w:hAnsi="Times New Roman;Times;serif"/>
          <w:b/>
          <w:sz w:val="17"/>
          <w:u w:val="single"/>
        </w:rPr>
        <w:t>SERVICING AGREEMENT</w:t>
      </w:r>
      <w:r>
        <w:rPr>
          <w:rFonts w:ascii="Times New Roman;Times;serif" w:hAnsi="Times New Roman;Times;serif"/>
          <w:sz w:val="17"/>
        </w:rPr>
        <w:t xml:space="preserve">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June 7, 2007</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Section 9 of the Term Revolving Credit Agreement dated June 7, 2007 (Agreement) between Farm Credit West, PCA and CALAVO GROWERS, Inc., a California Corporation, the undersigns acknowledges and confirms the agreement to have CoBank, ACB perform the services as described below: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Manner and Time of Payment. </w:t>
      </w:r>
      <w:r>
        <w:rPr>
          <w:rFonts w:ascii="Times New Roman;Times;serif" w:hAnsi="Times New Roman;Times;serif"/>
          <w:sz w:val="17"/>
        </w:rPr>
        <w:t xml:space="preserve">CoBank shall maintain a record of all loans, the interest accrued thereon, and all payments made with respect thereto, and such record shall, absent proof of manifest error, be conclusive evidence of the outstanding principal and interest on the loans. All payments shall be made by wire transfer of immediately available funds, by check, or by automated clearing house or other similar cash handling processes as specified by separate agreement between the Calavo Growers (Company) and CoBank. Wire transfers shall be made to ABA No. 307088754 for advice to and credit of CoBank (or to such other account as CoBank may direct by notice). The Company shall give CoBank telephonic notice no later than 12:00 Noon Companys local time of its intent to pay by wire and funds received after 3:00 p.m. Companys local time shall be credited on the next business day. Checks shall be mailed to CoBank, Department 167, Denver, Colorado 80291-0167 (or to such other place as CoBank may direct by notice). Credit for payment by check will not be given until the later of: (a) the day on which CoBank receives immediately available funds; or (b) the next business day after receipt of the check. </w:t>
      </w:r>
    </w:p>
    <w:tbl>
      <w:tblPr>
        <w:tblW w:w="5000" w:type="pct"/>
        <w:jc w:val="center"/>
        <w:tblInd w:w="0" w:type="dxa"/>
        <w:tblCellMar>
          <w:top w:w="0" w:type="dxa"/>
          <w:left w:w="0" w:type="dxa"/>
          <w:bottom w:w="0" w:type="dxa"/>
          <w:right w:w="0" w:type="dxa"/>
        </w:tblCellMar>
      </w:tblPr>
      <w:tblGrid>
        <w:gridCol w:w="332"/>
        <w:gridCol w:w="128"/>
        <w:gridCol w:w="3313"/>
        <w:gridCol w:w="128"/>
        <w:gridCol w:w="1139"/>
        <w:gridCol w:w="128"/>
        <w:gridCol w:w="434"/>
        <w:gridCol w:w="128"/>
        <w:gridCol w:w="3282"/>
        <w:gridCol w:w="128"/>
        <w:gridCol w:w="1065"/>
      </w:tblGrid>
      <w:tr>
        <w:trPr/>
        <w:tc>
          <w:tcPr>
            <w:tcW w:w="33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31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28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r>
      <w:tr>
        <w:trPr/>
        <w:tc>
          <w:tcPr>
            <w:tcW w:w="3773" w:type="dxa"/>
            <w:gridSpan w:val="3"/>
            <w:tcBorders/>
            <w:shd w:fill="auto" w:val="clear"/>
          </w:tcPr>
          <w:p>
            <w:pPr>
              <w:pStyle w:val="TableContents"/>
              <w:spacing w:before="0" w:after="283"/>
              <w:jc w:val="left"/>
              <w:rPr>
                <w:b/>
              </w:rPr>
            </w:pPr>
            <w:r>
              <w:rPr>
                <w:b/>
              </w:rPr>
              <w:t>Farm Credit West, PCA</w:t>
            </w:r>
          </w:p>
        </w:tc>
        <w:tc>
          <w:tcPr>
            <w:tcW w:w="128" w:type="dxa"/>
            <w:tcBorders/>
            <w:shd w:fill="auto" w:val="clear"/>
            <w:vAlign w:val="bottom"/>
          </w:tcPr>
          <w:p>
            <w:pPr>
              <w:pStyle w:val="TableContents"/>
              <w:spacing w:before="0" w:after="283"/>
              <w:rPr/>
            </w:pPr>
            <w:r>
              <w:rPr/>
              <w:t> </w:t>
            </w:r>
          </w:p>
        </w:tc>
        <w:tc>
          <w:tcPr>
            <w:tcW w:w="1139"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3844" w:type="dxa"/>
            <w:gridSpan w:val="3"/>
            <w:tcBorders/>
            <w:shd w:fill="auto" w:val="clear"/>
          </w:tcPr>
          <w:p>
            <w:pPr>
              <w:pStyle w:val="TableContents"/>
              <w:spacing w:before="0" w:after="283"/>
              <w:jc w:val="left"/>
              <w:rPr>
                <w:b/>
              </w:rPr>
            </w:pPr>
            <w:r>
              <w:rPr>
                <w:b/>
              </w:rPr>
              <w:t>CALAVO GROWERS, INC.</w:t>
            </w:r>
          </w:p>
        </w:tc>
        <w:tc>
          <w:tcPr>
            <w:tcW w:w="128" w:type="dxa"/>
            <w:tcBorders/>
            <w:shd w:fill="auto" w:val="clear"/>
            <w:vAlign w:val="bottom"/>
          </w:tcPr>
          <w:p>
            <w:pPr>
              <w:pStyle w:val="TableContents"/>
              <w:spacing w:before="0" w:after="283"/>
              <w:rPr/>
            </w:pPr>
            <w:r>
              <w:rPr/>
              <w:t> </w:t>
            </w:r>
          </w:p>
        </w:tc>
        <w:tc>
          <w:tcPr>
            <w:tcW w:w="1065" w:type="dxa"/>
            <w:tcBorders/>
            <w:shd w:fill="auto" w:val="clear"/>
          </w:tcPr>
          <w:p>
            <w:pPr>
              <w:pStyle w:val="TableContents"/>
              <w:spacing w:before="0" w:after="283"/>
              <w:jc w:val="left"/>
              <w:rPr/>
            </w:pPr>
            <w:r>
              <w:rPr/>
              <w:t> </w:t>
            </w:r>
          </w:p>
        </w:tc>
      </w:tr>
      <w:tr>
        <w:trPr/>
        <w:tc>
          <w:tcPr>
            <w:tcW w:w="332"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3313"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139"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065" w:type="dxa"/>
            <w:tcBorders/>
            <w:shd w:fill="auto" w:val="clear"/>
          </w:tcPr>
          <w:p>
            <w:pPr>
              <w:pStyle w:val="TableContents"/>
              <w:spacing w:before="0" w:after="283"/>
              <w:jc w:val="left"/>
              <w:rPr/>
            </w:pPr>
            <w:r>
              <w:rPr/>
              <w:t> </w:t>
            </w:r>
          </w:p>
        </w:tc>
      </w:tr>
      <w:tr>
        <w:trPr/>
        <w:tc>
          <w:tcPr>
            <w:tcW w:w="332" w:type="dxa"/>
            <w:tcBorders/>
            <w:shd w:fill="auto" w:val="clear"/>
          </w:tcPr>
          <w:p>
            <w:pPr>
              <w:pStyle w:val="TableContents"/>
              <w:spacing w:before="0" w:after="0"/>
              <w:ind w:left="0" w:right="0" w:hanging="0"/>
              <w:rPr/>
            </w:pPr>
            <w:r>
              <w:rPr/>
              <w:t xml:space="preserve">By: </w:t>
            </w:r>
          </w:p>
        </w:tc>
        <w:tc>
          <w:tcPr>
            <w:tcW w:w="128" w:type="dxa"/>
            <w:tcBorders/>
            <w:shd w:fill="auto" w:val="clear"/>
            <w:vAlign w:val="bottom"/>
          </w:tcPr>
          <w:p>
            <w:pPr>
              <w:pStyle w:val="TableContents"/>
              <w:spacing w:before="0" w:after="283"/>
              <w:rPr/>
            </w:pPr>
            <w:r>
              <w:rPr/>
              <w:t> </w:t>
            </w:r>
          </w:p>
        </w:tc>
        <w:tc>
          <w:tcPr>
            <w:tcW w:w="3313" w:type="dxa"/>
            <w:tcBorders/>
            <w:shd w:fill="auto" w:val="clear"/>
          </w:tcPr>
          <w:p>
            <w:pPr>
              <w:pStyle w:val="TableContents"/>
              <w:spacing w:before="0" w:after="0"/>
              <w:jc w:val="left"/>
              <w:rPr/>
            </w:pPr>
            <w:r>
              <w:rPr/>
              <w:t xml:space="preserve">/s/ James K. Neeley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James K. Neeley, Sr. Vice President </w:t>
            </w:r>
          </w:p>
        </w:tc>
        <w:tc>
          <w:tcPr>
            <w:tcW w:w="128" w:type="dxa"/>
            <w:tcBorders/>
            <w:shd w:fill="auto" w:val="clear"/>
            <w:vAlign w:val="bottom"/>
          </w:tcPr>
          <w:p>
            <w:pPr>
              <w:pStyle w:val="TableContents"/>
              <w:spacing w:before="0" w:after="283"/>
              <w:rPr/>
            </w:pPr>
            <w:r>
              <w:rPr/>
              <w:t> </w:t>
            </w:r>
          </w:p>
        </w:tc>
        <w:tc>
          <w:tcPr>
            <w:tcW w:w="1139"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xml:space="preserve">By: </w:t>
            </w:r>
          </w:p>
        </w:tc>
        <w:tc>
          <w:tcPr>
            <w:tcW w:w="128"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0"/>
              <w:jc w:val="left"/>
              <w:rPr/>
            </w:pPr>
            <w:r>
              <w:rPr/>
              <w:t xml:space="preserve">/s/ Arthur J. Bruno </w:t>
            </w:r>
          </w:p>
          <w:p>
            <w:pPr>
              <w:pStyle w:val="TableContents"/>
              <w:spacing w:before="0" w:after="0"/>
              <w:jc w:val="left"/>
              <w:rPr>
                <w:bdr w:val="single" w:sz="2" w:space="1" w:color="000000"/>
              </w:rPr>
            </w:pPr>
            <w:r>
              <w:rPr>
                <w:bdr w:val="single" w:sz="2" w:space="1" w:color="000000"/>
              </w:rPr>
              <w:t> </w:t>
            </w:r>
          </w:p>
        </w:tc>
        <w:tc>
          <w:tcPr>
            <w:tcW w:w="128" w:type="dxa"/>
            <w:tcBorders/>
            <w:shd w:fill="auto" w:val="clear"/>
            <w:vAlign w:val="bottom"/>
          </w:tcPr>
          <w:p>
            <w:pPr>
              <w:pStyle w:val="TableContents"/>
              <w:spacing w:before="0" w:after="283"/>
              <w:rPr/>
            </w:pPr>
            <w:r>
              <w:rPr/>
              <w:t> </w:t>
            </w:r>
          </w:p>
        </w:tc>
        <w:tc>
          <w:tcPr>
            <w:tcW w:w="1065" w:type="dxa"/>
            <w:tcBorders/>
            <w:shd w:fill="auto" w:val="clear"/>
          </w:tcPr>
          <w:p>
            <w:pPr>
              <w:pStyle w:val="TableContents"/>
              <w:spacing w:before="0" w:after="283"/>
              <w:jc w:val="left"/>
              <w:rPr/>
            </w:pPr>
            <w:r>
              <w:rPr/>
              <w:t> </w:t>
            </w:r>
          </w:p>
        </w:tc>
      </w:tr>
      <w:tr>
        <w:trPr/>
        <w:tc>
          <w:tcPr>
            <w:tcW w:w="332"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3313"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139"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xml:space="preserve">By: </w:t>
            </w:r>
          </w:p>
        </w:tc>
        <w:tc>
          <w:tcPr>
            <w:tcW w:w="128"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0"/>
              <w:jc w:val="left"/>
              <w:rPr/>
            </w:pPr>
            <w:r>
              <w:rPr/>
              <w:t xml:space="preserve">/s/ Scott H. Runge </w:t>
            </w:r>
          </w:p>
          <w:p>
            <w:pPr>
              <w:pStyle w:val="TableContents"/>
              <w:spacing w:before="0" w:after="0"/>
              <w:jc w:val="left"/>
              <w:rPr>
                <w:bdr w:val="single" w:sz="2" w:space="1" w:color="000000"/>
              </w:rPr>
            </w:pPr>
            <w:r>
              <w:rPr>
                <w:bdr w:val="single" w:sz="2" w:space="1" w:color="000000"/>
              </w:rPr>
              <w:t> </w:t>
            </w:r>
          </w:p>
        </w:tc>
        <w:tc>
          <w:tcPr>
            <w:tcW w:w="128" w:type="dxa"/>
            <w:tcBorders/>
            <w:shd w:fill="auto" w:val="clear"/>
            <w:vAlign w:val="bottom"/>
          </w:tcPr>
          <w:p>
            <w:pPr>
              <w:pStyle w:val="TableContents"/>
              <w:spacing w:before="0" w:after="283"/>
              <w:rPr/>
            </w:pPr>
            <w:r>
              <w:rPr/>
              <w:t> </w:t>
            </w:r>
          </w:p>
        </w:tc>
        <w:tc>
          <w:tcPr>
            <w:tcW w:w="1065" w:type="dxa"/>
            <w:tcBorders/>
            <w:shd w:fill="auto" w:val="clear"/>
          </w:tcPr>
          <w:p>
            <w:pPr>
              <w:pStyle w:val="TableContents"/>
              <w:spacing w:before="0" w:after="283"/>
              <w:jc w:val="left"/>
              <w:rPr/>
            </w:pPr>
            <w:r>
              <w:rPr/>
              <w:t> </w:t>
            </w:r>
          </w:p>
        </w:tc>
      </w:tr>
      <w:tr>
        <w:trPr/>
        <w:tc>
          <w:tcPr>
            <w:tcW w:w="332"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3313"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139"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065" w:type="dxa"/>
            <w:tcBorders/>
            <w:shd w:fill="auto" w:val="clear"/>
          </w:tcPr>
          <w:p>
            <w:pPr>
              <w:pStyle w:val="TableContents"/>
              <w:spacing w:before="0" w:after="283"/>
              <w:jc w:val="left"/>
              <w:rPr/>
            </w:pPr>
            <w:r>
              <w:rPr/>
              <w:t> </w:t>
            </w:r>
          </w:p>
        </w:tc>
      </w:tr>
      <w:tr>
        <w:trPr/>
        <w:tc>
          <w:tcPr>
            <w:tcW w:w="3773" w:type="dxa"/>
            <w:gridSpan w:val="3"/>
            <w:tcBorders/>
            <w:shd w:fill="auto" w:val="clear"/>
          </w:tcPr>
          <w:p>
            <w:pPr>
              <w:pStyle w:val="TableContents"/>
              <w:spacing w:before="0" w:after="283"/>
              <w:jc w:val="left"/>
              <w:rPr>
                <w:b/>
              </w:rPr>
            </w:pPr>
            <w:r>
              <w:rPr>
                <w:b/>
              </w:rPr>
              <w:t>CoBank, ACB</w:t>
            </w:r>
          </w:p>
        </w:tc>
        <w:tc>
          <w:tcPr>
            <w:tcW w:w="128" w:type="dxa"/>
            <w:tcBorders/>
            <w:shd w:fill="auto" w:val="clear"/>
            <w:vAlign w:val="bottom"/>
          </w:tcPr>
          <w:p>
            <w:pPr>
              <w:pStyle w:val="TableContents"/>
              <w:spacing w:before="0" w:after="283"/>
              <w:rPr/>
            </w:pPr>
            <w:r>
              <w:rPr/>
              <w:t> </w:t>
            </w:r>
          </w:p>
        </w:tc>
        <w:tc>
          <w:tcPr>
            <w:tcW w:w="1139"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065" w:type="dxa"/>
            <w:tcBorders/>
            <w:shd w:fill="auto" w:val="clear"/>
          </w:tcPr>
          <w:p>
            <w:pPr>
              <w:pStyle w:val="TableContents"/>
              <w:spacing w:before="0" w:after="283"/>
              <w:jc w:val="left"/>
              <w:rPr/>
            </w:pPr>
            <w:r>
              <w:rPr/>
              <w:t> </w:t>
            </w:r>
          </w:p>
        </w:tc>
      </w:tr>
      <w:tr>
        <w:trPr/>
        <w:tc>
          <w:tcPr>
            <w:tcW w:w="332"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3313"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139"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065" w:type="dxa"/>
            <w:tcBorders/>
            <w:shd w:fill="auto" w:val="clear"/>
          </w:tcPr>
          <w:p>
            <w:pPr>
              <w:pStyle w:val="TableContents"/>
              <w:spacing w:before="0" w:after="283"/>
              <w:jc w:val="left"/>
              <w:rPr/>
            </w:pPr>
            <w:r>
              <w:rPr/>
              <w:t> </w:t>
            </w:r>
          </w:p>
        </w:tc>
      </w:tr>
      <w:tr>
        <w:trPr/>
        <w:tc>
          <w:tcPr>
            <w:tcW w:w="332" w:type="dxa"/>
            <w:tcBorders/>
            <w:shd w:fill="auto" w:val="clear"/>
          </w:tcPr>
          <w:p>
            <w:pPr>
              <w:pStyle w:val="TableContents"/>
              <w:spacing w:before="0" w:after="0"/>
              <w:ind w:left="0" w:right="0" w:hanging="0"/>
              <w:rPr/>
            </w:pPr>
            <w:r>
              <w:rPr/>
              <w:t xml:space="preserve">By: </w:t>
            </w:r>
          </w:p>
        </w:tc>
        <w:tc>
          <w:tcPr>
            <w:tcW w:w="128" w:type="dxa"/>
            <w:tcBorders/>
            <w:shd w:fill="auto" w:val="clear"/>
            <w:vAlign w:val="bottom"/>
          </w:tcPr>
          <w:p>
            <w:pPr>
              <w:pStyle w:val="TableContents"/>
              <w:spacing w:before="0" w:after="283"/>
              <w:rPr/>
            </w:pPr>
            <w:r>
              <w:rPr/>
              <w:t> </w:t>
            </w:r>
          </w:p>
        </w:tc>
        <w:tc>
          <w:tcPr>
            <w:tcW w:w="3313" w:type="dxa"/>
            <w:tcBorders/>
            <w:shd w:fill="auto" w:val="clear"/>
          </w:tcPr>
          <w:p>
            <w:pPr>
              <w:pStyle w:val="TableContents"/>
              <w:spacing w:before="0" w:after="0"/>
              <w:jc w:val="left"/>
              <w:rPr/>
            </w:pPr>
            <w:r>
              <w:rPr/>
              <w:t xml:space="preserve">/s/ Edward Nishio </w:t>
            </w:r>
          </w:p>
          <w:p>
            <w:pPr>
              <w:pStyle w:val="TableContents"/>
              <w:spacing w:before="0" w:after="0"/>
              <w:jc w:val="left"/>
              <w:rPr>
                <w:bdr w:val="single" w:sz="2" w:space="1" w:color="000000"/>
              </w:rPr>
            </w:pPr>
            <w:r>
              <w:rPr>
                <w:bdr w:val="single" w:sz="2" w:space="1" w:color="000000"/>
              </w:rPr>
              <w:t> </w:t>
            </w:r>
          </w:p>
        </w:tc>
        <w:tc>
          <w:tcPr>
            <w:tcW w:w="128" w:type="dxa"/>
            <w:tcBorders/>
            <w:shd w:fill="auto" w:val="clear"/>
            <w:vAlign w:val="bottom"/>
          </w:tcPr>
          <w:p>
            <w:pPr>
              <w:pStyle w:val="TableContents"/>
              <w:spacing w:before="0" w:after="283"/>
              <w:rPr/>
            </w:pPr>
            <w:r>
              <w:rPr/>
              <w:t> </w:t>
            </w:r>
          </w:p>
        </w:tc>
        <w:tc>
          <w:tcPr>
            <w:tcW w:w="1139"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3282"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1065" w:type="dxa"/>
            <w:tcBorders/>
            <w:shd w:fill="auto" w:val="clear"/>
          </w:tcPr>
          <w:p>
            <w:pPr>
              <w:pStyle w:val="TableContents"/>
              <w:spacing w:before="0" w:after="283"/>
              <w:jc w:val="left"/>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Pages>
  <Words>8014</Words>
  <CharactersWithSpaces>49705</CharactersWithSpaces>
  <Paragraphs>641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exv10w1</dc:title>
</cp:coreProperties>
</file>