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240"/>
        <w:ind w:left="0" w:right="0" w:hanging="0"/>
        <w:jc w:val="center"/>
        <w:rPr/>
      </w:pPr>
      <w:bookmarkStart w:id="0" w:name="cvgw-20260312x8k.htm"/>
      <w:bookmarkStart w:id="1" w:name="kscvgw20260312x8k"/>
      <w:bookmarkEnd w:id="0"/>
      <w:bookmarkEnd w:id="1"/>
      <w:r>
        <w:rPr/>
        <w:t>​</w:t>
      </w:r>
    </w:p>
    <w:p>
      <w:pPr>
        <w:pStyle w:val="TextBody"/>
        <w:bidi w:val="0"/>
        <w:spacing w:before="0" w:after="0"/>
        <w:ind w:left="0" w:right="0" w:hanging="0"/>
        <w:jc w:val="center"/>
        <w:rPr>
          <w:rFonts w:ascii="Times New Roman;Times;serif" w:hAnsi="Times New Roman;Times;serif"/>
          <w:sz w:val="20"/>
        </w:rPr>
      </w:pPr>
      <w:bookmarkStart w:id="2" w:name="_4482abdb_9e0b_4e28_b41c_a49e5ef22569"/>
      <w:bookmarkEnd w:id="2"/>
      <w:r>
        <w:rPr>
          <w:rFonts w:ascii="Times New Roman;Times;serif" w:hAnsi="Times New Roman;Times;serif"/>
          <w:sz w:val="20"/>
        </w:rPr>
        <w:t>UNITED STATES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AND EXCHANGE COMMISSION</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CURRENT REPORT PURSUANT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TO SECTION 13 OR 15(d) OF THE</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SECURITIES EXCHANGE ACT OF 1934</w:t>
      </w:r>
    </w:p>
    <w:p>
      <w:pPr>
        <w:pStyle w:val="TextBody"/>
        <w:bidi w:val="0"/>
        <w:spacing w:before="0" w:after="200"/>
        <w:ind w:left="0" w:right="0" w:hanging="0"/>
        <w:jc w:val="center"/>
        <w:rPr>
          <w:rFonts w:ascii="Times New Roman;Times;serif" w:hAnsi="Times New Roman;Times;serif"/>
          <w:sz w:val="20"/>
        </w:rPr>
      </w:pPr>
      <w:r>
        <w:rPr>
          <w:rFonts w:ascii="Times New Roman;Times;serif" w:hAnsi="Times New Roman;Times;serif"/>
          <w:sz w:val="20"/>
        </w:rPr>
        <w:t xml:space="preserve">Date of Report (Date of earliest event reported): </w:t>
      </w:r>
      <w:r>
        <w:rPr>
          <w:rFonts w:ascii="Times New Roman;Times;serif" w:hAnsi="Times New Roman;Times;serif"/>
          <w:b/>
          <w:sz w:val="20"/>
        </w:rPr>
        <w:t>March 12, 2026</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CALAVO GROWERS,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zAggIEq8y0Glo0yZJKy5Lw_2_4"/>
      <w:bookmarkStart w:id="4" w:name="Tc_1epLTmpYzkaiLhOn2FUwKw_2_2"/>
      <w:bookmarkStart w:id="5" w:name="Tc__OT4A6OXcUyaYDc49eb9UA_2_0"/>
      <w:bookmarkStart w:id="6" w:name="_7d263127_f640_4003_8520_0d02290d9123"/>
      <w:bookmarkStart w:id="7" w:name="Tc_zAggIEq8y0Glo0yZJKy5Lw_2_4"/>
      <w:bookmarkStart w:id="8" w:name="Tc_1epLTmpYzkaiLhOn2FUwKw_2_2"/>
      <w:bookmarkStart w:id="9" w:name="Tc__OT4A6OXcUyaYDc49eb9UA_2_0"/>
      <w:bookmarkStart w:id="10" w:name="_7d263127_f640_4003_8520_0d02290d9123"/>
      <w:bookmarkEnd w:id="7"/>
      <w:bookmarkEnd w:id="8"/>
      <w:bookmarkEnd w:id="9"/>
      <w:bookmarkEnd w:id="10"/>
    </w:p>
    <w:tbl>
      <w:tblPr>
        <w:tblW w:w="7010" w:type="dxa"/>
        <w:jc w:val="left"/>
        <w:tblInd w:w="0" w:type="dxa"/>
        <w:tblLayout w:type="fixed"/>
        <w:tblCellMar>
          <w:top w:w="0" w:type="dxa"/>
          <w:left w:w="0" w:type="dxa"/>
          <w:bottom w:w="0" w:type="dxa"/>
          <w:right w:w="0" w:type="dxa"/>
        </w:tblCellMar>
      </w:tblPr>
      <w:tblGrid>
        <w:gridCol w:w="2491"/>
        <w:gridCol w:w="286"/>
        <w:gridCol w:w="2296"/>
        <w:gridCol w:w="286"/>
        <w:gridCol w:w="1651"/>
      </w:tblGrid>
      <w:tr>
        <w:trPr/>
        <w:tc>
          <w:tcPr>
            <w:tcW w:w="249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229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51" w:type="dxa"/>
            <w:tcBorders/>
            <w:vAlign w:val="center"/>
          </w:tcPr>
          <w:p>
            <w:pPr>
              <w:pStyle w:val="TableContents"/>
              <w:bidi w:val="0"/>
              <w:spacing w:before="0" w:after="0"/>
              <w:ind w:left="0" w:right="0" w:hanging="0"/>
              <w:jc w:val="left"/>
              <w:rPr/>
            </w:pPr>
            <w:r>
              <w:rPr/>
              <w:t>​</w:t>
            </w:r>
          </w:p>
        </w:tc>
      </w:tr>
      <w:tr>
        <w:trPr/>
        <w:tc>
          <w:tcPr>
            <w:tcW w:w="24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California</w:t>
            </w:r>
          </w:p>
        </w:tc>
        <w:tc>
          <w:tcPr>
            <w:tcW w:w="286" w:type="dxa"/>
            <w:tcBorders/>
            <w:vAlign w:val="center"/>
          </w:tcPr>
          <w:p>
            <w:pPr>
              <w:pStyle w:val="TableContents"/>
              <w:bidi w:val="0"/>
              <w:spacing w:before="0" w:after="0"/>
              <w:ind w:left="0" w:right="0" w:hanging="0"/>
              <w:jc w:val="center"/>
              <w:rPr/>
            </w:pPr>
            <w:r>
              <w:rPr/>
              <w:t>  ​ ​</w:t>
            </w:r>
          </w:p>
        </w:tc>
        <w:tc>
          <w:tcPr>
            <w:tcW w:w="22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000-33385</w:t>
            </w:r>
          </w:p>
        </w:tc>
        <w:tc>
          <w:tcPr>
            <w:tcW w:w="286" w:type="dxa"/>
            <w:tcBorders/>
            <w:vAlign w:val="center"/>
          </w:tcPr>
          <w:p>
            <w:pPr>
              <w:pStyle w:val="TableContents"/>
              <w:bidi w:val="0"/>
              <w:spacing w:before="0" w:after="0"/>
              <w:ind w:left="0" w:right="0" w:hanging="0"/>
              <w:jc w:val="center"/>
              <w:rPr/>
            </w:pPr>
            <w:r>
              <w:rPr/>
              <w:t>  ​ ​</w:t>
            </w:r>
          </w:p>
        </w:tc>
        <w:tc>
          <w:tcPr>
            <w:tcW w:w="16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33-0945304</w:t>
            </w:r>
          </w:p>
        </w:tc>
      </w:tr>
      <w:tr>
        <w:trPr/>
        <w:tc>
          <w:tcPr>
            <w:tcW w:w="24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w:t>
              <w:br/>
              <w:t>jurisdiction of incorporation)</w:t>
            </w:r>
          </w:p>
        </w:tc>
        <w:tc>
          <w:tcPr>
            <w:tcW w:w="286" w:type="dxa"/>
            <w:tcBorders/>
            <w:vAlign w:val="center"/>
          </w:tcPr>
          <w:p>
            <w:pPr>
              <w:pStyle w:val="TableContents"/>
              <w:bidi w:val="0"/>
              <w:spacing w:before="0" w:after="0"/>
              <w:ind w:left="0" w:right="0" w:hanging="0"/>
              <w:jc w:val="left"/>
              <w:rPr/>
            </w:pPr>
            <w:r>
              <w:rPr/>
              <w:t>​</w:t>
            </w:r>
          </w:p>
        </w:tc>
        <w:tc>
          <w:tcPr>
            <w:tcW w:w="22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 File Number)</w:t>
            </w:r>
          </w:p>
        </w:tc>
        <w:tc>
          <w:tcPr>
            <w:tcW w:w="286" w:type="dxa"/>
            <w:tcBorders/>
            <w:vAlign w:val="center"/>
          </w:tcPr>
          <w:p>
            <w:pPr>
              <w:pStyle w:val="TableContents"/>
              <w:bidi w:val="0"/>
              <w:spacing w:before="0" w:after="0"/>
              <w:ind w:left="0" w:right="0" w:hanging="0"/>
              <w:jc w:val="center"/>
              <w:rPr/>
            </w:pPr>
            <w:r>
              <w:rPr/>
              <w:t>​</w:t>
            </w:r>
          </w:p>
        </w:tc>
        <w:tc>
          <w:tcPr>
            <w:tcW w:w="16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1141-A Cummings Road, Santa Paula, California</w:t>
      </w:r>
      <w:r>
        <w:rPr>
          <w:rFonts w:ascii="Times New Roman;Times;serif" w:hAnsi="Times New Roman;Times;serif"/>
          <w:sz w:val="20"/>
        </w:rPr>
        <w:t xml:space="preserve"> </w:t>
      </w:r>
      <w:r>
        <w:rPr>
          <w:rFonts w:ascii="Times New Roman;Times;serif" w:hAnsi="Times New Roman;Times;serif"/>
          <w:b/>
          <w:sz w:val="20"/>
        </w:rPr>
        <w:t>93060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 (Zip Code)</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(805) 525-1245</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120"/>
        <w:ind w:left="0" w:right="0" w:hanging="0"/>
        <w:jc w:val="both"/>
        <w:rPr/>
      </w:pPr>
      <w:r>
        <w:rPr/>
        <w:t>☒  </w:t>
      </w:r>
      <w:r>
        <w:rPr>
          <w:rFonts w:ascii="Times New Roman;Times;serif" w:hAnsi="Times New Roman;Times;serif"/>
          <w:sz w:val="20"/>
        </w:rPr>
        <w:t>Written communications pursuant to Rule 425 under the Securities Act (17 CFR 230.425)</w:t>
      </w:r>
    </w:p>
    <w:p>
      <w:pPr>
        <w:pStyle w:val="TextBody"/>
        <w:bidi w:val="0"/>
        <w:spacing w:before="0" w:after="120"/>
        <w:ind w:left="0" w:right="0" w:hanging="0"/>
        <w:jc w:val="both"/>
        <w:rPr/>
      </w:pPr>
      <w:r>
        <w:rPr/>
        <w:t>☐  </w:t>
      </w:r>
      <w:r>
        <w:rPr>
          <w:rFonts w:ascii="Times New Roman;Times;serif" w:hAnsi="Times New Roman;Times;serif"/>
          <w:sz w:val="20"/>
        </w:rPr>
        <w:t>Soliciting material pursuant to Rule 14a-12 under the Exchange Act (17 CFR 240.14a-12)</w:t>
      </w:r>
    </w:p>
    <w:p>
      <w:pPr>
        <w:pStyle w:val="TextBody"/>
        <w:bidi w:val="0"/>
        <w:spacing w:before="0" w:after="120"/>
        <w:ind w:left="0" w:right="0" w:hanging="0"/>
        <w:jc w:val="both"/>
        <w:rPr/>
      </w:pPr>
      <w:r>
        <w:rPr/>
        <w:t>☐  </w:t>
      </w:r>
      <w:r>
        <w:rPr>
          <w:rFonts w:ascii="Times New Roman;Times;serif" w:hAnsi="Times New Roman;Times;serif"/>
          <w:sz w:val="20"/>
        </w:rPr>
        <w:t>Pre-commencement communications pursuant to Rule 14d-2(b) under the Exchange Act (17 CFR 240.14d-2(b))</w:t>
      </w:r>
    </w:p>
    <w:p>
      <w:pPr>
        <w:pStyle w:val="TextBody"/>
        <w:bidi w:val="0"/>
        <w:spacing w:before="0" w:after="120"/>
        <w:ind w:left="0" w:right="0" w:hanging="0"/>
        <w:jc w:val="both"/>
        <w:rPr/>
      </w:pPr>
      <w:r>
        <w:rPr/>
        <w:t>☐  </w:t>
      </w:r>
      <w:r>
        <w:rPr>
          <w:rFonts w:ascii="Times New Roman;Times;serif" w:hAnsi="Times New Roman;Times;serif"/>
          <w:sz w:val="20"/>
        </w:rPr>
        <w:t>Pre-commencement communications pursuant to Rule 13e-4(c) under the Exchange Act (17 CFR 240.13e-4(c))</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xkT4KwVxIEmYx1vy0okRHQ_1_4"/>
      <w:bookmarkStart w:id="12" w:name="Tc_C5umWaZyxke433atAmxO3g_1_2"/>
      <w:bookmarkStart w:id="13" w:name="Tc_WS_GQegc8UatQyQygafHcQ_1_0"/>
      <w:bookmarkStart w:id="14" w:name="_150660bc_8c0e_4db4_99d3_754e56291b24"/>
      <w:bookmarkStart w:id="15" w:name="Tc_xkT4KwVxIEmYx1vy0okRHQ_1_4"/>
      <w:bookmarkStart w:id="16" w:name="Tc_C5umWaZyxke433atAmxO3g_1_2"/>
      <w:bookmarkStart w:id="17" w:name="Tc_WS_GQegc8UatQyQygafHcQ_1_0"/>
      <w:bookmarkStart w:id="18" w:name="_150660bc_8c0e_4db4_99d3_754e56291b24"/>
      <w:bookmarkEnd w:id="15"/>
      <w:bookmarkEnd w:id="16"/>
      <w:bookmarkEnd w:id="17"/>
      <w:bookmarkEnd w:id="18"/>
    </w:p>
    <w:tbl>
      <w:tblPr>
        <w:tblW w:w="7475" w:type="dxa"/>
        <w:jc w:val="left"/>
        <w:tblInd w:w="0" w:type="dxa"/>
        <w:tblLayout w:type="fixed"/>
        <w:tblCellMar>
          <w:top w:w="0" w:type="dxa"/>
          <w:left w:w="0" w:type="dxa"/>
          <w:bottom w:w="0" w:type="dxa"/>
          <w:right w:w="0" w:type="dxa"/>
        </w:tblCellMar>
      </w:tblPr>
      <w:tblGrid>
        <w:gridCol w:w="1576"/>
        <w:gridCol w:w="286"/>
        <w:gridCol w:w="1621"/>
        <w:gridCol w:w="286"/>
        <w:gridCol w:w="3706"/>
      </w:tblGrid>
      <w:tr>
        <w:trPr/>
        <w:tc>
          <w:tcPr>
            <w:tcW w:w="157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1621"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3706" w:type="dxa"/>
            <w:tcBorders/>
            <w:vAlign w:val="center"/>
          </w:tcPr>
          <w:p>
            <w:pPr>
              <w:pStyle w:val="TableContents"/>
              <w:bidi w:val="0"/>
              <w:spacing w:before="0" w:after="0"/>
              <w:ind w:left="0" w:right="0" w:hanging="0"/>
              <w:jc w:val="left"/>
              <w:rPr/>
            </w:pPr>
            <w:r>
              <w:rPr/>
              <w:t>​</w:t>
            </w:r>
          </w:p>
        </w:tc>
      </w:tr>
      <w:tr>
        <w:trPr/>
        <w:tc>
          <w:tcPr>
            <w:tcW w:w="15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 ​</w:t>
            </w:r>
          </w:p>
        </w:tc>
        <w:tc>
          <w:tcPr>
            <w:tcW w:w="16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286" w:type="dxa"/>
            <w:tcBorders>
              <w:bottom w:val="single" w:sz="2" w:space="0" w:color="000000"/>
            </w:tcBorders>
            <w:tcMar>
              <w:bottom w:w="28" w:type="dxa"/>
            </w:tcMar>
            <w:vAlign w:val="center"/>
          </w:tcPr>
          <w:p>
            <w:pPr>
              <w:pStyle w:val="TableContents"/>
              <w:bidi w:val="0"/>
              <w:spacing w:before="0" w:after="0"/>
              <w:ind w:left="0" w:right="0" w:hanging="0"/>
              <w:jc w:val="left"/>
              <w:rPr/>
            </w:pPr>
            <w:r>
              <w:rPr/>
              <w:t>  ​ ​</w:t>
            </w:r>
          </w:p>
        </w:tc>
        <w:tc>
          <w:tcPr>
            <w:tcW w:w="3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Common Stock </w:t>
            </w:r>
          </w:p>
        </w:tc>
        <w:tc>
          <w:tcPr>
            <w:tcW w:w="286" w:type="dxa"/>
            <w:tcBorders/>
            <w:vAlign w:val="center"/>
          </w:tcPr>
          <w:p>
            <w:pPr>
              <w:pStyle w:val="TableContents"/>
              <w:bidi w:val="0"/>
              <w:spacing w:before="0" w:after="0"/>
              <w:ind w:left="0" w:right="0" w:hanging="0"/>
              <w:jc w:val="left"/>
              <w:rPr/>
            </w:pPr>
            <w:r>
              <w:rPr/>
              <w:t>​</w:t>
            </w:r>
          </w:p>
        </w:tc>
        <w:tc>
          <w:tcPr>
            <w:tcW w:w="16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CVGW</w:t>
            </w:r>
          </w:p>
        </w:tc>
        <w:tc>
          <w:tcPr>
            <w:tcW w:w="286" w:type="dxa"/>
            <w:tcBorders/>
            <w:vAlign w:val="center"/>
          </w:tcPr>
          <w:p>
            <w:pPr>
              <w:pStyle w:val="TableContents"/>
              <w:bidi w:val="0"/>
              <w:spacing w:before="0" w:after="0"/>
              <w:ind w:left="0" w:right="0" w:hanging="0"/>
              <w:jc w:val="left"/>
              <w:rPr/>
            </w:pPr>
            <w:r>
              <w:rPr/>
              <w:t>​</w:t>
            </w:r>
          </w:p>
        </w:tc>
        <w:tc>
          <w:tcPr>
            <w:tcW w:w="370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left"/>
        <w:rPr/>
      </w:pPr>
      <w:r>
        <w:rPr/>
        <w:t>​</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firstLine="72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288"/>
        <w:jc w:val="left"/>
        <w:rPr/>
      </w:pPr>
      <w:r>
        <w:rPr/>
        <w:t>​</w:t>
      </w:r>
    </w:p>
    <w:p>
      <w:pPr>
        <w:pStyle w:val="TextBody"/>
        <w:bidi w:val="0"/>
        <w:spacing w:before="0" w:after="240"/>
        <w:ind w:left="0" w:right="0" w:hanging="0"/>
        <w:jc w:val="both"/>
        <w:rPr>
          <w:rFonts w:ascii="Times New Roman;Times;serif" w:hAnsi="Times New Roman;Times;serif"/>
          <w:b/>
          <w:sz w:val="20"/>
        </w:rPr>
      </w:pPr>
      <w:bookmarkStart w:id="19" w:name="_a3a02dab_3a95_4458_9325_66ab03bd3576"/>
      <w:bookmarkEnd w:id="19"/>
      <w:r>
        <w:rPr>
          <w:rFonts w:ascii="Times New Roman;Times;serif" w:hAnsi="Times New Roman;Times;serif"/>
          <w:b/>
          <w:sz w:val="20"/>
        </w:rPr>
        <w:t>Item 2.02. Results of Operations and Financial Condition.</w:t>
      </w:r>
    </w:p>
    <w:p>
      <w:pPr>
        <w:pStyle w:val="TextBody"/>
        <w:bidi w:val="0"/>
        <w:spacing w:before="0" w:after="240"/>
        <w:ind w:left="0" w:right="0" w:firstLine="288"/>
        <w:jc w:val="both"/>
        <w:rPr>
          <w:rFonts w:ascii="Times New Roman;Times;serif" w:hAnsi="Times New Roman;Times;serif"/>
          <w:sz w:val="20"/>
        </w:rPr>
      </w:pPr>
      <w:r>
        <w:rPr>
          <w:rFonts w:ascii="Times New Roman;Times;serif" w:hAnsi="Times New Roman;Times;serif"/>
          <w:sz w:val="20"/>
        </w:rPr>
        <w:t>On March 12, 2026, Calavo Growers, Inc., (“Calavo” or the “Company”) issued a press release announcing our financial results for the three-month period ended January 31, 2026. A copy of the press release is furnished as Exhibit 99.1 to this Form 8-K.</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the Company under the Securities Act of 1933, as amended (the “Securities Act”), or the Exchange Act, except as shall be expressly set forth by specific reference in such filing.</w:t>
      </w:r>
    </w:p>
    <w:p>
      <w:pPr>
        <w:pStyle w:val="TextBody"/>
        <w:bidi w:val="0"/>
        <w:spacing w:before="0" w:after="240"/>
        <w:ind w:left="0" w:right="0" w:hanging="0"/>
        <w:jc w:val="both"/>
        <w:rPr>
          <w:rFonts w:ascii="Times New Roman;Times;serif" w:hAnsi="Times New Roman;Times;serif"/>
          <w:b/>
          <w:sz w:val="20"/>
        </w:rPr>
      </w:pPr>
      <w:bookmarkStart w:id="20" w:name="_ee689616_9ace_452e_82ff_3cf9bda30877"/>
      <w:bookmarkEnd w:id="20"/>
      <w:r>
        <w:rPr>
          <w:rFonts w:ascii="Times New Roman;Times;serif" w:hAnsi="Times New Roman;Times;serif"/>
          <w:b/>
          <w:sz w:val="20"/>
        </w:rPr>
        <w:t>NO OFFER OR SOLICITATION</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This Current Report on Form 8-K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240"/>
        <w:ind w:left="0" w:right="0" w:hanging="0"/>
        <w:jc w:val="both"/>
        <w:rPr>
          <w:rFonts w:ascii="Times New Roman;Times;serif" w:hAnsi="Times New Roman;Times;serif"/>
          <w:b/>
          <w:sz w:val="20"/>
        </w:rPr>
      </w:pPr>
      <w:bookmarkStart w:id="21" w:name="_a1e40051_d5a8_4fd2_abfd_91c04c43d8c5"/>
      <w:bookmarkEnd w:id="21"/>
      <w:r>
        <w:rPr>
          <w:rFonts w:ascii="Times New Roman;Times;serif" w:hAnsi="Times New Roman;Times;serif"/>
          <w:b/>
          <w:sz w:val="20"/>
        </w:rPr>
        <w:t>IMPORTANT ADDITIONAL INFORMATION FILED WITH THE SEC</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In connection with the proposed transaction between the Company and Mission Produce, Inc. (“Mission Produce”) pursuant to the certain Agreement and Plan of Merger dated January 14, 2026 among the Company and Mission Produce, Mission Produce filed with the Securities and Exchange Commission (the “SEC”) a registration statement on Form S-4 (File Number 333-294128) (the “Registration Statement”) that includes the joint proxy statement of Calavo and Mission Produce and that constitutes a prospectus of Mission Produce (the “Joint Proxy Statement/Prospectus”), but the Registration Statement has not yet become effective. Each of Calavo and Mission Produce may also file other relevant documents with the SEC regarding the proposed transaction. This document is not a substitute for the Joint Proxy Statement/Prospectus or registration statement or any other document that Calavo or Mission Produce may file with the SEC. The definitive Joint Proxy Statement/Prospectus (if and when available) will be mailed to stockholders of Mission Produce and shareholders of Calavo.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PRODUCE AND THE PROPOSED TRANSACTION.</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Investors and security holders are able to obtain free copies of the Registration Statement and Joint Proxy Statement/Prospectus (if and when available) and other documents containing important information about Calavo, Mission Produce and the proposed transaction through the website maintained by the SEC at http://www.sec.gov.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Produce may be obtained free of charge on Mission Produce’s website at www. investors.missionproduce.com/financial-information/sec-filings or, alternatively, by directing a request by mail to Mission Produce’s Corporate Secretary at Attention: Corporate Secretary, Mission Produce, 2710 Camino Del Sol, Oxnard, CA 93030.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both"/>
        <w:rPr>
          <w:rFonts w:ascii="Times New Roman;Times;serif" w:hAnsi="Times New Roman;Times;serif"/>
          <w:b/>
          <w:sz w:val="20"/>
        </w:rPr>
      </w:pPr>
      <w:bookmarkStart w:id="22" w:name="_38137cda_ba02_4e43_90ef_41cecd268b3d"/>
      <w:bookmarkEnd w:id="22"/>
      <w:r>
        <w:rPr>
          <w:rFonts w:ascii="Times New Roman;Times;serif" w:hAnsi="Times New Roman;Times;serif"/>
          <w:b/>
          <w:sz w:val="20"/>
        </w:rPr>
        <w:t>PARTICIPANTS IN THE SOLICITATION</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Calavo, Mission Produce and their respective directors and executive officers may be deemed to be participants in any solicitation of proxies in connection with the proposed transaction. Information about Calavo’s directors and executive officers is available in Calavo’s Annual Report on Form 10-K for the year ended October 31, 2025, as amended.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pStyle w:val="TextBody"/>
        <w:bidi w:val="0"/>
        <w:spacing w:before="0" w:after="240"/>
        <w:ind w:left="0" w:right="0" w:hanging="0"/>
        <w:jc w:val="both"/>
        <w:rPr>
          <w:rFonts w:ascii="Times New Roman;Times;serif" w:hAnsi="Times New Roman;Times;serif"/>
          <w:b/>
          <w:sz w:val="20"/>
        </w:rPr>
      </w:pPr>
      <w:bookmarkStart w:id="23" w:name="_591bbb4b_b411_4700_a440_5e2035e4585f"/>
      <w:bookmarkEnd w:id="23"/>
      <w:r>
        <w:rPr>
          <w:rFonts w:ascii="Times New Roman;Times;serif" w:hAnsi="Times New Roman;Times;serif"/>
          <w:b/>
          <w:sz w:val="20"/>
        </w:rPr>
        <w:t>FORWARD LOOKING STATEMENTS</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This Current Report on Form 8-K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statements about trends in sales and volume growth of tomatoes, avocados and guacamole products in the United States and international markets; the success and profitability of certain branded products; the seasonality of certain retail and foodservice opportunities</w:t>
      </w:r>
      <w:r>
        <w:rPr>
          <w:rFonts w:ascii="Times New Roman;Times;serif" w:hAnsi="Times New Roman;Times;serif"/>
          <w:b/>
          <w:sz w:val="20"/>
        </w:rPr>
        <w:t xml:space="preserve">; </w:t>
      </w:r>
      <w:r>
        <w:rPr>
          <w:rFonts w:ascii="Times New Roman;Times;serif" w:hAnsi="Times New Roman;Times;serif"/>
          <w:sz w:val="20"/>
        </w:rPr>
        <w:t>the benefits of the proposed transaction involving Calavo and Mission Produce, including future financial and operating results, Calavo’s and Mission Produce’s plans, objectives, expectations and intentions, the expected timing and likelihood of completion of the proposed transaction, and other statements that are not historical facts;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value added tax (“IVA”) refund collections in Mexico; statements regarding the timing and outcomes of legal and tax proceedings in Mexico, including the recovery of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pStyle w:val="TextBody"/>
        <w:bidi w:val="0"/>
        <w:spacing w:before="0" w:after="0"/>
        <w:ind w:left="0" w:right="0" w:firstLine="288"/>
        <w:jc w:val="left"/>
        <w:rPr>
          <w:rFonts w:ascii="Times New Roman;Times;serif" w:hAnsi="Times New Roman;Times;serif"/>
          <w:sz w:val="20"/>
        </w:rPr>
      </w:pPr>
      <w:r>
        <w:rPr>
          <w:rFonts w:ascii="Times New Roman;Times;serif" w:hAnsi="Times New Roman;Times;serif"/>
          <w:sz w:val="20"/>
        </w:rPr>
        <w:t xml:space="preserve">Risks and uncertainties that may cause our actual results to be materially different from any future results expressed or implied by the forward-looking statements include, but are not limited to, the following: the ability to obtain the requisite Calavo and Mission Produce stockholder approvals; the risk that Calavo or Mission Produce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Produce’s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Produce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Mexican Tax Administrative Service (SAT) and our defenses against collection activities commenced by SAT; our ability to realize the expected expense savings from the sale of the Fresh Cut business; and risks related to enhanced regulatory scrutiny or inspection protocols, including detention holds by the U.S. Food and Drug Administration, which can result in shipment delays, third-party testing requirements, incremental logistics and handling costs, and inventory write-downs, and which could in the future result in additional delays, costs, loss of product value, or disruption to customer orders.</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For further discussion of these risks and uncertainties and other risks and uncertainties that we face, please see the risk factors described in our most recent Annual Report on Form 10-K filed with the Securities and Exchange Commission (the “SEC”) and any subsequent updates that may be contained in our Quarterly Reports on Form 10-Q and other filings with the SEC. Forward-looking statements contained in this Current Report on Form 8-K are made only as of the date of this Current Report on Form 8-K, and we undertake no obligation to update or revise the forward-looking statements, whether because of new information, future events or otherwise.</w:t>
      </w:r>
    </w:p>
    <w:p>
      <w:pPr>
        <w:pStyle w:val="TextBody"/>
        <w:bidi w:val="0"/>
        <w:spacing w:before="0" w:after="240"/>
        <w:ind w:left="0" w:right="0" w:hanging="0"/>
        <w:jc w:val="both"/>
        <w:rPr>
          <w:rFonts w:ascii="Times New Roman;Times;serif" w:hAnsi="Times New Roman;Times;serif"/>
          <w:b/>
          <w:sz w:val="20"/>
        </w:rPr>
      </w:pPr>
      <w:bookmarkStart w:id="24" w:name="_2ce8a329_e667_4277_8d95_f9b592d9b7f3"/>
      <w:bookmarkEnd w:id="24"/>
      <w:r>
        <w:rPr>
          <w:rFonts w:ascii="Times New Roman;Times;serif" w:hAnsi="Times New Roman;Times;serif"/>
          <w:b/>
          <w:sz w:val="20"/>
        </w:rPr>
        <w:t>Item 9.01. Financial Statements and Exhibits.</w:t>
      </w:r>
    </w:p>
    <w:tbl>
      <w:tblPr>
        <w:tblW w:w="7788" w:type="dxa"/>
        <w:jc w:val="left"/>
        <w:tblInd w:w="0" w:type="dxa"/>
        <w:tblLayout w:type="fixed"/>
        <w:tblCellMar>
          <w:top w:w="0" w:type="dxa"/>
          <w:left w:w="0" w:type="dxa"/>
          <w:bottom w:w="0" w:type="dxa"/>
          <w:right w:w="0" w:type="dxa"/>
        </w:tblCellMar>
      </w:tblPr>
      <w:tblGrid>
        <w:gridCol w:w="346"/>
        <w:gridCol w:w="796"/>
        <w:gridCol w:w="6646"/>
      </w:tblGrid>
      <w:tr>
        <w:trPr/>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6646" w:type="dxa"/>
            <w:tcBorders/>
            <w:vAlign w:val="center"/>
          </w:tcPr>
          <w:p>
            <w:pPr>
              <w:pStyle w:val="TableContents"/>
              <w:bidi w:val="0"/>
              <w:spacing w:before="0" w:after="0"/>
              <w:ind w:left="0" w:right="0" w:hanging="0"/>
              <w:jc w:val="left"/>
              <w:rPr/>
            </w:pPr>
            <w:r>
              <w:rPr/>
              <w:t>​</w:t>
            </w:r>
          </w:p>
        </w:tc>
      </w:tr>
      <w:tr>
        <w:trPr/>
        <w:tc>
          <w:tcPr>
            <w:tcW w:w="3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Exhibits</w:t>
            </w:r>
          </w:p>
        </w:tc>
        <w:tc>
          <w:tcPr>
            <w:tcW w:w="6646" w:type="dxa"/>
            <w:tcBorders/>
            <w:vAlign w:val="center"/>
          </w:tcPr>
          <w:p>
            <w:pPr>
              <w:pStyle w:val="TableContents"/>
              <w:bidi w:val="0"/>
              <w:spacing w:before="0" w:after="0"/>
              <w:ind w:left="0" w:right="0" w:hanging="0"/>
              <w:jc w:val="left"/>
              <w:rPr/>
            </w:pPr>
            <w:r>
              <w:rPr/>
              <w:t>​</w:t>
            </w:r>
          </w:p>
        </w:tc>
      </w:tr>
      <w:tr>
        <w:trPr/>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6646" w:type="dxa"/>
            <w:tcBorders/>
            <w:vAlign w:val="center"/>
          </w:tcPr>
          <w:p>
            <w:pPr>
              <w:pStyle w:val="TableContents"/>
              <w:bidi w:val="0"/>
              <w:spacing w:before="0" w:after="0"/>
              <w:ind w:left="0" w:right="0" w:hanging="0"/>
              <w:jc w:val="left"/>
              <w:rPr/>
            </w:pPr>
            <w:hyperlink w:anchor="cvgw-20260312xex99d1.htm">
              <w:r>
                <w:rPr>
                  <w:rStyle w:val="InternetLink"/>
                  <w:rFonts w:ascii="Times New Roman;Times;serif" w:hAnsi="Times New Roman;Times;serif"/>
                  <w:b w:val="false"/>
                  <w:i w:val="false"/>
                  <w:caps w:val="false"/>
                  <w:smallCaps w:val="false"/>
                  <w:sz w:val="20"/>
                </w:rPr>
                <w:t>Press Release dated March 12, 2026 of the Company.</w:t>
              </w:r>
            </w:hyperlink>
          </w:p>
        </w:tc>
      </w:tr>
      <w:tr>
        <w:trPr/>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25" w:name="_37b3adf3_4f60_4843_bb71_fef3f6c2cd75"/>
      <w:bookmarkEnd w:id="25"/>
      <w:r>
        <w:rPr>
          <w:rFonts w:ascii="Times New Roman;Times;serif" w:hAnsi="Times New Roman;Times;serif"/>
          <w:b/>
          <w:sz w:val="20"/>
        </w:rPr>
        <w:t>SIGNATURE</w:t>
      </w:r>
    </w:p>
    <w:p>
      <w:pPr>
        <w:pStyle w:val="TextBody"/>
        <w:bidi w:val="0"/>
        <w:spacing w:before="0" w:after="240"/>
        <w:ind w:left="0" w:right="0" w:firstLine="288"/>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5253" w:type="dxa"/>
        <w:jc w:val="left"/>
        <w:tblInd w:w="0" w:type="dxa"/>
        <w:tblLayout w:type="fixed"/>
        <w:tblCellMar>
          <w:top w:w="0" w:type="dxa"/>
          <w:left w:w="0" w:type="dxa"/>
          <w:bottom w:w="0" w:type="dxa"/>
          <w:right w:w="0" w:type="dxa"/>
        </w:tblCellMar>
      </w:tblPr>
      <w:tblGrid>
        <w:gridCol w:w="1411"/>
        <w:gridCol w:w="631"/>
        <w:gridCol w:w="3211"/>
      </w:tblGrid>
      <w:tr>
        <w:trPr/>
        <w:tc>
          <w:tcPr>
            <w:tcW w:w="1411" w:type="dxa"/>
            <w:tcBorders/>
            <w:vAlign w:val="center"/>
          </w:tcPr>
          <w:p>
            <w:pPr>
              <w:pStyle w:val="TableContents"/>
              <w:bidi w:val="0"/>
              <w:spacing w:before="0" w:after="0"/>
              <w:ind w:left="0" w:right="0" w:hanging="0"/>
              <w:jc w:val="left"/>
              <w:rPr/>
            </w:pPr>
            <w:r>
              <w:rPr/>
              <w:t>​</w:t>
            </w:r>
          </w:p>
        </w:tc>
        <w:tc>
          <w:tcPr>
            <w:tcW w:w="384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Calavo Growers, Inc.</w:t>
            </w:r>
          </w:p>
        </w:tc>
      </w:tr>
      <w:tr>
        <w:trPr/>
        <w:tc>
          <w:tcPr>
            <w:tcW w:w="1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12, 2026</w:t>
            </w:r>
          </w:p>
        </w:tc>
        <w:tc>
          <w:tcPr>
            <w:tcW w:w="3842" w:type="dxa"/>
            <w:gridSpan w:val="2"/>
            <w:tcBorders/>
            <w:vAlign w:val="center"/>
          </w:tcPr>
          <w:p>
            <w:pPr>
              <w:pStyle w:val="TableContents"/>
              <w:bidi w:val="0"/>
              <w:spacing w:before="0" w:after="0"/>
              <w:ind w:left="0" w:right="0" w:hanging="0"/>
              <w:jc w:val="left"/>
              <w:rPr/>
            </w:pPr>
            <w:r>
              <w:rPr/>
              <w:t>​</w:t>
            </w:r>
          </w:p>
        </w:tc>
      </w:tr>
      <w:tr>
        <w:trPr/>
        <w:tc>
          <w:tcPr>
            <w:tcW w:w="14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 John Lindeman</w:t>
            </w:r>
          </w:p>
        </w:tc>
      </w:tr>
      <w:tr>
        <w:trPr/>
        <w:tc>
          <w:tcPr>
            <w:tcW w:w="14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 John Lindeman</w:t>
            </w:r>
          </w:p>
        </w:tc>
      </w:tr>
      <w:tr>
        <w:trPr/>
        <w:tc>
          <w:tcPr>
            <w:tcW w:w="14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41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40"/>
        <w:ind w:left="0" w:right="0" w:hanging="0"/>
        <w:jc w:val="right"/>
        <w:rPr>
          <w:rFonts w:ascii="Times New Roman;Times;serif" w:hAnsi="Times New Roman;Times;serif"/>
          <w:b/>
          <w:sz w:val="20"/>
        </w:rPr>
      </w:pPr>
      <w:bookmarkStart w:id="26" w:name="cvgw-20260312xex99d1.htm"/>
      <w:bookmarkStart w:id="27" w:name="kscvgw20260312xex99d1"/>
      <w:bookmarkEnd w:id="26"/>
      <w:bookmarkEnd w:id="27"/>
      <w:r>
        <w:rPr>
          <w:rFonts w:ascii="Times New Roman;Times;serif" w:hAnsi="Times New Roman;Times;serif"/>
          <w:b/>
          <w:sz w:val="20"/>
        </w:rPr>
        <w:t>Exhibit 99.1</w:t>
      </w:r>
      <w:r>
        <w:br w:type="page"/>
      </w:r>
    </w:p>
    <w:p>
      <w:pPr>
        <w:pStyle w:val="TextBody"/>
        <w:bidi w:val="0"/>
        <w:spacing w:before="0" w:after="120"/>
        <w:ind w:left="0" w:right="0" w:hanging="0"/>
        <w:jc w:val="center"/>
        <w:rPr/>
      </w:pPr>
      <w:r>
        <w:rPr/>
        <w:drawing>
          <wp:inline distT="0" distB="0" distL="0" distR="0">
            <wp:extent cx="1952625" cy="1066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52625" cy="1066800"/>
                    </a:xfrm>
                    <a:prstGeom prst="rect">
                      <a:avLst/>
                    </a:prstGeom>
                  </pic:spPr>
                </pic:pic>
              </a:graphicData>
            </a:graphic>
          </wp:inline>
        </w:drawing>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Calavo Growers, Inc. Announces First Quarter 2026 Financial Results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SANTA PAULA, Calif., March 12, 2026 (GLOBE NEWSWIRE) -- </w:t>
      </w:r>
      <w:r>
        <w:rPr>
          <w:rFonts w:ascii="Times New Roman;Times;serif" w:hAnsi="Times New Roman;Times;serif"/>
          <w:b/>
          <w:sz w:val="20"/>
        </w:rPr>
        <w:t xml:space="preserve">Calavo Growers, Inc. (Nasdaq-GS: CVGW) </w:t>
      </w:r>
      <w:r>
        <w:rPr>
          <w:rFonts w:ascii="Times New Roman;Times;serif" w:hAnsi="Times New Roman;Times;serif"/>
          <w:sz w:val="20"/>
        </w:rPr>
        <w:t>(“Calavo” or the “Company”)</w:t>
      </w:r>
      <w:r>
        <w:rPr>
          <w:rFonts w:ascii="Times New Roman;Times;serif" w:hAnsi="Times New Roman;Times;serif"/>
          <w:b/>
          <w:sz w:val="20"/>
        </w:rPr>
        <w:t xml:space="preserve">, </w:t>
      </w:r>
      <w:r>
        <w:rPr>
          <w:rFonts w:ascii="Times New Roman;Times;serif" w:hAnsi="Times New Roman;Times;serif"/>
          <w:sz w:val="20"/>
        </w:rPr>
        <w:t>a global leader in sourcing, packing and distribution of fresh avocados, tomatoes, papayas and processing of guacamole and other avocado products, today reported its financial results for the first fiscal quarter ended January 31, 2026.</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Comparison of First Quarter of Fiscal Year 2026 vs. Prior Year Period</w:t>
      </w:r>
    </w:p>
    <w:tbl>
      <w:tblPr>
        <w:tblW w:w="5343" w:type="dxa"/>
        <w:jc w:val="left"/>
        <w:tblInd w:w="0" w:type="dxa"/>
        <w:tblLayout w:type="fixed"/>
        <w:tblCellMar>
          <w:top w:w="0" w:type="dxa"/>
          <w:left w:w="0" w:type="dxa"/>
          <w:bottom w:w="0" w:type="dxa"/>
          <w:right w:w="0" w:type="dxa"/>
        </w:tblCellMar>
      </w:tblPr>
      <w:tblGrid>
        <w:gridCol w:w="23"/>
        <w:gridCol w:w="95"/>
        <w:gridCol w:w="52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52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Total net sales were $122.2 million, compared to $154.4 million</w:t>
            </w:r>
          </w:p>
        </w:tc>
      </w:tr>
    </w:tbl>
    <w:tbl>
      <w:tblPr>
        <w:tblW w:w="4833" w:type="dxa"/>
        <w:jc w:val="left"/>
        <w:tblInd w:w="0" w:type="dxa"/>
        <w:tblLayout w:type="fixed"/>
        <w:tblCellMar>
          <w:top w:w="0" w:type="dxa"/>
          <w:left w:w="0" w:type="dxa"/>
          <w:bottom w:w="0" w:type="dxa"/>
          <w:right w:w="0" w:type="dxa"/>
        </w:tblCellMar>
      </w:tblPr>
      <w:tblGrid>
        <w:gridCol w:w="23"/>
        <w:gridCol w:w="95"/>
        <w:gridCol w:w="471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471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Gross profit was $15.2 million, compared to $15.7 million</w:t>
            </w:r>
          </w:p>
        </w:tc>
      </w:tr>
    </w:tbl>
    <w:tbl>
      <w:tblPr>
        <w:tblW w:w="10205" w:type="dxa"/>
        <w:jc w:val="left"/>
        <w:tblInd w:w="0" w:type="dxa"/>
        <w:tblLayout w:type="fixed"/>
        <w:tblCellMar>
          <w:top w:w="0" w:type="dxa"/>
          <w:left w:w="0" w:type="dxa"/>
          <w:bottom w:w="0" w:type="dxa"/>
          <w:right w:w="0" w:type="dxa"/>
        </w:tblCellMar>
      </w:tblPr>
      <w:tblGrid>
        <w:gridCol w:w="23"/>
        <w:gridCol w:w="95"/>
        <w:gridCol w:w="10087"/>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100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SG&amp;A expense was $16.4 million, impacted by $7.2 million of non-recurring, primarily M&amp;A-related expenses, compared to $10.3 million, impacted by $0.7 million of non-recurring expenses</w:t>
            </w:r>
          </w:p>
        </w:tc>
      </w:tr>
    </w:tbl>
    <w:tbl>
      <w:tblPr>
        <w:tblW w:w="4473" w:type="dxa"/>
        <w:jc w:val="left"/>
        <w:tblInd w:w="0" w:type="dxa"/>
        <w:tblLayout w:type="fixed"/>
        <w:tblCellMar>
          <w:top w:w="0" w:type="dxa"/>
          <w:left w:w="0" w:type="dxa"/>
          <w:bottom w:w="0" w:type="dxa"/>
          <w:right w:w="0" w:type="dxa"/>
        </w:tblCellMar>
      </w:tblPr>
      <w:tblGrid>
        <w:gridCol w:w="23"/>
        <w:gridCol w:w="95"/>
        <w:gridCol w:w="435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43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Net income of $0.7 million, compared to $4.4 million</w:t>
            </w:r>
          </w:p>
        </w:tc>
      </w:tr>
    </w:tbl>
    <w:tbl>
      <w:tblPr>
        <w:tblW w:w="9543" w:type="dxa"/>
        <w:jc w:val="left"/>
        <w:tblInd w:w="0" w:type="dxa"/>
        <w:tblLayout w:type="fixed"/>
        <w:tblCellMar>
          <w:top w:w="0" w:type="dxa"/>
          <w:left w:w="0" w:type="dxa"/>
          <w:bottom w:w="0" w:type="dxa"/>
          <w:right w:w="0" w:type="dxa"/>
        </w:tblCellMar>
      </w:tblPr>
      <w:tblGrid>
        <w:gridCol w:w="23"/>
        <w:gridCol w:w="95"/>
        <w:gridCol w:w="942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jc w:val="left"/>
              <w:rPr>
                <w:rFonts w:ascii="Symbol" w:hAnsi="Symbol"/>
                <w:sz w:val="20"/>
              </w:rPr>
            </w:pPr>
            <w:r>
              <w:rPr>
                <w:rFonts w:ascii="Symbol" w:hAnsi="Symbol"/>
                <w:sz w:val="20"/>
              </w:rPr>
              <w:t>·</w:t>
            </w:r>
          </w:p>
        </w:tc>
        <w:tc>
          <w:tcPr>
            <w:tcW w:w="942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Adjusted net income of $4.8 million, or $0.27 per diluted share, compared to $6.3 million, or $0.35 per diluted share</w:t>
            </w:r>
          </w:p>
        </w:tc>
      </w:tr>
    </w:tbl>
    <w:tbl>
      <w:tblPr>
        <w:tblW w:w="5163" w:type="dxa"/>
        <w:jc w:val="left"/>
        <w:tblInd w:w="0" w:type="dxa"/>
        <w:tblLayout w:type="fixed"/>
        <w:tblCellMar>
          <w:top w:w="0" w:type="dxa"/>
          <w:left w:w="0" w:type="dxa"/>
          <w:bottom w:w="0" w:type="dxa"/>
          <w:right w:w="0" w:type="dxa"/>
        </w:tblCellMar>
      </w:tblPr>
      <w:tblGrid>
        <w:gridCol w:w="23"/>
        <w:gridCol w:w="95"/>
        <w:gridCol w:w="5045"/>
      </w:tblGrid>
      <w:tr>
        <w:trPr/>
        <w:tc>
          <w:tcPr>
            <w:tcW w:w="23"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120"/>
              <w:jc w:val="left"/>
              <w:rPr>
                <w:rFonts w:ascii="Symbol" w:hAnsi="Symbol"/>
                <w:sz w:val="20"/>
              </w:rPr>
            </w:pPr>
            <w:r>
              <w:rPr>
                <w:rFonts w:ascii="Symbol" w:hAnsi="Symbol"/>
                <w:sz w:val="20"/>
              </w:rPr>
              <w:t>·</w:t>
            </w:r>
          </w:p>
        </w:tc>
        <w:tc>
          <w:tcPr>
            <w:tcW w:w="5045"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Adjusted EBITDA was $8.0 million, compared to $9.3 million</w:t>
            </w:r>
          </w:p>
        </w:tc>
      </w:tr>
    </w:tbl>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Adjusted net income, Adjusted net income per diluted share, and Adjusted EBITDA are non-GAAP financial measures.  See “Non-GAAP Financial Measures” at the end of this press release for additional information, definitions, and reconciliations to the most directly comparable GAAP financial measures.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Management Commentary</w:t>
      </w:r>
    </w:p>
    <w:p>
      <w:pPr>
        <w:pStyle w:val="TextBody"/>
        <w:bidi w:val="0"/>
        <w:spacing w:before="0" w:after="120"/>
        <w:ind w:left="0" w:right="0" w:hanging="0"/>
        <w:jc w:val="left"/>
        <w:rPr/>
      </w:pPr>
      <w:r>
        <w:rPr/>
        <w:t>“</w:t>
      </w:r>
      <w:r>
        <w:rPr>
          <w:rFonts w:ascii="Times New Roman;Times;serif" w:hAnsi="Times New Roman;Times;serif"/>
          <w:sz w:val="20"/>
        </w:rPr>
        <w:t>Across the first fiscal quarter, we saw sequential improvement in both our Fresh and Prepared segments,” said B. John Lindeman, President and Chief Executive Officer of Calavo. “In Fresh, we executed well around seasonal demand, including Super Bowl-related retail opportunities, increasing sales volumes substantially over the prior year while maintaining solid per-unit margins in a pressured pricing environment. Our Prepared segment continued to demonstrate strong momentum in the quarter. Our quarterly sales volumes increased more than 20% over the prior year as our team successfully onboarded new customers, expanded several existing relationships, and benefited from the contribution of newer retail offerings. We also continued to manage SG&amp;A expenses, which, when adjusted for M&amp;A related expenses and other non-recurring expenses, were down over the prior year.”</w:t>
      </w:r>
    </w:p>
    <w:p>
      <w:pPr>
        <w:pStyle w:val="TextBody"/>
        <w:bidi w:val="0"/>
        <w:spacing w:before="0" w:after="120"/>
        <w:ind w:left="0" w:right="0" w:hanging="0"/>
        <w:jc w:val="left"/>
        <w:rPr/>
      </w:pPr>
      <w:r>
        <w:rPr/>
        <w:t>“</w:t>
      </w:r>
      <w:r>
        <w:rPr>
          <w:rFonts w:ascii="Times New Roman;Times;serif" w:hAnsi="Times New Roman;Times;serif"/>
          <w:sz w:val="20"/>
        </w:rPr>
        <w:t>Looking ahead to the second fiscal quarter, we expect volume growth across both segments and believe our scale, customer relationships, and margin discipline position us well to navigate a dynamic pricing environment. We anticipate the fresh avocado pricing environment will remain pressured, primarily due to a large Mexican crop.”</w:t>
      </w:r>
    </w:p>
    <w:p>
      <w:pPr>
        <w:pStyle w:val="TextBody"/>
        <w:bidi w:val="0"/>
        <w:spacing w:before="0" w:after="120"/>
        <w:ind w:left="0" w:right="0" w:hanging="0"/>
        <w:jc w:val="left"/>
        <w:rPr/>
      </w:pPr>
      <w:r>
        <w:rPr/>
        <w:t>“</w:t>
      </w:r>
      <w:r>
        <w:rPr>
          <w:rFonts w:ascii="Times New Roman;Times;serif" w:hAnsi="Times New Roman;Times;serif"/>
          <w:sz w:val="20"/>
        </w:rPr>
        <w:t>We are also making progress on our previously announced merger with Mission Produce. We completed several required merger related filings, including our initial antitrust submissions in the U.S. and Mexico, and a preliminary joint proxy statement. We remain focused on closing the transaction in the third fiscal quarter of 2026, subject to regulatory and shareholder approvals.”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First Quarter 2026 Overview</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Net sales decreased to $122.2 million as compared to $154.4 million from the prior year quarter. Fresh segment sales were $104.7 million, a 25% decrease from the prior year quarter. The lower sales primarily reflect a 35% decline in average avocado selling prices, partially offset by a 17% increase in avocado carton volume, which we believe slightly outpaced the broader industry increase. Fresh segment sales were also impacted by a 48% decline in tomato sales, driven by lower carton volumes and average selling prices. Prepared segment sales were $17.5 million, a 20% increase from the prior year quarter, primarily due to a 21% increase in pounds sold. The improvement in the Prepared segment reflects expanded sales to existing customers and new customer wins across retail and foodservice channels.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Gross profit was $15.2 million, or 12% of net sales, compared to $15.7 million, or 10% of net sales, in the prior year quarter. Fresh segment gross profit was $10.3 million, a 15% decrease from the prior year quarter, primarily reflecting lower avocado selling prices and lower tomato volumes and pricing during the quarter. Prepared segment gross profit increased to $4.9 million, a 36% increase from the prior year quarter, primarily reflecting higher sales volumes, lower fruit input costs, and improved operating efficiencies.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Selling, general, and administrative (“SG&amp;A”) expenses totaled $16.4 million for the first fiscal quarter, compared to $10.3 million in</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the prior year quarter. SG&amp;A in the current quarter included approximately $7.2 million of non-recurring expenses, primarily consisting of $4.9 million of transaction-related costs, $1.2 million of non-recurring stock-based compensation, $0.6 million related to a Fresh Cut Business (divested in the fourth fiscal quarter of 2024) legal settlement, and $0.5 million of onboarding costs related to senior leadership changes and other items.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Adjusted net income was $4.8 million, or $0.27 per diluted share, compared to $6.3 million, or $0.35 per diluted share, in the prior year quarter. Adjusted EBITDA was $8.0 million, compared to $9.3 million in the prior year quarter.</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Balance Sheet, Liquidity and Cash Flow</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We ended the first quarter with cash and cash equivalents of $47.7 million and $79.8 million in available liquidity, which we define as cash and cash equivalents plus available borrowing capacity under our revolving credit facility.  As of January 31, 2026, we had no borrowings under our credit facility and total debt of $3.9 million, consisting of other long-term obligations and finance leases. Cash used in operating activities totaled $8.7 million for first fiscal quarter of 2026.</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Merger with Mission Produce, Inc.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As previously disclosed on January 14, 2026, Calavo Growers, Inc. entered into an Agreement and Plan of Merger with Mission Produce and certain subsidiaries of Mission Produce (the “Merger Agreement”). There have been no material changes to the terms of the Merger Agreement during the three months ended January 31, 2026. The Board of Directors of both companies have approved the transaction, which is expected to close in the third fiscal quarter of 2026, subject to the receipt of required regulatory approvals, the approvals of Mission Produce stockholders and Calavo shareholders, and the satisfaction of other customary closing conditions.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About Calavo Growers, Inc.</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Calavo Growers, Inc. (Nasdaq: CVGW) is a global leader in the processing and distribution of avocados, tomatoes, papayas and guacamole. Calavo products are sold under the trusted Calavo brand name, proprietary sub-brands, private label and store brands. Founded in 1924, Calavo has a rich culture of innovation, sustainable practices and market growth. The Company serves retail grocery, foodservice, club stores, mass merchandisers, food distributors and wholesalers worldwide. Calavo is headquartered in Santa Paula, California, with facilities throughout the U.S. and Mexico. Learn more about The Family of Fresh™ at calavo.com.</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Forward Looking Statements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This press release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statements about trends in sales and volume growth of tomatoes, avocados and guacamole products in the United States and international markets; the success and profitability of certain branded products; the seasonality of certain retail and foodservice opportunities</w:t>
      </w:r>
      <w:r>
        <w:rPr>
          <w:rFonts w:ascii="Times New Roman;Times;serif" w:hAnsi="Times New Roman;Times;serif"/>
          <w:b/>
          <w:sz w:val="20"/>
        </w:rPr>
        <w:t xml:space="preserve">; </w:t>
      </w:r>
      <w:r>
        <w:rPr>
          <w:rFonts w:ascii="Times New Roman;Times;serif" w:hAnsi="Times New Roman;Times;serif"/>
          <w:sz w:val="20"/>
        </w:rPr>
        <w:t>the benefits of the proposed transaction involving Calavo and Mission Produce, including future financial and operating results, Calavo’s and Mission Produce’s plans, objectives, expectations and intentions, the expected timing and likelihood of completion of the proposed transaction, and other statements that are not historical facts;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value added tax (“IVA”) refund collections in Mexico; statements regarding the timing and outcomes of legal and tax proceedings in Mexico, including the recovery of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and/or quotas).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Risks and uncertainties that may cause our actual results to be materially different from any future results expressed or implied by the forward-looking statements include, but are not limited to, the following: the ability to obtain the requisite Calavo and Mission Produce stockholder approvals; the risk that Calavo or Mission Produce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 Produce’s common stock; the risk of litigation related to the proposed transaction;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Produce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 affect our sources of supply; our 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Mexican Tax Administrative Service (SAT) and our defenses against collection activities commenced by SAT; our ability to realize the expected expense savings from the sale of the Fresh Cut business; and risks related to enhanced regulatory scrutiny or inspection protocols, including detention holds by the U.S. Food and Drug Administration, which can result in shipment delays, third-party testing requirements, incremental logistics and handling costs, and inventory write-downs, and which could in the future result in additional delays, costs, loss of product value, or disruption to customer orders.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For further discussion of these risks and uncertainties and other risks and uncertainties that we face, please see the risk factors described in our most recent Annual Report on Form 10-K filed with the Securities and Exchange Commission (the “SEC”) and any subsequent updates that may be contained in our Quarterly Reports on Form 10-Q and other filings with the SEC. Forward-looking statements contained in this press release are made only as of the date of this press release, and we undertake no obligation to update or revise the forward-looking statements, whether because of new information, future events or otherwise.</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 OFFER OR SOLICITATION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This communication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IMPORTANT ADDITIONAL INFORMATION FILED WITH THE SEC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proposed transaction, Mission Produce filed with the SEC a registration statement on Form S-4 (File Number 333-294128) (the “Registration Statement”) that includes the joint proxy statement of Calavo and Mission Produce and that constitutes a prospectus of Mission Produce (the “Joint Proxy Statement/Prospectus”), but the Registration Statement has not yet become effective. Each of Calavo and Mission Produce may also file other relevant documents with the SEC regarding the proposed</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transaction. This document is not a substitute for the Joint Proxy Statement/Prospectus or Registration Statement or any other document that Calavo or Mission Produce may file with the SEC. The definitive Joint Proxy Statement/Prospectus (if and when available) will be mailed to stockholders of Mission Produce and shareholders of Calavo. INVESTORS AND SECURITY HOLDERS ARE URGED TO READ THE REGISTRATION STATEMENT, JOINT PROXY STATEMENT/PROSPECTUS AND ANY OTHER RELEVANT DOCUMENTS THAT MAY BE FILED WITH THE SEC, AS WELL AS ANY AMENDMENTS OR SUPPLEMENTS TO THOSE DOCUMENTS CAREFULLY AND IN THEIR ENTIRETY IF AND WHEN THEY BECOME AVAILABLE BECAUSE THEY CONTAIN OR WILL CONTAIN IMPORTANT INFORMATION ABOUT CALAVO, MISSION PRODUCE AND THE PROPOSED TRANSACTION.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Investors and security holders are able to obtain free copies of the registration statement and Joint Proxy Statement/Prospectus (if and when available) and other documents containing important information about Calavo, Mission Produce and the proposed transaction through the website maintained by the SEC at http://www.sec.gov.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Produce may be obtained free of charge on Mission Produce’s website at www. investors.missionproduce.com/financial-information/sec-filings or, alternatively, by directing a request by mail to Mission Produce’s Corporate Secretary at Attention: Corporate Secretary, Mission Produce, 2710 Camino Del Sol, Oxnard, CA 93030</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PARTICIPANTS IN THE SOLICITATION</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Calavo, Mission Produce and their respective directors and executive officers may be deemed to be participants in any solicitation of proxies in connection with the proposed transaction. Information about Calavo’s directors and executive officers is available in Calavo’s Annual Report on Form 10-K for the year ended October 31, 2025, as amended. Information about Mission Produce’s directors and executive officers is available in Mission Produce’s annual report on Form 10-K for the year ended October 31, 2025, and proxy statement for Mission Produce’s 2026 Annual Meeting of Stockholders, which was filed with the SEC on February 24, 2026.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This press release includes non-GAAP measures EBITDA, Adjusted EBITDA, Adjusted net income and Adjusted net income per diluted share, which are not prepared in accordance with U.S. generally accepted accounting principles, or “GAAP.” EBITDA is defined as Net income attributable to Calavo Growers, Inc. excluding (1) interest income and expense, (2) income tax (benefit) provision, (3) depreciation and amortization and (4) stock-based compensation expense. Adjusted EBITDA and Adjusted Net Income contain the following adjustments (1) M&amp;A-related costs, (2) restructuring-related costs, including certain severance costs, (3) certain litigation, internal investigation and other related costs, (4) foreign currency gain (loss), (5) asset impairments, (6) impact of discrete tariff or other tax charges that are distortive to results, and (7) one-time items. We believe Adjusted EBITDA affords investors a different view of the overall financial performance of the Company than Adjusted net income and the GAAP measure of Net income.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Adjusted net income and the related measure of Adjusted net income per diluted share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Management believes these measures are useful to investors because they (i) help isolate unusual items not indicative of ongoing operations and (ii) reflect how management monitors operating performance and allocates resources.</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Reconciliations of non-GAAP financial measures to the most directly comparable GAAP financial measures are provided in the financial tables below. Items are considered one-time in nature if they are non-recurring, infrequent or unusual and have not occurred in the past two years or are not expected to recur in the next two years, in accordance with SEC rules. 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and Adjusted net income may not be comparable to similarly titled measures presented by other companies and may not be identical to corresponding measures used in Company agreements.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Investor Contact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Profiles, Inc.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Alex Villalta and Will Swett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calavo@finprofiles.com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310-622-8236</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left"/>
        <w:rPr/>
      </w:pPr>
      <w:r>
        <w:rPr/>
        <w:t>​</w:t>
      </w:r>
    </w:p>
    <w:tbl>
      <w:tblPr>
        <w:tblW w:w="9247" w:type="dxa"/>
        <w:jc w:val="center"/>
        <w:tblInd w:w="0" w:type="dxa"/>
        <w:tblLayout w:type="fixed"/>
        <w:tblCellMar>
          <w:top w:w="0" w:type="dxa"/>
          <w:left w:w="0" w:type="dxa"/>
          <w:bottom w:w="0" w:type="dxa"/>
          <w:right w:w="0" w:type="dxa"/>
        </w:tblCellMar>
      </w:tblPr>
      <w:tblGrid>
        <w:gridCol w:w="6526"/>
        <w:gridCol w:w="346"/>
        <w:gridCol w:w="211"/>
        <w:gridCol w:w="781"/>
        <w:gridCol w:w="346"/>
        <w:gridCol w:w="211"/>
        <w:gridCol w:w="826"/>
      </w:tblGrid>
      <w:tr>
        <w:trPr/>
        <w:tc>
          <w:tcPr>
            <w:tcW w:w="6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144010" cy="175260"/>
                      <wp:effectExtent l="0" t="0" r="0" b="0"/>
                      <wp:wrapNone/>
                      <wp:docPr id="2" name="Frame1"/>
                      <a:graphic xmlns:a="http://schemas.openxmlformats.org/drawingml/2006/main">
                        <a:graphicData uri="http://schemas.microsoft.com/office/word/2010/wordprocessingShape">
                          <wps:wsp>
                            <wps:cNvSpPr txBox="1"/>
                            <wps:spPr>
                              <a:xfrm>
                                <a:off x="0" y="0"/>
                                <a:ext cx="414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19710" cy="175260"/>
                      <wp:effectExtent l="0" t="0" r="0" b="0"/>
                      <wp:wrapNone/>
                      <wp:docPr id="3"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33985" cy="175260"/>
                      <wp:effectExtent l="0" t="0" r="0" b="0"/>
                      <wp:wrapNone/>
                      <wp:docPr id="4"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495935" cy="175260"/>
                      <wp:effectExtent l="0" t="0" r="0" b="0"/>
                      <wp:wrapNone/>
                      <wp:docPr id="5" name="Frame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33985" cy="175260"/>
                      <wp:effectExtent l="0" t="0" r="0" b="0"/>
                      <wp:wrapNone/>
                      <wp:docPr id="7"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24510" cy="175260"/>
                      <wp:effectExtent l="0" t="0" r="0" b="0"/>
                      <wp:wrapNone/>
                      <wp:docPr id="8" name="Frame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6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r>
      <w:tr>
        <w:trPr/>
        <w:tc>
          <w:tcPr>
            <w:tcW w:w="6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37" w:type="dxa"/>
            <w:gridSpan w:val="2"/>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154,385</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107,018</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138,657</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15,728</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16,401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10,287</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related to Mexican tax matters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 income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(1,447)</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5,046</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gain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income taxes and net (loss) income from unconsolidated entities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4,828</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income from unconsolidated entities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w:t>
            </w:r>
          </w:p>
        </w:tc>
      </w:tr>
      <w:tr>
        <w:trPr/>
        <w:tc>
          <w:tcPr>
            <w:tcW w:w="65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Calavo Growers, Inc.</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r>
      <w:tr>
        <w:trPr/>
        <w:tc>
          <w:tcPr>
            <w:tcW w:w="65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Calavo Growers, Inc.’s net income per share: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6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r>
      <w:tr>
        <w:trPr/>
        <w:tc>
          <w:tcPr>
            <w:tcW w:w="6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r>
      <w:tr>
        <w:trPr/>
        <w:tc>
          <w:tcPr>
            <w:tcW w:w="65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65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shares used in per share computation: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left"/>
              <w:rPr/>
            </w:pPr>
            <w:r>
              <w:rPr/>
              <w:t>​</w:t>
            </w:r>
          </w:p>
        </w:tc>
      </w:tr>
      <w:tr>
        <w:trPr/>
        <w:tc>
          <w:tcPr>
            <w:tcW w:w="6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17,874</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17,837</w:t>
            </w:r>
          </w:p>
        </w:tc>
      </w:tr>
      <w:tr>
        <w:trPr/>
        <w:tc>
          <w:tcPr>
            <w:tcW w:w="6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78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17,894</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0" w:hanging="0"/>
              <w:jc w:val="left"/>
              <w:rPr/>
            </w:pPr>
            <w:r>
              <w:rPr/>
              <w:t>​</w:t>
            </w:r>
          </w:p>
        </w:tc>
        <w:tc>
          <w:tcPr>
            <w:tcW w:w="826" w:type="dxa"/>
            <w:tcBorders>
              <w:top w:val="double" w:sz="6"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17,901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NET SALES AND GROSS PROFIT BY BUSINESS SEGMENT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tbl>
      <w:tblPr>
        <w:tblW w:w="7315" w:type="dxa"/>
        <w:jc w:val="center"/>
        <w:tblInd w:w="0" w:type="dxa"/>
        <w:tblLayout w:type="fixed"/>
        <w:tblCellMar>
          <w:top w:w="0" w:type="dxa"/>
          <w:left w:w="0" w:type="dxa"/>
          <w:bottom w:w="0" w:type="dxa"/>
          <w:right w:w="0" w:type="dxa"/>
        </w:tblCellMar>
      </w:tblPr>
      <w:tblGrid>
        <w:gridCol w:w="3361"/>
        <w:gridCol w:w="346"/>
        <w:gridCol w:w="211"/>
        <w:gridCol w:w="781"/>
        <w:gridCol w:w="346"/>
        <w:gridCol w:w="211"/>
        <w:gridCol w:w="676"/>
        <w:gridCol w:w="346"/>
        <w:gridCol w:w="211"/>
        <w:gridCol w:w="826"/>
      </w:tblGrid>
      <w:tr>
        <w:trPr/>
        <w:tc>
          <w:tcPr>
            <w:tcW w:w="3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34235" cy="175260"/>
                      <wp:effectExtent l="0" t="0" r="0" b="0"/>
                      <wp:wrapNone/>
                      <wp:docPr id="9" name="Frame8"/>
                      <a:graphic xmlns:a="http://schemas.openxmlformats.org/drawingml/2006/main">
                        <a:graphicData uri="http://schemas.microsoft.com/office/word/2010/wordprocessingShape">
                          <wps:wsp>
                            <wps:cNvSpPr txBox="1"/>
                            <wps:spPr>
                              <a:xfrm>
                                <a:off x="0" y="0"/>
                                <a:ext cx="2134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95935" cy="175260"/>
                      <wp:effectExtent l="0" t="0" r="0" b="0"/>
                      <wp:wrapNone/>
                      <wp:docPr id="12" name="Frame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29260" cy="175260"/>
                      <wp:effectExtent l="0" t="0" r="0" b="0"/>
                      <wp:wrapNone/>
                      <wp:docPr id="15" name="Frame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24510" cy="175260"/>
                      <wp:effectExtent l="0" t="0" r="0" b="0"/>
                      <wp:wrapNone/>
                      <wp:docPr id="18" name="Frame17"/>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Fresh</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Prepared</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608" w:type="dxa"/>
            <w:gridSpan w:val="8"/>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 amounts are presented in thousands)</w:t>
            </w:r>
          </w:p>
        </w:tc>
      </w:tr>
      <w:tr>
        <w:trPr/>
        <w:tc>
          <w:tcPr>
            <w:tcW w:w="33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January 31, 2026</w:t>
            </w:r>
          </w:p>
        </w:tc>
        <w:tc>
          <w:tcPr>
            <w:tcW w:w="34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887" w:type="dxa"/>
            <w:gridSpan w:val="2"/>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7" w:type="dxa"/>
            <w:gridSpan w:val="2"/>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104,687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17,515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122,202</w:t>
            </w:r>
          </w:p>
        </w:tc>
      </w:tr>
      <w:tr>
        <w:trPr/>
        <w:tc>
          <w:tcPr>
            <w:tcW w:w="33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94,374</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12,644</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107,018</w:t>
            </w:r>
          </w:p>
        </w:tc>
      </w:tr>
      <w:tr>
        <w:trPr/>
        <w:tc>
          <w:tcPr>
            <w:tcW w:w="33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10,313</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4,871</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15,184</w:t>
            </w:r>
          </w:p>
        </w:tc>
      </w:tr>
      <w:tr>
        <w:trPr/>
        <w:tc>
          <w:tcPr>
            <w:tcW w:w="33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67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26"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r>
      <w:tr>
        <w:trPr/>
        <w:tc>
          <w:tcPr>
            <w:tcW w:w="336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Three months ended January 31, 2025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r>
        <w:trPr/>
        <w:tc>
          <w:tcPr>
            <w:tcW w:w="33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sales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14,590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154,385</w:t>
            </w:r>
          </w:p>
        </w:tc>
      </w:tr>
      <w:tr>
        <w:trPr/>
        <w:tc>
          <w:tcPr>
            <w:tcW w:w="33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127,658</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10,999</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138,657</w:t>
            </w:r>
          </w:p>
        </w:tc>
      </w:tr>
      <w:tr>
        <w:trPr/>
        <w:tc>
          <w:tcPr>
            <w:tcW w:w="33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12,137</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3,591</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15,728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CALAVO GROWERS,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CONDENSED CONSOLIDATED BALANCE SHEETS (UNAUDITED)</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(in thousands)</w:t>
      </w:r>
    </w:p>
    <w:tbl>
      <w:tblPr>
        <w:tblW w:w="10205" w:type="dxa"/>
        <w:jc w:val="center"/>
        <w:tblInd w:w="0" w:type="dxa"/>
        <w:tblLayout w:type="fixed"/>
        <w:tblCellMar>
          <w:top w:w="0" w:type="dxa"/>
          <w:left w:w="0" w:type="dxa"/>
          <w:bottom w:w="0" w:type="dxa"/>
          <w:right w:w="0" w:type="dxa"/>
        </w:tblCellMar>
      </w:tblPr>
      <w:tblGrid>
        <w:gridCol w:w="7424"/>
        <w:gridCol w:w="346"/>
        <w:gridCol w:w="211"/>
        <w:gridCol w:w="781"/>
        <w:gridCol w:w="346"/>
        <w:gridCol w:w="211"/>
        <w:gridCol w:w="886"/>
      </w:tblGrid>
      <w:tr>
        <w:trPr/>
        <w:tc>
          <w:tcPr>
            <w:tcW w:w="74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714240" cy="175260"/>
                      <wp:effectExtent l="0" t="0" r="0" b="0"/>
                      <wp:wrapNone/>
                      <wp:docPr id="19" name="Frame18"/>
                      <a:graphic xmlns:a="http://schemas.openxmlformats.org/drawingml/2006/main">
                        <a:graphicData uri="http://schemas.microsoft.com/office/word/2010/wordprocessingShape">
                          <wps:wsp>
                            <wps:cNvSpPr txBox="1"/>
                            <wps:spPr>
                              <a:xfrm>
                                <a:off x="0" y="0"/>
                                <a:ext cx="4714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95935" cy="175260"/>
                      <wp:effectExtent l="0" t="0" r="0" b="0"/>
                      <wp:wrapNone/>
                      <wp:docPr id="22" name="Frame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562610" cy="175260"/>
                      <wp:effectExtent l="0" t="0" r="0" b="0"/>
                      <wp:wrapNone/>
                      <wp:docPr id="25" name="Frame2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31,</w:t>
            </w:r>
          </w:p>
        </w:tc>
        <w:tc>
          <w:tcPr>
            <w:tcW w:w="346" w:type="dxa"/>
            <w:tcBorders/>
            <w:vAlign w:val="center"/>
          </w:tcPr>
          <w:p>
            <w:pPr>
              <w:pStyle w:val="TableContents"/>
              <w:bidi w:val="0"/>
              <w:spacing w:before="0" w:after="0"/>
              <w:ind w:left="0" w:right="0" w:hanging="0"/>
              <w:jc w:val="left"/>
              <w:rPr/>
            </w:pPr>
            <w:r>
              <w:rPr/>
              <w:t>  ​ ​ ​</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October 31,</w:t>
            </w:r>
          </w:p>
        </w:tc>
      </w:tr>
      <w:tr>
        <w:trPr/>
        <w:tc>
          <w:tcPr>
            <w:tcW w:w="742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7" w:type="dxa"/>
            <w:gridSpan w:val="2"/>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74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97" w:type="dxa"/>
            <w:gridSpan w:val="2"/>
            <w:tcBorders/>
            <w:vAlign w:val="center"/>
          </w:tcPr>
          <w:p>
            <w:pPr>
              <w:pStyle w:val="TableContents"/>
              <w:bidi w:val="0"/>
              <w:spacing w:before="0" w:after="0"/>
              <w:ind w:left="0" w:right="0" w:hanging="0"/>
              <w:jc w:val="left"/>
              <w:rPr/>
            </w:pPr>
            <w:r>
              <w:rPr/>
              <w:t>​</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61,155</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allowances of $2,539 (2026) and $3,336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40,557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31,647</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33,604</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7,649</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to suppliers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13,075</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 receivable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2,296</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152,632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149,426</w:t>
            </w:r>
          </w:p>
        </w:tc>
      </w:tr>
      <w:tr>
        <w:trPr/>
        <w:tc>
          <w:tcPr>
            <w:tcW w:w="74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49,435</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16,333</w:t>
            </w:r>
          </w:p>
        </w:tc>
      </w:tr>
      <w:tr>
        <w:trPr/>
        <w:tc>
          <w:tcPr>
            <w:tcW w:w="74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unconsolidated entities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8,317</w:t>
            </w:r>
          </w:p>
        </w:tc>
      </w:tr>
      <w:tr>
        <w:trPr/>
        <w:tc>
          <w:tcPr>
            <w:tcW w:w="74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10,211</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61,315</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56,317</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298,183</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292,249</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86" w:type="dxa"/>
            <w:tcBorders>
              <w:top w:val="double" w:sz="6" w:space="0" w:color="000000"/>
            </w:tcBorders>
            <w:shd w:fill="CCEEFF" w:val="clear"/>
            <w:tcMar>
              <w:top w:w="28" w:type="dxa"/>
            </w:tcMar>
            <w:vAlign w:val="center"/>
          </w:tcPr>
          <w:p>
            <w:pPr>
              <w:pStyle w:val="TableContents"/>
              <w:bidi w:val="0"/>
              <w:spacing w:before="0" w:after="0"/>
              <w:ind w:left="0" w:right="0" w:hanging="0"/>
              <w:jc w:val="left"/>
              <w:rPr/>
            </w:pPr>
            <w:r>
              <w:rPr/>
              <w:t>​</w:t>
            </w:r>
          </w:p>
        </w:tc>
      </w:tr>
      <w:tr>
        <w:trPr/>
        <w:tc>
          <w:tcPr>
            <w:tcW w:w="74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to growers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15,353</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8,374</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21,237</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Mexico tax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11,000</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obligations and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885</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69,081</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60,480</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left"/>
              <w:rPr/>
            </w:pPr>
            <w:r>
              <w:rPr/>
              <w:t>​</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operating leases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14,962</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portion of obligations and finance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3,842</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4,198</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23,211</w:t>
            </w:r>
          </w:p>
        </w:tc>
      </w:tr>
      <w:tr>
        <w:trPr/>
        <w:tc>
          <w:tcPr>
            <w:tcW w:w="74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left"/>
              <w:rPr/>
            </w:pPr>
            <w:r>
              <w:rPr/>
              <w:t>​</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($0.001 par value, 100,000 shares authorized; 17,874 (2026) and 17,855 (2025) shares issued and outstanding)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742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180,637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179,082</w:t>
            </w:r>
          </w:p>
        </w:tc>
      </w:tr>
      <w:tr>
        <w:trPr/>
        <w:tc>
          <w:tcPr>
            <w:tcW w:w="742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24,996</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27,840</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Calavo Growers, Inc.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205,651</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8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206,940</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1,690</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1,618</w:t>
            </w:r>
          </w:p>
        </w:tc>
      </w:tr>
      <w:tr>
        <w:trPr/>
        <w:tc>
          <w:tcPr>
            <w:tcW w:w="74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78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207,341</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left"/>
              <w:rPr/>
            </w:pPr>
            <w:r>
              <w:rPr/>
              <w:t>​</w:t>
            </w:r>
          </w:p>
        </w:tc>
        <w:tc>
          <w:tcPr>
            <w:tcW w:w="88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208,558</w:t>
            </w:r>
          </w:p>
        </w:tc>
      </w:tr>
      <w:tr>
        <w:trPr/>
        <w:tc>
          <w:tcPr>
            <w:tcW w:w="74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298,183</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1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292,249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ADJUSTED NET INCOME AND ADJUSTED NET INCOME PER DILUTED SHARE (UNAUDITED)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per share amounts)</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following table presents Adjusted net income (loss) and Adjusted net income (loss) per diluted share, each a non-GAAP measure, and reconciles them to Net income (loss) attributable to Calavo Growers, Inc., and Diluted earnings per share, which are the most directly comparable GAAP measures. During the first quarter of fiscal 2025, we modified our calculation of Adjusted net income and Adjusted EBITDA to remove income (loss) from unconsolidated entities from excluded items. During the third quarter of fiscal 2025, we further modified our calculation of Adjusted net income to add back stock-based compensation expense. Management believes this modification enhances comparability with industry peers and provides a clearer representation of our core operating performance. Prior-period amounts have been recast for comparability where applicable. This modification does not impact previously reported GAAP financial results. See “Non-GAAP Financial Measures” earlier in this release for additional information about these non-GAAP financial measures.</w:t>
      </w:r>
    </w:p>
    <w:p>
      <w:pPr>
        <w:pStyle w:val="TextBody"/>
        <w:bidi w:val="0"/>
        <w:spacing w:before="0" w:after="0"/>
        <w:ind w:left="0" w:right="0" w:hanging="0"/>
        <w:jc w:val="left"/>
        <w:rPr/>
      </w:pPr>
      <w:r>
        <w:rPr/>
        <w:t>​</w:t>
      </w:r>
    </w:p>
    <w:tbl>
      <w:tblPr>
        <w:tblW w:w="8955" w:type="dxa"/>
        <w:jc w:val="center"/>
        <w:tblInd w:w="0" w:type="dxa"/>
        <w:tblLayout w:type="fixed"/>
        <w:tblCellMar>
          <w:top w:w="0" w:type="dxa"/>
          <w:left w:w="0" w:type="dxa"/>
          <w:bottom w:w="0" w:type="dxa"/>
          <w:right w:w="0" w:type="dxa"/>
        </w:tblCellMar>
      </w:tblPr>
      <w:tblGrid>
        <w:gridCol w:w="6076"/>
        <w:gridCol w:w="346"/>
        <w:gridCol w:w="240"/>
        <w:gridCol w:w="769"/>
        <w:gridCol w:w="393"/>
        <w:gridCol w:w="240"/>
        <w:gridCol w:w="891"/>
      </w:tblGrid>
      <w:tr>
        <w:trPr/>
        <w:tc>
          <w:tcPr>
            <w:tcW w:w="6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858260" cy="175260"/>
                      <wp:effectExtent l="0" t="0" r="0" b="0"/>
                      <wp:wrapNone/>
                      <wp:docPr id="26" name="Frame25"/>
                      <a:graphic xmlns:a="http://schemas.openxmlformats.org/drawingml/2006/main">
                        <a:graphicData uri="http://schemas.microsoft.com/office/word/2010/wordprocessingShape">
                          <wps:wsp>
                            <wps:cNvSpPr txBox="1"/>
                            <wps:spPr>
                              <a:xfrm>
                                <a:off x="0" y="0"/>
                                <a:ext cx="3858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52400" cy="175260"/>
                      <wp:effectExtent l="0" t="0" r="0" b="0"/>
                      <wp:wrapNone/>
                      <wp:docPr id="28" name="Frame2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88315" cy="175260"/>
                      <wp:effectExtent l="0" t="0" r="0" b="0"/>
                      <wp:wrapNone/>
                      <wp:docPr id="29" name="Frame28"/>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49555" cy="175260"/>
                      <wp:effectExtent l="0" t="0" r="0" b="0"/>
                      <wp:wrapNone/>
                      <wp:docPr id="30" name="Frame29"/>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52400" cy="175260"/>
                      <wp:effectExtent l="0" t="0" r="0" b="0"/>
                      <wp:wrapNone/>
                      <wp:docPr id="31" name="Frame30"/>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65785" cy="175260"/>
                      <wp:effectExtent l="0" t="0" r="0" b="0"/>
                      <wp:wrapNone/>
                      <wp:docPr id="32" name="Frame31"/>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January 31,</w:t>
            </w:r>
          </w:p>
        </w:tc>
      </w:tr>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9"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13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Calavo Growers, Inc.</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6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9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Non-GAAP adjustments:</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related to Mexican tax matters (a)</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 related to internal investigation and related expenses (b)</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93"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 (gain) (c)</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w:t>
            </w:r>
          </w:p>
        </w:tc>
        <w:tc>
          <w:tcPr>
            <w:tcW w:w="393"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M&amp;A-related costs (d)</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Fresh Cut Business legal settlement (e)</w:t>
            </w:r>
          </w:p>
        </w:tc>
        <w:tc>
          <w:tcPr>
            <w:tcW w:w="34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393"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891"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Onboarding costs (f)</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impact of adjustments (g)</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(1,420)</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income attributable to Calavo Growers, Inc.</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4,772</w:t>
            </w:r>
          </w:p>
        </w:tc>
        <w:tc>
          <w:tcPr>
            <w:tcW w:w="3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4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6,283</w:t>
            </w:r>
          </w:p>
        </w:tc>
      </w:tr>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6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240"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9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Calavo Growers, Inc.’s net income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EPS (GAAP)</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0.04</w:t>
            </w:r>
          </w:p>
        </w:tc>
        <w:tc>
          <w:tcPr>
            <w:tcW w:w="393"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net income per diluted share</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9"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40"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0.35</w:t>
            </w:r>
          </w:p>
        </w:tc>
      </w:tr>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769"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393" w:type="dxa"/>
            <w:tcBorders/>
            <w:vAlign w:val="center"/>
          </w:tcPr>
          <w:p>
            <w:pPr>
              <w:pStyle w:val="TableContents"/>
              <w:bidi w:val="0"/>
              <w:spacing w:before="0" w:after="0"/>
              <w:ind w:left="0" w:right="0" w:hanging="0"/>
              <w:jc w:val="left"/>
              <w:rPr/>
            </w:pPr>
            <w:r>
              <w:rPr/>
              <w:t>​</w:t>
            </w:r>
          </w:p>
        </w:tc>
        <w:tc>
          <w:tcPr>
            <w:tcW w:w="240"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c>
          <w:tcPr>
            <w:tcW w:w="891" w:type="dxa"/>
            <w:tcBorders>
              <w:top w:val="double" w:sz="6" w:space="0" w:color="000000"/>
            </w:tcBorders>
            <w:tcMar>
              <w:top w:w="28" w:type="dxa"/>
            </w:tcMar>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Number of shares used in per share computation:</w:t>
            </w:r>
          </w:p>
        </w:tc>
        <w:tc>
          <w:tcPr>
            <w:tcW w:w="34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left"/>
              <w:rPr/>
            </w:pPr>
            <w:r>
              <w:rPr/>
              <w:t>​</w:t>
            </w:r>
          </w:p>
        </w:tc>
        <w:tc>
          <w:tcPr>
            <w:tcW w:w="39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891"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17,894</w:t>
            </w:r>
          </w:p>
        </w:tc>
        <w:tc>
          <w:tcPr>
            <w:tcW w:w="3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17,901</w:t>
            </w:r>
          </w:p>
        </w:tc>
      </w:tr>
    </w:tbl>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(a)</w:t>
            </w:r>
          </w:p>
        </w:tc>
        <w:tc>
          <w:tcPr>
            <w:tcW w:w="10035"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For the three months ended January 31, 2026 and 2025, we incurred $0.2 million and $0.4 million, respectively, of professional fees related to our Mexican tax matters. “Mexican tax matters” refers to proceedings with the SAT, including the recovery of IVA receivables, the 2013 Mexico assessment, and legal and advisory services connected to the recent court recognition of Calavo de México as a maquiladora. Additional information is provided in our Quarterly Report on Form 10-Q for the fiscal quarter ended January 31, 2026.</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(b)</w:t>
            </w:r>
          </w:p>
        </w:tc>
        <w:tc>
          <w:tcPr>
            <w:tcW w:w="9998"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For the three months ended January 31, 2026, and 2025, we incurred less than $0.1 million and $0.7 million, respectively, of professional fee expenses related to the Foreign Corruption Practices Act investigation in Mexico.</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(c)</w:t>
            </w:r>
          </w:p>
        </w:tc>
        <w:tc>
          <w:tcPr>
            <w:tcW w:w="10024"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Due to the change in the Mexican peso to the U.S. dollar exchange rates, foreign currency remeasurement gains, net of losses, for the three months ended January 31, 2026 were $2.6 million. Foreign currency remeasurement losses, net of gains, for the three months ended January 31, 2025 were $1.0 million.</w:t>
            </w:r>
          </w:p>
        </w:tc>
      </w:tr>
    </w:tbl>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(d)</w:t>
            </w:r>
          </w:p>
        </w:tc>
        <w:tc>
          <w:tcPr>
            <w:tcW w:w="10002"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For the three months ended January 31, 2026, we incurred $4.9 million of M&amp;A-related costs incurred in connection with execution of the Merger Agreement with Mission Produce, including legal, advisory, and other deal-related professional fees.</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(e)</w:t>
            </w:r>
          </w:p>
        </w:tc>
        <w:tc>
          <w:tcPr>
            <w:tcW w:w="10019"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Represents a legal settlement recorded in connection with a legacy employment matter related to the Company’s former Fresh Cut Business, which was sold in August 2024. The charge reflects the resolution of the matter and is not indicative of current operations.</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(f)</w:t>
            </w:r>
          </w:p>
        </w:tc>
        <w:tc>
          <w:tcPr>
            <w:tcW w:w="10019" w:type="dxa"/>
            <w:tcBorders/>
            <w:vAlign w:val="center"/>
          </w:tcPr>
          <w:p>
            <w:pPr>
              <w:pStyle w:val="TableContents"/>
              <w:bidi w:val="0"/>
              <w:spacing w:before="0" w:after="120"/>
              <w:jc w:val="left"/>
              <w:rPr>
                <w:rFonts w:ascii="Times New Roman;Times;serif" w:hAnsi="Times New Roman;Times;serif"/>
                <w:sz w:val="16"/>
              </w:rPr>
            </w:pPr>
            <w:r>
              <w:rPr>
                <w:rFonts w:ascii="Times New Roman;Times;serif" w:hAnsi="Times New Roman;Times;serif"/>
                <w:sz w:val="16"/>
              </w:rPr>
              <w:t>Represents onboarding and transition costs associated with recent senior leadership changes.  These costs are considered non-recurring and not indicative of ongoing operating results.</w:t>
            </w:r>
          </w:p>
        </w:tc>
      </w:tr>
    </w:tbl>
    <w:tbl>
      <w:tblPr>
        <w:tblW w:w="6010" w:type="dxa"/>
        <w:jc w:val="left"/>
        <w:tblInd w:w="0" w:type="dxa"/>
        <w:tblLayout w:type="fixed"/>
        <w:tblCellMar>
          <w:top w:w="0" w:type="dxa"/>
          <w:left w:w="0" w:type="dxa"/>
          <w:bottom w:w="0" w:type="dxa"/>
          <w:right w:w="0" w:type="dxa"/>
        </w:tblCellMar>
      </w:tblPr>
      <w:tblGrid>
        <w:gridCol w:w="230"/>
        <w:gridCol w:w="5780"/>
      </w:tblGrid>
      <w:tr>
        <w:trPr/>
        <w:tc>
          <w:tcPr>
            <w:tcW w:w="23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(g)</w:t>
            </w:r>
          </w:p>
        </w:tc>
        <w:tc>
          <w:tcPr>
            <w:tcW w:w="5780"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Tax impact of non-GAAP adjustments are based on effective year-to-date tax rates.</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CALAVO GROWERS,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RECONCILIATION OF EBITDA AND ADJUSTED EBITDA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following table presents EBITDA and Adjusted EBITDA, each a non-GAAP measure, and reconciles them to Net income (loss) attributable to Calavo Growers, Inc., which is the most directly comparable GAAP measure. During the first quarter of fiscal 2025, we modified our calculation of Adjusted net income and Adjusted EBITDA to remove income (loss) from unconsolidated entities from excluded items. Management believes this modification enhances comparability with industry peers and provides a clearer representation of our core operating performance. Prior-period amounts have been recast for comparability where applicable. This modification does not impact previously reported GAAP financial results. See “Non-GAAP Financial Measures” earlier in this release for additional information about these non-GAAP financial measures.</w:t>
      </w:r>
    </w:p>
    <w:p>
      <w:pPr>
        <w:pStyle w:val="TextBody"/>
        <w:bidi w:val="0"/>
        <w:spacing w:before="0" w:after="0"/>
        <w:ind w:left="0" w:right="0" w:hanging="0"/>
        <w:jc w:val="left"/>
        <w:rPr/>
      </w:pPr>
      <w:r>
        <w:rPr/>
        <w:t>​</w:t>
      </w:r>
    </w:p>
    <w:tbl>
      <w:tblPr>
        <w:tblW w:w="8955" w:type="dxa"/>
        <w:jc w:val="center"/>
        <w:tblInd w:w="0" w:type="dxa"/>
        <w:tblLayout w:type="fixed"/>
        <w:tblCellMar>
          <w:top w:w="0" w:type="dxa"/>
          <w:left w:w="0" w:type="dxa"/>
          <w:bottom w:w="0" w:type="dxa"/>
          <w:right w:w="0" w:type="dxa"/>
        </w:tblCellMar>
      </w:tblPr>
      <w:tblGrid>
        <w:gridCol w:w="6076"/>
        <w:gridCol w:w="346"/>
        <w:gridCol w:w="257"/>
        <w:gridCol w:w="770"/>
        <w:gridCol w:w="422"/>
        <w:gridCol w:w="257"/>
        <w:gridCol w:w="827"/>
      </w:tblGrid>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3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January 31,</w:t>
            </w:r>
          </w:p>
        </w:tc>
      </w:tr>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27"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2" w:type="dxa"/>
            <w:tcBorders>
              <w:bottom w:val="single" w:sz="2" w:space="0" w:color="000000"/>
            </w:tcBorders>
            <w:tcMar>
              <w:bottom w:w="28" w:type="dxa"/>
            </w:tcMar>
            <w:vAlign w:val="center"/>
          </w:tcPr>
          <w:p>
            <w:pPr>
              <w:pStyle w:val="TableContents"/>
              <w:bidi w:val="0"/>
              <w:spacing w:before="0" w:after="0"/>
              <w:ind w:left="0" w:right="0" w:hanging="0"/>
              <w:jc w:val="left"/>
              <w:rPr/>
            </w:pPr>
            <w:r>
              <w:rPr/>
              <w:t>  ​ ​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804</w:t>
            </w:r>
          </w:p>
        </w:tc>
        <w:tc>
          <w:tcPr>
            <w:tcW w:w="422" w:type="dxa"/>
            <w:tcBorders/>
            <w:shd w:fill="CCEEFF" w:val="clear"/>
            <w:vAlign w:val="center"/>
          </w:tcPr>
          <w:p>
            <w:pPr>
              <w:pStyle w:val="TableContents"/>
              <w:bidi w:val="0"/>
              <w:spacing w:before="0" w:after="0"/>
              <w:ind w:left="0" w:right="0" w:hanging="0"/>
              <w:jc w:val="left"/>
              <w:rPr/>
            </w:pPr>
            <w:r>
              <w:rPr/>
              <w:t>​</w:t>
            </w:r>
          </w:p>
        </w:tc>
        <w:tc>
          <w:tcPr>
            <w:tcW w:w="25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4,435</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income attributable to noncontrolling interest</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4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Calavo Growers, Inc.</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770"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732</w:t>
            </w:r>
          </w:p>
        </w:tc>
        <w:tc>
          <w:tcPr>
            <w:tcW w:w="422" w:type="dxa"/>
            <w:tcBorders/>
            <w:shd w:fill="CCEEFF" w:val="clear"/>
            <w:vAlign w:val="center"/>
          </w:tcPr>
          <w:p>
            <w:pPr>
              <w:pStyle w:val="TableContents"/>
              <w:bidi w:val="0"/>
              <w:spacing w:before="0" w:after="0"/>
              <w:ind w:left="0" w:right="0" w:hanging="0"/>
              <w:jc w:val="left"/>
              <w:rPr/>
            </w:pPr>
            <w:r>
              <w:rPr/>
              <w:t>​</w:t>
            </w:r>
          </w:p>
        </w:tc>
        <w:tc>
          <w:tcPr>
            <w:tcW w:w="25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827"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(542)</w:t>
            </w:r>
          </w:p>
        </w:tc>
        <w:tc>
          <w:tcPr>
            <w:tcW w:w="42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422"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w:t>
            </w:r>
          </w:p>
        </w:tc>
        <w:tc>
          <w:tcPr>
            <w:tcW w:w="42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1,255</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w:t>
            </w:r>
          </w:p>
        </w:tc>
        <w:tc>
          <w:tcPr>
            <w:tcW w:w="422"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1,942</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1,774</w:t>
            </w:r>
          </w:p>
        </w:tc>
        <w:tc>
          <w:tcPr>
            <w:tcW w:w="4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EBITDA</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4,320</w:t>
            </w:r>
          </w:p>
        </w:tc>
        <w:tc>
          <w:tcPr>
            <w:tcW w:w="4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top w:val="single" w:sz="2"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7,252</w:t>
            </w:r>
          </w:p>
        </w:tc>
      </w:tr>
      <w:tr>
        <w:trPr/>
        <w:tc>
          <w:tcPr>
            <w:tcW w:w="6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77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422" w:type="dxa"/>
            <w:tcBorders/>
            <w:vAlign w:val="center"/>
          </w:tcPr>
          <w:p>
            <w:pPr>
              <w:pStyle w:val="TableContents"/>
              <w:bidi w:val="0"/>
              <w:spacing w:before="0" w:after="0"/>
              <w:ind w:left="0" w:right="0" w:hanging="0"/>
              <w:jc w:val="left"/>
              <w:rPr/>
            </w:pPr>
            <w:r>
              <w:rPr/>
              <w:t>​</w:t>
            </w:r>
          </w:p>
        </w:tc>
        <w:tc>
          <w:tcPr>
            <w:tcW w:w="25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827"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left"/>
              <w:rPr/>
            </w:pPr>
            <w:r>
              <w:rPr/>
              <w:t>​</w:t>
            </w:r>
          </w:p>
        </w:tc>
        <w:tc>
          <w:tcPr>
            <w:tcW w:w="422"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left"/>
              <w:rPr/>
            </w:pPr>
            <w:r>
              <w:rPr/>
              <w:t>​</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Expenses related to Mexican tax matters (a)</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42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fees related to internal investigation and related expenses (b)</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422"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loss (gain) (c)</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42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M&amp;A-related costs (d)</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77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4,907</w:t>
            </w:r>
          </w:p>
        </w:tc>
        <w:tc>
          <w:tcPr>
            <w:tcW w:w="422"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827" w:type="dxa"/>
            <w:tcBorders/>
            <w:shd w:fill="CCEEFF" w:val="cle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Fresh Cut Business legal settlement (e)</w:t>
            </w:r>
          </w:p>
        </w:tc>
        <w:tc>
          <w:tcPr>
            <w:tcW w:w="346"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77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600</w:t>
            </w:r>
          </w:p>
        </w:tc>
        <w:tc>
          <w:tcPr>
            <w:tcW w:w="422"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827" w:type="dxa"/>
            <w:tcBorders/>
            <w:vAlign w:val="center"/>
          </w:tcPr>
          <w:p>
            <w:pPr>
              <w:pStyle w:val="TableContents"/>
              <w:bidi w:val="0"/>
              <w:spacing w:before="0" w:after="0"/>
              <w:ind w:left="0" w:right="0" w:hanging="0"/>
              <w:jc w:val="right"/>
              <w:rPr/>
            </w:pPr>
            <w:r>
              <w:rPr/>
              <w:t>—</w:t>
            </w:r>
          </w:p>
        </w:tc>
      </w:tr>
      <w:tr>
        <w:trPr/>
        <w:tc>
          <w:tcPr>
            <w:tcW w:w="6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Onboarding costs (f)</w:t>
            </w:r>
          </w:p>
        </w:tc>
        <w:tc>
          <w:tcPr>
            <w:tcW w:w="346" w:type="dxa"/>
            <w:tcBorders/>
            <w:shd w:fill="CCEEFF" w:val="cle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4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46" w:type="dxa"/>
            <w:tcBorders/>
            <w:vAlign w:val="center"/>
          </w:tcPr>
          <w:p>
            <w:pPr>
              <w:pStyle w:val="TableContents"/>
              <w:bidi w:val="0"/>
              <w:spacing w:before="0" w:after="0"/>
              <w:ind w:left="0" w:right="0" w:hanging="0"/>
              <w:jc w:val="left"/>
              <w:rPr/>
            </w:pPr>
            <w:r>
              <w:rPr/>
              <w:t>​</w:t>
            </w:r>
          </w:p>
        </w:tc>
        <w:tc>
          <w:tcPr>
            <w:tcW w:w="25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0"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8,006</w:t>
            </w:r>
          </w:p>
        </w:tc>
        <w:tc>
          <w:tcPr>
            <w:tcW w:w="422"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25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9,286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single" w:sz="6" w:space="0" w:color="000000"/>
        </w:pBdr>
        <w:bidi w:val="0"/>
        <w:spacing w:before="0" w:after="0"/>
        <w:ind w:left="0" w:right="7654" w:hanging="0"/>
        <w:jc w:val="left"/>
        <w:rPr/>
      </w:pPr>
      <w:r>
        <w:rPr/>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See prior page for footnote references.</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7152</Words>
  <Characters>41577</Characters>
  <CharactersWithSpaces>48912</CharactersWithSpaces>
  <Paragraphs>1106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