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14, 2025</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89"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2" w:lineRule="exact"/>
        <w:rPr>
          <w:rFonts w:ascii="MS PGothic" w:cs="MS PGothic" w:eastAsia="MS PGothic" w:hAnsi="MS PGothic"/>
          <w:sz w:val="18"/>
          <w:szCs w:val="18"/>
          <w:color w:val="auto"/>
        </w:rPr>
      </w:pPr>
    </w:p>
    <w:p>
      <w:pPr>
        <w:ind w:left="2640"/>
        <w:spacing w:after="0"/>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2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jc w:val="both"/>
        <w:ind w:left="60" w:right="99" w:firstLine="324"/>
        <w:spacing w:after="0" w:line="312"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9" w:lineRule="exact"/>
        <w:rPr>
          <w:sz w:val="24"/>
          <w:szCs w:val="24"/>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60" w:right="159"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600075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102870</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145415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72"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left="60" w:right="239" w:firstLine="324"/>
        <w:spacing w:after="0" w:line="266" w:lineRule="auto"/>
        <w:rPr>
          <w:sz w:val="20"/>
          <w:szCs w:val="20"/>
          <w:color w:val="auto"/>
        </w:rPr>
      </w:pPr>
      <w:r>
        <w:rPr>
          <w:rFonts w:ascii="Times New Roman" w:cs="Times New Roman" w:eastAsia="Times New Roman" w:hAnsi="Times New Roman"/>
          <w:sz w:val="18"/>
          <w:szCs w:val="18"/>
          <w:color w:val="auto"/>
        </w:rPr>
        <w:t>On January 14, 2025, Calavo Growers, Inc. (Calavo) issued a press release containing our financial results for the three-month and twelve-month periods ended October 31, 2024. A copy of the press release is attached as Exhibit 99.1 to this Form 8-K.</w:t>
      </w:r>
    </w:p>
    <w:p>
      <w:pPr>
        <w:spacing w:after="0" w:line="149" w:lineRule="exact"/>
        <w:rPr>
          <w:sz w:val="20"/>
          <w:szCs w:val="20"/>
          <w:color w:val="auto"/>
        </w:rPr>
      </w:pPr>
    </w:p>
    <w:p>
      <w:pPr>
        <w:ind w:left="60" w:right="199"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380" w:hanging="324"/>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dated January 14, 2025 of the Registrant.</w:t>
      </w:r>
    </w:p>
    <w:p>
      <w:pPr>
        <w:spacing w:after="0" w:line="9"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left="60" w:right="25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January 17, 2025</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By: /s/ Lecil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5715</wp:posOffset>
            </wp:positionV>
            <wp:extent cx="25628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4600"/>
        <w:spacing w:after="0"/>
        <w:rPr>
          <w:sz w:val="20"/>
          <w:szCs w:val="20"/>
          <w:color w:val="auto"/>
        </w:rPr>
      </w:pPr>
      <w:r>
        <w:rPr>
          <w:rFonts w:ascii="Times New Roman" w:cs="Times New Roman" w:eastAsia="Times New Roman" w:hAnsi="Times New Roman"/>
          <w:sz w:val="18"/>
          <w:szCs w:val="18"/>
          <w:color w:val="auto"/>
        </w:rPr>
        <w:t>Lecil Cole</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30480</wp:posOffset>
            </wp:positionV>
            <wp:extent cx="1337310" cy="130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3731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Calavo Growers, Inc. Announces Fourth Quarter and Fiscal Year 2024 Financial Results</w:t>
      </w:r>
    </w:p>
    <w:p>
      <w:pPr>
        <w:spacing w:after="0" w:line="251" w:lineRule="exact"/>
        <w:rPr>
          <w:sz w:val="20"/>
          <w:szCs w:val="20"/>
          <w:color w:val="auto"/>
        </w:rPr>
      </w:pPr>
    </w:p>
    <w:p>
      <w:pPr>
        <w:ind w:left="200" w:right="279"/>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SANTA PAULA, Calif., Jan. 14, 2025—Calavo Growers, Inc. (Nasdaq-GS: CVGW), </w:t>
      </w:r>
      <w:r>
        <w:rPr>
          <w:rFonts w:ascii="Times New Roman" w:cs="Times New Roman" w:eastAsia="Times New Roman" w:hAnsi="Times New Roman"/>
          <w:sz w:val="20"/>
          <w:szCs w:val="20"/>
          <w:color w:val="auto"/>
        </w:rPr>
        <w:t>a global avocado-industry leader and provider of value-added fresh food, today reported its financial results for the fiscal fourth quarter and fiscal year ended October 31, 2024.</w:t>
      </w:r>
    </w:p>
    <w:p>
      <w:pPr>
        <w:spacing w:after="0" w:line="216" w:lineRule="exact"/>
        <w:rPr>
          <w:sz w:val="20"/>
          <w:szCs w:val="20"/>
          <w:color w:val="auto"/>
        </w:rPr>
      </w:pPr>
    </w:p>
    <w:p>
      <w:pPr>
        <w:ind w:left="200" w:right="279"/>
        <w:spacing w:after="0" w:line="284" w:lineRule="auto"/>
        <w:rPr>
          <w:sz w:val="20"/>
          <w:szCs w:val="20"/>
          <w:color w:val="auto"/>
        </w:rPr>
      </w:pPr>
      <w:r>
        <w:rPr>
          <w:rFonts w:ascii="Times New Roman" w:cs="Times New Roman" w:eastAsia="Times New Roman" w:hAnsi="Times New Roman"/>
          <w:sz w:val="19"/>
          <w:szCs w:val="19"/>
          <w:i w:val="1"/>
          <w:iCs w:val="1"/>
          <w:color w:val="auto"/>
        </w:rPr>
        <w:t>Introductory Note: In the first quarter of 2024, we concluded that the Fresh Cut (formerly RFG) business met the requirements to be classified as held for sale and discontinued operations. As a result, the financial results of that business are reported as discontinued operations in this press release. The divestiture of the Fresh Cut business occurred on August 15, 2024. Prior to the decision to divest our Fresh Cut business, the Company’s Prepared reporting segment included the Fresh Cut business unit and our guacamole business. The Fresh Cut business unit is no longer included in our Prepared business segment in this press release. Retrospective reclassifications have been made to prior period financial statements and commentary in this press release to present the Fresh Cut business unit as a discontinued operation. Unless otherwise noted, the amounts and commentary included in this press release relate to our continuing operations.</w:t>
      </w:r>
    </w:p>
    <w:p>
      <w:pPr>
        <w:spacing w:after="0" w:line="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Fiscal Year 2024 Financial Overview</w:t>
      </w:r>
    </w:p>
    <w:p>
      <w:pPr>
        <w:spacing w:after="0" w:line="166" w:lineRule="exact"/>
        <w:rPr>
          <w:sz w:val="20"/>
          <w:szCs w:val="20"/>
          <w:color w:val="auto"/>
        </w:rPr>
      </w:pPr>
    </w:p>
    <w:p>
      <w:pPr>
        <w:jc w:val="right"/>
        <w:ind w:left="860" w:right="3039" w:hanging="651"/>
        <w:spacing w:after="0" w:line="242" w:lineRule="auto"/>
        <w:tabs>
          <w:tab w:leader="none" w:pos="536"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Total net sales increased 11.4% to $661.5 million from the prior year </w:t>
      </w:r>
      <w:r>
        <w:rPr>
          <w:rFonts w:ascii="Courier New" w:cs="Courier New" w:eastAsia="Courier New" w:hAnsi="Courier New"/>
          <w:sz w:val="19"/>
          <w:szCs w:val="19"/>
          <w:color w:val="auto"/>
        </w:rPr>
        <w:t xml:space="preserve">o  </w:t>
      </w:r>
      <w:r>
        <w:rPr>
          <w:rFonts w:ascii="Times New Roman" w:cs="Times New Roman" w:eastAsia="Times New Roman" w:hAnsi="Times New Roman"/>
          <w:sz w:val="19"/>
          <w:szCs w:val="19"/>
          <w:color w:val="auto"/>
        </w:rPr>
        <w:t>Grown segment net sales increased 13.3% to $597.6 million</w:t>
      </w:r>
      <w:r>
        <w:rPr>
          <w:rFonts w:ascii="Courier New" w:cs="Courier New" w:eastAsia="Courier New" w:hAnsi="Courier New"/>
          <w:sz w:val="19"/>
          <w:szCs w:val="19"/>
          <w:color w:val="auto"/>
        </w:rPr>
        <w:t xml:space="preserve"> o  </w:t>
      </w:r>
      <w:r>
        <w:rPr>
          <w:rFonts w:ascii="Times New Roman" w:cs="Times New Roman" w:eastAsia="Times New Roman" w:hAnsi="Times New Roman"/>
          <w:sz w:val="19"/>
          <w:szCs w:val="19"/>
          <w:color w:val="auto"/>
        </w:rPr>
        <w:t>Prepared segment net sales decreased 4.2% to $63.9 million</w:t>
      </w:r>
    </w:p>
    <w:p>
      <w:pPr>
        <w:spacing w:after="0" w:line="1" w:lineRule="exact"/>
        <w:rPr>
          <w:rFonts w:ascii="Times New Roman" w:cs="Times New Roman" w:eastAsia="Times New Roman" w:hAnsi="Times New Roman"/>
          <w:sz w:val="19"/>
          <w:szCs w:val="19"/>
          <w:color w:val="auto"/>
        </w:rPr>
      </w:pPr>
    </w:p>
    <w:p>
      <w:pPr>
        <w:ind w:left="860" w:right="2899" w:hanging="651"/>
        <w:spacing w:after="0" w:line="228" w:lineRule="auto"/>
        <w:tabs>
          <w:tab w:leader="none" w:pos="53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gross profit increased 8.3% to $67.8 million from the prior year </w:t>
      </w: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Grown segment gross profit increased 9.4% to $55.3 million</w:t>
      </w:r>
      <w:r>
        <w:rPr>
          <w:rFonts w:ascii="Courier New" w:cs="Courier New" w:eastAsia="Courier New" w:hAnsi="Courier New"/>
          <w:sz w:val="20"/>
          <w:szCs w:val="20"/>
          <w:color w:val="auto"/>
        </w:rPr>
        <w:t xml:space="preserve"> o </w:t>
      </w:r>
      <w:r>
        <w:rPr>
          <w:rFonts w:ascii="Times New Roman" w:cs="Times New Roman" w:eastAsia="Times New Roman" w:hAnsi="Times New Roman"/>
          <w:sz w:val="20"/>
          <w:szCs w:val="20"/>
          <w:color w:val="auto"/>
        </w:rPr>
        <w:t>Prepared segment gross profit increased 3.8% to $12.5 million</w:t>
      </w:r>
    </w:p>
    <w:p>
      <w:pPr>
        <w:spacing w:after="0" w:line="1" w:lineRule="exact"/>
        <w:rPr>
          <w:rFonts w:ascii="Times New Roman" w:cs="Times New Roman" w:eastAsia="Times New Roman" w:hAnsi="Times New Roman"/>
          <w:sz w:val="20"/>
          <w:szCs w:val="20"/>
          <w:color w:val="auto"/>
        </w:rPr>
      </w:pPr>
    </w:p>
    <w:p>
      <w:pPr>
        <w:ind w:left="540" w:right="639" w:hanging="331"/>
        <w:spacing w:after="0" w:line="255" w:lineRule="auto"/>
        <w:tabs>
          <w:tab w:leader="none" w:pos="540"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from continuing operations of $6.8 million, or $0.38 per diluted share, compared to net income from continuing operations of $5.1 million, or $0.26 per diluted share, for the prior year.</w:t>
      </w:r>
    </w:p>
    <w:p>
      <w:pPr>
        <w:spacing w:after="0" w:line="1" w:lineRule="exact"/>
        <w:rPr>
          <w:rFonts w:ascii="Times New Roman" w:cs="Times New Roman" w:eastAsia="Times New Roman" w:hAnsi="Times New Roman"/>
          <w:sz w:val="19"/>
          <w:szCs w:val="19"/>
          <w:color w:val="auto"/>
        </w:rPr>
      </w:pPr>
    </w:p>
    <w:p>
      <w:pPr>
        <w:ind w:left="540" w:right="459" w:hanging="331"/>
        <w:spacing w:after="0" w:line="246" w:lineRule="auto"/>
        <w:tabs>
          <w:tab w:leader="none" w:pos="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of $18.7 million, or $1.05 per diluted share, compared to adjusted net income of $11.5 million, or $0.64 per diluted share, for the prior year</w:t>
      </w:r>
    </w:p>
    <w:p>
      <w:pPr>
        <w:spacing w:after="0" w:line="1"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$37.0 million, compared to $33.2 million for the prior year</w:t>
      </w:r>
    </w:p>
    <w:p>
      <w:pPr>
        <w:spacing w:after="0" w:line="2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Fourth Quarter Financial Overview</w:t>
      </w:r>
    </w:p>
    <w:p>
      <w:pPr>
        <w:spacing w:after="0" w:line="152" w:lineRule="exact"/>
        <w:rPr>
          <w:sz w:val="20"/>
          <w:szCs w:val="20"/>
          <w:color w:val="auto"/>
        </w:rPr>
      </w:pPr>
    </w:p>
    <w:p>
      <w:pPr>
        <w:ind w:left="860" w:right="2419" w:hanging="651"/>
        <w:spacing w:after="0" w:line="242" w:lineRule="auto"/>
        <w:tabs>
          <w:tab w:leader="none" w:pos="53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net sales increased 19.5% to $170.0 million from the prior year quarter </w:t>
      </w: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Grown segment net sales increased 23.4% to $154.6 million</w:t>
      </w:r>
    </w:p>
    <w:p>
      <w:pPr>
        <w:ind w:left="860"/>
        <w:spacing w:after="0" w:line="223" w:lineRule="auto"/>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Prepared segment net sales decreased 9.4% to $15.3 million</w:t>
      </w:r>
    </w:p>
    <w:p>
      <w:pPr>
        <w:ind w:left="860" w:right="2299" w:hanging="651"/>
        <w:spacing w:after="0" w:line="231" w:lineRule="auto"/>
        <w:tabs>
          <w:tab w:leader="none" w:pos="536"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gross profit increased 14.2% to $16.3 million from the prior year quarter </w:t>
      </w: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Grown segment gross profit increased 24.1% to $14.3 million</w:t>
      </w:r>
    </w:p>
    <w:p>
      <w:pPr>
        <w:ind w:left="860"/>
        <w:spacing w:after="0"/>
        <w:rPr>
          <w:rFonts w:ascii="Times New Roman" w:cs="Times New Roman" w:eastAsia="Times New Roman" w:hAnsi="Times New Roman"/>
          <w:sz w:val="20"/>
          <w:szCs w:val="20"/>
          <w:color w:val="auto"/>
        </w:rPr>
      </w:pPr>
      <w:r>
        <w:rPr>
          <w:rFonts w:ascii="Courier New" w:cs="Courier New" w:eastAsia="Courier New" w:hAnsi="Courier New"/>
          <w:sz w:val="20"/>
          <w:szCs w:val="20"/>
          <w:color w:val="auto"/>
        </w:rPr>
        <w:t xml:space="preserve">o  </w:t>
      </w:r>
      <w:r>
        <w:rPr>
          <w:rFonts w:ascii="Times New Roman" w:cs="Times New Roman" w:eastAsia="Times New Roman" w:hAnsi="Times New Roman"/>
          <w:sz w:val="20"/>
          <w:szCs w:val="20"/>
          <w:color w:val="auto"/>
        </w:rPr>
        <w:t>Prepared segment gross profit decreased 27.6% to $2.0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478155</wp:posOffset>
            </wp:positionV>
            <wp:extent cx="54521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sectPr>
      </w:pPr>
    </w:p>
    <w:bookmarkStart w:id="4" w:name="page5"/>
    <w:bookmarkEnd w:id="4"/>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2</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186" w:lineRule="exact"/>
        <w:rPr>
          <w:sz w:val="20"/>
          <w:szCs w:val="20"/>
          <w:color w:val="auto"/>
        </w:rPr>
      </w:pPr>
    </w:p>
    <w:p>
      <w:pPr>
        <w:ind w:left="540" w:right="279" w:hanging="331"/>
        <w:spacing w:after="0" w:line="254" w:lineRule="auto"/>
        <w:tabs>
          <w:tab w:leader="none" w:pos="5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from continuing operations of $2.5 million, or $(0.14) per diluted share, compared to a net loss from continuing operations of $4.7 million, or $(0.26) per diluted share, for the prior year quarter</w:t>
      </w:r>
    </w:p>
    <w:p>
      <w:pPr>
        <w:spacing w:after="0" w:line="1" w:lineRule="exact"/>
        <w:rPr>
          <w:rFonts w:ascii="Times New Roman" w:cs="Times New Roman" w:eastAsia="Times New Roman" w:hAnsi="Times New Roman"/>
          <w:sz w:val="20"/>
          <w:szCs w:val="20"/>
          <w:color w:val="auto"/>
        </w:rPr>
      </w:pPr>
    </w:p>
    <w:p>
      <w:pPr>
        <w:ind w:left="540" w:right="599" w:hanging="331"/>
        <w:spacing w:after="0" w:line="246" w:lineRule="auto"/>
        <w:tabs>
          <w:tab w:leader="none" w:pos="5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net income of $0.8 million, or $0.05 per diluted share, compared to an adjusted net loss of $0.4 million, or $(0.02) per diluted share, for the prior quarter</w:t>
      </w:r>
    </w:p>
    <w:p>
      <w:pPr>
        <w:spacing w:after="0" w:line="1" w:lineRule="exact"/>
        <w:rPr>
          <w:rFonts w:ascii="Times New Roman" w:cs="Times New Roman" w:eastAsia="Times New Roman" w:hAnsi="Times New Roman"/>
          <w:sz w:val="20"/>
          <w:szCs w:val="20"/>
          <w:color w:val="auto"/>
        </w:rPr>
      </w:pPr>
    </w:p>
    <w:p>
      <w:pPr>
        <w:ind w:left="540" w:hanging="331"/>
        <w:spacing w:after="0"/>
        <w:tabs>
          <w:tab w:leader="none" w:pos="5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$6.7 million compared to $8.0 million for the prior year quarter</w:t>
      </w:r>
    </w:p>
    <w:p>
      <w:pPr>
        <w:spacing w:after="0" w:line="210" w:lineRule="exact"/>
        <w:rPr>
          <w:sz w:val="20"/>
          <w:szCs w:val="20"/>
          <w:color w:val="auto"/>
        </w:rPr>
      </w:pPr>
    </w:p>
    <w:p>
      <w:pPr>
        <w:ind w:left="200" w:right="579"/>
        <w:spacing w:after="0" w:line="287" w:lineRule="auto"/>
        <w:rPr>
          <w:sz w:val="20"/>
          <w:szCs w:val="20"/>
          <w:color w:val="auto"/>
        </w:rPr>
      </w:pPr>
      <w:r>
        <w:rPr>
          <w:rFonts w:ascii="Times New Roman" w:cs="Times New Roman" w:eastAsia="Times New Roman" w:hAnsi="Times New Roman"/>
          <w:sz w:val="20"/>
          <w:szCs w:val="20"/>
          <w:i w:val="1"/>
          <w:iCs w:val="1"/>
          <w:color w:val="auto"/>
        </w:rPr>
        <w:t>Adjusted net income (loss), adjusted net income (loss) per diluted share, and adjusted EBITDA are non-GAAP financial measures. See “Non-GAAP Financial Measures” below.</w:t>
      </w:r>
    </w:p>
    <w:p>
      <w:pPr>
        <w:spacing w:after="0" w:line="1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Management Commentary</w:t>
      </w:r>
    </w:p>
    <w:p>
      <w:pPr>
        <w:spacing w:after="0" w:line="32" w:lineRule="exact"/>
        <w:rPr>
          <w:sz w:val="20"/>
          <w:szCs w:val="20"/>
          <w:color w:val="auto"/>
        </w:rPr>
      </w:pPr>
    </w:p>
    <w:p>
      <w:pPr>
        <w:ind w:left="200" w:right="439"/>
        <w:spacing w:after="0" w:line="271" w:lineRule="auto"/>
        <w:rPr>
          <w:sz w:val="20"/>
          <w:szCs w:val="20"/>
          <w:color w:val="auto"/>
        </w:rPr>
      </w:pPr>
      <w:r>
        <w:rPr>
          <w:rFonts w:ascii="Times New Roman" w:cs="Times New Roman" w:eastAsia="Times New Roman" w:hAnsi="Times New Roman"/>
          <w:sz w:val="20"/>
          <w:szCs w:val="20"/>
          <w:color w:val="auto"/>
        </w:rPr>
        <w:t>“We made good progress in 2024 improving our financial performance and executing our strategy,” said Lee Cole, President and Chief Executive Officer of Calavo Growers, Inc. “Both our top and bottom-line results grew compared to 2023, with net sales increasing approximately 11%, net income from continuing operations increasing approximately 36%, and adjusted EBITDA increasing approximately 11%. Additionally, adjusted net income increased $0.41 per share from the prior year.”</w:t>
      </w:r>
    </w:p>
    <w:p>
      <w:pPr>
        <w:spacing w:after="0" w:line="212" w:lineRule="exact"/>
        <w:rPr>
          <w:sz w:val="20"/>
          <w:szCs w:val="20"/>
          <w:color w:val="auto"/>
        </w:rPr>
      </w:pPr>
    </w:p>
    <w:p>
      <w:pPr>
        <w:ind w:left="200" w:right="279"/>
        <w:spacing w:after="0" w:line="270" w:lineRule="auto"/>
        <w:rPr>
          <w:sz w:val="20"/>
          <w:szCs w:val="20"/>
          <w:color w:val="auto"/>
        </w:rPr>
      </w:pPr>
      <w:r>
        <w:rPr>
          <w:rFonts w:ascii="Times New Roman" w:cs="Times New Roman" w:eastAsia="Times New Roman" w:hAnsi="Times New Roman"/>
          <w:sz w:val="20"/>
          <w:szCs w:val="20"/>
          <w:color w:val="auto"/>
        </w:rPr>
        <w:t>“In the first quarter of 2024, we made the strategic decision to sharpen our focus on our core avocado and guacamole operations, leading to the sale of our Fresh Cut business, which we finalized in August 2024. By divesting Fresh Cut, we enhanced our core operations and streamlined our corporate structure to deliver meaningful reductions in SG&amp;A expenses. The sale of Fresh Cut also strengthened our balance sheet by reducing debt and generating a strong cash position, which helped us to reward investors with a higher dividend that we plan to maintain in 2025.”</w:t>
      </w:r>
    </w:p>
    <w:p>
      <w:pPr>
        <w:spacing w:after="0" w:line="216" w:lineRule="exact"/>
        <w:rPr>
          <w:sz w:val="20"/>
          <w:szCs w:val="20"/>
          <w:color w:val="auto"/>
        </w:rPr>
      </w:pPr>
    </w:p>
    <w:p>
      <w:pPr>
        <w:ind w:left="200" w:right="419"/>
        <w:spacing w:after="0" w:line="287" w:lineRule="auto"/>
        <w:rPr>
          <w:sz w:val="20"/>
          <w:szCs w:val="20"/>
          <w:color w:val="auto"/>
        </w:rPr>
      </w:pPr>
      <w:r>
        <w:rPr>
          <w:rFonts w:ascii="Times New Roman" w:cs="Times New Roman" w:eastAsia="Times New Roman" w:hAnsi="Times New Roman"/>
          <w:sz w:val="19"/>
          <w:szCs w:val="19"/>
          <w:color w:val="auto"/>
        </w:rPr>
        <w:t>“Turning to our financial performance for the fourth fiscal quarter, we saw our net loss from continuing operations improve by approximately 48% as compared to the same prior quarter period, driven primarily by favorable movements in our tax rate. Adjusted EBITDA for the same periods, however, declined by approximately 16%, primarily reflecting an increase in incentive compensation. Total gross profit rose by approximately 14% during the quarter, supported by stronger avocado margins in the Grown segment. However, this improvement was partially offset by higher fruit input costs in our Prepared segment.”</w:t>
      </w:r>
    </w:p>
    <w:p>
      <w:pPr>
        <w:spacing w:after="0" w:line="214" w:lineRule="exact"/>
        <w:rPr>
          <w:sz w:val="20"/>
          <w:szCs w:val="20"/>
          <w:color w:val="auto"/>
        </w:rPr>
      </w:pPr>
    </w:p>
    <w:p>
      <w:pPr>
        <w:ind w:left="200" w:right="239"/>
        <w:spacing w:after="0" w:line="283" w:lineRule="auto"/>
        <w:rPr>
          <w:sz w:val="20"/>
          <w:szCs w:val="20"/>
          <w:color w:val="auto"/>
        </w:rPr>
      </w:pPr>
      <w:r>
        <w:rPr>
          <w:rFonts w:ascii="Times New Roman" w:cs="Times New Roman" w:eastAsia="Times New Roman" w:hAnsi="Times New Roman"/>
          <w:sz w:val="19"/>
          <w:szCs w:val="19"/>
          <w:color w:val="auto"/>
        </w:rPr>
        <w:t>“We are entering fiscal 2025 with strong momentum. Our strategic focus on operational optimization, disciplined execution, and leveraging organic growth opportunities positions us well for sustained success. With double-digit growth anticipated in avocado and guacamole sales volumes, as well as overall revenue, we believe that our initiatives will drive meaningful value creation for shareholders in fiscal 2025 as compared to fiscal 2024. Our confidence is grounded in the strength of our growth drivers — new customer acquisition, product innovations, deeper penetration within existing accounts, and expanded global sourcing strategies. We believe the scalability of our supply chain gives us an advantage in delivering the sales volume growth. Supported by a focus on cost discipline and efficiencies in SG&amp;A expenses, these factors position us for a strong year of revenue growth, profitability, and enhanced shareholder returns in 2025.”</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Fourth Quarter 2024 Consolidated Financial Review</w:t>
      </w:r>
    </w:p>
    <w:p>
      <w:pPr>
        <w:spacing w:after="0" w:line="32" w:lineRule="exact"/>
        <w:rPr>
          <w:sz w:val="20"/>
          <w:szCs w:val="20"/>
          <w:color w:val="auto"/>
        </w:rPr>
      </w:pPr>
    </w:p>
    <w:p>
      <w:pPr>
        <w:ind w:left="200" w:right="279"/>
        <w:spacing w:after="0" w:line="272" w:lineRule="auto"/>
        <w:rPr>
          <w:sz w:val="20"/>
          <w:szCs w:val="20"/>
          <w:color w:val="auto"/>
        </w:rPr>
      </w:pPr>
      <w:r>
        <w:rPr>
          <w:rFonts w:ascii="Times New Roman" w:cs="Times New Roman" w:eastAsia="Times New Roman" w:hAnsi="Times New Roman"/>
          <w:sz w:val="20"/>
          <w:szCs w:val="20"/>
          <w:color w:val="auto"/>
        </w:rPr>
        <w:t>Total net sales for the fourth quarter of 2024 were $170.0 million, an increase of 19.5% compared to $142.2 million for the fourth quarter of 2023. Net sales in the Grown segment increased by 23.4%, while net sales in the Prepared segment decreased by 9.4%. The average selling price of avocados in the Grown segment rose by 16% compared to the same period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636905</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5" w:name="page6"/>
    <w:bookmarkEnd w:id="5"/>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3</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200" w:lineRule="exact"/>
        <w:rPr>
          <w:sz w:val="20"/>
          <w:szCs w:val="20"/>
          <w:color w:val="auto"/>
        </w:rPr>
      </w:pPr>
    </w:p>
    <w:p>
      <w:pPr>
        <w:ind w:left="200" w:right="539"/>
        <w:spacing w:after="0" w:line="297" w:lineRule="auto"/>
        <w:rPr>
          <w:sz w:val="20"/>
          <w:szCs w:val="20"/>
          <w:color w:val="auto"/>
        </w:rPr>
      </w:pPr>
      <w:r>
        <w:rPr>
          <w:rFonts w:ascii="Times New Roman" w:cs="Times New Roman" w:eastAsia="Times New Roman" w:hAnsi="Times New Roman"/>
          <w:sz w:val="20"/>
          <w:szCs w:val="20"/>
          <w:color w:val="auto"/>
        </w:rPr>
        <w:t>Gross profit for the fourth quarter was $16.3 million, or 9.6% of net sales, compared to $14.3 million, or 10.0% of net sales, for the same period last year.</w:t>
      </w:r>
    </w:p>
    <w:p>
      <w:pPr>
        <w:spacing w:after="0" w:line="187" w:lineRule="exact"/>
        <w:rPr>
          <w:sz w:val="20"/>
          <w:szCs w:val="20"/>
          <w:color w:val="auto"/>
        </w:rPr>
      </w:pPr>
    </w:p>
    <w:p>
      <w:pPr>
        <w:ind w:left="200" w:right="219"/>
        <w:spacing w:after="0" w:line="277" w:lineRule="auto"/>
        <w:rPr>
          <w:sz w:val="20"/>
          <w:szCs w:val="20"/>
          <w:color w:val="auto"/>
        </w:rPr>
      </w:pPr>
      <w:r>
        <w:rPr>
          <w:rFonts w:ascii="Times New Roman" w:cs="Times New Roman" w:eastAsia="Times New Roman" w:hAnsi="Times New Roman"/>
          <w:sz w:val="20"/>
          <w:szCs w:val="20"/>
          <w:color w:val="auto"/>
        </w:rPr>
        <w:t>Selling, general and administrative (SG&amp;A) expenses for the fourth quarter totaled $13.0 million, or 7.7% of net sales, compared to $9.3 million and 6.5% of net sales for the same period last year. The increase from the prior year was related primarily to higher legal and outside service-related expenses of $1.0 million for investigation-related expenses in addition to higher incentive compensation expenses.</w:t>
      </w:r>
    </w:p>
    <w:p>
      <w:pPr>
        <w:spacing w:after="0" w:line="207" w:lineRule="exact"/>
        <w:rPr>
          <w:sz w:val="20"/>
          <w:szCs w:val="20"/>
          <w:color w:val="auto"/>
        </w:rPr>
      </w:pPr>
    </w:p>
    <w:p>
      <w:pPr>
        <w:ind w:left="200" w:right="439"/>
        <w:spacing w:after="0" w:line="282" w:lineRule="auto"/>
        <w:rPr>
          <w:sz w:val="20"/>
          <w:szCs w:val="20"/>
          <w:color w:val="auto"/>
        </w:rPr>
      </w:pPr>
      <w:r>
        <w:rPr>
          <w:rFonts w:ascii="Times New Roman" w:cs="Times New Roman" w:eastAsia="Times New Roman" w:hAnsi="Times New Roman"/>
          <w:sz w:val="20"/>
          <w:szCs w:val="20"/>
          <w:color w:val="auto"/>
        </w:rPr>
        <w:t>Net loss from continuing operations for the fourth quarter was $2.5 million, or $(0.14) per diluted share. This compares with a net loss from continuing operations of $4.7 million, or $(0.26) per diluted share, for the same period last year.</w:t>
      </w:r>
    </w:p>
    <w:p>
      <w:pPr>
        <w:spacing w:after="0" w:line="202" w:lineRule="exact"/>
        <w:rPr>
          <w:sz w:val="20"/>
          <w:szCs w:val="20"/>
          <w:color w:val="auto"/>
        </w:rPr>
      </w:pPr>
    </w:p>
    <w:p>
      <w:pPr>
        <w:ind w:left="200" w:right="619"/>
        <w:spacing w:after="0" w:line="297" w:lineRule="auto"/>
        <w:rPr>
          <w:sz w:val="20"/>
          <w:szCs w:val="20"/>
          <w:color w:val="auto"/>
        </w:rPr>
      </w:pPr>
      <w:r>
        <w:rPr>
          <w:rFonts w:ascii="Times New Roman" w:cs="Times New Roman" w:eastAsia="Times New Roman" w:hAnsi="Times New Roman"/>
          <w:sz w:val="20"/>
          <w:szCs w:val="20"/>
          <w:color w:val="auto"/>
        </w:rPr>
        <w:t>Adjusted net income was $0.8 million, or $0.05 per diluted share, compared to adjusted net loss of $0.4 million, or $(0.02) per diluted share last year.</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Adjusted EBITDA was $6.7 million compared to $8.0 million for the same period last year.</w:t>
      </w:r>
    </w:p>
    <w:p>
      <w:pPr>
        <w:spacing w:after="0" w:line="2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Segment Performance</w:t>
      </w:r>
    </w:p>
    <w:p>
      <w:pPr>
        <w:spacing w:after="0" w:line="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Grown</w:t>
      </w:r>
    </w:p>
    <w:p>
      <w:pPr>
        <w:spacing w:after="0" w:line="27" w:lineRule="exact"/>
        <w:rPr>
          <w:sz w:val="20"/>
          <w:szCs w:val="20"/>
          <w:color w:val="auto"/>
        </w:rPr>
      </w:pPr>
    </w:p>
    <w:p>
      <w:pPr>
        <w:jc w:val="both"/>
        <w:ind w:left="200" w:right="379"/>
        <w:spacing w:after="0" w:line="276" w:lineRule="auto"/>
        <w:rPr>
          <w:sz w:val="20"/>
          <w:szCs w:val="20"/>
          <w:color w:val="auto"/>
        </w:rPr>
      </w:pPr>
      <w:r>
        <w:rPr>
          <w:rFonts w:ascii="Times New Roman" w:cs="Times New Roman" w:eastAsia="Times New Roman" w:hAnsi="Times New Roman"/>
          <w:sz w:val="19"/>
          <w:szCs w:val="19"/>
          <w:color w:val="auto"/>
        </w:rPr>
        <w:t>Gross profit in the Grown segment increased to $14.3 million, compared to $11.5 million in the prior year quarter. This improvement was primarily driven by a 10% increase in avocado volume and higher margins per case. Average avocado prices were approximately 16% higher than the same period in the prior year.</w:t>
      </w:r>
    </w:p>
    <w:p>
      <w:pPr>
        <w:spacing w:after="0" w:line="2" w:lineRule="exact"/>
        <w:rPr>
          <w:sz w:val="20"/>
          <w:szCs w:val="20"/>
          <w:color w:val="auto"/>
        </w:rPr>
      </w:pPr>
    </w:p>
    <w:p>
      <w:pPr>
        <w:ind w:left="200" w:right="299"/>
        <w:spacing w:after="0" w:line="267" w:lineRule="auto"/>
        <w:rPr>
          <w:sz w:val="20"/>
          <w:szCs w:val="20"/>
          <w:color w:val="auto"/>
        </w:rPr>
      </w:pPr>
      <w:r>
        <w:rPr>
          <w:rFonts w:ascii="Times New Roman" w:cs="Times New Roman" w:eastAsia="Times New Roman" w:hAnsi="Times New Roman"/>
          <w:sz w:val="20"/>
          <w:szCs w:val="20"/>
          <w:color w:val="auto"/>
        </w:rPr>
        <w:t>Avocado performance has been and is expected to remain steady throughout the first quarter. We anticipate adequate volume in January to meet Super Bowl demand despite USDA limitations on inspection hours in Mexico and isolated pest challenges in Michoacan. We remain confident in our supply chain and our ability to fulfill demand during this peak consumption period. While tomato volumes are projected to decline, pricing improvements and stronger margins on purchased tomatoes should deliver double-digit growth in tomato gross profit during fiscal year 2025 as compared to fiscal year 2024.</w:t>
      </w: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i w:val="1"/>
          <w:iCs w:val="1"/>
          <w:color w:val="auto"/>
        </w:rPr>
        <w:t>Prepared</w:t>
      </w:r>
    </w:p>
    <w:p>
      <w:pPr>
        <w:spacing w:after="0" w:line="32" w:lineRule="exact"/>
        <w:rPr>
          <w:sz w:val="20"/>
          <w:szCs w:val="20"/>
          <w:color w:val="auto"/>
        </w:rPr>
      </w:pPr>
    </w:p>
    <w:p>
      <w:pPr>
        <w:ind w:left="200" w:right="319"/>
        <w:spacing w:after="0" w:line="267" w:lineRule="auto"/>
        <w:rPr>
          <w:sz w:val="20"/>
          <w:szCs w:val="20"/>
          <w:color w:val="auto"/>
        </w:rPr>
      </w:pPr>
      <w:r>
        <w:rPr>
          <w:rFonts w:ascii="Times New Roman" w:cs="Times New Roman" w:eastAsia="Times New Roman" w:hAnsi="Times New Roman"/>
          <w:sz w:val="20"/>
          <w:szCs w:val="20"/>
          <w:color w:val="auto"/>
        </w:rPr>
        <w:t>Gross profit in the Prepared segment declined to $2.0 million from $2.7 million in the prior year quarter, with gross margin decreasing from 16.1% to 12.9%. This decline was primarily driven by higher fruit costs compared to the prior year quarter; however, costs gradually stabilized following the summer price surge. Looking ahead, we remain focused on expanding our guacamole business and have introduced several exciting new products for retail consumers during the fiscal fourth quarter. We expect double-digit sales volume growth for fiscal year 2025, as compared to fiscal year 2024, and higher gross margins through improved operational efficiencies.</w:t>
      </w:r>
    </w:p>
    <w:p>
      <w:pPr>
        <w:spacing w:after="0" w:line="22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Balance Sheet and Liquidity</w:t>
      </w:r>
    </w:p>
    <w:p>
      <w:pPr>
        <w:spacing w:after="0" w:line="32" w:lineRule="exact"/>
        <w:rPr>
          <w:sz w:val="20"/>
          <w:szCs w:val="20"/>
          <w:color w:val="auto"/>
        </w:rPr>
      </w:pPr>
    </w:p>
    <w:p>
      <w:pPr>
        <w:ind w:left="200" w:right="719"/>
        <w:spacing w:after="0" w:line="266" w:lineRule="auto"/>
        <w:rPr>
          <w:sz w:val="20"/>
          <w:szCs w:val="20"/>
          <w:color w:val="auto"/>
        </w:rPr>
      </w:pPr>
      <w:r>
        <w:rPr>
          <w:rFonts w:ascii="Times New Roman" w:cs="Times New Roman" w:eastAsia="Times New Roman" w:hAnsi="Times New Roman"/>
          <w:sz w:val="20"/>
          <w:szCs w:val="20"/>
          <w:color w:val="auto"/>
        </w:rPr>
        <w:t xml:space="preserve">The Company ended the year with cash and cash equivalents of $57.0 million and $108.8 million of available liquidity. The Company had no borrowings under its credit facility and had total debt of $5.1 million </w:t>
      </w:r>
      <w:r>
        <w:rPr>
          <w:rFonts w:ascii="Calibri" w:cs="Calibri" w:eastAsia="Calibri" w:hAnsi="Calibri"/>
          <w:sz w:val="20"/>
          <w:szCs w:val="20"/>
          <w:color w:val="auto"/>
        </w:rPr>
        <w:t>consistng of</w:t>
      </w:r>
      <w:r>
        <w:rPr>
          <w:rFonts w:ascii="Times New Roman" w:cs="Times New Roman" w:eastAsia="Times New Roman" w:hAnsi="Times New Roman"/>
          <w:sz w:val="20"/>
          <w:szCs w:val="20"/>
          <w:color w:val="auto"/>
        </w:rPr>
        <w:t xml:space="preserve"> other long-term obligations and finance leases as of October 31, 2024.</w:t>
      </w:r>
    </w:p>
    <w:p>
      <w:pPr>
        <w:spacing w:after="0" w:line="2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Non-GAAP Financial Measures</w:t>
      </w:r>
    </w:p>
    <w:p>
      <w:pPr>
        <w:spacing w:after="0" w:line="179" w:lineRule="exact"/>
        <w:rPr>
          <w:sz w:val="20"/>
          <w:szCs w:val="20"/>
          <w:color w:val="auto"/>
        </w:rPr>
      </w:pPr>
    </w:p>
    <w:p>
      <w:pPr>
        <w:jc w:val="both"/>
        <w:ind w:left="200" w:right="379"/>
        <w:spacing w:after="0" w:line="275" w:lineRule="auto"/>
        <w:rPr>
          <w:sz w:val="20"/>
          <w:szCs w:val="20"/>
          <w:color w:val="auto"/>
        </w:rPr>
      </w:pPr>
      <w:r>
        <w:rPr>
          <w:rFonts w:ascii="Times New Roman" w:cs="Times New Roman" w:eastAsia="Times New Roman" w:hAnsi="Times New Roman"/>
          <w:sz w:val="20"/>
          <w:szCs w:val="20"/>
          <w:color w:val="auto"/>
        </w:rPr>
        <w:t>This press release includes non-GAAP measures EBITDA, adjusted EBITDA, adjusted net income (loss) and adjusted net income (loss) per diluted share, which are not prepared in accordance with U.S. generally accepted accounting principles, or “GAAP.” EBITDA is defined as net income (loss)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472440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6" w:name="page7"/>
    <w:bookmarkEnd w:id="6"/>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4</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200" w:lineRule="exact"/>
        <w:rPr>
          <w:sz w:val="20"/>
          <w:szCs w:val="20"/>
          <w:color w:val="auto"/>
        </w:rPr>
      </w:pPr>
    </w:p>
    <w:p>
      <w:pPr>
        <w:ind w:left="200" w:right="299"/>
        <w:spacing w:after="0" w:line="283" w:lineRule="auto"/>
        <w:rPr>
          <w:sz w:val="20"/>
          <w:szCs w:val="20"/>
          <w:color w:val="auto"/>
        </w:rPr>
      </w:pPr>
      <w:r>
        <w:rPr>
          <w:rFonts w:ascii="Times New Roman" w:cs="Times New Roman" w:eastAsia="Times New Roman" w:hAnsi="Times New Roman"/>
          <w:sz w:val="19"/>
          <w:szCs w:val="19"/>
          <w:color w:val="auto"/>
        </w:rPr>
        <w:t>continuing operations attributable to Calavo Growers, Inc. excluding (1) interest income and expense, (2) income tax (benefit) provision, (3) depreciation and amortization and (4) stock-based compensation expense. Adjusted EBITDA is EBITDA with further adjustments for (1) non-cash net losses (income) recognized from unconsolidated entities, (2) goodwill impairment, (3) write-off of long-lived assets, (4) acquisition-related costs, (5) restructuring-related costs, including certain severance costs, (6) certain litigation, internal investigation and other related costs, (7) foreign currency gain (loss) and (8) one-time items. We believe adjusted EBITDA affords investors a different view of the overall financial performance of the Company than adjusted net income (loss) and the GAAP measure of net income (loss) from continuing operations.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204" w:lineRule="exact"/>
        <w:rPr>
          <w:sz w:val="20"/>
          <w:szCs w:val="20"/>
          <w:color w:val="auto"/>
        </w:rPr>
      </w:pPr>
    </w:p>
    <w:p>
      <w:pPr>
        <w:ind w:left="200" w:right="259"/>
        <w:spacing w:after="0" w:line="267" w:lineRule="auto"/>
        <w:rPr>
          <w:sz w:val="20"/>
          <w:szCs w:val="20"/>
          <w:color w:val="auto"/>
        </w:rPr>
      </w:pPr>
      <w:r>
        <w:rPr>
          <w:rFonts w:ascii="Times New Roman" w:cs="Times New Roman" w:eastAsia="Times New Roman" w:hAnsi="Times New Roman"/>
          <w:sz w:val="20"/>
          <w:szCs w:val="20"/>
          <w:color w:val="auto"/>
        </w:rPr>
        <w:t>Adjusted net income (loss) is defined as net income (loss) from continuing operations attributable to Calavo Growers, Inc. excluding (1) non-cash net losses recognized from unconsolidated entities, (2) goodwill impairment, (3) write-off of long-lived assets, (4) acquisition-related costs, (5) restructuring-related costs, including certain severance costs, (6) certain litigation, internal investigation and other related costs, (7) foreign currency loss (gain) and (8) one-time items. Adjusted net income (loss) and the related measure of adjusted net income (loss)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GAAP measure of net income (loss) from continuing operations.</w:t>
      </w:r>
    </w:p>
    <w:p>
      <w:pPr>
        <w:spacing w:after="0" w:line="222" w:lineRule="exact"/>
        <w:rPr>
          <w:sz w:val="20"/>
          <w:szCs w:val="20"/>
          <w:color w:val="auto"/>
        </w:rPr>
      </w:pPr>
    </w:p>
    <w:p>
      <w:pPr>
        <w:ind w:left="200" w:right="259"/>
        <w:spacing w:after="0" w:line="267" w:lineRule="auto"/>
        <w:rPr>
          <w:sz w:val="20"/>
          <w:szCs w:val="20"/>
          <w:color w:val="auto"/>
        </w:rPr>
      </w:pPr>
      <w:r>
        <w:rPr>
          <w:rFonts w:ascii="Times New Roman" w:cs="Times New Roman" w:eastAsia="Times New Roman" w:hAnsi="Times New Roman"/>
          <w:sz w:val="20"/>
          <w:szCs w:val="20"/>
          <w:color w:val="auto"/>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and adjusted net income (loss) may not be comparable to similarly titled measures presented by other companies and may not be identical to corresponding measures used in Company agreements.</w:t>
      </w:r>
    </w:p>
    <w:p>
      <w:pPr>
        <w:spacing w:after="0" w:line="23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About Calavo Growers, Inc.</w:t>
      </w:r>
    </w:p>
    <w:p>
      <w:pPr>
        <w:spacing w:after="0" w:line="32" w:lineRule="exact"/>
        <w:rPr>
          <w:sz w:val="20"/>
          <w:szCs w:val="20"/>
          <w:color w:val="auto"/>
        </w:rPr>
      </w:pPr>
    </w:p>
    <w:p>
      <w:pPr>
        <w:ind w:left="200" w:right="319"/>
        <w:spacing w:after="0" w:line="267" w:lineRule="auto"/>
        <w:rPr>
          <w:sz w:val="20"/>
          <w:szCs w:val="20"/>
          <w:color w:val="auto"/>
        </w:rPr>
      </w:pPr>
      <w:r>
        <w:rPr>
          <w:rFonts w:ascii="Times New Roman" w:cs="Times New Roman" w:eastAsia="Times New Roman" w:hAnsi="Times New Roman"/>
          <w:sz w:val="20"/>
          <w:szCs w:val="20"/>
          <w:color w:val="auto"/>
        </w:rPr>
        <w:t xml:space="preserve">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w:t>
      </w:r>
      <w:r>
        <w:rPr>
          <w:rFonts w:ascii="Times New Roman" w:cs="Times New Roman" w:eastAsia="Times New Roman" w:hAnsi="Times New Roman"/>
          <w:sz w:val="20"/>
          <w:szCs w:val="20"/>
          <w:i w:val="1"/>
          <w:iCs w:val="1"/>
          <w:color w:val="auto"/>
        </w:rPr>
        <w:t>The Family of Fresh™</w:t>
      </w:r>
      <w:r>
        <w:rPr>
          <w:rFonts w:ascii="Times New Roman" w:cs="Times New Roman" w:eastAsia="Times New Roman" w:hAnsi="Times New Roman"/>
          <w:sz w:val="20"/>
          <w:szCs w:val="20"/>
          <w:color w:val="auto"/>
        </w:rPr>
        <w:t xml:space="preserve"> at calavo.com.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976630</wp:posOffset>
            </wp:positionV>
            <wp:extent cx="54521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7" w:name="page8"/>
    <w:bookmarkEnd w:id="7"/>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5</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32" w:lineRule="exact"/>
        <w:rPr>
          <w:sz w:val="20"/>
          <w:szCs w:val="20"/>
          <w:color w:val="auto"/>
        </w:rPr>
      </w:pPr>
    </w:p>
    <w:p>
      <w:pPr>
        <w:ind w:left="200" w:right="259"/>
        <w:spacing w:after="0" w:line="279" w:lineRule="auto"/>
        <w:rPr>
          <w:sz w:val="20"/>
          <w:szCs w:val="20"/>
          <w:color w:val="auto"/>
        </w:rPr>
      </w:pPr>
      <w:r>
        <w:rPr>
          <w:rFonts w:ascii="Times New Roman" w:cs="Times New Roman" w:eastAsia="Times New Roman" w:hAnsi="Times New Roman"/>
          <w:sz w:val="19"/>
          <w:szCs w:val="19"/>
          <w:color w:val="auto"/>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any projections of revenue, gross profit, expenses, income/(loss) from unconsolidated entities, earnings, earnings per share, tax provisions, cash flows and currency exchange rates;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and any statements of expectation or belief;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22" w:lineRule="exact"/>
        <w:rPr>
          <w:sz w:val="20"/>
          <w:szCs w:val="20"/>
          <w:color w:val="auto"/>
        </w:rPr>
      </w:pPr>
    </w:p>
    <w:p>
      <w:pPr>
        <w:ind w:left="200" w:right="219"/>
        <w:spacing w:after="0" w:line="264" w:lineRule="auto"/>
        <w:rPr>
          <w:sz w:val="20"/>
          <w:szCs w:val="20"/>
          <w:color w:val="auto"/>
        </w:rPr>
      </w:pPr>
      <w:r>
        <w:rPr>
          <w:rFonts w:ascii="Times New Roman" w:cs="Times New Roman" w:eastAsia="Times New Roman" w:hAnsi="Times New Roman"/>
          <w:sz w:val="20"/>
          <w:szCs w:val="20"/>
          <w:color w:val="auto"/>
        </w:rPr>
        <w:t>Risks and uncertainties that may cause our actual results to be materially different from any future results expressed or implied by the forward-looking statements include, but are not limited to, the following: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w:t>
      </w:r>
      <w:r>
        <w:rPr>
          <w:sz w:val="1"/>
          <w:szCs w:val="1"/>
          <w:color w:val="auto"/>
        </w:rPr>
        <w:drawing>
          <wp:inline distT="0" distB="0" distL="0" distR="0">
            <wp:extent cx="3429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137160"/>
                    </a:xfrm>
                    <a:prstGeom prst="rect">
                      <a:avLst/>
                    </a:prstGeom>
                    <a:noFill/>
                    <a:ln>
                      <a:noFill/>
                    </a:ln>
                  </pic:spPr>
                </pic:pic>
              </a:graphicData>
            </a:graphic>
          </wp:inline>
        </w:drawing>
      </w:r>
      <w:r>
        <w:rPr>
          <w:rFonts w:ascii="Times New Roman" w:cs="Times New Roman" w:eastAsia="Times New Roman" w:hAnsi="Times New Roman"/>
          <w:sz w:val="20"/>
          <w:szCs w:val="20"/>
          <w:color w:val="auto"/>
        </w:rPr>
        <w:t>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the new guacamole products referenced in this press release;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8" w:name="page9"/>
    <w:bookmarkEnd w:id="8"/>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6</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200" w:lineRule="exact"/>
        <w:rPr>
          <w:sz w:val="20"/>
          <w:szCs w:val="20"/>
          <w:color w:val="auto"/>
        </w:rPr>
      </w:pPr>
    </w:p>
    <w:p>
      <w:pPr>
        <w:ind w:left="200" w:right="379"/>
        <w:spacing w:after="0" w:line="297" w:lineRule="auto"/>
        <w:rPr>
          <w:sz w:val="20"/>
          <w:szCs w:val="20"/>
          <w:color w:val="auto"/>
        </w:rPr>
      </w:pPr>
      <w:r>
        <w:rPr>
          <w:rFonts w:ascii="Times New Roman" w:cs="Times New Roman" w:eastAsia="Times New Roman" w:hAnsi="Times New Roman"/>
          <w:sz w:val="20"/>
          <w:szCs w:val="20"/>
          <w:color w:val="auto"/>
        </w:rPr>
        <w:t>“SAT”) and our defenses against collection activities commenced by the SAT; and our ability to realize the expected expense savings from the sale of the Fresh Cut business.</w:t>
      </w:r>
    </w:p>
    <w:p>
      <w:pPr>
        <w:spacing w:after="0" w:line="187" w:lineRule="exact"/>
        <w:rPr>
          <w:sz w:val="20"/>
          <w:szCs w:val="20"/>
          <w:color w:val="auto"/>
        </w:rPr>
      </w:pPr>
    </w:p>
    <w:p>
      <w:pPr>
        <w:ind w:left="200" w:right="219"/>
        <w:spacing w:after="0" w:line="270" w:lineRule="auto"/>
        <w:rPr>
          <w:sz w:val="20"/>
          <w:szCs w:val="20"/>
          <w:color w:val="auto"/>
        </w:rPr>
      </w:pPr>
      <w:r>
        <w:rPr>
          <w:rFonts w:ascii="Times New Roman" w:cs="Times New Roman" w:eastAsia="Times New Roman" w:hAnsi="Times New Roman"/>
          <w:sz w:val="20"/>
          <w:szCs w:val="20"/>
          <w:color w:val="auto"/>
        </w:rPr>
        <w:t>For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because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724535</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9" w:name="page10"/>
    <w:bookmarkEnd w:id="9"/>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7</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88"/>
        </w:trPr>
        <w:tc>
          <w:tcPr>
            <w:tcW w:w="20" w:type="dxa"/>
            <w:vAlign w:val="bottom"/>
          </w:tcPr>
          <w:p>
            <w:pPr>
              <w:spacing w:after="0"/>
              <w:rPr>
                <w:sz w:val="16"/>
                <w:szCs w:val="16"/>
                <w:color w:val="auto"/>
              </w:rPr>
            </w:pPr>
          </w:p>
        </w:tc>
        <w:tc>
          <w:tcPr>
            <w:tcW w:w="63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57,031</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Accounts receivable, net of allowances of $3,624 (2024) and $3,364 (2023)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33,897</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31,571</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11,739</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Advances to suppliers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37,533</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Income taxes receivable</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8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current assets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133,370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60,924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18,357</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unconsolidated entities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105,424</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52,381</w:t>
            </w:r>
          </w:p>
        </w:tc>
        <w:tc>
          <w:tcPr>
            <w:tcW w:w="80" w:type="dxa"/>
            <w:vAlign w:val="bottom"/>
            <w:shd w:val="clear" w:color="auto" w:fill="CCEEFF"/>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63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301,119</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386,854</w:t>
            </w:r>
          </w:p>
        </w:tc>
        <w:tc>
          <w:tcPr>
            <w:tcW w:w="80" w:type="dxa"/>
            <w:vAlign w:val="bottom"/>
            <w:tcBorders>
              <w:bottom w:val="single" w:sz="8" w:color="CCEEFF"/>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3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Payable to growers</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18,377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14,788</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Trade accounts payable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5,097</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15,809</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29,911</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payable</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term loan</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Current portion of long-term obligations and finance leases</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pursuant to line of credit, long-term</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liabilities held for sale</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portion of term loan</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Long-term portion of operating leases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17,476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17,328</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portion of obligations and finance leases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w:t>
            </w:r>
          </w:p>
        </w:tc>
        <w:tc>
          <w:tcPr>
            <w:tcW w:w="8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8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long-term liabilities</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94,879</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($0.001 par value, 100,000 shares authorized; 17,802 (2024) and 17,761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(2023) shares issued and outstanding)</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176,481</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32,338</w:t>
            </w:r>
          </w:p>
        </w:tc>
        <w:tc>
          <w:tcPr>
            <w:tcW w:w="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201,776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210,229</w:t>
            </w:r>
          </w:p>
        </w:tc>
        <w:tc>
          <w:tcPr>
            <w:tcW w:w="80" w:type="dxa"/>
            <w:vAlign w:val="bottom"/>
            <w:tcBorders>
              <w:bottom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3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301,119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386,854</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70"/>
        </w:trPr>
        <w:tc>
          <w:tcPr>
            <w:tcW w:w="20" w:type="dxa"/>
            <w:vAlign w:val="bottom"/>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45" w:right="1440" w:bottom="1440" w:gutter="0" w:footer="0" w:header="0"/>
        </w:sectPr>
      </w:pPr>
    </w:p>
    <w:bookmarkStart w:id="10" w:name="page11"/>
    <w:bookmarkEnd w:id="10"/>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8</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20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2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sales</w:t>
            </w:r>
          </w:p>
        </w:tc>
        <w:tc>
          <w:tcPr>
            <w:tcW w:w="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169,959</w:t>
            </w:r>
          </w:p>
        </w:tc>
        <w:tc>
          <w:tcPr>
            <w:tcW w:w="2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142,204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661,544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594,102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153,669</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127,936</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593,740</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531,490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Gross profit</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16,290</w:t>
            </w: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14,268</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67,804</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62,612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13,045</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9,279</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50,038</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47,276</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Expenses related to Mexican tax matters</w:t>
            </w:r>
          </w:p>
        </w:tc>
        <w:tc>
          <w:tcPr>
            <w:tcW w:w="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24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1,897</w:t>
            </w:r>
          </w:p>
        </w:tc>
        <w:tc>
          <w:tcPr>
            <w:tcW w:w="2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1,043</w:t>
            </w:r>
          </w:p>
        </w:tc>
        <w:tc>
          <w:tcPr>
            <w:tcW w:w="1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3,128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Operating income</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3,092</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16,723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12,208</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Foreign currency gain (loss)</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(3,041)</w:t>
            </w: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(3,057)</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(5,840)</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1,378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605</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2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(2,893)</w:t>
            </w: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(2,371)</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w:t>
            </w: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(loss) before income taxes and loss from</w:t>
            </w: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unconsolidated entities</w:t>
            </w: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457</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9,651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12,080</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Income tax expense</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(6,148)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loss from unconsolidated entities</w:t>
            </w:r>
          </w:p>
        </w:tc>
        <w:tc>
          <w:tcPr>
            <w:tcW w:w="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2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4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from continuing operations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(4,686)</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5,053</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8"/>
              </w:rPr>
              <w:t>Net income (loss) from discontinued operations (refer</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 Note 16)</w:t>
            </w: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2,346</w:t>
            </w:r>
          </w:p>
        </w:tc>
        <w:tc>
          <w:tcPr>
            <w:tcW w:w="2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(3,234)</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(7,872)</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(13,020)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(7,920)</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(7,967)</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w w:val="99"/>
              </w:rPr>
              <w:t>Add: Net loss (income) attributable to noncontrolling</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w:t>
            </w:r>
          </w:p>
        </w:tc>
        <w:tc>
          <w:tcPr>
            <w:tcW w:w="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(377)</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Net loss attributable to Calavo Growers, Inc.</w:t>
            </w: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w:t>
            </w: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(7,907)</w:t>
            </w: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(1,076)</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(8,344)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Calavo Growers, Inc.’s net income (loss) per share:</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Basic</w:t>
            </w: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Continuing Operations</w:t>
            </w:r>
          </w:p>
        </w:tc>
        <w:tc>
          <w:tcPr>
            <w:tcW w:w="26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240" w:type="dxa"/>
            <w:vAlign w:val="bottom"/>
          </w:tcPr>
          <w:p>
            <w:pPr>
              <w:spacing w:after="0"/>
              <w:rPr>
                <w:sz w:val="23"/>
                <w:szCs w:val="23"/>
                <w:color w:val="auto"/>
              </w:rPr>
            </w:pP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0.26</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Discontinued Operations</w:t>
            </w:r>
          </w:p>
        </w:tc>
        <w:tc>
          <w:tcPr>
            <w:tcW w:w="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 attributable to Calavo Growers, Inc</w:t>
            </w:r>
          </w:p>
        </w:tc>
        <w:tc>
          <w:tcPr>
            <w:tcW w:w="26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240" w:type="dxa"/>
            <w:vAlign w:val="bottom"/>
          </w:tcPr>
          <w:p>
            <w:pPr>
              <w:spacing w:after="0"/>
              <w:rPr>
                <w:sz w:val="24"/>
                <w:szCs w:val="24"/>
                <w:color w:val="auto"/>
              </w:rPr>
            </w:pP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0" w:type="dxa"/>
            <w:vAlign w:val="bottom"/>
          </w:tcPr>
          <w:p>
            <w:pPr>
              <w:spacing w:after="0"/>
              <w:rPr>
                <w:sz w:val="1"/>
                <w:szCs w:val="1"/>
                <w:color w:val="auto"/>
              </w:rPr>
            </w:pPr>
          </w:p>
        </w:tc>
      </w:tr>
      <w:tr>
        <w:trPr>
          <w:trHeight w:val="274"/>
        </w:trPr>
        <w:tc>
          <w:tcPr>
            <w:tcW w:w="20" w:type="dxa"/>
            <w:vAlign w:val="bottom"/>
            <w:vMerge w:val="restart"/>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Continuing Operations</w:t>
            </w:r>
          </w:p>
        </w:tc>
        <w:tc>
          <w:tcPr>
            <w:tcW w:w="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0.38</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0.26</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Discontinued Operations</w:t>
            </w:r>
          </w:p>
        </w:tc>
        <w:tc>
          <w:tcPr>
            <w:tcW w:w="260" w:type="dxa"/>
            <w:vAlign w:val="bottom"/>
            <w:gridSpan w:val="2"/>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0.13</w:t>
            </w:r>
          </w:p>
        </w:tc>
        <w:tc>
          <w:tcPr>
            <w:tcW w:w="240" w:type="dxa"/>
            <w:vAlign w:val="bottom"/>
          </w:tcPr>
          <w:p>
            <w:pPr>
              <w:spacing w:after="0"/>
              <w:rPr>
                <w:sz w:val="24"/>
                <w:szCs w:val="24"/>
                <w:color w:val="auto"/>
              </w:rPr>
            </w:pP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20"/>
                <w:szCs w:val="20"/>
                <w:color w:val="auto"/>
              </w:rPr>
              <w:t>Net loss attributable to Calavo Growers, Inc</w:t>
            </w:r>
          </w:p>
        </w:tc>
        <w:tc>
          <w:tcPr>
            <w:tcW w:w="26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24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4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20"/>
                <w:szCs w:val="20"/>
                <w:color w:val="auto"/>
              </w:rPr>
              <w:t>Number of shares used in per share computation:</w:t>
            </w: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4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20"/>
                <w:szCs w:val="20"/>
                <w:color w:val="auto"/>
              </w:rPr>
              <w:t>Basic</w:t>
            </w: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17,802</w:t>
            </w:r>
          </w:p>
        </w:tc>
        <w:tc>
          <w:tcPr>
            <w:tcW w:w="2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17,766</w:t>
            </w: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17,801</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17,750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CEEFF"/>
            </w:tcBorders>
            <w:shd w:val="clear" w:color="auto" w:fill="CCEEFF"/>
          </w:tcPr>
          <w:p>
            <w:pPr>
              <w:ind w:left="200"/>
              <w:spacing w:after="0" w:line="218" w:lineRule="exact"/>
              <w:rPr>
                <w:sz w:val="20"/>
                <w:szCs w:val="20"/>
                <w:color w:val="auto"/>
              </w:rPr>
            </w:pPr>
            <w:r>
              <w:rPr>
                <w:rFonts w:ascii="Times New Roman" w:cs="Times New Roman" w:eastAsia="Times New Roman" w:hAnsi="Times New Roman"/>
                <w:sz w:val="20"/>
                <w:szCs w:val="20"/>
                <w:color w:val="auto"/>
              </w:rPr>
              <w:t>Diluted</w:t>
            </w: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17,871</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17,766</w:t>
            </w:r>
          </w:p>
        </w:tc>
        <w:tc>
          <w:tcPr>
            <w:tcW w:w="2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17,863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17,854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40" w:top="645" w:right="1339" w:bottom="1440" w:gutter="0" w:footer="0" w:header="0"/>
        </w:sectPr>
      </w:pPr>
    </w:p>
    <w:bookmarkStart w:id="11" w:name="page12"/>
    <w:bookmarkEnd w:id="11"/>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9</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CALAVO GROWERS,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NET SALES AND GROSS PROFIT BY BUSINESS SEGMENT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ind w:left="200" w:right="339"/>
        <w:spacing w:after="0" w:line="276" w:lineRule="auto"/>
        <w:rPr>
          <w:sz w:val="20"/>
          <w:szCs w:val="20"/>
          <w:color w:val="auto"/>
        </w:rPr>
      </w:pPr>
      <w:r>
        <w:rPr>
          <w:rFonts w:ascii="Times New Roman" w:cs="Times New Roman" w:eastAsia="Times New Roman" w:hAnsi="Times New Roman"/>
          <w:sz w:val="18"/>
          <w:szCs w:val="18"/>
          <w:color w:val="auto"/>
        </w:rPr>
        <w:t>Prior to the decision to divest our Fresh Cut business (formerly RFG), the Company’s Prepared reporting segment included the Fresh Cut business unit and our guacamole business. As a result, the Fresh Cut business unit is no longer included in our Prepared business segment and is not included in the tables below. All segment information included herein reflects these changes.</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Grown</w:t>
            </w: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20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0"/>
              </w:rPr>
              <w:t>(All amounts</w:t>
            </w:r>
          </w:p>
        </w:tc>
        <w:tc>
          <w:tcPr>
            <w:tcW w:w="160" w:type="dxa"/>
            <w:vAlign w:val="bottom"/>
          </w:tcPr>
          <w:p>
            <w:pPr>
              <w:spacing w:after="0"/>
              <w:rPr>
                <w:sz w:val="18"/>
                <w:szCs w:val="18"/>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81"/>
              </w:rPr>
              <w:t>are presented</w:t>
            </w:r>
          </w:p>
        </w:tc>
        <w:tc>
          <w:tcPr>
            <w:tcW w:w="160" w:type="dxa"/>
            <w:vAlign w:val="bottom"/>
          </w:tcPr>
          <w:p>
            <w:pPr>
              <w:spacing w:after="0"/>
              <w:rPr>
                <w:sz w:val="18"/>
                <w:szCs w:val="18"/>
                <w:color w:val="auto"/>
              </w:rPr>
            </w:pPr>
          </w:p>
        </w:tc>
        <w:tc>
          <w:tcPr>
            <w:tcW w:w="9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October 31, 2024</w:t>
            </w: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Net sales</w:t>
            </w:r>
          </w:p>
        </w:tc>
        <w:tc>
          <w:tcPr>
            <w:tcW w:w="162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154,625</w:t>
            </w:r>
          </w:p>
        </w:tc>
        <w:tc>
          <w:tcPr>
            <w:tcW w:w="16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15,334</w:t>
            </w: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5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140,315</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153,669</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5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14,310</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1,980</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October 31, 2023</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sales</w:t>
            </w:r>
          </w:p>
        </w:tc>
        <w:tc>
          <w:tcPr>
            <w:tcW w:w="1620" w:type="dxa"/>
            <w:vAlign w:val="bottom"/>
            <w:gridSpan w:val="2"/>
          </w:tcPr>
          <w:p>
            <w:pPr>
              <w:ind w:left="15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125,277</w:t>
            </w:r>
          </w:p>
        </w:tc>
        <w:tc>
          <w:tcPr>
            <w:tcW w:w="16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16,927</w:t>
            </w: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5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113,742</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14,194</w:t>
            </w:r>
          </w:p>
        </w:tc>
        <w:tc>
          <w:tcPr>
            <w:tcW w:w="1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127,936</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5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11,535</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6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12"/>
        </w:trPr>
        <w:tc>
          <w:tcPr>
            <w:tcW w:w="5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5"/>
              </w:rPr>
              <w:t>Grown</w:t>
            </w:r>
          </w:p>
        </w:tc>
        <w:tc>
          <w:tcPr>
            <w:tcW w:w="18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Prepared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Pr>
          <w:p>
            <w:pPr>
              <w:spacing w:after="0"/>
              <w:rPr>
                <w:sz w:val="18"/>
                <w:szCs w:val="18"/>
                <w:color w:val="auto"/>
              </w:rPr>
            </w:pPr>
          </w:p>
        </w:tc>
      </w:tr>
      <w:tr>
        <w:trPr>
          <w:trHeight w:val="188"/>
        </w:trPr>
        <w:tc>
          <w:tcPr>
            <w:tcW w:w="5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(All amounts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w w:val="83"/>
              </w:rPr>
              <w:t>are presented</w:t>
            </w:r>
          </w:p>
        </w:tc>
        <w:tc>
          <w:tcPr>
            <w:tcW w:w="180" w:type="dxa"/>
            <w:vAlign w:val="bottom"/>
            <w:gridSpan w:val="2"/>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in thousands)</w:t>
            </w:r>
          </w:p>
        </w:tc>
        <w:tc>
          <w:tcPr>
            <w:tcW w:w="80" w:type="dxa"/>
            <w:vAlign w:val="bottom"/>
          </w:tcPr>
          <w:p>
            <w:pPr>
              <w:spacing w:after="0"/>
              <w:rPr>
                <w:sz w:val="16"/>
                <w:szCs w:val="16"/>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July 31, 2024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163,218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179,596</w:t>
            </w:r>
          </w:p>
        </w:tc>
        <w:tc>
          <w:tcPr>
            <w:tcW w:w="80" w:type="dxa"/>
            <w:vAlign w:val="bottom"/>
            <w:shd w:val="clear" w:color="auto" w:fill="CCEEFF"/>
          </w:tcPr>
          <w:p>
            <w:pPr>
              <w:spacing w:after="0"/>
              <w:rPr>
                <w:sz w:val="17"/>
                <w:szCs w:val="17"/>
                <w:color w:val="auto"/>
              </w:rPr>
            </w:pPr>
          </w:p>
        </w:tc>
      </w:tr>
      <w:tr>
        <w:trPr>
          <w:trHeight w:val="196"/>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145,043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159,503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36"/>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18,175</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20,093</w:t>
            </w:r>
          </w:p>
        </w:tc>
        <w:tc>
          <w:tcPr>
            <w:tcW w:w="80" w:type="dxa"/>
            <w:vAlign w:val="bottom"/>
            <w:tcBorders>
              <w:bottom w:val="single" w:sz="8" w:color="CCEEFF"/>
            </w:tcBorders>
            <w:shd w:val="clear" w:color="auto" w:fill="CCEEFF"/>
          </w:tcPr>
          <w:p>
            <w:pPr>
              <w:spacing w:after="0"/>
              <w:rPr>
                <w:sz w:val="20"/>
                <w:szCs w:val="20"/>
                <w:color w:val="auto"/>
              </w:rPr>
            </w:pPr>
          </w:p>
        </w:tc>
      </w:tr>
      <w:tr>
        <w:trPr>
          <w:trHeight w:val="183"/>
        </w:trPr>
        <w:tc>
          <w:tcPr>
            <w:tcW w:w="5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5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July 31, 2023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144,069</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16,787</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160,856</w:t>
            </w:r>
          </w:p>
        </w:tc>
        <w:tc>
          <w:tcPr>
            <w:tcW w:w="80" w:type="dxa"/>
            <w:vAlign w:val="bottom"/>
            <w:shd w:val="clear" w:color="auto" w:fill="CCEEFF"/>
          </w:tcPr>
          <w:p>
            <w:pPr>
              <w:spacing w:after="0"/>
              <w:rPr>
                <w:sz w:val="17"/>
                <w:szCs w:val="17"/>
                <w:color w:val="auto"/>
              </w:rPr>
            </w:pPr>
          </w:p>
        </w:tc>
      </w:tr>
      <w:tr>
        <w:trPr>
          <w:trHeight w:val="203"/>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124,734</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14,118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138,852</w:t>
            </w:r>
          </w:p>
        </w:tc>
        <w:tc>
          <w:tcPr>
            <w:tcW w:w="80" w:type="dxa"/>
            <w:vAlign w:val="bottom"/>
            <w:tcBorders>
              <w:bottom w:val="single" w:sz="8" w:color="CCEEFF"/>
            </w:tcBorders>
          </w:tcPr>
          <w:p>
            <w:pPr>
              <w:spacing w:after="0"/>
              <w:rPr>
                <w:sz w:val="17"/>
                <w:szCs w:val="17"/>
                <w:color w:val="auto"/>
              </w:rPr>
            </w:pPr>
          </w:p>
        </w:tc>
      </w:tr>
      <w:tr>
        <w:trPr>
          <w:trHeight w:val="196"/>
        </w:trPr>
        <w:tc>
          <w:tcPr>
            <w:tcW w:w="5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19,335</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22,004</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23"/>
        </w:trPr>
        <w:tc>
          <w:tcPr>
            <w:tcW w:w="5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45" w:right="1440" w:bottom="1440" w:gutter="0" w:footer="0" w:header="0"/>
        </w:sectPr>
      </w:pPr>
    </w:p>
    <w:bookmarkStart w:id="12" w:name="page13"/>
    <w:bookmarkEnd w:id="12"/>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10</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RECONCILIATION OF ADJUSTED NET INCOME (LOSS)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AND ADJUSTED NET INCOME (LOSS) PER DILUTED SHARE (UNAUDITED)</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 except per share amounts)</w:t>
      </w:r>
    </w:p>
    <w:p>
      <w:pPr>
        <w:spacing w:after="0" w:line="200" w:lineRule="exact"/>
        <w:rPr>
          <w:sz w:val="20"/>
          <w:szCs w:val="20"/>
          <w:color w:val="auto"/>
        </w:rPr>
      </w:pPr>
    </w:p>
    <w:p>
      <w:pPr>
        <w:spacing w:after="0" w:line="273" w:lineRule="exact"/>
        <w:rPr>
          <w:sz w:val="20"/>
          <w:szCs w:val="20"/>
          <w:color w:val="auto"/>
        </w:rPr>
      </w:pPr>
    </w:p>
    <w:p>
      <w:pPr>
        <w:ind w:left="200" w:right="459"/>
        <w:spacing w:after="0" w:line="263" w:lineRule="auto"/>
        <w:rPr>
          <w:sz w:val="20"/>
          <w:szCs w:val="20"/>
          <w:color w:val="auto"/>
        </w:rPr>
      </w:pPr>
      <w:r>
        <w:rPr>
          <w:rFonts w:ascii="Times New Roman" w:cs="Times New Roman" w:eastAsia="Times New Roman" w:hAnsi="Times New Roman"/>
          <w:sz w:val="16"/>
          <w:szCs w:val="16"/>
          <w:color w:val="auto"/>
        </w:rPr>
        <w:t>The following table presents adjusted net income (loss) and adjusted net income (loss) per diluted share, each a non-GAAP measure, and reconciles to net income (loss) from continuing operations, and Diluted EPS from continuing operations, which are the most directly comparable GAAP measures. See “Non-GAAP Financial Measures” earlier in this release.</w:t>
      </w:r>
    </w:p>
    <w:p>
      <w:pPr>
        <w:spacing w:after="0" w:line="18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4"/>
                <w:szCs w:val="14"/>
                <w:color w:val="auto"/>
              </w:rPr>
            </w:pPr>
          </w:p>
        </w:tc>
        <w:tc>
          <w:tcPr>
            <w:tcW w:w="1600" w:type="dxa"/>
            <w:vAlign w:val="bottom"/>
            <w:gridSpan w:val="4"/>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5"/>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6"/>
                <w:szCs w:val="16"/>
                <w:color w:val="auto"/>
              </w:rPr>
            </w:pPr>
          </w:p>
        </w:tc>
        <w:tc>
          <w:tcPr>
            <w:tcW w:w="1600" w:type="dxa"/>
            <w:vAlign w:val="bottom"/>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74"/>
        </w:trPr>
        <w:tc>
          <w:tcPr>
            <w:tcW w:w="49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income (loss)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(4,686)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6,848</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5,053</w:t>
            </w:r>
          </w:p>
        </w:tc>
      </w:tr>
      <w:tr>
        <w:trPr>
          <w:trHeight w:val="207"/>
        </w:trPr>
        <w:tc>
          <w:tcPr>
            <w:tcW w:w="4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Add: Net loss (income) attributable to noncontrolling</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6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interest</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(52)</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r>
      <w:tr>
        <w:trPr>
          <w:trHeight w:val="187"/>
        </w:trPr>
        <w:tc>
          <w:tcPr>
            <w:tcW w:w="4940" w:type="dxa"/>
            <w:vAlign w:val="bottom"/>
            <w:tcBorders>
              <w:top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20"/>
                <w:szCs w:val="20"/>
                <w:color w:val="auto"/>
              </w:rPr>
              <w:t>Net income (loss) from continuing operations attributable to</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26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Calavo Growers, Inc.</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(2,485)</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(4,673)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6,796</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4,676</w:t>
            </w: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Non-GAAP adjustments:</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Non-cash loss recognized from unconsolidated entities (a)</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879</w:t>
            </w:r>
          </w:p>
        </w:tc>
      </w:tr>
      <w:tr>
        <w:trPr>
          <w:trHeight w:val="207"/>
        </w:trPr>
        <w:tc>
          <w:tcPr>
            <w:tcW w:w="494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Impairment, losses and charges related to property, plant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6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and equipment (b)</w:t>
            </w:r>
          </w:p>
        </w:tc>
        <w:tc>
          <w:tcPr>
            <w:tcW w:w="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w:t>
            </w:r>
          </w:p>
        </w:tc>
      </w:tr>
      <w:tr>
        <w:trPr>
          <w:trHeight w:val="207"/>
        </w:trPr>
        <w:tc>
          <w:tcPr>
            <w:tcW w:w="4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Restructure costs - consulting, management recruiting 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6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severance (c)</w:t>
            </w: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5,490</w:t>
            </w: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Expenses related to Mexican tax matters (d)</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1,897</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3,128</w:t>
            </w: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Legal settlement and related expenses (e)</w:t>
            </w: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700</w:t>
            </w:r>
          </w:p>
        </w:tc>
      </w:tr>
      <w:tr>
        <w:trPr>
          <w:trHeight w:val="256"/>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Professional fees related to internal investigation (f)</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7,444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Foreign currency loss (gain) (g)</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3,041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3,057</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5,840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(1,378)</w:t>
            </w:r>
          </w:p>
        </w:tc>
      </w:tr>
      <w:tr>
        <w:trPr>
          <w:trHeight w:val="257"/>
        </w:trPr>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Tax impact of adjustments (h)</w:t>
            </w:r>
          </w:p>
        </w:tc>
        <w:tc>
          <w:tcPr>
            <w:tcW w:w="120" w:type="dxa"/>
            <w:vAlign w:val="bottom"/>
          </w:tcPr>
          <w:p>
            <w:pPr>
              <w:spacing w:after="0"/>
              <w:rPr>
                <w:sz w:val="22"/>
                <w:szCs w:val="2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(1,097)</w:t>
            </w: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(1,435)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(3,960)</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(2,264)</w:t>
            </w:r>
          </w:p>
        </w:tc>
      </w:tr>
      <w:tr>
        <w:trPr>
          <w:trHeight w:val="223"/>
        </w:trPr>
        <w:tc>
          <w:tcPr>
            <w:tcW w:w="494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Adjusted net income (loss)</w:t>
            </w:r>
          </w:p>
        </w:tc>
        <w:tc>
          <w:tcPr>
            <w:tcW w:w="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809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18,678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11,466</w:t>
            </w: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07"/>
        </w:trPr>
        <w:tc>
          <w:tcPr>
            <w:tcW w:w="4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Calavo Growers, Inc.’s continuing operations net income</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6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(loss) per share:</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r>
      <w:tr>
        <w:trPr>
          <w:trHeight w:val="283"/>
        </w:trPr>
        <w:tc>
          <w:tcPr>
            <w:tcW w:w="4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Diluted EPS from continuing operations (GAAP)</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0.38</w:t>
            </w:r>
          </w:p>
        </w:tc>
        <w:tc>
          <w:tcPr>
            <w:tcW w:w="18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0.26</w:t>
            </w:r>
          </w:p>
        </w:tc>
      </w:tr>
      <w:tr>
        <w:trPr>
          <w:trHeight w:val="210"/>
        </w:trPr>
        <w:tc>
          <w:tcPr>
            <w:tcW w:w="4940" w:type="dxa"/>
            <w:vAlign w:val="bottom"/>
            <w:tcBorders>
              <w:bottom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20"/>
                <w:szCs w:val="20"/>
                <w:color w:val="auto"/>
              </w:rPr>
              <w:t>Adjusted net income (loss) per diluted share</w:t>
            </w:r>
          </w:p>
        </w:tc>
        <w:tc>
          <w:tcPr>
            <w:tcW w:w="12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0.05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(0.02)</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1.05</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line="210" w:lineRule="exact"/>
              <w:rPr>
                <w:sz w:val="20"/>
                <w:szCs w:val="20"/>
                <w:color w:val="auto"/>
              </w:rPr>
            </w:pPr>
            <w:r>
              <w:rPr>
                <w:rFonts w:ascii="Times New Roman" w:cs="Times New Roman" w:eastAsia="Times New Roman" w:hAnsi="Times New Roman"/>
                <w:sz w:val="20"/>
                <w:szCs w:val="20"/>
                <w:color w:val="auto"/>
              </w:rPr>
              <w:t>0.64</w:t>
            </w: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7"/>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Number of shares used in per share computation:</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56"/>
        </w:trPr>
        <w:tc>
          <w:tcPr>
            <w:tcW w:w="49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Diluted</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17,871</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17,766</w:t>
            </w: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17,863</w:t>
            </w:r>
          </w:p>
        </w:tc>
        <w:tc>
          <w:tcPr>
            <w:tcW w:w="1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308610</wp:posOffset>
            </wp:positionV>
            <wp:extent cx="19456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700" w:right="419" w:hanging="329"/>
        <w:spacing w:after="0" w:line="272" w:lineRule="auto"/>
        <w:tabs>
          <w:tab w:leader="none" w:pos="7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October 31, 2024 and 2023, we realized losses of $0.1 million and $0.5 million from Agricola Don Memo. For the year ended October 31, 2024 and 2023, we realized losses of $0.5 million and $0.9 million from Agricola Don Memo.</w:t>
      </w:r>
    </w:p>
    <w:p>
      <w:pPr>
        <w:spacing w:after="0" w:line="170" w:lineRule="exact"/>
        <w:rPr>
          <w:rFonts w:ascii="Times New Roman" w:cs="Times New Roman" w:eastAsia="Times New Roman" w:hAnsi="Times New Roman"/>
          <w:sz w:val="16"/>
          <w:szCs w:val="16"/>
          <w:color w:val="auto"/>
        </w:rPr>
      </w:pPr>
    </w:p>
    <w:p>
      <w:pPr>
        <w:ind w:left="700" w:right="499" w:hanging="329"/>
        <w:spacing w:after="0" w:line="280" w:lineRule="auto"/>
        <w:tabs>
          <w:tab w:leader="none" w:pos="7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 2023, we completed the divesture of our salsa business in our Prepared segment and incurred $0.2 million in losses related to the disposal of property, plant and equipment.</w:t>
      </w:r>
    </w:p>
    <w:p>
      <w:pPr>
        <w:spacing w:after="0" w:line="164" w:lineRule="exact"/>
        <w:rPr>
          <w:rFonts w:ascii="Times New Roman" w:cs="Times New Roman" w:eastAsia="Times New Roman" w:hAnsi="Times New Roman"/>
          <w:sz w:val="16"/>
          <w:szCs w:val="16"/>
          <w:color w:val="auto"/>
        </w:rPr>
      </w:pPr>
    </w:p>
    <w:p>
      <w:pPr>
        <w:ind w:left="700" w:right="319" w:hanging="329"/>
        <w:spacing w:after="0" w:line="280" w:lineRule="auto"/>
        <w:tabs>
          <w:tab w:leader="none" w:pos="70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October 31, 2024, we incurred $0.9 million in severance and other costs and $0.1 million in stock-based compensation related to the departure of certain members of management.</w:t>
      </w:r>
    </w:p>
    <w:p>
      <w:pPr>
        <w:spacing w:after="0" w:line="151" w:lineRule="exact"/>
        <w:rPr>
          <w:rFonts w:ascii="Times New Roman" w:cs="Times New Roman" w:eastAsia="Times New Roman" w:hAnsi="Times New Roman"/>
          <w:sz w:val="16"/>
          <w:szCs w:val="16"/>
          <w:color w:val="auto"/>
        </w:rPr>
      </w:pPr>
    </w:p>
    <w:p>
      <w:pPr>
        <w:ind w:left="700" w:right="259"/>
        <w:spacing w:after="0" w:line="26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twelve months ended October 31, 2023, we recorded $0.3 million and $3.4 million in severance costs as part of senior management transitions and U.S. restructuring efforts, respectively. For the twelve months ended October 31, 2023, we recorded $1.6 million of stock-based compensation related to senior management transitions. Additionally, for the twelve months ended October 31, 2023, we incurred $0.5 million related to the divesture of Salsa Lisa.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482600</wp:posOffset>
            </wp:positionV>
            <wp:extent cx="54521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13" w:name="page14"/>
    <w:bookmarkEnd w:id="13"/>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11</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398" w:lineRule="exact"/>
        <w:rPr>
          <w:sz w:val="20"/>
          <w:szCs w:val="20"/>
          <w:color w:val="auto"/>
        </w:rPr>
      </w:pPr>
    </w:p>
    <w:p>
      <w:pPr>
        <w:ind w:left="700" w:right="539" w:hanging="329"/>
        <w:spacing w:after="0" w:line="298" w:lineRule="auto"/>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twelve months ended October 31, 2024, we incurred $0.2 million and $1.0 million of professional fees related to the Mexican tax matters, respectively.</w:t>
      </w:r>
    </w:p>
    <w:p>
      <w:pPr>
        <w:spacing w:after="0" w:line="150" w:lineRule="exact"/>
        <w:rPr>
          <w:rFonts w:ascii="Times New Roman" w:cs="Times New Roman" w:eastAsia="Times New Roman" w:hAnsi="Times New Roman"/>
          <w:sz w:val="16"/>
          <w:szCs w:val="16"/>
          <w:color w:val="auto"/>
        </w:rPr>
      </w:pPr>
    </w:p>
    <w:p>
      <w:pPr>
        <w:ind w:left="700" w:right="319"/>
        <w:spacing w:after="0" w:line="25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twelve months ended October 31, 2023, we incurred $0.8 million and $2.4 million of professional fees related to the Mexican tax matters, respectively. For the three and twelve months ended October 31, 2023, we recognized a reserve of $1.1 million and $2.4 million related to the Mexican tax matters, respectively. For the twelve months ended October 31,2023, we recorded a recovery of $1.7 million related to the interest and inflationary adjustments related to an IVA repayment from Mexican Tax Authority.</w:t>
      </w:r>
    </w:p>
    <w:p>
      <w:pPr>
        <w:spacing w:after="0" w:line="168" w:lineRule="exact"/>
        <w:rPr>
          <w:rFonts w:ascii="Times New Roman" w:cs="Times New Roman" w:eastAsia="Times New Roman" w:hAnsi="Times New Roman"/>
          <w:sz w:val="16"/>
          <w:szCs w:val="16"/>
          <w:color w:val="auto"/>
        </w:rPr>
      </w:pPr>
    </w:p>
    <w:p>
      <w:pPr>
        <w:ind w:left="700" w:right="219" w:hanging="329"/>
        <w:spacing w:after="0" w:line="263" w:lineRule="auto"/>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twelve months ended October 31, 2023, we accrued $0.6 million in a legal settlement from a dispute from over five years ago related to an unused distribution agreement that was entered into over a decade ago. This legal settlement was considered out of the ordinary due to the length it took to settle and since we have not done business with this party for many years. There are no other similar matters outstanding. In addition, we incurred $0.1 million in associated legal fees.</w:t>
      </w:r>
    </w:p>
    <w:p>
      <w:pPr>
        <w:spacing w:after="0" w:line="179" w:lineRule="exact"/>
        <w:rPr>
          <w:rFonts w:ascii="Times New Roman" w:cs="Times New Roman" w:eastAsia="Times New Roman" w:hAnsi="Times New Roman"/>
          <w:sz w:val="16"/>
          <w:szCs w:val="16"/>
          <w:color w:val="auto"/>
        </w:rPr>
      </w:pPr>
    </w:p>
    <w:p>
      <w:pPr>
        <w:ind w:left="700" w:right="599" w:hanging="329"/>
        <w:spacing w:after="0" w:line="280" w:lineRule="auto"/>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twelve months ended October 31, 2024, we incurred $1.0 million and $7.4 million of professional fee expenses related to the internal investigation, respectively.</w:t>
      </w:r>
    </w:p>
    <w:p>
      <w:pPr>
        <w:spacing w:after="0" w:line="164" w:lineRule="exact"/>
        <w:rPr>
          <w:rFonts w:ascii="Times New Roman" w:cs="Times New Roman" w:eastAsia="Times New Roman" w:hAnsi="Times New Roman"/>
          <w:sz w:val="16"/>
          <w:szCs w:val="16"/>
          <w:color w:val="auto"/>
        </w:rPr>
      </w:pPr>
    </w:p>
    <w:p>
      <w:pPr>
        <w:ind w:left="700" w:right="239" w:hanging="329"/>
        <w:spacing w:after="0" w:line="258" w:lineRule="auto"/>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the change in the Mexican peso to the U.S. dollar exchange rates, foreign currency remeasurement losses, net of gains, for the three and twelve months ended October 31, 2024 were $3.0 million and $5.8 million, respectively. Foreign currency remeasurement losses, net of gains, for the three months ended October 31, 2023 were $3.1 million. Foreign currency remeasurement gains, net of losses, for the twelve months ended October 31, 2023 were $1.4 million. Foreign currency remeasurement gain and loss impacts have been included as an adjustment to non-GAAP earnings measures for the current quarter and for prior period results. We adjust our non-GAAP earnings to exclude foreign currency remeasurement gains and losses due to volatility in foreign currency.</w:t>
      </w:r>
    </w:p>
    <w:p>
      <w:pPr>
        <w:spacing w:after="0" w:line="168" w:lineRule="exact"/>
        <w:rPr>
          <w:rFonts w:ascii="Times New Roman" w:cs="Times New Roman" w:eastAsia="Times New Roman" w:hAnsi="Times New Roman"/>
          <w:sz w:val="16"/>
          <w:szCs w:val="16"/>
          <w:color w:val="auto"/>
        </w:rPr>
      </w:pPr>
    </w:p>
    <w:p>
      <w:pPr>
        <w:ind w:left="700" w:hanging="329"/>
        <w:spacing w:after="0"/>
        <w:tabs>
          <w:tab w:leader="none" w:pos="7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impacts of non-GAAP adjustments are based on effective year-to-date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826135</wp:posOffset>
            </wp:positionV>
            <wp:extent cx="54521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14" w:name="page15"/>
    <w:bookmarkEnd w:id="14"/>
    <w:p>
      <w:pPr>
        <w:ind w:left="200"/>
        <w:spacing w:after="0"/>
        <w:rPr>
          <w:sz w:val="20"/>
          <w:szCs w:val="20"/>
          <w:color w:val="auto"/>
        </w:rPr>
      </w:pPr>
      <w:r>
        <w:rPr>
          <w:rFonts w:ascii="Calibri" w:cs="Calibri" w:eastAsia="Calibri" w:hAnsi="Calibri"/>
          <w:sz w:val="20"/>
          <w:szCs w:val="20"/>
          <w:i w:val="1"/>
          <w:iCs w:val="1"/>
          <w:color w:val="auto"/>
        </w:rPr>
        <w:t>Calavo Growers, Inc.</w:t>
      </w:r>
    </w:p>
    <w:p>
      <w:pPr>
        <w:ind w:left="200"/>
        <w:spacing w:after="0" w:line="225" w:lineRule="auto"/>
        <w:rPr>
          <w:sz w:val="20"/>
          <w:szCs w:val="20"/>
          <w:color w:val="auto"/>
        </w:rPr>
      </w:pPr>
      <w:r>
        <w:rPr>
          <w:rFonts w:ascii="Calibri" w:cs="Calibri" w:eastAsia="Calibri" w:hAnsi="Calibri"/>
          <w:sz w:val="20"/>
          <w:szCs w:val="20"/>
          <w:i w:val="1"/>
          <w:iCs w:val="1"/>
          <w:color w:val="auto"/>
        </w:rPr>
        <w:t xml:space="preserve">Page </w:t>
      </w:r>
      <w:r>
        <w:rPr>
          <w:rFonts w:ascii="Calibri" w:cs="Calibri" w:eastAsia="Calibri" w:hAnsi="Calibri"/>
          <w:sz w:val="20"/>
          <w:szCs w:val="20"/>
          <w:b w:val="1"/>
          <w:bCs w:val="1"/>
          <w:i w:val="1"/>
          <w:iCs w:val="1"/>
          <w:color w:val="auto"/>
        </w:rPr>
        <w:t>12</w:t>
      </w:r>
      <w:r>
        <w:rPr>
          <w:rFonts w:ascii="Calibri" w:cs="Calibri" w:eastAsia="Calibri" w:hAnsi="Calibri"/>
          <w:sz w:val="20"/>
          <w:szCs w:val="20"/>
          <w:i w:val="1"/>
          <w:iCs w:val="1"/>
          <w:color w:val="auto"/>
        </w:rPr>
        <w:t xml:space="preserve"> of </w:t>
      </w:r>
      <w:r>
        <w:rPr>
          <w:rFonts w:ascii="Calibri" w:cs="Calibri" w:eastAsia="Calibri" w:hAnsi="Calibri"/>
          <w:sz w:val="20"/>
          <w:szCs w:val="20"/>
          <w:b w:val="1"/>
          <w:bCs w:val="1"/>
          <w:i w:val="1"/>
          <w:iCs w:val="1"/>
          <w:color w:val="auto"/>
        </w:rPr>
        <w:t>12</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CALAVO GROWERS, INC.</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RECONCILIATION OF EBITDA AND ADJUSTED EBITDA (UNAUDITED)</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306" w:lineRule="exact"/>
        <w:rPr>
          <w:sz w:val="20"/>
          <w:szCs w:val="20"/>
          <w:color w:val="auto"/>
        </w:rPr>
      </w:pPr>
    </w:p>
    <w:p>
      <w:pPr>
        <w:jc w:val="both"/>
        <w:ind w:left="200" w:right="239"/>
        <w:spacing w:after="0" w:line="263" w:lineRule="auto"/>
        <w:rPr>
          <w:sz w:val="20"/>
          <w:szCs w:val="20"/>
          <w:color w:val="auto"/>
        </w:rPr>
      </w:pPr>
      <w:r>
        <w:rPr>
          <w:rFonts w:ascii="Times New Roman" w:cs="Times New Roman" w:eastAsia="Times New Roman" w:hAnsi="Times New Roman"/>
          <w:sz w:val="16"/>
          <w:szCs w:val="16"/>
          <w:color w:val="auto"/>
        </w:rPr>
        <w:t>The following table presents EBITDA and adjusted EBITDA, each a non-GAAP measure, and reconciles them to net income (loss) from continuing operations, which is the most directly comparable GAAP measure. See “Non-GAAP Financial Measures” earlier in this release.</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5"/>
                <w:szCs w:val="15"/>
                <w:color w:val="auto"/>
              </w:rPr>
            </w:pPr>
          </w:p>
        </w:tc>
        <w:tc>
          <w:tcPr>
            <w:tcW w:w="1540" w:type="dxa"/>
            <w:vAlign w:val="bottom"/>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87"/>
        </w:trPr>
        <w:tc>
          <w:tcPr>
            <w:tcW w:w="5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40" w:type="dxa"/>
            <w:vAlign w:val="bottom"/>
          </w:tcPr>
          <w:p>
            <w:pPr>
              <w:spacing w:after="0"/>
              <w:rPr>
                <w:sz w:val="16"/>
                <w:szCs w:val="16"/>
                <w:color w:val="auto"/>
              </w:rPr>
            </w:pPr>
          </w:p>
        </w:tc>
        <w:tc>
          <w:tcPr>
            <w:tcW w:w="154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October 31,</w:t>
            </w:r>
          </w:p>
        </w:tc>
      </w:tr>
      <w:tr>
        <w:trPr>
          <w:trHeight w:val="169"/>
        </w:trPr>
        <w:tc>
          <w:tcPr>
            <w:tcW w:w="50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income (loss) from continuing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(4,686)</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6,848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5,053</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Add: Net loss (income) attributable to noncontrolling interest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(52)</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w:t>
            </w:r>
          </w:p>
        </w:tc>
      </w:tr>
      <w:tr>
        <w:trPr>
          <w:trHeight w:val="187"/>
        </w:trPr>
        <w:tc>
          <w:tcPr>
            <w:tcW w:w="5020" w:type="dxa"/>
            <w:vAlign w:val="bottom"/>
            <w:tcBorders>
              <w:top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20"/>
                <w:szCs w:val="20"/>
                <w:color w:val="auto"/>
              </w:rPr>
              <w:t>Net income (loss) from continuing operations attributable to</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r>
      <w:tr>
        <w:trPr>
          <w:trHeight w:val="26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Calavo Growers, Inc.</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(2,485)</w:t>
            </w:r>
          </w:p>
        </w:tc>
        <w:tc>
          <w:tcPr>
            <w:tcW w:w="1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(4,673)</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6,796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4,676</w:t>
            </w:r>
          </w:p>
        </w:tc>
      </w:tr>
      <w:tr>
        <w:trPr>
          <w:trHeight w:val="256"/>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120" w:type="dxa"/>
            <w:vAlign w:val="bottom"/>
          </w:tcPr>
          <w:p>
            <w:pPr>
              <w:spacing w:after="0"/>
              <w:rPr>
                <w:sz w:val="22"/>
                <w:szCs w:val="22"/>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(680)</w:t>
            </w: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(242)</w:t>
            </w:r>
          </w:p>
        </w:tc>
        <w:tc>
          <w:tcPr>
            <w:tcW w:w="14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(1,020)</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274</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984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2,893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2,371</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Provision for Income Taxes</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2,803</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6,148</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1,959</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2,049</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8,080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8,097</w:t>
            </w:r>
          </w:p>
        </w:tc>
      </w:tr>
      <w:tr>
        <w:trPr>
          <w:trHeight w:val="257"/>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Stock-Based Compensation</w:t>
            </w: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812</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2,160</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5,010</w:t>
            </w:r>
          </w:p>
        </w:tc>
      </w:tr>
      <w:tr>
        <w:trPr>
          <w:trHeight w:val="23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2,295</w:t>
            </w: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2,227</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8"/>
              </w:rPr>
              <w:t>21,234</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25,697</w:t>
            </w:r>
          </w:p>
        </w:tc>
      </w:tr>
      <w:tr>
        <w:trPr>
          <w:trHeight w:val="250"/>
        </w:trPr>
        <w:tc>
          <w:tcPr>
            <w:tcW w:w="5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Adjustments:</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Non-cash loss recognized from unconsolidated entities (a)</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879</w:t>
            </w:r>
          </w:p>
        </w:tc>
      </w:tr>
      <w:tr>
        <w:trPr>
          <w:trHeight w:val="207"/>
        </w:trPr>
        <w:tc>
          <w:tcPr>
            <w:tcW w:w="502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20"/>
                <w:szCs w:val="20"/>
                <w:color w:val="auto"/>
              </w:rPr>
              <w:t>Impairment, losses and charges related to property, plant and</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6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equipment (b)</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235</w:t>
            </w:r>
          </w:p>
        </w:tc>
      </w:tr>
      <w:tr>
        <w:trPr>
          <w:trHeight w:val="207"/>
        </w:trPr>
        <w:tc>
          <w:tcPr>
            <w:tcW w:w="502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Restructure costs - consulting and management recruiting</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66"/>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and severance (c)</w:t>
            </w:r>
          </w:p>
        </w:tc>
        <w:tc>
          <w:tcPr>
            <w:tcW w:w="12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304</w:t>
            </w: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3,930</w:t>
            </w: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Expenses related to Mexican tax matters (d)</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233</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1,897</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1,043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3,128</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Legal settlement and related expenses (e)</w:t>
            </w:r>
          </w:p>
        </w:tc>
        <w:tc>
          <w:tcPr>
            <w:tcW w:w="1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w:t>
            </w:r>
          </w:p>
        </w:tc>
      </w:tr>
      <w:tr>
        <w:trPr>
          <w:trHeight w:val="25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Professional fees related to internal investigation (f)</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7,444</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loss (gain) (g)</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3,041</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3,057</w:t>
            </w: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5,840</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(1,378)</w:t>
            </w:r>
          </w:p>
        </w:tc>
      </w:tr>
      <w:tr>
        <w:trPr>
          <w:trHeight w:val="223"/>
        </w:trPr>
        <w:tc>
          <w:tcPr>
            <w:tcW w:w="5020" w:type="dxa"/>
            <w:vAlign w:val="bottom"/>
            <w:tcBorders>
              <w:top w:val="single" w:sz="8" w:color="CCEEFF"/>
              <w:bottom w:val="single" w:sz="8" w:color="CCEEFF"/>
            </w:tcBorders>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Adjusted EBITDA</w:t>
            </w:r>
          </w:p>
        </w:tc>
        <w:tc>
          <w:tcPr>
            <w:tcW w:w="1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6,686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7,966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98"/>
              </w:rPr>
              <w:t>37,006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Borders>
              <w:top w:val="single" w:sz="8" w:color="auto"/>
              <w:bottom w:val="single" w:sz="8" w:color="auto"/>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rPr>
              <w:t>33,191</w:t>
            </w:r>
          </w:p>
        </w:tc>
      </w:tr>
      <w:tr>
        <w:trPr>
          <w:trHeight w:val="20"/>
        </w:trPr>
        <w:tc>
          <w:tcPr>
            <w:tcW w:w="5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8770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color w:val="auto"/>
        </w:rPr>
        <w:t>See prior page for footnote 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b w:val="1"/>
          <w:bCs w:val="1"/>
          <w:color w:val="auto"/>
        </w:rPr>
        <w:t>Investor Contact</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Julie Kegley, Senior Vice President</w:t>
      </w:r>
    </w:p>
    <w:p>
      <w:pPr>
        <w:ind w:left="300"/>
        <w:spacing w:after="0"/>
        <w:rPr>
          <w:sz w:val="20"/>
          <w:szCs w:val="20"/>
          <w:color w:val="auto"/>
        </w:rPr>
      </w:pPr>
      <w:r>
        <w:rPr>
          <w:rFonts w:ascii="Times New Roman" w:cs="Times New Roman" w:eastAsia="Times New Roman" w:hAnsi="Times New Roman"/>
          <w:sz w:val="20"/>
          <w:szCs w:val="20"/>
          <w:color w:val="auto"/>
        </w:rPr>
        <w:t>Financial Profiles, Inc.</w:t>
      </w:r>
    </w:p>
    <w:p>
      <w:pPr>
        <w:ind w:left="300"/>
        <w:spacing w:after="0"/>
        <w:rPr>
          <w:sz w:val="20"/>
          <w:szCs w:val="20"/>
          <w:color w:val="auto"/>
        </w:rPr>
      </w:pPr>
      <w:r>
        <w:rPr>
          <w:rFonts w:ascii="Times New Roman" w:cs="Times New Roman" w:eastAsia="Times New Roman" w:hAnsi="Times New Roman"/>
          <w:sz w:val="20"/>
          <w:szCs w:val="20"/>
          <w:color w:val="auto"/>
        </w:rPr>
        <w:t>calavo@finprofiles.com</w:t>
      </w:r>
    </w:p>
    <w:p>
      <w:pPr>
        <w:ind w:left="300"/>
        <w:spacing w:after="0"/>
        <w:rPr>
          <w:sz w:val="20"/>
          <w:szCs w:val="20"/>
          <w:color w:val="auto"/>
        </w:rPr>
      </w:pPr>
      <w:r>
        <w:rPr>
          <w:rFonts w:ascii="Times New Roman" w:cs="Times New Roman" w:eastAsia="Times New Roman" w:hAnsi="Times New Roman"/>
          <w:sz w:val="20"/>
          <w:szCs w:val="20"/>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746125</wp:posOffset>
            </wp:positionV>
            <wp:extent cx="545211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6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2025-01-21T05:07:35Z</dcterms:created>
  <dcterms:modified xsi:type="dcterms:W3CDTF">2025-01-21T05:07:35Z</dcterms:modified>
</cp:coreProperties>
</file>