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7, 2020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18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20" w:type="dxa"/>
            <w:vAlign w:val="bottom"/>
          </w:tcPr>
          <w:p>
            <w:pPr>
              <w:jc w:val="right"/>
              <w:ind w:right="1002"/>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119"/>
        </w:trPr>
        <w:tc>
          <w:tcPr>
            <w:tcW w:w="29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(IRS Employer</w:t>
            </w:r>
          </w:p>
        </w:tc>
      </w:tr>
      <w:tr>
        <w:trPr>
          <w:trHeight w:val="188"/>
        </w:trPr>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16"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Symbol(s)</w:t>
            </w: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vMerge w:val="continue"/>
          </w:tcPr>
          <w:p>
            <w:pPr>
              <w:spacing w:after="0"/>
              <w:rPr>
                <w:sz w:val="17"/>
                <w:szCs w:val="17"/>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40" w:type="dxa"/>
            <w:vAlign w:val="bottom"/>
            <w:vMerge w:val="continue"/>
          </w:tcPr>
          <w:p>
            <w:pPr>
              <w:spacing w:after="0"/>
              <w:rPr>
                <w:sz w:val="17"/>
                <w:szCs w:val="17"/>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60" w:right="99"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ind w:left="60" w:right="159"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690880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116205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150495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September 8, 2020, Calavo Growers, Inc. (Calavo) issued a press release containing our financial results for the three- and nine-month periods ended July 31, 2020. A copy of our press release is attached hereto as Exhibit 99.1 and is incorporated by reference herein.</w:t>
      </w:r>
    </w:p>
    <w:p>
      <w:pPr>
        <w:spacing w:after="0" w:line="14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39"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September 7, 2020, Dorcas H. Thille notified Calavo that she does not intend to stand for re-election as a director at Calavo’s 2021 annual meeting of shareholders and that she intends to retire as a director of Calavo on January 3, 2021. On September 7, 2020, Egidio Carbone, Jr. notified Calavo that he does not intend to stand for re-election as a director at Calavo’s 2021 annual meeting of shareholders and that he intends to retire as a director of Calavo on January 3, 2021. Neither director’s decision is the result of any disagreement with Calavo on any matter relating to Calavo’s operations, policies or practices.</w:t>
      </w:r>
    </w:p>
    <w:p>
      <w:pPr>
        <w:spacing w:after="0" w:line="16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On September 7, 2020, Calavo’s Board of Directors appointed Farha Aslam as a director of Calavo, with such appointment to be effective January 3, 2021, and as a member of Calavo’s Audit Committee, effective January 3, 2021. Calavo’s Board of Directors also determined that, effective January 3, 2021, the authorized number of Calavo’s directors will be reduced from 13 to 12.</w:t>
      </w:r>
    </w:p>
    <w:p>
      <w:pPr>
        <w:spacing w:after="0" w:line="13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Ms. Aslam is Founder and Managing Partner at Crescent House Capital, an investment and strategic advisory firm that focuses on the agriculture, energy and food processing industries. Earlier, she was a Managing Director at Stephens Inc. where she led the firm’s food and agribusiness equity research team and built a top-tier research franchise that spanned the grain, ethanol, protein, and packaged food sectors. She also successfully positioned several lead-managed equity offerings and debt financings. Prior to Stephens, Ms. Aslam was a Vice President at Merrill Lynch and a Risk Management Advisor at UBS.</w:t>
      </w:r>
    </w:p>
    <w:p>
      <w:pPr>
        <w:spacing w:after="0" w:line="14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Ms. Aslam currently serves on several Boards of Directors including Pilgrims Pride, a leading poultry processor and Saffron Road, a natural food producer and marketer. She is also a nonprofit board member at Developments in Literacy. A graduate of the University of California, Irvine with a BA, Economics, she also holds an MBA from Columbia University.</w:t>
      </w:r>
    </w:p>
    <w:p>
      <w:pPr>
        <w:spacing w:after="0" w:line="15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Ms. Aslam shall receive the compensation for Board and committee service that is received by other Calavo non-employee directors. Ms. Aslam does not have any arrangements or understandings with any other persons pursuant to which she was selected as a director and that require disclosure under Item 5.02(d)(2) of Securities and Exchange Commission (SEC) Form 8-K, and there are no transactions or proposed transactions between Ms. Aslam and Calavo or any of its subsidiaries that require disclosure pursuant to Item 404(a) of SEC Regulation S-K.</w:t>
      </w:r>
    </w:p>
    <w:p>
      <w:pPr>
        <w:spacing w:after="0" w:line="143" w:lineRule="exact"/>
        <w:rPr>
          <w:sz w:val="20"/>
          <w:szCs w:val="20"/>
          <w:color w:val="auto"/>
        </w:rPr>
      </w:pPr>
    </w:p>
    <w:p>
      <w:pPr>
        <w:ind w:left="60" w:right="839" w:firstLine="648"/>
        <w:spacing w:after="0" w:line="312" w:lineRule="auto"/>
        <w:rPr>
          <w:sz w:val="20"/>
          <w:szCs w:val="20"/>
          <w:color w:val="auto"/>
        </w:rPr>
      </w:pPr>
      <w:r>
        <w:rPr>
          <w:rFonts w:ascii="Times New Roman" w:cs="Times New Roman" w:eastAsia="Times New Roman" w:hAnsi="Times New Roman"/>
          <w:sz w:val="17"/>
          <w:szCs w:val="17"/>
          <w:color w:val="auto"/>
        </w:rPr>
        <w:t>A copy of the press release describing the retirement of Ms. Thille and Mr. Carbone as directors and the appointment of Ms. Farha as a director is attached hereto as Exhibit 99.2 and incorporated by reference herein.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380" w:hanging="324"/>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September 8, 2020 of the Registrant.</w:t>
        </w:r>
      </w:hyperlink>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99.2  </w:t>
      </w:r>
      <w:hyperlink w:anchor="page15">
        <w:r>
          <w:rPr>
            <w:rFonts w:ascii="Times New Roman" w:cs="Times New Roman" w:eastAsia="Times New Roman" w:hAnsi="Times New Roman"/>
            <w:sz w:val="18"/>
            <w:szCs w:val="18"/>
            <w:u w:val="single" w:color="auto"/>
            <w:color w:val="0000EE"/>
          </w:rPr>
          <w:t>Press release dated September 8, 2020 of the Registrant.</w:t>
        </w:r>
      </w:hyperlink>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8, 2020</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James Gibson</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165735</wp:posOffset>
            </wp:positionV>
            <wp:extent cx="184277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 Announces Third Quarter 2020 Financial Results</w:t>
      </w:r>
    </w:p>
    <w:p>
      <w:pPr>
        <w:spacing w:after="0" w:line="225" w:lineRule="exact"/>
        <w:rPr>
          <w:sz w:val="20"/>
          <w:szCs w:val="20"/>
          <w:color w:val="auto"/>
        </w:rPr>
      </w:pPr>
    </w:p>
    <w:p>
      <w:pPr>
        <w:jc w:val="both"/>
        <w:ind w:left="60" w:right="139"/>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SANTA PAULA, Calif., September 8, 2020—Calavo Growers, Inc. (Nasdaq-GS: CVGW), </w:t>
      </w:r>
      <w:r>
        <w:rPr>
          <w:rFonts w:ascii="Times New Roman" w:cs="Times New Roman" w:eastAsia="Times New Roman" w:hAnsi="Times New Roman"/>
          <w:sz w:val="17"/>
          <w:szCs w:val="17"/>
          <w:color w:val="auto"/>
        </w:rPr>
        <w:t>a global avocado-industry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leader and provider of value-added fresh food, today reported its financial results for the third quarter ended July 31, 2020.</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229" w:lineRule="exact"/>
        <w:rPr>
          <w:sz w:val="20"/>
          <w:szCs w:val="20"/>
          <w:color w:val="auto"/>
        </w:rPr>
      </w:pPr>
    </w:p>
    <w:p>
      <w:pPr>
        <w:ind w:left="700" w:right="339" w:hanging="326"/>
        <w:spacing w:after="0" w:line="312" w:lineRule="auto"/>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of $270.4 million, a 24.7% decrease year-over-year, reflecting 18.2% growth in avocado volume offset by lower avocado prices and lower sales in the Renaissance Food Group (“RFG”) and Foods segments.</w:t>
      </w:r>
    </w:p>
    <w:p>
      <w:pPr>
        <w:spacing w:after="0" w:line="139" w:lineRule="exact"/>
        <w:rPr>
          <w:rFonts w:ascii="Times New Roman" w:cs="Times New Roman" w:eastAsia="Times New Roman" w:hAnsi="Times New Roman"/>
          <w:sz w:val="17"/>
          <w:szCs w:val="17"/>
          <w:color w:val="auto"/>
        </w:rPr>
      </w:pPr>
    </w:p>
    <w:p>
      <w:pPr>
        <w:jc w:val="both"/>
        <w:ind w:left="700" w:right="579" w:hanging="326"/>
        <w:spacing w:after="0" w:line="266"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$30.8 million, or 11.4% of revenue, compared to $35.8 million, or 10.0% of revenue, for the comparable period last year. The increase in gross profit margin was attributable to continued gross margin improvements in the RFG segment and Foods segment.</w:t>
      </w:r>
    </w:p>
    <w:p>
      <w:pPr>
        <w:spacing w:after="0" w:line="175" w:lineRule="exact"/>
        <w:rPr>
          <w:rFonts w:ascii="Times New Roman" w:cs="Times New Roman" w:eastAsia="Times New Roman" w:hAnsi="Times New Roman"/>
          <w:sz w:val="18"/>
          <w:szCs w:val="18"/>
          <w:color w:val="auto"/>
        </w:rPr>
      </w:pPr>
    </w:p>
    <w:p>
      <w:pPr>
        <w:ind w:left="700" w:right="599" w:hanging="326"/>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$15.6 million, or $(0.89) per diluted share, primarily reflecting a $37.2 million non-cash loss on reserve for FreshRealm note receivable and impairment of investment.</w:t>
      </w:r>
    </w:p>
    <w:p>
      <w:pPr>
        <w:spacing w:after="0" w:line="161" w:lineRule="exact"/>
        <w:rPr>
          <w:rFonts w:ascii="Times New Roman" w:cs="Times New Roman" w:eastAsia="Times New Roman" w:hAnsi="Times New Roman"/>
          <w:sz w:val="18"/>
          <w:szCs w:val="18"/>
          <w:color w:val="auto"/>
        </w:rPr>
      </w:pPr>
    </w:p>
    <w:p>
      <w:pPr>
        <w:ind w:left="700" w:right="319" w:hanging="326"/>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excluding the loss on the reserve of FreshRealm note and investment, and other non-cash gains and losses and tax adjustments, was $12.9 million, or $0.73 per diluted share.</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$23.1 million, compared to $26.6 million for the same period last year and $14.4 million for the second quarter of 2020.</w:t>
      </w:r>
    </w:p>
    <w:p>
      <w:pPr>
        <w:spacing w:after="0" w:line="161" w:lineRule="exact"/>
        <w:rPr>
          <w:rFonts w:ascii="Times New Roman" w:cs="Times New Roman" w:eastAsia="Times New Roman" w:hAnsi="Times New Roman"/>
          <w:sz w:val="18"/>
          <w:szCs w:val="18"/>
          <w:color w:val="auto"/>
        </w:rPr>
      </w:pPr>
    </w:p>
    <w:p>
      <w:pPr>
        <w:ind w:left="700" w:right="499" w:hanging="326"/>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supply chain and business continuity during the third quarter despite the impact of the prolonged COVID-19 pandemic.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700" w:right="7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 the Company also announced separately the following changes to its Board of Directors, effective January 3, 2021:</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Farha Aslam will be appointed as independent Director and Member of the Audit Committee.</w:t>
      </w:r>
    </w:p>
    <w:p>
      <w:pPr>
        <w:spacing w:after="0" w:line="225" w:lineRule="exact"/>
        <w:rPr>
          <w:rFonts w:ascii="Times New Roman" w:cs="Times New Roman" w:eastAsia="Times New Roman" w:hAnsi="Times New Roman"/>
          <w:sz w:val="18"/>
          <w:szCs w:val="18"/>
          <w:color w:val="auto"/>
        </w:rPr>
      </w:pPr>
    </w:p>
    <w:p>
      <w:pPr>
        <w:ind w:left="1340" w:right="199" w:hanging="318"/>
        <w:spacing w:after="0" w:line="261" w:lineRule="auto"/>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members Dorcas Thille, Director and Member of the Executive Committee, and Egidio “Gene” Carbone, Director and Chairman of the Audit and Finance Committee and Nominating and Governance Committee, have notified the Company that they will not stand for re-election at the Company’s 2021 annual meeting of shareholders.</w:t>
      </w:r>
    </w:p>
    <w:p>
      <w:pPr>
        <w:spacing w:after="0" w:line="179" w:lineRule="exact"/>
        <w:rPr>
          <w:rFonts w:ascii="Times New Roman" w:cs="Times New Roman" w:eastAsia="Times New Roman" w:hAnsi="Times New Roman"/>
          <w:sz w:val="18"/>
          <w:szCs w:val="18"/>
          <w:color w:val="auto"/>
        </w:rPr>
      </w:pPr>
    </w:p>
    <w:p>
      <w:pPr>
        <w:ind w:left="700" w:right="15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published today its second annual sustainability report detailing its sustainability performance and initiatives, which can be found on the Sustainability page of its investor relations website.</w:t>
      </w:r>
    </w:p>
    <w:p>
      <w:pPr>
        <w:spacing w:after="0" w:line="161" w:lineRule="exact"/>
        <w:rPr>
          <w:rFonts w:ascii="Times New Roman" w:cs="Times New Roman" w:eastAsia="Times New Roman" w:hAnsi="Times New Roman"/>
          <w:sz w:val="18"/>
          <w:szCs w:val="18"/>
          <w:color w:val="auto"/>
        </w:rPr>
      </w:pPr>
    </w:p>
    <w:p>
      <w:pPr>
        <w:ind w:left="700" w:right="49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13, 2020, Calavo announced the following senior management promotions: Mark Lodge to Chief Operations Officer and Robert Wedin to Executive Vice President of Fresh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 continued to execute with resilience and resolve in the face of a prolonged pandemic while prioritizing the health and safety of our team and customers. As a result, we maintained supply chain continuity across our 18 facilities in the U.S. and Mexico and provided uninterrupted service to our customers during these challenging times,” said James E. Gibson, CEO of Calavo Growers. “Our third quarter results were impacted by a combination of lower avocado prices, reflecting increased supply from Mexico and Peru, and lower demand in our RFG and Foods segments resulting from the second wave of COVID-19. While sales declined year-over-year, avocado volume increased 18%, signaling growth in consumer demand for avocados. Gross profit per carton for the third quarter was in-line with our historical averages.</w:t>
      </w:r>
    </w:p>
    <w:p>
      <w:pPr>
        <w:spacing w:after="0" w:line="189"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“We continue to benefit from owning and operating our RFG manufacturing facilities. Gross margin improved on both a year-over-year and sequential basis, reflecting increased operating leverage from greater utilization of our facilities, especially in Georgia and the Pacific Northwest. Our Foods segment also delivered margin improvement versus the comparable period due to lower avocado costs, which helped offset weaker demand from foodservice and grocery retail outlets.</w:t>
      </w:r>
    </w:p>
    <w:p>
      <w:pPr>
        <w:spacing w:after="0" w:line="183"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“Given the evolving and dynamic environment that we are operating in today, we remain focused on aspects of the business that we can control. To that end, I’d like to outline several near term priorities that we are actively working on to position the company to emerge from this period of uncertainty even stronger and more resilient,” said Gibson.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Near term priorities include:</w:t>
      </w:r>
    </w:p>
    <w:p>
      <w:pPr>
        <w:spacing w:after="0" w:line="221" w:lineRule="exact"/>
        <w:rPr>
          <w:sz w:val="20"/>
          <w:szCs w:val="20"/>
          <w:color w:val="auto"/>
        </w:rPr>
      </w:pPr>
    </w:p>
    <w:p>
      <w:pPr>
        <w:ind w:left="700" w:right="99" w:hanging="326"/>
        <w:spacing w:after="0" w:line="26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 Company: </w:t>
      </w:r>
      <w:r>
        <w:rPr>
          <w:rFonts w:ascii="Times New Roman" w:cs="Times New Roman" w:eastAsia="Times New Roman" w:hAnsi="Times New Roman"/>
          <w:sz w:val="18"/>
          <w:szCs w:val="18"/>
          <w:color w:val="auto"/>
        </w:rPr>
        <w:t>Consolidate the organizational structure of the Fresh, RFG and Foods operations.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aims to streamline the business by consolidating sales functions under one umbrella to serve all customers and maximize cross-selling opportunities; eliminating the redundancies across three business segments; and establishing centralized leadership in finance and operations.</w:t>
      </w:r>
    </w:p>
    <w:p>
      <w:pPr>
        <w:spacing w:after="0" w:line="176" w:lineRule="exact"/>
        <w:rPr>
          <w:rFonts w:ascii="Times New Roman" w:cs="Times New Roman" w:eastAsia="Times New Roman" w:hAnsi="Times New Roman"/>
          <w:sz w:val="18"/>
          <w:szCs w:val="18"/>
          <w:color w:val="auto"/>
        </w:rPr>
      </w:pPr>
    </w:p>
    <w:p>
      <w:pPr>
        <w:ind w:left="700" w:right="159" w:hanging="326"/>
        <w:spacing w:after="0" w:line="254"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Growth: </w:t>
      </w:r>
      <w:r>
        <w:rPr>
          <w:rFonts w:ascii="Times New Roman" w:cs="Times New Roman" w:eastAsia="Times New Roman" w:hAnsi="Times New Roman"/>
          <w:sz w:val="18"/>
          <w:szCs w:val="18"/>
          <w:color w:val="auto"/>
        </w:rPr>
        <w:t>Drive organic growth in each operating segment. For the Fresh segment,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controlling its inventory positions and leveraging its strong supply chain into the U.S. to optimize sell through and margin profile. For its international markets, the Company is working towards utilizing its Jalisco packinghouse in Mexico to drive incremental sales and margin in the region. For the RFG segment, the Company is increasing the utilization and efficiency of its owned facilities and expanding its product set of fresh and prepared food offerings in partnership with grocery retailers. For the Foods segment, the Company is integrating its avocado products portfolio into RFG’s supply chain, leveraging its national distribution infrastructure to further scale the business. In addition, the Company continues to invest in its portfolio of high-margin Calavo branded product lines and establish new channels to market in hospitality, convenience and international. As part of its overall growth plan, Calavo plans to leverage its strong balance sheet and financial flexibility to evaluate strategic acquisitions opportunistically.</w:t>
      </w:r>
    </w:p>
    <w:p>
      <w:pPr>
        <w:spacing w:after="0" w:line="182" w:lineRule="exact"/>
        <w:rPr>
          <w:rFonts w:ascii="Times New Roman" w:cs="Times New Roman" w:eastAsia="Times New Roman" w:hAnsi="Times New Roman"/>
          <w:sz w:val="18"/>
          <w:szCs w:val="18"/>
          <w:color w:val="auto"/>
        </w:rPr>
      </w:pPr>
    </w:p>
    <w:p>
      <w:pPr>
        <w:ind w:left="700" w:right="279" w:hanging="326"/>
        <w:spacing w:after="0" w:line="317" w:lineRule="auto"/>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Human Capital: </w:t>
      </w:r>
      <w:r>
        <w:rPr>
          <w:rFonts w:ascii="Times New Roman" w:cs="Times New Roman" w:eastAsia="Times New Roman" w:hAnsi="Times New Roman"/>
          <w:sz w:val="17"/>
          <w:szCs w:val="17"/>
          <w:color w:val="auto"/>
        </w:rPr>
        <w:t>Establish centralized leadership to support the Company and enhance talent identification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succession planning through continuous learning, employee development, training and career advancement.</w:t>
      </w:r>
    </w:p>
    <w:p>
      <w:pPr>
        <w:spacing w:after="0" w:line="131" w:lineRule="exact"/>
        <w:rPr>
          <w:rFonts w:ascii="Times New Roman" w:cs="Times New Roman" w:eastAsia="Times New Roman" w:hAnsi="Times New Roman"/>
          <w:sz w:val="17"/>
          <w:szCs w:val="17"/>
          <w:color w:val="auto"/>
        </w:rPr>
      </w:pPr>
    </w:p>
    <w:p>
      <w:pPr>
        <w:ind w:left="700" w:right="99" w:hanging="326"/>
        <w:spacing w:after="0" w:line="26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Social and Governance (“ESG”): </w:t>
      </w:r>
      <w:r>
        <w:rPr>
          <w:rFonts w:ascii="Times New Roman" w:cs="Times New Roman" w:eastAsia="Times New Roman" w:hAnsi="Times New Roman"/>
          <w:sz w:val="18"/>
          <w:szCs w:val="18"/>
          <w:color w:val="auto"/>
        </w:rPr>
        <w:t>Build a comprehensive ESG program that will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initiatives, community involvement, investments in employee training and development, food safety and commitment to increasing Board independence and diversity while decreasing the size of the Board over time.</w:t>
      </w:r>
    </w:p>
    <w:p>
      <w:pPr>
        <w:spacing w:after="0" w:line="176" w:lineRule="exact"/>
        <w:rPr>
          <w:rFonts w:ascii="Times New Roman" w:cs="Times New Roman" w:eastAsia="Times New Roman" w:hAnsi="Times New Roman"/>
          <w:sz w:val="18"/>
          <w:szCs w:val="18"/>
          <w:color w:val="auto"/>
        </w:rPr>
      </w:pPr>
    </w:p>
    <w:p>
      <w:pPr>
        <w:ind w:left="700" w:right="439" w:hanging="326"/>
        <w:spacing w:after="0" w:line="28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Transparency: </w:t>
      </w:r>
      <w:r>
        <w:rPr>
          <w:rFonts w:ascii="Times New Roman" w:cs="Times New Roman" w:eastAsia="Times New Roman" w:hAnsi="Times New Roman"/>
          <w:sz w:val="18"/>
          <w:szCs w:val="18"/>
          <w:color w:val="auto"/>
        </w:rPr>
        <w:t>Continue clear investor communications and increase active engagement with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community.</w:t>
      </w:r>
    </w:p>
    <w:p>
      <w:pPr>
        <w:spacing w:after="0" w:line="15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“Our near-term priorities reflect immediate opportunities to increase the operating leverage and synergies across our entire organization. It also embeds our commitment to shareholder alignment, our employees, communities and the environment. We believe these are the building blocks for value creation not only in the near-term but also for the long-term as it will provide a foundation for our plans to accelerate growth in the years ahead. I am excited about where we are headed as an organization and I look forward to updating you on our progress,” said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2020 Consolidated Financial Review</w:t>
      </w:r>
    </w:p>
    <w:p>
      <w:pPr>
        <w:spacing w:after="0" w:line="229" w:lineRule="exact"/>
        <w:rPr>
          <w:sz w:val="20"/>
          <w:szCs w:val="20"/>
          <w:color w:val="auto"/>
        </w:rPr>
      </w:pPr>
    </w:p>
    <w:p>
      <w:pPr>
        <w:ind w:left="60" w:right="339"/>
        <w:spacing w:after="0" w:line="277" w:lineRule="auto"/>
        <w:rPr>
          <w:sz w:val="20"/>
          <w:szCs w:val="20"/>
          <w:color w:val="auto"/>
        </w:rPr>
      </w:pPr>
      <w:r>
        <w:rPr>
          <w:rFonts w:ascii="Times New Roman" w:cs="Times New Roman" w:eastAsia="Times New Roman" w:hAnsi="Times New Roman"/>
          <w:sz w:val="17"/>
          <w:szCs w:val="17"/>
          <w:color w:val="auto"/>
        </w:rPr>
        <w:t>Total revenue for the third quarter of 2020 was $270.4 million compared to $359.3 million for the third quarter of 2019, representing a 24.7% decrease. While avocado volumes were strong, increasing 18.2% over the prior year period, total revenue was impacted by lower average selling price of avocados in the Company’s Fresh segment, reflecting increased supply from Peru and Mexico and lower sales volumes in the RFG and Foods segments as a result of the previously announced closure of RFG’s Midwest co-packing partner in March 2020 and the prolonged COVID-19 pandemic.</w:t>
      </w:r>
    </w:p>
    <w:p>
      <w:pPr>
        <w:spacing w:after="0" w:line="168"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Gross profit for the third quarter was $30.8 million, or 11.4% of revenue, compared to $35.8 million, or 10.0% of revenue, for the same period last year. The increase in gross profit margin was attributable to improvements in the RFG and Foods business segments.</w:t>
      </w:r>
    </w:p>
    <w:p>
      <w:pPr>
        <w:spacing w:after="0" w:line="1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 for the third quarter totaled $13.4 million, or 5.0% of revenue, compared to $14.3 million, or 4.0% of revenue, for the same period last year. The decrease in SG&amp;A expense was primarily due to a decrease in the accrual for performance-based compensation and a reduction in headcount implemented at the end of the second quarter of 2020.</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Net loss for the third quarter of 2020 was $15.6 million, or $(0.89) per diluted share, primarily reflecting a $37.2 million non-cash loss on reserve for the FreshRealm note receivable and impairment of investment. This compares with net income of $10.6 million, or $0.60 per diluted share, for the same period last year.</w:t>
      </w:r>
    </w:p>
    <w:p>
      <w:pPr>
        <w:spacing w:after="0" w:line="1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Adjusted net income, which excludes certain non-comparable items such as non-cash gains or losses from unconsolidated subsidiaries and non-GAAP tax adjustments, was $12.9 million, or $0.73 per diluted share, for the third quarter of 2020, compared to adjusted net income of $16.2 million, or $0.92 per diluted share, for the same period last year, and adjusted net income of $7.0 million, or $0.40 per diluted share, for the second quarter of 2020.</w:t>
      </w:r>
    </w:p>
    <w:p>
      <w:pPr>
        <w:spacing w:after="0" w:line="18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Adjusted EBITDA, which is a non-GAAP financial measure as described below and in an accompanying financial table in this release, was $23.1 million for the third quarter of 2020, compared to $26.6 million for the same period last year and $14.4 million for the second quarter of 2020.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$3.6 million as of July 31, 2020. Total liquidity at quarter end was approximately $131.6 million, including cash, investments, and borrowings available under its line of credit.</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Company ended the quarter with $31.8 million of total debt, which included $24.6 million in short-term borrowings and $7.2 million of other long-term liabilities.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on Reserve for FreshRealm Note Receivable and Impairment of Investment</w:t>
      </w:r>
    </w:p>
    <w:p>
      <w:pPr>
        <w:spacing w:after="0" w:line="229"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the Company recorded a loss on reserve for its FreshRealm note receivable of $34.2 million and $0.2 million in trade accounts receivable along with an impairment of its equity investment of $2.8 million, resulting in a total non-cash charge of $37.2 million. Please refer to footnote (b) of the Reconciliation of Adjusted Net Income and EPS table in this press release for additional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Business Segment Performance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Fresh</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Third quarter 2020 sales in Calavo’s Fresh business segment decreased 21.9% to $162.1 million from $207.7 million in the same period last year. Avocado imports from Peru and Mexico combined with a strong harvest in California drove the average selling price of avocados down 37.0% from the same period last year. Lower selling prices were offset by increased sales volume, which improved 18.2% from the year ago period. Sales volume improved in May and early June as foodservice reopened and consumer buying patterns began to normalize at grocery retail outlets. However, growth was constrained from late June and onward from lower demand as reopening plans slowed due to the spike in COVID-19 cases and the reclosing of retail and foodservice businesses. Fresh segment gross profit for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of 2020 was $17.7 million, or 10.9% of segment sales, compared to $25.4 million, or 12.2% of segment sales, for the same period last year. The decline in gross profit was due to the decrease in the average selling price of avocados. The Company’s gross profit per carton of avocados for the third quarter of 2020 was in-line with historical averages, though it was down from last year’s third quarter when favorable conditions resulted in gross profit per carton to be well above historic levels.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Renaissance Food Group (RFG)</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RFG business segment sales in the third quarter 2020 were $90.9 million, down 28.7% from $127.5 million in the same period last year. The decline in sales was principally due to the previously announced closure of the Company’s co-packing partner in the Midwest in March 2020. Sales were also impacted by lower consumer demand for certain of RFG’s short-shelf life prepared food items, particularly in the beginning of the third quarter as a result of COVID-19. These results were partially offset by increased sales in the Company’s newer production facilities in Georgia and the Pacific Northwest and in its line of longer-shelf life cut fruit. While sales declined for the quarter overall, volumes returned to pre-COVID levels in July and continued into August with the product mix weighted towards fresh cut fruit and vegetables as compared to grab-n-go prepared foods. Segment gross profit reached $8.1 million, or 8.9% of segment sales, compared to $7.5 million, or 5.9% of segment sales, in the same period last year and $2.7 million, or 2.9% of segment sales, in the second quarter of 2020. This improvement was primarily due to increased manufacturing margins from company-operated facilities, especially from the newer facilities in Georgia and the Pacific Northwest, which benefited from continued manufacturing efficiencies.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Sales in the Foods business segment totaled $19.0 million in the third quarter, down 26.5% from $25.8 million in the same period last year due to lower demand from foodservice customers following the spike in COVID-19 cases. In the months of July and continuing into August, however, demand rebounded from previous months. Segment gross profit rose to $5.0 million, or 26.3% of sales, compared to $2.8 million, or 10.9% of sales, in the same period last year, and $6.5 million, or</w:t>
      </w:r>
    </w:p>
    <w:p>
      <w:pPr>
        <w:spacing w:after="0" w:line="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29.7% of sales, in the second quarter of 2020. The year-over-year increase in gross profit was primarily due to a decrease in avocado costs in addition to lower manufacturing costs related to facility process improvements that were completed last year.</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This press release includes adjusted financial metrics, such as EBITDA, adjusted EBITDA, adjusted net income and adjusted EPS, which are not prepared in accordance with U.S. generally accepted accounting principles, or “GAAP.” Management believes these adjustments provide a more comparable analysis of the ongoing operating performance of the business. Reconciliations of non-GAAP financial measures to GAAP financial measures are provided in the financial tables that accompany this release. This information should be considered as supplemental in nature and not as a substitute for, or superior to, any measure of performance prepared in accordance with GAAP.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ind w:left="60" w:right="79"/>
        <w:spacing w:after="0" w:line="276" w:lineRule="auto"/>
        <w:rPr>
          <w:sz w:val="20"/>
          <w:szCs w:val="20"/>
          <w:color w:val="auto"/>
        </w:rPr>
      </w:pPr>
      <w:r>
        <w:rPr>
          <w:rFonts w:ascii="Times New Roman" w:cs="Times New Roman" w:eastAsia="Times New Roman" w:hAnsi="Times New Roman"/>
          <w:sz w:val="17"/>
          <w:szCs w:val="17"/>
          <w:color w:val="auto"/>
        </w:rPr>
        <w:t>Calavo will host a conference call on Tuesday, September 8, 2020 at 5:00 pm ET/2:00 pm PT to discuss its financial results for the third quarter ended July 31, 2020. The conference call may be accessed by dialing 877-407-3982 (Domestic) or</w:t>
      </w:r>
    </w:p>
    <w:p>
      <w:pPr>
        <w:spacing w:after="0" w:line="1"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201-493-6780 (International) with conference ID: 13708329. A live audio webcast of the call will also be available on the Investor Relations section of Calavo’s website at http://ir.calavo.com and will be archived for replay.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loans to and/or equity investments in unconsolidated entities, including FreshRealm; system security risk and cyber-attacks and any statements of assumptions underlying any of the foregoing.</w:t>
      </w:r>
    </w:p>
    <w:p>
      <w:pPr>
        <w:spacing w:after="0" w:line="191"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impact of COVID-19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increased costs that we must incur as a result of COVID-19, the impact of governmental trade restrictions imposed as a result of COVID-19 and the possible adverse impact of COVID-19 on our goodwill and other intangible assets; the impact of macroeconomic trends and events; the competitive pressures faced by Calavo’s business; the development and transition of new products and services (and the enhancement of existing products and services) to meet customer needs; integration and other risks associated with acquisitions of other businesses; our ability to hire and retain key employees; the resolution of pending investigations, legal claims and tax disputes; the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loans to and/or equity investments in unconsolidated entities, including FreshRealm; and potential cyber-attacks on our information technology systems or on the information technology systems of our suppliers or customers.</w:t>
      </w:r>
    </w:p>
    <w:p>
      <w:pPr>
        <w:spacing w:after="0" w:line="19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Contact: Financial Profiles,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Lisa Mueller, Senior Vice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310-622-8231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6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9"/>
        </w:trPr>
        <w:tc>
          <w:tcPr>
            <w:tcW w:w="6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7"/>
                <w:szCs w:val="17"/>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7,973</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of $3,706 (2020) and $3,366 (2019)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63,423</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36,889</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9,027</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to suppliers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7,338</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2,865</w:t>
            </w:r>
          </w:p>
        </w:tc>
        <w:tc>
          <w:tcPr>
            <w:tcW w:w="6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127,515</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130,923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132,098</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31,734</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10,722</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3,447</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18,262</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FreshRealm</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35,241</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31,341</w:t>
            </w:r>
          </w:p>
        </w:tc>
        <w:tc>
          <w:tcPr>
            <w:tcW w:w="60" w:type="dxa"/>
            <w:vAlign w:val="bottom"/>
            <w:shd w:val="clear" w:color="auto" w:fill="CCEEFF"/>
          </w:tcPr>
          <w:p>
            <w:pPr>
              <w:spacing w:after="0"/>
              <w:rPr>
                <w:sz w:val="18"/>
                <w:szCs w:val="18"/>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437,265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390,360</w:t>
            </w:r>
          </w:p>
        </w:tc>
        <w:tc>
          <w:tcPr>
            <w:tcW w:w="60" w:type="dxa"/>
            <w:vAlign w:val="bottom"/>
            <w:tcBorders>
              <w:bottom w:val="single" w:sz="8" w:color="CCEEFF"/>
            </w:tcBorders>
          </w:tcPr>
          <w:p>
            <w:pPr>
              <w:spacing w:after="0"/>
              <w:rPr>
                <w:sz w:val="18"/>
                <w:szCs w:val="18"/>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 to growers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13,463</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17,421</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39,629</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19,354</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shd w:val="clear" w:color="auto" w:fill="CCEEFF"/>
          </w:tcPr>
          <w:p>
            <w:pPr>
              <w:spacing w:after="0"/>
              <w:rPr>
                <w:sz w:val="18"/>
                <w:szCs w:val="18"/>
                <w:color w:val="auto"/>
              </w:rPr>
            </w:pPr>
          </w:p>
        </w:tc>
      </w:tr>
      <w:tr>
        <w:trPr>
          <w:trHeight w:val="210"/>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98,414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90,629</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59,899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5,412</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3,681</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4,769</w:t>
            </w:r>
          </w:p>
        </w:tc>
        <w:tc>
          <w:tcPr>
            <w:tcW w:w="60" w:type="dxa"/>
            <w:vAlign w:val="bottom"/>
            <w:shd w:val="clear" w:color="auto" w:fill="CCEEFF"/>
          </w:tcPr>
          <w:p>
            <w:pPr>
              <w:spacing w:after="0"/>
              <w:rPr>
                <w:sz w:val="18"/>
                <w:szCs w:val="18"/>
                <w:color w:val="auto"/>
              </w:rPr>
            </w:pPr>
          </w:p>
        </w:tc>
      </w:tr>
      <w:tr>
        <w:trPr>
          <w:trHeight w:val="210"/>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13,862</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269,530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285,869</w:t>
            </w:r>
          </w:p>
        </w:tc>
        <w:tc>
          <w:tcPr>
            <w:tcW w:w="60" w:type="dxa"/>
            <w:vAlign w:val="bottom"/>
            <w:tcBorders>
              <w:bottom w:val="single" w:sz="8" w:color="CCEEFF"/>
            </w:tcBorders>
          </w:tcPr>
          <w:p>
            <w:pPr>
              <w:spacing w:after="0"/>
              <w:rPr>
                <w:sz w:val="18"/>
                <w:szCs w:val="18"/>
                <w:color w:val="auto"/>
              </w:rPr>
            </w:pPr>
          </w:p>
        </w:tc>
      </w:tr>
      <w:tr>
        <w:trPr>
          <w:trHeight w:val="210"/>
        </w:trPr>
        <w:tc>
          <w:tcPr>
            <w:tcW w:w="6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437,265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390,360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275" w:lineRule="auto"/>
        <w:rPr>
          <w:sz w:val="20"/>
          <w:szCs w:val="20"/>
          <w:color w:val="auto"/>
        </w:rPr>
      </w:pPr>
      <w:r>
        <w:rPr>
          <w:rFonts w:ascii="Times New Roman" w:cs="Times New Roman" w:eastAsia="Times New Roman" w:hAnsi="Times New Roman"/>
          <w:sz w:val="16"/>
          <w:szCs w:val="16"/>
          <w:color w:val="auto"/>
        </w:rPr>
        <w:t>Note: Beginning on November 1, 2019 we adopted ASU 842, Leases. Under this new standard both finance leases and operating leases result in the lessee recognizing a right of use asset and a corresponding lease liability on the balance sheet. Previously, operating leases were expensed through the income statement and did not require recognition of a right-of-use asset or corresponding liability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605155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824,941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903,601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756,223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800,152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Temecula packinghouse</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reserve for FreshRealm note receivable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and realized net gain (loss) on Limoneira</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(loss) before benefit (provision) for income taxes</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loss from unconsolidated entities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54,446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benefit (provision)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loss (income) attributable to noncontrolling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1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Fresh</w:t>
            </w:r>
          </w:p>
        </w:tc>
        <w:tc>
          <w:tcPr>
            <w:tcW w:w="20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RFG</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100" w:type="dxa"/>
            <w:vAlign w:val="bottom"/>
          </w:tcPr>
          <w:p>
            <w:pPr>
              <w:spacing w:after="0"/>
              <w:rPr>
                <w:sz w:val="17"/>
                <w:szCs w:val="17"/>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July 31, 2020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18,967</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90,923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(1,604)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270,425</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(1,604)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239,590</w:t>
            </w:r>
          </w:p>
        </w:tc>
        <w:tc>
          <w:tcPr>
            <w:tcW w:w="40" w:type="dxa"/>
            <w:vAlign w:val="bottom"/>
            <w:shd w:val="clear" w:color="auto" w:fill="CCEEFF"/>
          </w:tcPr>
          <w:p>
            <w:pPr>
              <w:spacing w:after="0"/>
              <w:rPr>
                <w:sz w:val="18"/>
                <w:szCs w:val="18"/>
                <w:color w:val="auto"/>
              </w:rPr>
            </w:pPr>
          </w:p>
        </w:tc>
      </w:tr>
      <w:tr>
        <w:trPr>
          <w:trHeight w:val="25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5,046</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8,055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30,835</w:t>
            </w:r>
          </w:p>
        </w:tc>
        <w:tc>
          <w:tcPr>
            <w:tcW w:w="40" w:type="dxa"/>
            <w:vAlign w:val="bottom"/>
            <w:tcBorders>
              <w:bottom w:val="single" w:sz="8" w:color="CCEEFF"/>
            </w:tcBorders>
          </w:tcPr>
          <w:p>
            <w:pPr>
              <w:spacing w:after="0"/>
              <w:rPr>
                <w:sz w:val="21"/>
                <w:szCs w:val="21"/>
                <w:color w:val="auto"/>
              </w:rPr>
            </w:pPr>
          </w:p>
        </w:tc>
      </w:tr>
      <w:tr>
        <w:trPr>
          <w:trHeight w:val="196"/>
        </w:trPr>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July 31, 2019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25,796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(1,705)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359,332</w:t>
            </w: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(1,705)</w:t>
            </w: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323,557</w:t>
            </w:r>
          </w:p>
        </w:tc>
        <w:tc>
          <w:tcPr>
            <w:tcW w:w="40" w:type="dxa"/>
            <w:vAlign w:val="bottom"/>
          </w:tcPr>
          <w:p>
            <w:pPr>
              <w:spacing w:after="0"/>
              <w:rPr>
                <w:sz w:val="18"/>
                <w:szCs w:val="18"/>
                <w:color w:val="auto"/>
              </w:rPr>
            </w:pPr>
          </w:p>
        </w:tc>
      </w:tr>
      <w:tr>
        <w:trPr>
          <w:trHeight w:val="209"/>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July 31, 2020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466,197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57,304</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305,386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(3,946)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824,941</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40,973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(3,946)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756,223</w:t>
            </w:r>
          </w:p>
        </w:tc>
        <w:tc>
          <w:tcPr>
            <w:tcW w:w="40" w:type="dxa"/>
            <w:vAlign w:val="bottom"/>
            <w:shd w:val="clear" w:color="auto" w:fill="CCEEFF"/>
          </w:tcPr>
          <w:p>
            <w:pPr>
              <w:spacing w:after="0"/>
              <w:rPr>
                <w:sz w:val="18"/>
                <w:szCs w:val="18"/>
                <w:color w:val="auto"/>
              </w:rPr>
            </w:pPr>
          </w:p>
        </w:tc>
      </w:tr>
      <w:tr>
        <w:trPr>
          <w:trHeight w:val="24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38,721</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16,331</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13,666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68,718</w:t>
            </w:r>
          </w:p>
        </w:tc>
        <w:tc>
          <w:tcPr>
            <w:tcW w:w="40" w:type="dxa"/>
            <w:vAlign w:val="bottom"/>
            <w:tcBorders>
              <w:bottom w:val="single" w:sz="8" w:color="CCEEFF"/>
            </w:tcBorders>
          </w:tcPr>
          <w:p>
            <w:pPr>
              <w:spacing w:after="0"/>
              <w:rPr>
                <w:sz w:val="21"/>
                <w:szCs w:val="21"/>
                <w:color w:val="auto"/>
              </w:rPr>
            </w:pPr>
          </w:p>
        </w:tc>
      </w:tr>
      <w:tr>
        <w:trPr>
          <w:trHeight w:val="197"/>
        </w:trPr>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July 31, 2019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70,911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(4,460)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903,601</w:t>
            </w: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54,775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(4,460)</w:t>
            </w: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9"/>
              </w:rPr>
              <w:t>800,152</w:t>
            </w:r>
          </w:p>
        </w:tc>
        <w:tc>
          <w:tcPr>
            <w:tcW w:w="40" w:type="dxa"/>
            <w:vAlign w:val="bottom"/>
          </w:tcPr>
          <w:p>
            <w:pPr>
              <w:spacing w:after="0"/>
              <w:rPr>
                <w:sz w:val="18"/>
                <w:szCs w:val="18"/>
                <w:color w:val="auto"/>
              </w:rPr>
            </w:pPr>
          </w:p>
        </w:tc>
      </w:tr>
      <w:tr>
        <w:trPr>
          <w:trHeight w:val="209"/>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103,449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6"/>
          <w:szCs w:val="16"/>
          <w:color w:val="auto"/>
        </w:rPr>
        <w:t>For the three months ended July 31, 2020 and 2019, intercompany sales and cost of sales of $0.4 million and $0.5 million between Fresh products and RFG were eliminated. For the nine months ended July 31, 2020 and 2019, intercompany sales and cost of sales of</w:t>
      </w:r>
    </w:p>
    <w:p>
      <w:pPr>
        <w:ind w:left="60" w:right="319"/>
        <w:spacing w:after="0" w:line="264" w:lineRule="auto"/>
        <w:rPr>
          <w:sz w:val="20"/>
          <w:szCs w:val="20"/>
          <w:color w:val="auto"/>
        </w:rPr>
      </w:pPr>
      <w:r>
        <w:rPr>
          <w:rFonts w:ascii="Times New Roman" w:cs="Times New Roman" w:eastAsia="Times New Roman" w:hAnsi="Times New Roman"/>
          <w:sz w:val="16"/>
          <w:szCs w:val="16"/>
          <w:color w:val="auto"/>
        </w:rPr>
        <w:t>$1.1 million and $1.4 million between Fresh products and RFG were eliminated. For the three months ended July 31, 2020 and 2019, intercompany sales and cost of sales of $1.2 million and $1.0 million between Calavo Foods and RFG were eliminated. For the</w:t>
      </w:r>
    </w:p>
    <w:p>
      <w:pPr>
        <w:ind w:left="60" w:right="119"/>
        <w:spacing w:after="0" w:line="288" w:lineRule="auto"/>
        <w:rPr>
          <w:sz w:val="20"/>
          <w:szCs w:val="20"/>
          <w:color w:val="auto"/>
        </w:rPr>
      </w:pPr>
      <w:r>
        <w:rPr>
          <w:rFonts w:ascii="Times New Roman" w:cs="Times New Roman" w:eastAsia="Times New Roman" w:hAnsi="Times New Roman"/>
          <w:sz w:val="16"/>
          <w:szCs w:val="16"/>
          <w:color w:val="auto"/>
        </w:rPr>
        <w:t>nine months ended July 31, 2020 and 2019, intercompany sales and cost of sales of $2.8 million and $2.7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597535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EPS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(15,636)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(19,852)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Non-cash net losses recognized from unconsolidated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entities (a)</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6,375</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reserve for FreshRealm note receivable and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investment (b)</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37,192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2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sale-Temecula packinghouse, net sales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(c)</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transition expenses (d)</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 SFFI, Inc. (e)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(gain) on Limoneira shares (f)</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adjustments (g)</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(9,596)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(13,762)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attributed to Calavo Growers,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16,170</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20,707</w:t>
            </w: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45,206</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 (GAAP)</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gridSpan w:val="2"/>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17,605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17,558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139" w:hanging="330"/>
        <w:spacing w:after="0" w:line="267"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6"/>
          <w:szCs w:val="16"/>
          <w:color w:val="auto"/>
        </w:rPr>
        <w:t>the three months ended July 31, 2020 and 2019, FreshRealm incurred losses totaling $4.9 million and $6.2 million, of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we recorded $1.8 million and $2.0 million of non-cash losses during our third fiscal quarter of 2020 and 2019. For the nine months ended July 31, 2020 and 2019, FreshRealm incurred losses totaling $19.3 million and $25.0 million, of which we recorded $7.2 million and $12.0 million of non-cash losses during the nine months ended July 31, 2020 and 2019. For the three months ended July 31, 2020 and 2019, we incurred income from Agricola Don Memo totaling $0.6 million and losses of $0.5 million, respectively. For the nine months ended July 31, 2020 and 2019, we incurred income from Agricola Don Memo totaling $0.9 million and $0.1 million. Certain details regarding FreshRealm will be included in Calavo’s annual report on Form 10-Q soon to be filed with the U.S. Securities and Exchange Commission.</w:t>
      </w:r>
    </w:p>
    <w:p>
      <w:pPr>
        <w:spacing w:after="0" w:line="190" w:lineRule="exact"/>
        <w:rPr>
          <w:rFonts w:ascii="Times New Roman" w:cs="Times New Roman" w:eastAsia="Times New Roman" w:hAnsi="Times New Roman"/>
          <w:sz w:val="16"/>
          <w:szCs w:val="16"/>
          <w:color w:val="auto"/>
        </w:rPr>
      </w:pPr>
    </w:p>
    <w:p>
      <w:pPr>
        <w:ind w:left="380" w:right="99" w:hanging="330"/>
        <w:spacing w:after="0" w:line="271"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fiscal 2020, the results of operations of FreshRealm have deteriorated significantly from our expectations three months ago, with declining sales and continuing losses. FreshRealm will likely require additional capital in order to continue as a going concern. We do not plan to invest or loan any additional capital to FreshRealm. Therefore, we have recorded an impairment of 100% of our equity investment of $2.8 million, and we have recorded a reserve for collectability of 100% of our note receivable of 34.2 million (which includes accrued interest of $4.1 million), and $0.2 million in trade accounts receivable as of July 31, 2020, which resulted in a loss of $37.2 million.</w:t>
      </w:r>
    </w:p>
    <w:p>
      <w:pPr>
        <w:spacing w:after="0" w:line="184" w:lineRule="exact"/>
        <w:rPr>
          <w:rFonts w:ascii="Times New Roman" w:cs="Times New Roman" w:eastAsia="Times New Roman" w:hAnsi="Times New Roman"/>
          <w:sz w:val="16"/>
          <w:szCs w:val="16"/>
          <w:color w:val="auto"/>
        </w:rPr>
      </w:pPr>
    </w:p>
    <w:p>
      <w:pPr>
        <w:ind w:left="380" w:right="179" w:hanging="330"/>
        <w:spacing w:after="0" w:line="269"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second quarter of fiscal 2019, we sold our Temecula, Calif.,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$1.6 million ($1.9 million, net of transaction costs (primarily sales commissions) totaling $0.3 million) in the second quarter of fiscal 2019 and recorded a deferred gain of $4.5 million, which will be recognized over the life of the lease (i.e. straight-line over 15 years).</w:t>
      </w:r>
    </w:p>
    <w:p>
      <w:pPr>
        <w:spacing w:after="0" w:line="189" w:lineRule="exact"/>
        <w:rPr>
          <w:rFonts w:ascii="Times New Roman" w:cs="Times New Roman" w:eastAsia="Times New Roman" w:hAnsi="Times New Roman"/>
          <w:sz w:val="16"/>
          <w:szCs w:val="16"/>
          <w:color w:val="auto"/>
        </w:rPr>
      </w:pPr>
    </w:p>
    <w:p>
      <w:pPr>
        <w:ind w:left="380" w:right="779" w:hanging="330"/>
        <w:spacing w:after="0" w:line="298"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Nine months ended July 31, 2020 results include higher stock-based compensation expense related to senior management transitions, which does not impact the underlying cost structure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318770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right="159" w:hanging="330"/>
        <w:spacing w:after="0" w:line="281"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2020, we incurred expenses related to the acquisition of SFFI Company, Inc. doing business as Simply Fresh Fruit (SFFI). SFFI is a processor and supplier of a broad line of fresh-cut fruit, principally serving the foodservice and hospitality markets. The acquisition was closed on February 14, 2020.</w:t>
      </w:r>
    </w:p>
    <w:p>
      <w:pPr>
        <w:spacing w:after="0" w:line="177" w:lineRule="exact"/>
        <w:rPr>
          <w:rFonts w:ascii="Times New Roman" w:cs="Times New Roman" w:eastAsia="Times New Roman" w:hAnsi="Times New Roman"/>
          <w:sz w:val="16"/>
          <w:szCs w:val="16"/>
          <w:color w:val="auto"/>
        </w:rPr>
      </w:pPr>
    </w:p>
    <w:p>
      <w:pPr>
        <w:ind w:left="380" w:right="119" w:hanging="330"/>
        <w:spacing w:after="0" w:line="275"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2020, we recorded $0.2 million in unrealized gains related to mark-to-market adjustments in the fair value of our investment in Limoneira (LMNR) common stock. In the third quarter of 2019, we recorded $5.1 million in unrealized losses related to these mark-to-market adjustments. For the nine months ended July 31, 2020 and 2019, we recorded $9.1 million and $8.3 million in unrealized losses related to these mark-to-market adjustments.</w:t>
      </w:r>
    </w:p>
    <w:p>
      <w:pPr>
        <w:spacing w:after="0" w:line="182" w:lineRule="exact"/>
        <w:rPr>
          <w:rFonts w:ascii="Times New Roman" w:cs="Times New Roman" w:eastAsia="Times New Roman" w:hAnsi="Times New Roman"/>
          <w:sz w:val="16"/>
          <w:szCs w:val="16"/>
          <w:color w:val="auto"/>
        </w:rPr>
      </w:pPr>
    </w:p>
    <w:p>
      <w:pPr>
        <w:ind w:left="380" w:right="319" w:hanging="330"/>
        <w:spacing w:after="0" w:line="298"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non-GAAP adjustments are based on the prevailing year-to-date tax rates in each period and adjusted for any one-time discreet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593090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2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(15,636)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(19,852)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31,435</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847</w:t>
            </w:r>
          </w:p>
        </w:tc>
        <w:tc>
          <w:tcPr>
            <w:tcW w:w="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(benefit) provision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(4,682)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11,093</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11,850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(d)</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2,708</w:t>
            </w:r>
          </w:p>
        </w:tc>
        <w:tc>
          <w:tcPr>
            <w:tcW w:w="60" w:type="dxa"/>
            <w:vAlign w:val="bottom"/>
            <w:shd w:val="clear" w:color="auto" w:fill="CCEEFF"/>
          </w:tcPr>
          <w:p>
            <w:pPr>
              <w:spacing w:after="0"/>
              <w:rPr>
                <w:sz w:val="18"/>
                <w:szCs w:val="18"/>
                <w:color w:val="auto"/>
              </w:rPr>
            </w:pPr>
          </w:p>
        </w:tc>
      </w:tr>
      <w:tr>
        <w:trPr>
          <w:trHeight w:val="20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55,603</w:t>
            </w:r>
          </w:p>
        </w:tc>
        <w:tc>
          <w:tcPr>
            <w:tcW w:w="6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Non-cash net losses recognized from unconsolidated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6,375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11,944</w:t>
            </w:r>
          </w:p>
        </w:tc>
        <w:tc>
          <w:tcPr>
            <w:tcW w:w="60" w:type="dxa"/>
            <w:vAlign w:val="bottom"/>
            <w:shd w:val="clear" w:color="auto" w:fill="CCEEFF"/>
          </w:tcPr>
          <w:p>
            <w:pPr>
              <w:spacing w:after="0"/>
              <w:rPr>
                <w:sz w:val="20"/>
                <w:szCs w:val="20"/>
                <w:color w:val="auto"/>
              </w:rPr>
            </w:pPr>
          </w:p>
        </w:tc>
      </w:tr>
      <w:tr>
        <w:trPr>
          <w:trHeight w:val="198"/>
        </w:trPr>
        <w:tc>
          <w:tcPr>
            <w:tcW w:w="4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reserve for FreshRealm note receivable and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investment (b)</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37,192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Limoneira shares (f)</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8,262</w:t>
            </w:r>
          </w:p>
        </w:tc>
        <w:tc>
          <w:tcPr>
            <w:tcW w:w="60" w:type="dxa"/>
            <w:vAlign w:val="bottom"/>
            <w:shd w:val="clear" w:color="auto" w:fill="CCEEFF"/>
          </w:tcPr>
          <w:p>
            <w:pPr>
              <w:spacing w:after="0"/>
              <w:rPr>
                <w:sz w:val="18"/>
                <w:szCs w:val="18"/>
                <w:color w:val="auto"/>
              </w:rPr>
            </w:pPr>
          </w:p>
        </w:tc>
      </w:tr>
      <w:tr>
        <w:trPr>
          <w:trHeight w:val="198"/>
        </w:trPr>
        <w:tc>
          <w:tcPr>
            <w:tcW w:w="4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sale-Temecula packinghouse, net of sales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 (c)</w:t>
            </w: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 SFFI, Inc. (e)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23,085</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42,961</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74,237</w:t>
            </w:r>
          </w:p>
        </w:tc>
        <w:tc>
          <w:tcPr>
            <w:tcW w:w="6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168275</wp:posOffset>
            </wp:positionV>
            <wp:extent cx="1842770"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Calavo Growers Announces Changes to its Board of Directors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Farha Aslam to Join as Independent Director;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Egidio Carbone, Jr. and Dorcas Thille to Step Down Effective January 3, 2021</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SANTA PAULA, Calif., September 8, 2020—Calavo Growers, Inc. (Nasdaq-GS: CVGW) (“Calavo” “Company”), a global avocado-industry leader and provider of value-added fresh food, today announced the appointment of Farha Aslam to its Board of Directors, effective January 3, 2021. Aslam will serve on the Company’s Audit committee.</w:t>
      </w:r>
    </w:p>
    <w:p>
      <w:pPr>
        <w:spacing w:after="0" w:line="10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“We are very excited that Farha is joining our board of directors. Her extensive experience in the capital markets and the food industry is ideally aligned with our goals to accelerate future growth and profitability,” said J. Link Leavens, Chairman of Calavo’s Board of Directors. “Our board and management team look forward to her leadership and contributions.”</w:t>
      </w:r>
    </w:p>
    <w:p>
      <w:pPr>
        <w:spacing w:after="0" w:line="75"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Farha Aslam is Founder and Managing Partner at Crescent House Capital, an investment and strategic advisory firm that focuses on the agriculture, energy and food processing industries. Earlier, she was a Managing Director at Stephens Inc. where she led the firm’s food and agribusiness equity research team and built a top-tier research franchise that spanned the grain, ethanol, protein, and packaged food sectors. She also successfully positioned several lead-managed equity offerings and debt financings. Prior to Stephens, Aslam was a Vice President at Merrill Lynch and a Risk Management Advisor at UBS.</w:t>
      </w:r>
    </w:p>
    <w:p>
      <w:pPr>
        <w:spacing w:after="0" w:line="11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Aslam currently serves on the Boards of Directors of Pilgrims Pride, a leading poultry processor; PSSI, a company focused on food safety; and Saffron Road, a natural food producer and marketer. She is also a nonprofit board member at Developments in Literacy. A graduate of the University of California, Irvine with a BA, Economics, she also holds a Master’s of Business Administration from Columbia University.</w:t>
      </w:r>
    </w:p>
    <w:p>
      <w:pPr>
        <w:spacing w:after="0" w:line="11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Company also announced that long-standing directors Egidio “Gene” Carbone, Jr. and Dorcas Thille have decided they will not stand for re-election at Calavo’s 2021 annual meeting of shareholders.</w:t>
      </w:r>
    </w:p>
    <w:p>
      <w:pPr>
        <w:spacing w:after="0" w:line="7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“Gene and Dorcas have been outstanding members of the board for many years, and I believe their contributions will benefit our company for years to come,” said Leavens. “They have played incredibly valuable roles, helping to guide Calavo through opportunities and challenges. On behalf of the entire board, we express our sincere gratitude to Gene and Dorcas for their counsel and service.”</w:t>
      </w:r>
    </w:p>
    <w:p>
      <w:pPr>
        <w:spacing w:after="0" w:line="112"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Following these changes, Calavo’s Board will be comprised of 12 directors, seven of whom will qualify as independent directors under the independence standards of The Nasdaq Stock Market.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Calavo Growers, Inc.</w:t>
      </w:r>
    </w:p>
    <w:p>
      <w:pPr>
        <w:spacing w:after="0" w:line="13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570865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w:t>
      </w:r>
    </w:p>
    <w:p>
      <w:pPr>
        <w:spacing w:after="0" w:line="200" w:lineRule="exact"/>
        <w:rPr>
          <w:sz w:val="20"/>
          <w:szCs w:val="20"/>
          <w:color w:val="auto"/>
        </w:rPr>
      </w:pPr>
    </w:p>
    <w:p>
      <w:pPr>
        <w:spacing w:after="0" w:line="3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Profiles, Inc.</w:t>
      </w:r>
    </w:p>
    <w:p>
      <w:pPr>
        <w:spacing w:after="0"/>
        <w:rPr>
          <w:sz w:val="20"/>
          <w:szCs w:val="20"/>
          <w:color w:val="auto"/>
        </w:rPr>
      </w:pPr>
      <w:r>
        <w:rPr>
          <w:rFonts w:ascii="Times New Roman" w:cs="Times New Roman" w:eastAsia="Times New Roman" w:hAnsi="Times New Roman"/>
          <w:sz w:val="20"/>
          <w:szCs w:val="20"/>
          <w:color w:val="auto"/>
        </w:rPr>
        <w:t>Lisa Mueller, Senior Vice President</w:t>
      </w:r>
    </w:p>
    <w:p>
      <w:pPr>
        <w:ind w:right="7740" w:firstLine="8"/>
        <w:spacing w:after="0" w:line="271" w:lineRule="auto"/>
        <w:tabs>
          <w:tab w:leader="none" w:pos="47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622-8231 calavo@finprofiles.com</w:t>
      </w:r>
    </w:p>
    <w:p>
      <w:pPr>
        <w:spacing w:after="0" w:line="1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660"/>
      </w:cols>
      <w:pgMar w:left="980" w:top="659"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2020-09-08T15:23:45Z</dcterms:created>
  <dcterms:modified xsi:type="dcterms:W3CDTF">2020-09-08T15:23:45Z</dcterms:modified>
</cp:coreProperties>
</file>