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60" w:hanging="21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21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1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6" w:lineRule="exact"/>
        <w:rPr>
          <w:rFonts w:ascii="MS PGothic" w:cs="MS PGothic" w:eastAsia="MS PGothic" w:hAnsi="MS PGothic"/>
          <w:sz w:val="17"/>
          <w:szCs w:val="17"/>
          <w:color w:val="auto"/>
        </w:rPr>
      </w:pPr>
    </w:p>
    <w:p>
      <w:pPr>
        <w:ind w:left="460" w:hanging="21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41"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4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On March 10, 2021, Calavo Growers, Inc. (Calavo) issued a press release containing our financial results for the three-month period ended January 31, 2021. A copy of our press release is attached hereto as Exhibit 99.1 and is incorporated by reference herein.</w:t>
      </w:r>
    </w:p>
    <w:p>
      <w:pPr>
        <w:spacing w:after="0" w:line="184"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March 10, 2021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5715</wp:posOffset>
            </wp:positionV>
            <wp:extent cx="258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165100</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Announces First Quarter 2021 Financial Results</w:t>
      </w:r>
    </w:p>
    <w:p>
      <w:pPr>
        <w:spacing w:after="0" w:line="248" w:lineRule="exact"/>
        <w:rPr>
          <w:sz w:val="20"/>
          <w:szCs w:val="20"/>
          <w:color w:val="auto"/>
        </w:rPr>
      </w:pPr>
    </w:p>
    <w:p>
      <w:pPr>
        <w:jc w:val="both"/>
        <w:ind w:right="360"/>
        <w:spacing w:after="0" w:line="243" w:lineRule="auto"/>
        <w:rPr>
          <w:sz w:val="20"/>
          <w:szCs w:val="20"/>
          <w:color w:val="auto"/>
        </w:rPr>
      </w:pPr>
      <w:r>
        <w:rPr>
          <w:rFonts w:ascii="Arial" w:cs="Arial" w:eastAsia="Arial" w:hAnsi="Arial"/>
          <w:sz w:val="22"/>
          <w:szCs w:val="22"/>
          <w:b w:val="1"/>
          <w:bCs w:val="1"/>
          <w:color w:val="auto"/>
        </w:rPr>
        <w:t xml:space="preserve">SANTA PAULA, Calif., March 10, 2021—Calavo Growers, Inc. (Nasdaq-GS: CVGW), </w:t>
      </w:r>
      <w:r>
        <w:rPr>
          <w:rFonts w:ascii="Arial" w:cs="Arial" w:eastAsia="Arial" w:hAnsi="Arial"/>
          <w:sz w:val="22"/>
          <w:szCs w:val="22"/>
          <w:color w:val="auto"/>
        </w:rPr>
        <w:t>a global avocado-industry leader and provider of value-added fresh food, today reported its financial results for the first quarter ended January 31, 2021.</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Highlights</w:t>
      </w:r>
    </w:p>
    <w:p>
      <w:pPr>
        <w:spacing w:after="0" w:line="14" w:lineRule="exact"/>
        <w:rPr>
          <w:sz w:val="20"/>
          <w:szCs w:val="20"/>
          <w:color w:val="auto"/>
        </w:rPr>
      </w:pPr>
    </w:p>
    <w:p>
      <w:pPr>
        <w:ind w:left="660" w:right="1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revenue of $220.6 million, a 19% decrease year over year, reflecting 2% growth in avocado volume offset by lower avocado prices and lower revenue in the Renaissance Food Group (“RFG”) and Foods segments.</w:t>
      </w:r>
    </w:p>
    <w:p>
      <w:pPr>
        <w:spacing w:after="0" w:line="1" w:lineRule="exact"/>
        <w:rPr>
          <w:rFonts w:ascii="Arial" w:cs="Arial" w:eastAsia="Arial" w:hAnsi="Arial"/>
          <w:sz w:val="22"/>
          <w:szCs w:val="22"/>
          <w:color w:val="auto"/>
        </w:rPr>
      </w:pPr>
    </w:p>
    <w:p>
      <w:pPr>
        <w:ind w:left="660" w:right="1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Gross profit of $17.8 million, or 8.1% of revenue, compared to $15.8 million, or 5.8% of revenue, for the comparable period last year. The increase in gross profit margin percentage was attributable to improvements in the Fresh segment.</w:t>
      </w:r>
    </w:p>
    <w:p>
      <w:pPr>
        <w:spacing w:after="0" w:line="1" w:lineRule="exact"/>
        <w:rPr>
          <w:rFonts w:ascii="Arial" w:cs="Arial" w:eastAsia="Arial" w:hAnsi="Arial"/>
          <w:sz w:val="22"/>
          <w:szCs w:val="22"/>
          <w:color w:val="auto"/>
        </w:rPr>
      </w:pPr>
    </w:p>
    <w:p>
      <w:pPr>
        <w:ind w:left="660" w:right="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income of $5.3 million, or $0.30 per diluted share, compared to net loss of $0.9 million, or ($0.05) per diluted share for the comparable period last year. Adjusted net income was $3.0 million, or $0.17 per diluted share, compared to $0.8 million, or $0.04 per share last year.</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Adjusted EBITDA of $9.4 million, compared to $4.5 million for the same period last year.</w:t>
      </w:r>
    </w:p>
    <w:p>
      <w:pPr>
        <w:ind w:left="660" w:right="8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Renewed credit agreement adding $20 million of availability and five years to its term. The facility is now a $100 million, syndicated senior unsecured revolving credit facility (with a total facility size of $150 million when including the exercise of its $50 million accordion feature).</w:t>
      </w:r>
    </w:p>
    <w:p>
      <w:pPr>
        <w:spacing w:after="0" w:line="1" w:lineRule="exact"/>
        <w:rPr>
          <w:rFonts w:ascii="Arial" w:cs="Arial" w:eastAsia="Arial" w:hAnsi="Arial"/>
          <w:sz w:val="22"/>
          <w:szCs w:val="22"/>
          <w:color w:val="auto"/>
        </w:rPr>
      </w:pPr>
    </w:p>
    <w:p>
      <w:pPr>
        <w:jc w:val="both"/>
        <w:ind w:left="660" w:right="180" w:hanging="328"/>
        <w:spacing w:after="0" w:line="234"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Paid $1.15 per share dividend ($20.3 million in total), which is an increase of 4.5% over prior year and is the 9</w:t>
      </w:r>
      <w:r>
        <w:rPr>
          <w:rFonts w:ascii="Arial" w:cs="Arial" w:eastAsia="Arial" w:hAnsi="Arial"/>
          <w:sz w:val="16"/>
          <w:szCs w:val="16"/>
          <w:color w:val="auto"/>
        </w:rPr>
        <w:t>th</w:t>
      </w:r>
      <w:r>
        <w:rPr>
          <w:rFonts w:ascii="Arial" w:cs="Arial" w:eastAsia="Arial" w:hAnsi="Arial"/>
          <w:sz w:val="22"/>
          <w:szCs w:val="22"/>
          <w:color w:val="auto"/>
        </w:rPr>
        <w:t xml:space="preserve"> consecutive year of increasing dividends, and representing an approximate 1.5% yield to Calavo’s shareholders.</w:t>
      </w:r>
    </w:p>
    <w:p>
      <w:pPr>
        <w:spacing w:after="0" w:line="207" w:lineRule="exact"/>
        <w:rPr>
          <w:sz w:val="20"/>
          <w:szCs w:val="20"/>
          <w:color w:val="auto"/>
        </w:rPr>
      </w:pPr>
    </w:p>
    <w:p>
      <w:pPr>
        <w:ind w:right="760"/>
        <w:spacing w:after="0" w:line="257" w:lineRule="auto"/>
        <w:rPr>
          <w:sz w:val="20"/>
          <w:szCs w:val="20"/>
          <w:color w:val="auto"/>
        </w:rPr>
      </w:pPr>
      <w:r>
        <w:rPr>
          <w:rFonts w:ascii="Arial" w:cs="Arial" w:eastAsia="Arial" w:hAnsi="Arial"/>
          <w:sz w:val="22"/>
          <w:szCs w:val="22"/>
          <w:i w:val="1"/>
          <w:iCs w:val="1"/>
          <w:color w:val="auto"/>
        </w:rPr>
        <w:t>Adjusted net income and adjusted EBITDA are non-GAAP financial measures. See “Non-GAAP Financial Measures” below.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Commentary</w:t>
      </w:r>
    </w:p>
    <w:p>
      <w:pPr>
        <w:spacing w:after="0" w:line="14" w:lineRule="exact"/>
        <w:rPr>
          <w:sz w:val="20"/>
          <w:szCs w:val="20"/>
          <w:color w:val="auto"/>
        </w:rPr>
      </w:pPr>
    </w:p>
    <w:p>
      <w:pPr>
        <w:jc w:val="both"/>
        <w:ind w:right="360"/>
        <w:spacing w:after="0" w:line="233" w:lineRule="auto"/>
        <w:rPr>
          <w:sz w:val="20"/>
          <w:szCs w:val="20"/>
          <w:color w:val="auto"/>
        </w:rPr>
      </w:pPr>
      <w:r>
        <w:rPr>
          <w:rFonts w:ascii="Arial" w:cs="Arial" w:eastAsia="Arial" w:hAnsi="Arial"/>
          <w:sz w:val="22"/>
          <w:szCs w:val="22"/>
          <w:color w:val="auto"/>
        </w:rPr>
        <w:t>“Our first quarter results reflect a continuation of trends that we experienced in the fourth quarter of last year,” said James E. Gibson, CEO of Calavo Growers. “Market demand for avocados is increasing, albeit at a slower pace due to the pandemic, and supply remains plentiful, given the strong crop out of Mexico. These dynamics weighed on prices, which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4" w:name="page5"/>
    <w:bookmarkEnd w:id="4"/>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2 of 13</w:t>
      </w:r>
    </w:p>
    <w:p>
      <w:pPr>
        <w:spacing w:after="0" w:line="21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average, were down 14% year-over-year. However, we delivered higher avocado gross margins in the quarter, as we did a good job of managing our pricing spread and sales mix.</w:t>
      </w:r>
    </w:p>
    <w:p>
      <w:pPr>
        <w:spacing w:after="0" w:line="202" w:lineRule="exact"/>
        <w:rPr>
          <w:sz w:val="20"/>
          <w:szCs w:val="20"/>
          <w:color w:val="auto"/>
        </w:rPr>
      </w:pPr>
    </w:p>
    <w:p>
      <w:pPr>
        <w:jc w:val="both"/>
        <w:ind w:right="220"/>
        <w:spacing w:after="0" w:line="282" w:lineRule="auto"/>
        <w:rPr>
          <w:sz w:val="20"/>
          <w:szCs w:val="20"/>
          <w:color w:val="auto"/>
        </w:rPr>
      </w:pPr>
      <w:r>
        <w:rPr>
          <w:rFonts w:ascii="Arial" w:cs="Arial" w:eastAsia="Arial" w:hAnsi="Arial"/>
          <w:sz w:val="19"/>
          <w:szCs w:val="19"/>
          <w:color w:val="auto"/>
        </w:rPr>
        <w:t>“Our RFG segment was impacted by a number of factors, including industry-wide delivery delays at most U.S. ports due to the implementation of additional safety measures related to the pandemic, which caused increased spoilage of fresh fruit and vegetables. In addition, we continued to be impacted comparatively by the closure in April 2020 of our Midwest co-packing partner. Our Foods segment continued to be adversely affected by lower foodservice demand resulting from the pandemic, offset slightly by favorable input commodity prices.</w:t>
      </w:r>
    </w:p>
    <w:p>
      <w:pPr>
        <w:spacing w:after="0" w:line="174"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“We are optimistic about the remainder of 2021, particularly the second half. While the pandemic is still having a substantial impact on many of our foodservice customers, we believe that they will be able to bridge from this challenging environment to what we anticipate will be a strong economic rebound once we as a country achieve widespread vaccination and herd immunity. In the meantime, we are moving ahead with the implementation of our strategic initiatives designed to enhance our long-term growth prospects, capitalizing on opportunities to increase operating leverage, further our sustainability initiatives, and realize synergies across our entire organization, with the goal of improving profitability, sustainability, and shareholder value,” concluded Gibson.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2021 Consolidated Financial Review</w:t>
      </w:r>
    </w:p>
    <w:p>
      <w:pPr>
        <w:spacing w:after="0" w:line="1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Total revenue for the first quarter of 2021 was $220.6 million compared to $273.3 million for the first quarter of 2020, representing a 19% decrease. While avocado volumes were higher, increasing 2% over the prior-year period, total revenue was impacted by the lower average selling price of avocados in the Company’s Fresh segment, reflecting increased supply from Mexico, and lower sales volumes in the RFG and Foods segments as a result of the closure of RFG’s Midwest co-packing partner in April 2020 and the prolonged COVID-19 pandemic.</w:t>
      </w:r>
    </w:p>
    <w:p>
      <w:pPr>
        <w:spacing w:after="0" w:line="179"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Gross profit for the first quarter was $17.8 million, or 8.1% of revenue, compared to $15.8 million, or 5.8% of revenue, for the same period last year. The increase in gross profit margin percentage was attributable to improvements in the Fresh segment, partially offset by lower gross profit margin percentages in the RFG and Foods segments.</w:t>
      </w:r>
    </w:p>
    <w:p>
      <w:pPr>
        <w:spacing w:after="0" w:line="21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Selling, general and administrative (SG&amp;A) expense for the first quarter totaled $14.2 million, or 6.4% of revenue, compared to $16.3 million, or 6.0% of revenue, for the same period last year. The decline in SG&amp;A expense was primarily due to a decrease in salary and benefit expense as a result of our consolidation initiatives.</w:t>
      </w:r>
    </w:p>
    <w:p>
      <w:pPr>
        <w:spacing w:after="0" w:line="161"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Net income for the first quarter of 2021 was $5.3 million, or $0.30 per diluted share. This compares to net loss of $0.9 million, or $(0.05) per diluted share,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775970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58" w:right="1059" w:bottom="1440" w:gutter="0" w:footer="0" w:header="0"/>
        </w:sectPr>
      </w:pPr>
    </w:p>
    <w:bookmarkStart w:id="5" w:name="page6"/>
    <w:bookmarkEnd w:id="5"/>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3 of 13</w:t>
      </w:r>
    </w:p>
    <w:p>
      <w:pPr>
        <w:spacing w:after="0" w:line="215" w:lineRule="exact"/>
        <w:rPr>
          <w:sz w:val="20"/>
          <w:szCs w:val="20"/>
          <w:color w:val="auto"/>
        </w:rPr>
      </w:pPr>
    </w:p>
    <w:p>
      <w:pPr>
        <w:jc w:val="both"/>
        <w:ind w:right="100"/>
        <w:spacing w:after="0" w:line="234" w:lineRule="auto"/>
        <w:rPr>
          <w:sz w:val="20"/>
          <w:szCs w:val="20"/>
          <w:color w:val="auto"/>
        </w:rPr>
      </w:pPr>
      <w:r>
        <w:rPr>
          <w:rFonts w:ascii="Arial" w:cs="Arial" w:eastAsia="Arial" w:hAnsi="Arial"/>
          <w:sz w:val="22"/>
          <w:szCs w:val="22"/>
          <w:color w:val="auto"/>
        </w:rPr>
        <w:t>Adjusted net income, which is a non-GAAP measure that excludes certain items such as non-cash gains or losses from unconsolidated subsidiaries and unrealized gains/losses on Limoneira shares, was $3.0 million, or $0.17 per diluted share, for the first quarter of 2021, compared to adjusted net income of $0.8 million, or $0.04 per diluted share, for the same period last year.</w:t>
      </w:r>
    </w:p>
    <w:p>
      <w:pPr>
        <w:spacing w:after="0" w:line="3" w:lineRule="exact"/>
        <w:rPr>
          <w:sz w:val="20"/>
          <w:szCs w:val="20"/>
          <w:color w:val="auto"/>
        </w:rPr>
      </w:pPr>
    </w:p>
    <w:p>
      <w:pPr>
        <w:ind w:right="640"/>
        <w:spacing w:after="0" w:line="236" w:lineRule="auto"/>
        <w:rPr>
          <w:sz w:val="20"/>
          <w:szCs w:val="20"/>
          <w:color w:val="auto"/>
        </w:rPr>
      </w:pPr>
      <w:r>
        <w:rPr>
          <w:rFonts w:ascii="Arial" w:cs="Arial" w:eastAsia="Arial" w:hAnsi="Arial"/>
          <w:sz w:val="22"/>
          <w:szCs w:val="22"/>
          <w:color w:val="auto"/>
        </w:rPr>
        <w:t>Adjusted EBITDA, which is a non-GAAP financial measure, was $9.4 million for the first quarter of 2021, compared to $4.5 million for the same period last year.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and Liquidity</w:t>
      </w:r>
    </w:p>
    <w:p>
      <w:pPr>
        <w:spacing w:after="0" w:line="1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During the first quarter, the Company entered into an amendment to its existing credit facility, which, among other things, increased the size of the revolving commitment by $20 million to $100 million (for a total facility size of $150 million with the accordion, which is up from a total facility size of $130 million) and extended the maturity of the agreement by five years to 2026.</w:t>
      </w:r>
    </w:p>
    <w:p>
      <w:pPr>
        <w:spacing w:after="0" w:line="215"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Total liquidity at quarter end was approximately $148 million, including cash, investments, and borrowings available under its line of credit.</w:t>
      </w:r>
    </w:p>
    <w:p>
      <w:pPr>
        <w:spacing w:after="0" w:line="202"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The Company ended the quarter with $44.6 million of total debt, which included $37.2 million in borrowings under the line of credit and $7.4 million of long-term obligations and finance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Business Segment Performance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Fresh</w:t>
      </w:r>
    </w:p>
    <w:p>
      <w:pPr>
        <w:ind w:right="40"/>
        <w:spacing w:after="0" w:line="272" w:lineRule="auto"/>
        <w:rPr>
          <w:sz w:val="20"/>
          <w:szCs w:val="20"/>
          <w:color w:val="auto"/>
        </w:rPr>
      </w:pPr>
      <w:r>
        <w:rPr>
          <w:rFonts w:ascii="Arial" w:cs="Arial" w:eastAsia="Arial" w:hAnsi="Arial"/>
          <w:sz w:val="19"/>
          <w:szCs w:val="19"/>
          <w:color w:val="auto"/>
        </w:rPr>
        <w:t>First quarter 2021 sales in Calavo’s Fresh business segment decreased 13% to $115.5 million from $133.2 million in the same period last year. Avocado imports from Mexico negatively impacted the average selling price of avocados, which was down 14% from the same period last year. Lower selling prices were offset by increased sales volume, which improved 2% from the year-ago period. Fresh segment gross profit for the first quarter of 2021 was $13.1 million, or 11.4% of segment sales, compared to $6.6 million, or 4.9% of segment sales, for the same period last year. The increase in gross profit was primarily due to better management of the pricing spread and sales mix to customers. The Company’s gross profit per carton for avocados was in line with historical averages and higher than the year-ago quarter, which was impacted by poor fruit quality across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Renaissance Food Group (RFG)</w:t>
      </w:r>
    </w:p>
    <w:p>
      <w:pPr>
        <w:spacing w:after="0" w:line="8"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RFG business segment sales in the first quarter 2021 were $90.3 million, down 25% from $120.9 million in the same period last year. The decline in sales was principally due to the previously announced closure of the Company’s Midwest co-packing partner in April 2020. Segment gross profit was approximately breakeven compared to a gross profit of $2.9 million, or 2.4% of segment sales in the same period last year. Gross margin was adversely impacted by higher labor costs and supply chain disruptions resulting from major port delays, combined with 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8" w:right="1019" w:bottom="1440" w:gutter="0" w:footer="0" w:header="0"/>
        </w:sectPr>
      </w:pPr>
    </w:p>
    <w:bookmarkStart w:id="6" w:name="page7"/>
    <w:bookmarkEnd w:id="6"/>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4 of 13</w:t>
      </w:r>
    </w:p>
    <w:p>
      <w:pPr>
        <w:spacing w:after="0" w:line="215"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quality and yield due to weather events in Florida and Central America. In addition, lower overall volumes negatively impacted the gross margin due to unabsorbed overhead.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Foods</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Sales in the Foods business segment totaled $16.5 million in the first quarter, down 20% from $20.5 million in the same period last year due to lower demand from foodservice customers during the prolonged pandemic. Segment gross profit was $4.7 million, or 28.7% of sales, compared to $6.4 million, or 31.0% of sales, in the same period last year. The year-over-year decrease in gross profit was primarily due to the lower foodservice volumes, partially offset by a decrease in avocado costs.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Company is providing the following expectations for the second fiscal quarter of 2021:</w:t>
      </w:r>
    </w:p>
    <w:p>
      <w:pPr>
        <w:spacing w:after="0" w:line="21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Revenue in a range of $255 million to $275 million;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Adjusted EBITDA in a range of $14 million to $18 million.</w:t>
      </w:r>
    </w:p>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Company is not able to provide a reconciliation of expected adjusted EBITDA to the most directly comparable expected GAAP measure due to the unknown effect, timing and potential significance of the effects of non-cash income and losses associated with unconsolidated entities, among others. These items have in the past, and may in the future, significantly affect GAAP results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This press release includes non-GAAP measures such as EBITDA, adjusted EBITDA, adjusted net income and adjusted diluted EPS, which are not prepared in accordance with U.S. generally accepted accounting principles, or “GAAP.”</w:t>
      </w:r>
    </w:p>
    <w:p>
      <w:pPr>
        <w:spacing w:after="0" w:line="120"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w:t>
      </w:r>
    </w:p>
    <w:p>
      <w:pPr>
        <w:spacing w:after="0" w:line="3" w:lineRule="exact"/>
        <w:rPr>
          <w:sz w:val="20"/>
          <w:szCs w:val="20"/>
          <w:color w:val="auto"/>
        </w:rPr>
      </w:pPr>
    </w:p>
    <w:p>
      <w:pPr>
        <w:ind w:firstLine="8"/>
        <w:spacing w:after="0" w:line="232"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restructuring and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716280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7" w:name="page8"/>
    <w:bookmarkEnd w:id="7"/>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5 of 13</w:t>
      </w:r>
    </w:p>
    <w:p>
      <w:pPr>
        <w:spacing w:after="0" w:line="21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Adjusted net income is defined as net income (loss) attributable to Calavo Growers, Inc. excluding (1) non-cash net losses recognized from unconsolidated entities, (2) goodwill impairment, (3) write-off of long-lived assets, (4) 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 Additionally, the Company’s senior management is compensated in part on the basis of Adjusted Net Income.</w:t>
      </w:r>
    </w:p>
    <w:p>
      <w:pPr>
        <w:spacing w:after="0" w:line="91"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Reconciliations of non-GAAP financial measures to the most directly comparable GAAP financial measures are provided in the financial tables that accompany this release.</w:t>
      </w:r>
    </w:p>
    <w:p>
      <w:pPr>
        <w:spacing w:after="0" w:line="94"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66"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w:t>
      </w:r>
    </w:p>
    <w:p>
      <w:pPr>
        <w:spacing w:after="0" w:line="14"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Calavo will host a conference call, today at 5:00 pm ET/2:00 pm PT to discuss its financial results. The conference call may be accessed by dialing 877-407-3982 (Domestic) or 201-493-6780 (International) with conference ID: 13716483. A live audio webcast of the call will also be available on the Investor Relations section of Calavo’s website at http://ir.calavo.com and will be archived for replay.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Calavo Growers, Inc.</w:t>
      </w:r>
    </w:p>
    <w:p>
      <w:pPr>
        <w:spacing w:after="0" w:line="14"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8" w:name="page9"/>
    <w:bookmarkEnd w:id="8"/>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6 of 13</w:t>
      </w:r>
    </w:p>
    <w:p>
      <w:pPr>
        <w:spacing w:after="0" w:line="215"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respected Calavo brand name as well as Garden Highway, Chef Essentials and a variety of private label and store brands.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impact on our food service customers, increased costs that we must incur as a result of COVID-19, the impact of governmental trade restrictions imposed as a result of COVID-19 and the possible adverse impact of COVID-19 on our goodwill and other intangible assets;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new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854075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58" w:right="1039" w:bottom="1440" w:gutter="0" w:footer="0" w:header="0"/>
        </w:sectPr>
      </w:pPr>
    </w:p>
    <w:bookmarkStart w:id="9" w:name="page10"/>
    <w:bookmarkEnd w:id="9"/>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7 of 13</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FreshRealm; volatility in the value of our common stock; the impact of macroeconomic trends and events; and the resolution of pending investigations, legal claims and tax disputes.</w:t>
      </w:r>
    </w:p>
    <w:p>
      <w:pPr>
        <w:spacing w:after="0" w:line="107" w:lineRule="exact"/>
        <w:rPr>
          <w:sz w:val="20"/>
          <w:szCs w:val="20"/>
          <w:color w:val="auto"/>
        </w:rPr>
      </w:pPr>
    </w:p>
    <w:p>
      <w:pPr>
        <w:jc w:val="both"/>
        <w:ind w:right="40"/>
        <w:spacing w:after="0" w:line="279" w:lineRule="auto"/>
        <w:rPr>
          <w:sz w:val="20"/>
          <w:szCs w:val="20"/>
          <w:color w:val="auto"/>
        </w:rPr>
      </w:pPr>
      <w:r>
        <w:rPr>
          <w:rFonts w:ascii="Arial" w:cs="Arial" w:eastAsia="Arial" w:hAnsi="Arial"/>
          <w:sz w:val="19"/>
          <w:szCs w:val="19"/>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Contact: Financial Profiles, Inc.</w:t>
      </w:r>
    </w:p>
    <w:p>
      <w:pPr>
        <w:spacing w:after="0" w:line="238" w:lineRule="auto"/>
        <w:rPr>
          <w:sz w:val="20"/>
          <w:szCs w:val="20"/>
          <w:color w:val="auto"/>
        </w:rPr>
      </w:pPr>
      <w:r>
        <w:rPr>
          <w:rFonts w:ascii="Arial" w:cs="Arial" w:eastAsia="Arial" w:hAnsi="Arial"/>
          <w:sz w:val="22"/>
          <w:szCs w:val="22"/>
          <w:color w:val="auto"/>
        </w:rPr>
        <w:t>Lisa Mueller, Senior Vice President</w:t>
      </w:r>
    </w:p>
    <w:p>
      <w:pPr>
        <w:spacing w:after="0" w:line="230" w:lineRule="auto"/>
        <w:rPr>
          <w:sz w:val="20"/>
          <w:szCs w:val="20"/>
          <w:color w:val="auto"/>
        </w:rPr>
      </w:pPr>
      <w:r>
        <w:rPr>
          <w:rFonts w:ascii="Arial" w:cs="Arial" w:eastAsia="Arial" w:hAnsi="Arial"/>
          <w:sz w:val="22"/>
          <w:szCs w:val="22"/>
          <w:color w:val="auto"/>
        </w:rPr>
        <w:t>310-622-8231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58" w:right="1039" w:bottom="1440" w:gutter="0" w:footer="0" w:header="0"/>
        </w:sectPr>
      </w:pPr>
    </w:p>
    <w:bookmarkStart w:id="10" w:name="page11"/>
    <w:bookmarkEnd w:id="10"/>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8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CONDENSED BALANCE SHEETS (UNAUDITED)</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Accounts receivable, net of allowances of $3,791 (2021) and $3,498 (2020)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 receivable</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131,888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Intangibles,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446,452</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429,624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Borrowings pursuant to credit facilities, current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payable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Current portion of operating leases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obligations and finance leases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Borrowings pursuant to credit facilities, long-term</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leases, less current portion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Long-term obligations and finance leases, less current portion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103,589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Shareholders' 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446,452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8" w:right="999" w:bottom="1440" w:gutter="0" w:footer="0" w:header="0"/>
        </w:sectPr>
      </w:pPr>
    </w:p>
    <w:bookmarkStart w:id="11" w:name="page12"/>
    <w:bookmarkEnd w:id="11"/>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9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CONDENSED STATEMENTS OF OPERATIONS (UNAUDITED)</w:t>
      </w: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257,540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 net</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on Limoneira shares</w:t>
            </w:r>
          </w:p>
        </w:tc>
        <w:tc>
          <w:tcPr>
            <w:tcW w:w="1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before income taxes and loss from unconsolidated entities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 from unconsolidated entities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17,599</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8" w:right="999" w:bottom="1440" w:gutter="0" w:footer="0" w:header="0"/>
        </w:sectPr>
      </w:pPr>
    </w:p>
    <w:bookmarkStart w:id="12" w:name="page13"/>
    <w:bookmarkEnd w:id="12"/>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10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 SALES AND GROSS PROFIT BY BUSINESS SEGMENT (UNAUDITED)</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Calavo</w:t>
            </w: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Interco.</w:t>
            </w:r>
          </w:p>
        </w:tc>
        <w:tc>
          <w:tcPr>
            <w:tcW w:w="140" w:type="dxa"/>
            <w:vAlign w:val="bottom"/>
          </w:tcPr>
          <w:p>
            <w:pPr>
              <w:spacing w:after="0"/>
              <w:rPr>
                <w:sz w:val="14"/>
                <w:szCs w:val="14"/>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w w:val="86"/>
              </w:rPr>
              <w:t>products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Foods</w:t>
            </w: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Elimins.</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2021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115,459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90,306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16,458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220,578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202,739</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Three months ended January 31, 2020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133,189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126,607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118,059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257,540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For the three months ended January 31, 2021 and 2020, intercompany sales and cost of sales of $0.5 million and $0.3 million between Fresh products and RFG were eliminated. For the three months ended January 31, 2021 and 2020, intercompany sales and cost of sales of $1.1 million and $0.9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3" w:name="page14"/>
    <w:bookmarkEnd w:id="13"/>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11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ADJUSTED NET INCOME AND EPS (UNAUDITED)</w:t>
      </w: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02"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Income from FreshRealm Recovery (b)</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(c)</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Net gain on Limoneira shares (d)</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RFG rent expense add back (e)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Professional expenses related to FreshRealm</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(f)</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9"/>
        </w:trPr>
        <w:tc>
          <w:tcPr>
            <w:tcW w:w="6080" w:type="dxa"/>
            <w:vAlign w:val="bottom"/>
            <w:gridSpan w:val="3"/>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7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Calavo Growers, Inc.’s net income (loss) per share: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19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Adjusted Diluted EPS</w:t>
            </w:r>
          </w:p>
        </w:tc>
        <w:tc>
          <w:tcPr>
            <w:tcW w:w="17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gridSpan w:val="3"/>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200" w:hanging="332"/>
        <w:spacing w:after="0" w:line="287"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For the three months ended January 31, 2020, FreshRealm incurred losses totaling $9.3 million, of which we recorded $3.5 million of non-cash losses during the first quarter of fiscal 2020. For the three months ended January 31, 2021, we incurred losses from Agricola Don Memo totaling $0.2 million. For the three months ended January 31, 2020, we realized income from Agricola Don Memo totaling $0.5 million.</w:t>
      </w:r>
    </w:p>
    <w:p>
      <w:pPr>
        <w:spacing w:after="0" w:line="142" w:lineRule="exact"/>
        <w:rPr>
          <w:rFonts w:ascii="Arial" w:cs="Arial" w:eastAsia="Arial" w:hAnsi="Arial"/>
          <w:sz w:val="19"/>
          <w:szCs w:val="19"/>
          <w:color w:val="auto"/>
        </w:rPr>
      </w:pPr>
    </w:p>
    <w:p>
      <w:pPr>
        <w:ind w:left="340" w:right="1000" w:hanging="332"/>
        <w:spacing w:after="0" w:line="250"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As part of the FreshRealm Separation Agreement, we received $0.1 million for previously reserved receivables.</w:t>
      </w:r>
    </w:p>
    <w:p>
      <w:pPr>
        <w:spacing w:after="0" w:line="174" w:lineRule="exact"/>
        <w:rPr>
          <w:rFonts w:ascii="Arial" w:cs="Arial" w:eastAsia="Arial" w:hAnsi="Arial"/>
          <w:sz w:val="22"/>
          <w:szCs w:val="22"/>
          <w:color w:val="auto"/>
        </w:rPr>
      </w:pPr>
    </w:p>
    <w:p>
      <w:pPr>
        <w:ind w:left="340" w:right="220" w:hanging="332"/>
        <w:spacing w:after="0" w:line="257" w:lineRule="auto"/>
        <w:tabs>
          <w:tab w:leader="none" w:pos="340" w:val="left"/>
        </w:tabs>
        <w:numPr>
          <w:ilvl w:val="0"/>
          <w:numId w:val="6"/>
        </w:numPr>
        <w:rPr>
          <w:rFonts w:ascii="Arial" w:cs="Arial" w:eastAsia="Arial" w:hAnsi="Arial"/>
          <w:sz w:val="21"/>
          <w:szCs w:val="21"/>
          <w:color w:val="auto"/>
        </w:rPr>
      </w:pPr>
      <w:r>
        <w:rPr>
          <w:rFonts w:ascii="Arial" w:cs="Arial" w:eastAsia="Arial" w:hAnsi="Arial"/>
          <w:sz w:val="21"/>
          <w:szCs w:val="21"/>
          <w:color w:val="auto"/>
        </w:rPr>
        <w:t>In the first quarter of 2021, these are professional service costs related to a considered and subsequently cancelled acquisition. In the first quarter of 2020, we incurred transaction expenses related to the acquisition of SFFI Company, Inc. doing business as Simply Fresh Fruit.</w:t>
      </w:r>
    </w:p>
    <w:p>
      <w:pPr>
        <w:spacing w:after="0" w:line="169" w:lineRule="exact"/>
        <w:rPr>
          <w:rFonts w:ascii="Arial" w:cs="Arial" w:eastAsia="Arial" w:hAnsi="Arial"/>
          <w:sz w:val="21"/>
          <w:szCs w:val="21"/>
          <w:color w:val="auto"/>
        </w:rPr>
      </w:pPr>
    </w:p>
    <w:p>
      <w:pPr>
        <w:ind w:left="340" w:right="860" w:hanging="332"/>
        <w:spacing w:after="0" w:line="250"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 the three months ended January 31, 2021 and 2020, we recorded $3.6 million and $1.0 million in unrealized gains related to these mark-to-market adjustments.</w:t>
      </w:r>
    </w:p>
    <w:p>
      <w:pPr>
        <w:spacing w:after="0" w:line="174" w:lineRule="exact"/>
        <w:rPr>
          <w:rFonts w:ascii="Arial" w:cs="Arial" w:eastAsia="Arial" w:hAnsi="Arial"/>
          <w:sz w:val="22"/>
          <w:szCs w:val="22"/>
          <w:color w:val="auto"/>
        </w:rPr>
      </w:pPr>
    </w:p>
    <w:p>
      <w:pPr>
        <w:ind w:left="340" w:right="120" w:hanging="332"/>
        <w:spacing w:after="0" w:line="250"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 the three months ended January 31, 2021, we incurred $0.1 million related to rent paid for RFG corporate office space that we have vacated and plan to sublease.</w:t>
      </w:r>
    </w:p>
    <w:p>
      <w:pPr>
        <w:spacing w:after="0" w:line="174" w:lineRule="exact"/>
        <w:rPr>
          <w:rFonts w:ascii="Arial" w:cs="Arial" w:eastAsia="Arial" w:hAnsi="Arial"/>
          <w:sz w:val="22"/>
          <w:szCs w:val="22"/>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Tax impact of non-GAAP adjustments are based on the prevailing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4" w:name="page15"/>
    <w:bookmarkEnd w:id="14"/>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12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EBITDA AND ADJUSTED EBITDA (UNAUDITED)</w:t>
      </w: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Limoneira shares (d)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Income from FreshRealm recovery (b)</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RFG rent expense add back (e)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(c)</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0"/>
        </w:trPr>
        <w:tc>
          <w:tcPr>
            <w:tcW w:w="786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diluted share</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753110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 w:name="page16"/>
    <w:bookmarkEnd w:id="15"/>
    <w:p>
      <w:pPr>
        <w:spacing w:after="0"/>
        <w:rPr>
          <w:sz w:val="20"/>
          <w:szCs w:val="20"/>
          <w:color w:val="auto"/>
        </w:rPr>
      </w:pPr>
      <w:r>
        <w:rPr>
          <w:rFonts w:ascii="Arial" w:cs="Arial" w:eastAsia="Arial" w:hAnsi="Arial"/>
          <w:sz w:val="22"/>
          <w:szCs w:val="22"/>
          <w:i w:val="1"/>
          <w:iCs w:val="1"/>
          <w:color w:val="auto"/>
        </w:rPr>
        <w:t>Calavo Growers,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Page 13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OTHER INFORMATION (UNAUDITED)</w:t>
      </w:r>
    </w:p>
    <w:p>
      <w:pPr>
        <w:ind w:left="3040"/>
        <w:spacing w:after="0"/>
        <w:rPr>
          <w:sz w:val="20"/>
          <w:szCs w:val="20"/>
          <w:color w:val="auto"/>
        </w:rPr>
      </w:pPr>
      <w:r>
        <w:rPr>
          <w:rFonts w:ascii="Arial" w:cs="Arial" w:eastAsia="Arial" w:hAnsi="Arial"/>
          <w:sz w:val="22"/>
          <w:szCs w:val="22"/>
          <w:b w:val="1"/>
          <w:bCs w:val="1"/>
          <w:color w:val="auto"/>
        </w:rPr>
        <w:t>(in thousands, except per pound amounts)</w:t>
      </w:r>
    </w:p>
    <w:p>
      <w:pPr>
        <w:spacing w:after="0" w:line="200"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63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Pounds of avocados sold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97,388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95,632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Pounds of processed avocado products sold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6,951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avocados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Gross profit per pound - avocados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processed avocado products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Gross profit per pound – processed avocado products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978"/>
        </w:trPr>
        <w:tc>
          <w:tcPr>
            <w:tcW w:w="6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5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2021-03-10T15:11:34Z</dcterms:created>
  <dcterms:modified xsi:type="dcterms:W3CDTF">2021-03-10T15:11:34Z</dcterms:modified>
</cp:coreProperties>
</file>