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cvgw-20240909x8k.htm"/>
      <w:bookmarkStart w:id="1" w:name="kscvgw20240909x8k"/>
      <w:bookmarkEnd w:id="0"/>
      <w:bookmarkEnd w:id="1"/>
      <w:r>
        <w:rPr/>
        <w:t>​</w:t>
      </w:r>
    </w:p>
    <w:p>
      <w:pPr>
        <w:pStyle w:val="TextBody"/>
        <w:bidi w:val="0"/>
        <w:spacing w:before="0" w:after="240"/>
        <w:ind w:left="0" w:right="0" w:hanging="0"/>
        <w:jc w:val="center"/>
        <w:rPr/>
      </w:pPr>
      <w:bookmarkStart w:id="2" w:name="_7d390eb2_4185_4de4_ba6d_9b243e6ab1e1"/>
      <w:bookmarkEnd w:id="2"/>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UNITED STATES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CURRENT REPORT PURSUANT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 SECTION 13 OR 15(d) OF THE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SECURITIES EXCHANGE ACT OF 1934</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September 9, 2024</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CALAVO GROWERS,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Uj9JYgcdlU-8EZLVpuLIMw_2_4"/>
      <w:bookmarkStart w:id="4" w:name="Tc_Y_sXPwaYCU-2Qss66ZEQXQ_2_2"/>
      <w:bookmarkStart w:id="5" w:name="Tc_G0teGAE7mkifz0SQ2Lh1Bw_2_0"/>
      <w:bookmarkStart w:id="6" w:name="_7d263127_f640_4003_8520_0d02290d9123"/>
      <w:bookmarkStart w:id="7" w:name="Tc_Uj9JYgcdlU-8EZLVpuLIMw_2_4"/>
      <w:bookmarkStart w:id="8" w:name="Tc_Y_sXPwaYCU-2Qss66ZEQXQ_2_2"/>
      <w:bookmarkStart w:id="9" w:name="Tc_G0teGAE7mkifz0SQ2Lh1Bw_2_0"/>
      <w:bookmarkStart w:id="10" w:name="_7d263127_f640_4003_8520_0d02290d9123"/>
      <w:bookmarkEnd w:id="7"/>
      <w:bookmarkEnd w:id="8"/>
      <w:bookmarkEnd w:id="9"/>
      <w:bookmarkEnd w:id="10"/>
    </w:p>
    <w:tbl>
      <w:tblPr>
        <w:tblW w:w="6985" w:type="dxa"/>
        <w:jc w:val="left"/>
        <w:tblInd w:w="0" w:type="dxa"/>
        <w:tblLayout w:type="fixed"/>
        <w:tblCellMar>
          <w:top w:w="0" w:type="dxa"/>
          <w:left w:w="0" w:type="dxa"/>
          <w:bottom w:w="0" w:type="dxa"/>
          <w:right w:w="0" w:type="dxa"/>
        </w:tblCellMar>
      </w:tblPr>
      <w:tblGrid>
        <w:gridCol w:w="2506"/>
        <w:gridCol w:w="266"/>
        <w:gridCol w:w="2296"/>
        <w:gridCol w:w="266"/>
        <w:gridCol w:w="1651"/>
      </w:tblGrid>
      <w:tr>
        <w:trPr/>
        <w:tc>
          <w:tcPr>
            <w:tcW w:w="25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California</w:t>
            </w:r>
          </w:p>
        </w:tc>
        <w:tc>
          <w:tcPr>
            <w:tcW w:w="266" w:type="dxa"/>
            <w:tcBorders/>
            <w:vAlign w:val="center"/>
          </w:tcPr>
          <w:p>
            <w:pPr>
              <w:pStyle w:val="TableContents"/>
              <w:bidi w:val="0"/>
              <w:spacing w:before="0" w:after="0"/>
              <w:ind w:left="0" w:right="0" w:hanging="0"/>
              <w:jc w:val="center"/>
              <w:rPr/>
            </w:pPr>
            <w:r>
              <w:rPr/>
              <w:t>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000-33385</w:t>
            </w:r>
          </w:p>
        </w:tc>
        <w:tc>
          <w:tcPr>
            <w:tcW w:w="266" w:type="dxa"/>
            <w:tcBorders/>
            <w:vAlign w:val="center"/>
          </w:tcPr>
          <w:p>
            <w:pPr>
              <w:pStyle w:val="TableContents"/>
              <w:bidi w:val="0"/>
              <w:spacing w:before="0" w:after="0"/>
              <w:ind w:left="0" w:right="0" w:hanging="0"/>
              <w:jc w:val="center"/>
              <w:rPr/>
            </w:pPr>
            <w:r>
              <w:rPr/>
              <w:t>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33-0945304</w:t>
            </w:r>
          </w:p>
        </w:tc>
      </w:tr>
      <w:tr>
        <w:trPr/>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w:t>
              <w:br/>
              <w:t>Jurisdiction of Incorporation)</w:t>
            </w:r>
          </w:p>
        </w:tc>
        <w:tc>
          <w:tcPr>
            <w:tcW w:w="266" w:type="dxa"/>
            <w:tcBorders/>
            <w:vAlign w:val="center"/>
          </w:tcPr>
          <w:p>
            <w:pPr>
              <w:pStyle w:val="TableContents"/>
              <w:bidi w:val="0"/>
              <w:spacing w:before="0" w:after="0"/>
              <w:ind w:left="0" w:right="0" w:hanging="0"/>
              <w:jc w:val="left"/>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66" w:type="dxa"/>
            <w:tcBorders/>
            <w:vAlign w:val="center"/>
          </w:tcPr>
          <w:p>
            <w:pPr>
              <w:pStyle w:val="TableContents"/>
              <w:bidi w:val="0"/>
              <w:spacing w:before="0" w:after="0"/>
              <w:ind w:left="0" w:right="0" w:hanging="0"/>
              <w:jc w:val="center"/>
              <w:rPr/>
            </w:pPr>
            <w:r>
              <w:rPr/>
              <w:t>​</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1141-A Cummings Road, Santa Paula, California</w:t>
      </w:r>
      <w:r>
        <w:rPr>
          <w:rFonts w:ascii="Times New Roman;Times;serif" w:hAnsi="Times New Roman;Times;serif"/>
          <w:sz w:val="20"/>
        </w:rPr>
        <w:t xml:space="preserve"> </w:t>
      </w:r>
      <w:r>
        <w:rPr>
          <w:rFonts w:ascii="Times New Roman;Times;serif" w:hAnsi="Times New Roman;Times;serif"/>
          <w:b/>
          <w:sz w:val="20"/>
        </w:rPr>
        <w:t>93060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(805) 525-1245</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left"/>
        <w:rPr/>
      </w:pPr>
      <w:r>
        <w:rPr/>
        <w:t>     ☐  </w:t>
      </w:r>
      <w:r>
        <w:rPr>
          <w:rFonts w:ascii="Times New Roman;Times;serif" w:hAnsi="Times New Roman;Times;serif"/>
          <w:sz w:val="20"/>
        </w:rPr>
        <w:t>Written communications pursuant to Rule 425 under the Securities Act (17 CFR 230.425)</w:t>
      </w:r>
    </w:p>
    <w:p>
      <w:pPr>
        <w:pStyle w:val="TextBody"/>
        <w:bidi w:val="0"/>
        <w:spacing w:before="0" w:after="120"/>
        <w:ind w:left="0" w:right="0" w:hanging="0"/>
        <w:jc w:val="left"/>
        <w:rPr/>
      </w:pPr>
      <w:r>
        <w:rPr/>
        <w:t>     ☐  </w:t>
      </w:r>
      <w:r>
        <w:rPr>
          <w:rFonts w:ascii="Times New Roman;Times;serif" w:hAnsi="Times New Roman;Times;serif"/>
          <w:sz w:val="20"/>
        </w:rPr>
        <w:t>Soliciting material pursuant to Rule 14a-12 under the Exchange Act (17 CFR 240.14a-12)</w:t>
      </w:r>
    </w:p>
    <w:p>
      <w:pPr>
        <w:pStyle w:val="TextBody"/>
        <w:bidi w:val="0"/>
        <w:spacing w:before="0" w:after="120"/>
        <w:ind w:left="0" w:right="0" w:hanging="0"/>
        <w:jc w:val="left"/>
        <w:rPr/>
      </w:pPr>
      <w:r>
        <w:rPr/>
        <w:t>     ☐  </w:t>
      </w:r>
      <w:r>
        <w:rPr>
          <w:rFonts w:ascii="Times New Roman;Times;serif" w:hAnsi="Times New Roman;Times;serif"/>
          <w:sz w:val="20"/>
        </w:rPr>
        <w:t>Pre-commencement communications pursuant to Rule 14d-2(b) under the Exchange Act (17 CFR 240.14d-2(b))</w:t>
      </w:r>
    </w:p>
    <w:p>
      <w:pPr>
        <w:pStyle w:val="TextBody"/>
        <w:bidi w:val="0"/>
        <w:spacing w:before="0" w:after="120"/>
        <w:ind w:left="0" w:right="0" w:hanging="0"/>
        <w:jc w:val="left"/>
        <w:rPr/>
      </w:pPr>
      <w:r>
        <w:rPr/>
        <w:t>     ☐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fOsBV7HJFkOqsqPAH6jeKw_1_4"/>
      <w:bookmarkStart w:id="12" w:name="Tc_vtuHtTTdi0irnc4H9hc8nw_1_2"/>
      <w:bookmarkStart w:id="13" w:name="Tc_14sKChR4_U2FFvqznI7lQA_1_0"/>
      <w:bookmarkStart w:id="14" w:name="_150660bc_8c0e_4db4_99d3_754e56291b24"/>
      <w:bookmarkStart w:id="15" w:name="Tc_fOsBV7HJFkOqsqPAH6jeKw_1_4"/>
      <w:bookmarkStart w:id="16" w:name="Tc_vtuHtTTdi0irnc4H9hc8nw_1_2"/>
      <w:bookmarkStart w:id="17" w:name="Tc_14sKChR4_U2FFvqznI7lQA_1_0"/>
      <w:bookmarkStart w:id="18" w:name="_150660bc_8c0e_4db4_99d3_754e56291b24"/>
      <w:bookmarkEnd w:id="15"/>
      <w:bookmarkEnd w:id="16"/>
      <w:bookmarkEnd w:id="17"/>
      <w:bookmarkEnd w:id="18"/>
    </w:p>
    <w:tbl>
      <w:tblPr>
        <w:tblW w:w="7435" w:type="dxa"/>
        <w:jc w:val="left"/>
        <w:tblInd w:w="0" w:type="dxa"/>
        <w:tblLayout w:type="fixed"/>
        <w:tblCellMar>
          <w:top w:w="0" w:type="dxa"/>
          <w:left w:w="0" w:type="dxa"/>
          <w:bottom w:w="0" w:type="dxa"/>
          <w:right w:w="0" w:type="dxa"/>
        </w:tblCellMar>
      </w:tblPr>
      <w:tblGrid>
        <w:gridCol w:w="1576"/>
        <w:gridCol w:w="266"/>
        <w:gridCol w:w="1621"/>
        <w:gridCol w:w="266"/>
        <w:gridCol w:w="3706"/>
      </w:tblGrid>
      <w:tr>
        <w:trPr/>
        <w:tc>
          <w:tcPr>
            <w:tcW w:w="157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Common Stock </w:t>
            </w:r>
          </w:p>
        </w:tc>
        <w:tc>
          <w:tcPr>
            <w:tcW w:w="266" w:type="dxa"/>
            <w:tcBorders/>
            <w:vAlign w:val="center"/>
          </w:tcPr>
          <w:p>
            <w:pPr>
              <w:pStyle w:val="TableContents"/>
              <w:bidi w:val="0"/>
              <w:spacing w:before="0" w:after="0"/>
              <w:ind w:left="0" w:right="0" w:hanging="0"/>
              <w:jc w:val="left"/>
              <w:rPr/>
            </w:pPr>
            <w:r>
              <w:rPr/>
              <w:t>​</w:t>
            </w:r>
          </w:p>
        </w:tc>
        <w:tc>
          <w:tcPr>
            <w:tcW w:w="16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CVGW</w:t>
            </w:r>
          </w:p>
        </w:tc>
        <w:tc>
          <w:tcPr>
            <w:tcW w:w="26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9" w:name="_eec954f8_6964_46d1_93be_854c18dfc235"/>
      <w:bookmarkEnd w:id="19"/>
      <w:r>
        <w:rPr>
          <w:rFonts w:ascii="Times New Roman;Times;serif" w:hAnsi="Times New Roman;Times;serif"/>
          <w:b/>
          <w:sz w:val="20"/>
        </w:rPr>
        <w:t>Item 2.02  Results of Operations and Financial Condition.</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On September 9, 2024, Calavo Growers, Inc. (Calavo) issued a press release containing our financial results for the three-month and nine-month periods ended July 31, 2024. A copy of our press release is attached hereto as Exhibit 99.1 and is incorporated by reference herein.</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In accordance with General Instruction B.2 of Form 8 - 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pStyle w:val="TextBody"/>
        <w:bidi w:val="0"/>
        <w:spacing w:before="0" w:after="240"/>
        <w:ind w:left="0" w:right="0" w:hanging="0"/>
        <w:jc w:val="left"/>
        <w:rPr>
          <w:rFonts w:ascii="Times New Roman;Times;serif" w:hAnsi="Times New Roman;Times;serif"/>
          <w:b/>
          <w:sz w:val="20"/>
        </w:rPr>
      </w:pPr>
      <w:bookmarkStart w:id="20" w:name="_2d290ef3_9722_4043_89f8_2ad61bcb6b9b"/>
      <w:bookmarkEnd w:id="20"/>
      <w:r>
        <w:rPr>
          <w:rFonts w:ascii="Times New Roman;Times;serif" w:hAnsi="Times New Roman;Times;serif"/>
          <w:b/>
          <w:sz w:val="20"/>
        </w:rPr>
        <w:t>Item 9.01. Financial Statements and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 Exhibits</w:t>
      </w:r>
    </w:p>
    <w:tbl>
      <w:tblPr>
        <w:tblW w:w="5552" w:type="dxa"/>
        <w:jc w:val="left"/>
        <w:tblInd w:w="0" w:type="dxa"/>
        <w:tblLayout w:type="fixed"/>
        <w:tblCellMar>
          <w:top w:w="0" w:type="dxa"/>
          <w:left w:w="0" w:type="dxa"/>
          <w:bottom w:w="0" w:type="dxa"/>
          <w:right w:w="0" w:type="dxa"/>
        </w:tblCellMar>
      </w:tblPr>
      <w:tblGrid>
        <w:gridCol w:w="481"/>
        <w:gridCol w:w="5071"/>
      </w:tblGrid>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5071" w:type="dxa"/>
            <w:tcBorders/>
            <w:vAlign w:val="center"/>
          </w:tcPr>
          <w:p>
            <w:pPr>
              <w:pStyle w:val="TableContents"/>
              <w:bidi w:val="0"/>
              <w:spacing w:before="0" w:after="0"/>
              <w:ind w:left="0" w:right="0" w:hanging="0"/>
              <w:jc w:val="left"/>
              <w:rPr/>
            </w:pPr>
            <w:hyperlink w:anchor="cvgw-20240909xex99d1.htm">
              <w:r>
                <w:rPr>
                  <w:rStyle w:val="InternetLink"/>
                  <w:rFonts w:ascii="Times New Roman;Times;serif" w:hAnsi="Times New Roman;Times;serif"/>
                  <w:b w:val="false"/>
                  <w:i w:val="false"/>
                  <w:caps w:val="false"/>
                  <w:smallCaps w:val="false"/>
                  <w:sz w:val="20"/>
                </w:rPr>
                <w:t>Press release dated September 9, 2024 of the Registrant.</w:t>
              </w:r>
            </w:hyperlink>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1" w:name="_d43b1338_fa95_43fc_966e_37e9e0f51d99"/>
      <w:bookmarkEnd w:id="21"/>
      <w:r>
        <w:rPr>
          <w:rFonts w:ascii="Times New Roman;Times;serif" w:hAnsi="Times New Roman;Times;serif"/>
          <w:b/>
          <w:sz w:val="20"/>
        </w:rPr>
        <w:t>SIGNATURE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6076" w:type="dxa"/>
        <w:jc w:val="left"/>
        <w:tblInd w:w="0" w:type="dxa"/>
        <w:tblLayout w:type="fixed"/>
        <w:tblCellMar>
          <w:top w:w="0" w:type="dxa"/>
          <w:left w:w="0" w:type="dxa"/>
          <w:bottom w:w="0" w:type="dxa"/>
          <w:right w:w="0" w:type="dxa"/>
        </w:tblCellMar>
      </w:tblPr>
      <w:tblGrid>
        <w:gridCol w:w="1636"/>
        <w:gridCol w:w="1089"/>
        <w:gridCol w:w="3351"/>
      </w:tblGrid>
      <w:tr>
        <w:trPr/>
        <w:tc>
          <w:tcPr>
            <w:tcW w:w="1636"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left"/>
              <w:rPr/>
            </w:pPr>
            <w:r>
              <w:rPr/>
              <w:t>​</w:t>
            </w:r>
          </w:p>
        </w:tc>
        <w:tc>
          <w:tcPr>
            <w:tcW w:w="335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 Growers, Inc.</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9, 2024</w:t>
            </w:r>
          </w:p>
        </w:tc>
        <w:tc>
          <w:tcPr>
            <w:tcW w:w="4440" w:type="dxa"/>
            <w:gridSpan w:val="2"/>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Lecil Cole</w:t>
            </w:r>
          </w:p>
        </w:tc>
      </w:tr>
      <w:tr>
        <w:trPr/>
        <w:tc>
          <w:tcPr>
            <w:tcW w:w="1636"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Lecil Cole</w:t>
              <w:br/>
              <w:t>Chief Executive Officer (Principal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bookmarkStart w:id="22" w:name="cvgw-20240909xex99d1.htm"/>
      <w:bookmarkStart w:id="23" w:name="kscvgw20240909xex99d1"/>
      <w:bookmarkEnd w:id="22"/>
      <w:bookmarkEnd w:id="23"/>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1487170" cy="7575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7170" cy="757555"/>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Calavo Growers, Inc. Announces Third Quarter 2024 Financial Results, Dividend Increase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SANTA PAULA, Calif., Sep. 9, 2024—Calavo Growers, Inc.</w:t>
      </w:r>
      <w:r>
        <w:rPr>
          <w:rFonts w:ascii="Times New Roman;Times;serif" w:hAnsi="Times New Roman;Times;serif"/>
          <w:sz w:val="20"/>
        </w:rPr>
        <w:t xml:space="preserve"> </w:t>
      </w:r>
      <w:r>
        <w:rPr>
          <w:rFonts w:ascii="Times New Roman;Times;serif" w:hAnsi="Times New Roman;Times;serif"/>
          <w:b/>
          <w:sz w:val="20"/>
        </w:rPr>
        <w:t>(Nasdaq-GS: CVGW),</w:t>
      </w:r>
      <w:r>
        <w:rPr>
          <w:rFonts w:ascii="Times New Roman;Times;serif" w:hAnsi="Times New Roman;Times;serif"/>
          <w:sz w:val="20"/>
        </w:rPr>
        <w:t xml:space="preserve"> A global leader in the processing and distribution of avocados, tomatoes, papayas and guacamole today reported its financial results for the fiscal third quarter ended July 31, 2024.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Third Quarter Financial Overview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Introductory Note: In the first quarter of 2024, we concluded that the Fresh Cut (formerly RFG) business meets the requirements to be classified as held for sale and discontinued operations. As a result, the financial results of that business are reported as discontinued operations in this press release. The divestiture of the Fresh Cut business occurred on August 15, 2024. Prior to the decision to divest our Fresh Cut business, the Company’s Prepared reporting segment included the Fresh Cut business unit and our guacamole business. The Fresh Cut business unit is no longer included in our Prepared business segment in this press release. Retrospective reclassifications - have been made to prior period financial statements and commentary in this press release to present the Fresh Cut business unit as a discontinued operation. Unless otherwise noted, amounts and commentary included in this press release relate to our continuing operations.</w:t>
      </w:r>
    </w:p>
    <w:tbl>
      <w:tblPr>
        <w:tblW w:w="6393" w:type="dxa"/>
        <w:jc w:val="left"/>
        <w:tblInd w:w="0" w:type="dxa"/>
        <w:tblLayout w:type="fixed"/>
        <w:tblCellMar>
          <w:top w:w="0" w:type="dxa"/>
          <w:left w:w="0" w:type="dxa"/>
          <w:bottom w:w="0" w:type="dxa"/>
          <w:right w:w="0" w:type="dxa"/>
        </w:tblCellMar>
      </w:tblPr>
      <w:tblGrid>
        <w:gridCol w:w="23"/>
        <w:gridCol w:w="170"/>
        <w:gridCol w:w="6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sales increased 11.7% to $179.6 million from the prior year quarter</w:t>
            </w:r>
          </w:p>
        </w:tc>
      </w:tr>
    </w:tbl>
    <w:tbl>
      <w:tblPr>
        <w:tblW w:w="5013" w:type="dxa"/>
        <w:jc w:val="left"/>
        <w:tblInd w:w="0" w:type="dxa"/>
        <w:tblLayout w:type="fixed"/>
        <w:tblCellMar>
          <w:top w:w="0" w:type="dxa"/>
          <w:left w:w="0" w:type="dxa"/>
          <w:bottom w:w="0" w:type="dxa"/>
          <w:right w:w="0" w:type="dxa"/>
        </w:tblCellMar>
      </w:tblPr>
      <w:tblGrid>
        <w:gridCol w:w="23"/>
        <w:gridCol w:w="125"/>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w:t>
            </w:r>
          </w:p>
        </w:tc>
        <w:tc>
          <w:tcPr>
            <w:tcW w:w="48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Grown segment net sales increased 13.3% to $163.2 million</w:t>
            </w:r>
          </w:p>
        </w:tc>
      </w:tr>
    </w:tbl>
    <w:tbl>
      <w:tblPr>
        <w:tblW w:w="4998" w:type="dxa"/>
        <w:jc w:val="left"/>
        <w:tblInd w:w="0" w:type="dxa"/>
        <w:tblLayout w:type="fixed"/>
        <w:tblCellMar>
          <w:top w:w="0" w:type="dxa"/>
          <w:left w:w="0" w:type="dxa"/>
          <w:bottom w:w="0" w:type="dxa"/>
          <w:right w:w="0" w:type="dxa"/>
        </w:tblCellMar>
      </w:tblPr>
      <w:tblGrid>
        <w:gridCol w:w="23"/>
        <w:gridCol w:w="125"/>
        <w:gridCol w:w="485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w:t>
            </w:r>
          </w:p>
        </w:tc>
        <w:tc>
          <w:tcPr>
            <w:tcW w:w="48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Prepared segment net sales decreased 2.4% to $16.4 million</w:t>
            </w:r>
          </w:p>
        </w:tc>
      </w:tr>
    </w:tbl>
    <w:tbl>
      <w:tblPr>
        <w:tblW w:w="6438" w:type="dxa"/>
        <w:jc w:val="left"/>
        <w:tblInd w:w="0" w:type="dxa"/>
        <w:tblLayout w:type="fixed"/>
        <w:tblCellMar>
          <w:top w:w="0" w:type="dxa"/>
          <w:left w:w="0" w:type="dxa"/>
          <w:bottom w:w="0" w:type="dxa"/>
          <w:right w:w="0" w:type="dxa"/>
        </w:tblCellMar>
      </w:tblPr>
      <w:tblGrid>
        <w:gridCol w:w="23"/>
        <w:gridCol w:w="170"/>
        <w:gridCol w:w="6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gross profit decreased 8.7% to $20.1 million from the prior year quarter</w:t>
            </w:r>
          </w:p>
        </w:tc>
      </w:tr>
    </w:tbl>
    <w:tbl>
      <w:tblPr>
        <w:tblW w:w="5643" w:type="dxa"/>
        <w:jc w:val="left"/>
        <w:tblInd w:w="0" w:type="dxa"/>
        <w:tblLayout w:type="fixed"/>
        <w:tblCellMar>
          <w:top w:w="0" w:type="dxa"/>
          <w:left w:w="0" w:type="dxa"/>
          <w:bottom w:w="0" w:type="dxa"/>
          <w:right w:w="0" w:type="dxa"/>
        </w:tblCellMar>
      </w:tblPr>
      <w:tblGrid>
        <w:gridCol w:w="23"/>
        <w:gridCol w:w="125"/>
        <w:gridCol w:w="549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w:t>
            </w:r>
          </w:p>
        </w:tc>
        <w:tc>
          <w:tcPr>
            <w:tcW w:w="54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Grown segment gross profit decreased $1.2 million to $18.2 million</w:t>
            </w:r>
          </w:p>
        </w:tc>
      </w:tr>
    </w:tbl>
    <w:tbl>
      <w:tblPr>
        <w:tblW w:w="5703" w:type="dxa"/>
        <w:jc w:val="left"/>
        <w:tblInd w:w="0" w:type="dxa"/>
        <w:tblLayout w:type="fixed"/>
        <w:tblCellMar>
          <w:top w:w="0" w:type="dxa"/>
          <w:left w:w="0" w:type="dxa"/>
          <w:bottom w:w="0" w:type="dxa"/>
          <w:right w:w="0" w:type="dxa"/>
        </w:tblCellMar>
      </w:tblPr>
      <w:tblGrid>
        <w:gridCol w:w="23"/>
        <w:gridCol w:w="125"/>
        <w:gridCol w:w="555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w:t>
            </w:r>
          </w:p>
        </w:tc>
        <w:tc>
          <w:tcPr>
            <w:tcW w:w="55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Prepared segment gross profit decreased $0.8 million to $1.9 million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of $5.4 million, or $0.30 per diluted share, compared to net income of $8.7 million, or $0.48 per diluted share for the prior year quarter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 of $10.2 million, or $0.57 per diluted share, compared to adjusted net income of $7.7 million, or $0.43 per diluted share for the prior year quarter</w:t>
            </w:r>
          </w:p>
        </w:tc>
      </w:tr>
    </w:tbl>
    <w:tbl>
      <w:tblPr>
        <w:tblW w:w="7278" w:type="dxa"/>
        <w:jc w:val="left"/>
        <w:tblInd w:w="0" w:type="dxa"/>
        <w:tblLayout w:type="fixed"/>
        <w:tblCellMar>
          <w:top w:w="0" w:type="dxa"/>
          <w:left w:w="0" w:type="dxa"/>
          <w:bottom w:w="0" w:type="dxa"/>
          <w:right w:w="0" w:type="dxa"/>
        </w:tblCellMar>
      </w:tblPr>
      <w:tblGrid>
        <w:gridCol w:w="23"/>
        <w:gridCol w:w="170"/>
        <w:gridCol w:w="7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$13.5 million compared to $13.0 million for the prior year quarter</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Adjusted net income (loss), adjusted net income (loss) per diluted share, and adjusted EBITDA are non-GAAP financial measures. See “Non-GAAP Financial Measures”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Third Quarter Highlights</w:t>
      </w:r>
    </w:p>
    <w:tbl>
      <w:tblPr>
        <w:tblW w:w="6543" w:type="dxa"/>
        <w:jc w:val="left"/>
        <w:tblInd w:w="0" w:type="dxa"/>
        <w:tblLayout w:type="fixed"/>
        <w:tblCellMar>
          <w:top w:w="0" w:type="dxa"/>
          <w:left w:w="0" w:type="dxa"/>
          <w:bottom w:w="0" w:type="dxa"/>
          <w:right w:w="0" w:type="dxa"/>
        </w:tblCellMar>
      </w:tblPr>
      <w:tblGrid>
        <w:gridCol w:w="23"/>
        <w:gridCol w:w="170"/>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consecutive quarter of year-over-year improvement in adjusted EBITDA</w:t>
            </w:r>
          </w:p>
        </w:tc>
      </w:tr>
    </w:tbl>
    <w:tbl>
      <w:tblPr>
        <w:tblW w:w="10128" w:type="dxa"/>
        <w:jc w:val="left"/>
        <w:tblInd w:w="0" w:type="dxa"/>
        <w:tblLayout w:type="fixed"/>
        <w:tblCellMar>
          <w:top w:w="0" w:type="dxa"/>
          <w:left w:w="0" w:type="dxa"/>
          <w:bottom w:w="0" w:type="dxa"/>
          <w:right w:w="0" w:type="dxa"/>
        </w:tblCellMar>
      </w:tblPr>
      <w:tblGrid>
        <w:gridCol w:w="23"/>
        <w:gridCol w:w="170"/>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Grown gross profit performance is attributed to strong avocado margins despite temporary supply disruptions from Mexico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include $4.2 million of foreign currency remeasurement loss compared to a $2.0 million gain in the prior year quarter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net debt position by $9.5 million during the third quarter; subsequently retired remaining debt balance using Fresh Cut sale proceeds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increased the cash dividend by $0.10 per share to $0.20 per share to be paid on October 30, 2024, to shareholders of record on October 2, 2024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Calavo Growers,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Page </w:t>
      </w:r>
      <w:r>
        <w:rPr>
          <w:rFonts w:ascii="Times New Roman;Times;serif" w:hAnsi="Times New Roman;Times;serif"/>
          <w:b/>
          <w:i/>
          <w:sz w:val="20"/>
        </w:rPr>
        <w:t>2</w:t>
      </w:r>
      <w:r>
        <w:rPr>
          <w:rFonts w:ascii="Times New Roman;Times;serif" w:hAnsi="Times New Roman;Times;serif"/>
          <w:sz w:val="20"/>
        </w:rPr>
        <w:t xml:space="preserve"> </w:t>
      </w:r>
      <w:r>
        <w:rPr>
          <w:rFonts w:ascii="Times New Roman;Times;serif" w:hAnsi="Times New Roman;Times;serif"/>
          <w:i/>
          <w:sz w:val="20"/>
        </w:rPr>
        <w:t xml:space="preserve">of </w:t>
      </w:r>
      <w:r>
        <w:rPr>
          <w:rFonts w:ascii="Times New Roman;Times;serif" w:hAnsi="Times New Roman;Times;serif"/>
          <w:b/>
          <w:i/>
          <w:sz w:val="20"/>
        </w:rPr>
        <w:t>11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 Commentary</w:t>
      </w:r>
    </w:p>
    <w:p>
      <w:pPr>
        <w:pStyle w:val="TextBody"/>
        <w:bidi w:val="0"/>
        <w:spacing w:before="0" w:after="240"/>
        <w:ind w:left="0" w:right="0" w:hanging="0"/>
        <w:jc w:val="left"/>
        <w:rPr/>
      </w:pPr>
      <w:r>
        <w:rPr/>
        <w:t>“</w:t>
      </w:r>
      <w:r>
        <w:rPr>
          <w:rFonts w:ascii="Times New Roman;Times;serif" w:hAnsi="Times New Roman;Times;serif"/>
          <w:sz w:val="20"/>
        </w:rPr>
        <w:t>Our third quarter results reflect continued momentum in our flagship avocado business,” said Lee Cole, President and Chief Executive Officer of Calavo Growers, Inc. “Despite temporary industry supply disruptions from Mexico during the quarter, we generated strong financial results due to our operational flexibility and our resilient team. Although our guacamole business experienced headwinds from higher fruit input costs compared to the third quarter last year, our volume increased 7% due to our focus on growing the business. I am also pleased to share that we will be launching some exciting, innovative guacamole products during the fourth quarter.</w:t>
      </w:r>
    </w:p>
    <w:p>
      <w:pPr>
        <w:pStyle w:val="TextBody"/>
        <w:bidi w:val="0"/>
        <w:spacing w:before="0" w:after="240"/>
        <w:ind w:left="0" w:right="0" w:hanging="0"/>
        <w:jc w:val="left"/>
        <w:rPr/>
      </w:pPr>
      <w:r>
        <w:rPr/>
        <w:t>“</w:t>
      </w:r>
      <w:r>
        <w:rPr>
          <w:rFonts w:ascii="Times New Roman;Times;serif" w:hAnsi="Times New Roman;Times;serif"/>
          <w:sz w:val="20"/>
        </w:rPr>
        <w:t>Our momentum has carried into the fourth quarter, and we look forward to delivering solid financial results for the fourth quarter and fiscal year. We intend to deploy the cash that we generated from the sale of our Fresh Cut business by investing in our core avocado and guacamole businesses and by returning cash to shareholders over time. Given the renewed focus on our core operations, improvements in our financial performance, and our confidence in our operational execution going forward, I am pleased to share that we have doubled the quarterly dividend to $0.20 per share.”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Third Quarter 2024 Consolidated Financial Review for Continuing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net sales for the third quarter were $179.6 million, compared to $160.9 million for the same period last year, an increase of 11.7%. Grown segment sales increased 13.3%, and Prepared segment sales decreased 2.4%. The average selling price of avocados in the Grown segment increased by 25% compared to the prior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Gross profit for the third quarter was $20.1 million, or 11.2% of net sales, compared to $22.0 million and 13.7%, respectively, for the same period last year. Foreign currency remeasurement gain and loss impacts have been reclassified from cost of sales to a separate financial statement line item on the consolidated statements of operations and have been included as an adjustment to non-GAAP earnings measures for the current quarter and for prior period results. We have begun adjusting our non-GAAP earnings to exclude foreign currency remeasurement gains and losses given volatility in foreign currency. See non-GAAP financial measure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Selling, general and administrative (SG&amp;A) expenses for the third quarter totaled $10.5 million, or 5.9% of net sales, compared to $13.0 million and 8.1% of net sales for the same period last year. The decrease versus the prior year was driven primarily by lower compensation expenses, including a variable compensation accrual in the prior year, while non-recurring professional fees associated with our internal investigation increased expenses by $1.4 million. SG&amp;A expenses in the third quarter last year included $1.2 million related to severance and restructuring.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income for the third quarter was $5.4 million, or $0.30 per diluted share. This compares with net income of $8.7 million, or $0.48 per diluted share, for the same period last year. The change in net income compared to the prior year is primarily driven by the change in foreign currency remeasurement from gain to loss and the income tax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Adjusted net income was $10.2 million, or $0.57 per diluted share, compared to adjusted net income of $7.7 million, or $0.43 per diluted share last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Adjusted EBITDA was $13.5 million compared to $13.0 million for the same period last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15, 2024, the Company closed the sale of its Fresh Cut business for $83.0 million, subject to various closing adjustments. Due to the sale, we evaluated whether it was more likely than not that the carrying value of the Fresh Cut business exceeded its fair value. We determined that it was more likely than not that the fair value was less than the carrying amount of net assets as of July 31, 2024. Based on the results of the impairment analysis, we recorded a goodwill impairment charge of $9.3 million during the quarter ended July 31, 2024, which is included in discontinued operations. In conjunction with the sale, we incurred transaction costs and settled certain retained liabilities, which were primarily labor related, namely for accumulated paid-time-off for transferring employees. The sale is also expected to generate a tax gain driven by book to tax timing differences. Inclusive of the projected impacts of transaction costs, certain retained liabilities, and taxes, we estimate after-tax net cash proceeds from the sale to approximate $75.0 million.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Calavo Growers,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Page </w:t>
      </w:r>
      <w:r>
        <w:rPr>
          <w:rFonts w:ascii="Times New Roman;Times;serif" w:hAnsi="Times New Roman;Times;serif"/>
          <w:b/>
          <w:i/>
          <w:sz w:val="20"/>
        </w:rPr>
        <w:t>3</w:t>
      </w:r>
      <w:r>
        <w:rPr>
          <w:rFonts w:ascii="Times New Roman;Times;serif" w:hAnsi="Times New Roman;Times;serif"/>
          <w:sz w:val="20"/>
        </w:rPr>
        <w:t xml:space="preserve"> </w:t>
      </w:r>
      <w:r>
        <w:rPr>
          <w:rFonts w:ascii="Times New Roman;Times;serif" w:hAnsi="Times New Roman;Times;serif"/>
          <w:i/>
          <w:sz w:val="20"/>
        </w:rPr>
        <w:t xml:space="preserve">of </w:t>
      </w:r>
      <w:r>
        <w:rPr>
          <w:rFonts w:ascii="Times New Roman;Times;serif" w:hAnsi="Times New Roman;Times;serif"/>
          <w:b/>
          <w:i/>
          <w:sz w:val="20"/>
        </w:rPr>
        <w:t>11</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previously disclosed, the company voluntarily disclosed to the Securities and Exchange Commission (SEC) and the Department of Justice (DOJ) an internal investigation into potential issues under the Foreign Corrupt Practices Act (FCPA). The company currently is cooperating with, and responding to requests from, the SEC and the DOJ.</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Sheet and Liquidity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ended the quarter with $39.0 million of net debt, which included $33.5 million of borrowings under its credit facility and $6.6 million of other long-term obligations and finance leases, less cash and cash equivalents of $1.1 million. The Company reduced its net debt by $9.5 million and had approximately $57.3 million of liquidity as of July 31, 2024. Subsequent to quarter end, we retired the remaining debt balance with proceeds from the sale of the Fresh Cut business.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Grown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Grown segment gross profit was $18.2 million, a decrease of $1.2 million from the prior year quarter. Avocado prices increased by 25% compared to the third quarter last year while avocado margins improved, which helped to offset an avocado volume decline of 4.5%. The volume decline was partly attributed to the impact of supply disruptions from Mexico during the quarter, which have since been resolved. Our skilled team harnessed our operational flexibility to mitigate the impact of the disruptions for our customers and investors. Gross profit attributed to tomatoes declined versus the prior year on lower volume.</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Prepared segment gross profit was $1.9 million, a decrease of $0.8 million from the third quarter last year. Gross margin declined to 12% from 16%, primarily driven by higher fruit input costs compared to the third quarter last year. Our efforts earlier in the year to build inventory using lower cost fruit helped to mitigate the impact of higher fruit costs during the quarter. We expect margins in the guacamole business to improve in the fourth quarter as input costs recede. In addition, we plan to launch some innovative new guacamole products during the fiscal fourth quarter that we expect will support growth in fiscal 2025. Overall, we expect sequential improvement in our Prepared business in the fiscal fourth quarter as compared to the third quarter.</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press release includes non-GAAP measures EBITDA from continuing operations, adjusted EBITDA from continuing operations, adjusted net income (loss) from continuing operations and adjusted net income (loss) from continuing operations per diluted share, which are not prepared in accordance with U.S. generally accepted accounting principles, or “GAAP.” EBITDA from continuing operations is defined as net income (loss) from continuing operations attributable to Calavo Growers, Inc. excluding (1) interest income and expense, (2) income tax (benefit) provision, (3) depreciation and amortization and (4) stock-based compensation expense. Adjusted EBITDA is EBITDA with further adjustments for (1) non-cash net losses (income) recognized from unconsolidated entities, (2) goodwill impairment, (3) write-off of long-lived assets, (4) acquisition-related costs, (5) restructuring-related costs, including certain severance costs, (6) certain litigation and other related costs, (7) foreign currency gain (loss) and (8) one-time items. Adjusted EBITDA from continuing operations is a primary metric by which management evaluates the operating performance of the business, on which certain operating expenditures and internal budgets are based. Additionally, the Company’s senior management is compensated in part on the basis of Adjusted EBITDA. The adjustments to calculate EBITDA from continuing operations and adjusted EBITDA from continuing operations are items recognized and recorded under GAAP in particular periods but might be viewed as not necessarily coinciding with the underlying business operations for the periods in which they are so recognized and recorded.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Calavo Growers,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Page </w:t>
      </w:r>
      <w:r>
        <w:rPr>
          <w:rFonts w:ascii="Times New Roman;Times;serif" w:hAnsi="Times New Roman;Times;serif"/>
          <w:b/>
          <w:i/>
          <w:sz w:val="20"/>
        </w:rPr>
        <w:t>4</w:t>
      </w:r>
      <w:r>
        <w:rPr>
          <w:rFonts w:ascii="Times New Roman;Times;serif" w:hAnsi="Times New Roman;Times;serif"/>
          <w:sz w:val="20"/>
        </w:rPr>
        <w:t xml:space="preserve"> </w:t>
      </w:r>
      <w:r>
        <w:rPr>
          <w:rFonts w:ascii="Times New Roman;Times;serif" w:hAnsi="Times New Roman;Times;serif"/>
          <w:i/>
          <w:sz w:val="20"/>
        </w:rPr>
        <w:t xml:space="preserve">of </w:t>
      </w:r>
      <w:r>
        <w:rPr>
          <w:rFonts w:ascii="Times New Roman;Times;serif" w:hAnsi="Times New Roman;Times;serif"/>
          <w:b/>
          <w:i/>
          <w:sz w:val="20"/>
        </w:rPr>
        <w:t>11</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Adjusted net income (loss) from continuing operations is defined as net income (loss) from continuing operations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(7) foreign currency loss (gain) and (8) one-time items. Adjusted net income (loss) from continuing operations and the related measure of adjusted net income (loss) from continuing operations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from continuing operations affords investors a different view of the overall financial performance of the Company than adjusted EBITDA and the GAAP measure of net income (loss) attributable from continuing operations to Calavo Growers,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Reconciliations of non-GAAP financial measures to the most directly comparable GAAP financial measures are provided in the financial tables below. Items are considered one-time in nature if they are non-recurring, infrequent or unusual and have not occurred in the past two years or are not expected to recur in the next two years, in accordance with SEC rules. Non-GAAP information should be considered as supplemental in nature and not as a substitute for, or superior to, any measure of performance prepared in accordance with GAAP. None of these metrics are presented as measures of liquidity. The way the Company measures EBITDA from continuing operations, adjusted EBITDA from continuing operations and adjusted net income (loss) from continuing operations may not be comparable to similarly titled measures presented by other companies and may not be identical to corresponding measures used in Company agreements.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About Calavo Growers,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w:t>
      </w:r>
      <w:r>
        <w:rPr>
          <w:rFonts w:ascii="Times New Roman;Times;serif" w:hAnsi="Times New Roman;Times;serif"/>
          <w:i/>
          <w:sz w:val="20"/>
        </w:rPr>
        <w:t xml:space="preserve">The Family of Fresh™ </w:t>
      </w:r>
      <w:r>
        <w:rPr>
          <w:rFonts w:ascii="Times New Roman;Times;serif" w:hAnsi="Times New Roman;Times;serif"/>
          <w:sz w:val="20"/>
        </w:rPr>
        <w:t>at calavo.com.</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Safe Harbor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press release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Calavo Growers,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Page </w:t>
      </w:r>
      <w:r>
        <w:rPr>
          <w:rFonts w:ascii="Times New Roman;Times;serif" w:hAnsi="Times New Roman;Times;serif"/>
          <w:b/>
          <w:i/>
          <w:sz w:val="20"/>
        </w:rPr>
        <w:t>5</w:t>
      </w:r>
      <w:r>
        <w:rPr>
          <w:rFonts w:ascii="Times New Roman;Times;serif" w:hAnsi="Times New Roman;Times;serif"/>
          <w:sz w:val="20"/>
        </w:rPr>
        <w:t xml:space="preserve"> </w:t>
      </w:r>
      <w:r>
        <w:rPr>
          <w:rFonts w:ascii="Times New Roman;Times;serif" w:hAnsi="Times New Roman;Times;serif"/>
          <w:i/>
          <w:sz w:val="20"/>
        </w:rPr>
        <w:t xml:space="preserve">of </w:t>
      </w:r>
      <w:r>
        <w:rPr>
          <w:rFonts w:ascii="Times New Roman;Times;serif" w:hAnsi="Times New Roman;Times;serif"/>
          <w:b/>
          <w:i/>
          <w:sz w:val="20"/>
        </w:rPr>
        <w:t>11</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Risks and uncertainties that may cause our actual results to be materially different from any future results expressed or implied by the forward-looking statements include, but are not limited to, the following: the ability of our management team to work together successfully; the impact of operational and restructuring initiatives on our business, results of operations, and financial condition, including uncertainty as to whether the desired effects will be achieved; the impact of weather on market prices and operational costs;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the new guacamole products referenced in this press release; risks associated with doing business internationally (including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investigations, legal claims and tax disputes, including an assessment imposed by the Mexican Tax Administrative Service (the “SAT”) and our defenses against collection activities commenced by the SAT; the impact of other pending and potential internal and external investigations and legal claims; and our ability to realize the expected expense savings from the sale of the Fresh Cut business.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pStyle w:val="TextBody"/>
        <w:bidi w:val="0"/>
        <w:spacing w:before="0" w:after="240"/>
        <w:ind w:left="0" w:right="0" w:hanging="0"/>
        <w:jc w:val="left"/>
        <w:rPr/>
      </w:pPr>
      <w:r>
        <w:rPr/>
        <w:t>​</w:t>
      </w:r>
    </w:p>
    <w:tbl>
      <w:tblPr>
        <w:tblW w:w="3016" w:type="dxa"/>
        <w:jc w:val="left"/>
        <w:tblInd w:w="0" w:type="dxa"/>
        <w:tblLayout w:type="fixed"/>
        <w:tblCellMar>
          <w:top w:w="0" w:type="dxa"/>
          <w:left w:w="0" w:type="dxa"/>
          <w:bottom w:w="0" w:type="dxa"/>
          <w:right w:w="0" w:type="dxa"/>
        </w:tblCellMar>
      </w:tblPr>
      <w:tblGrid>
        <w:gridCol w:w="3016"/>
      </w:tblGrid>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 Contact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Julie Kegley, Senior Vice President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Profiles, Inc.</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calavo@finprofiles.com </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310-622-8246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Calavo Growers,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Page </w:t>
      </w:r>
      <w:r>
        <w:rPr>
          <w:rFonts w:ascii="Times New Roman;Times;serif" w:hAnsi="Times New Roman;Times;serif"/>
          <w:b/>
          <w:i/>
          <w:sz w:val="20"/>
        </w:rPr>
        <w:t>6</w:t>
      </w:r>
      <w:r>
        <w:rPr>
          <w:rFonts w:ascii="Times New Roman;Times;serif" w:hAnsi="Times New Roman;Times;serif"/>
          <w:sz w:val="20"/>
        </w:rPr>
        <w:t xml:space="preserve"> </w:t>
      </w:r>
      <w:r>
        <w:rPr>
          <w:rFonts w:ascii="Times New Roman;Times;serif" w:hAnsi="Times New Roman;Times;serif"/>
          <w:i/>
          <w:sz w:val="20"/>
        </w:rPr>
        <w:t xml:space="preserve">of </w:t>
      </w:r>
      <w:r>
        <w:rPr>
          <w:rFonts w:ascii="Times New Roman;Times;serif" w:hAnsi="Times New Roman;Times;serif"/>
          <w:b/>
          <w:i/>
          <w:sz w:val="20"/>
        </w:rPr>
        <w:t>11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8967" w:type="dxa"/>
        <w:jc w:val="center"/>
        <w:tblInd w:w="0" w:type="dxa"/>
        <w:tblLayout w:type="fixed"/>
        <w:tblCellMar>
          <w:top w:w="0" w:type="dxa"/>
          <w:left w:w="0" w:type="dxa"/>
          <w:bottom w:w="0" w:type="dxa"/>
          <w:right w:w="0" w:type="dxa"/>
        </w:tblCellMar>
      </w:tblPr>
      <w:tblGrid>
        <w:gridCol w:w="6226"/>
        <w:gridCol w:w="326"/>
        <w:gridCol w:w="211"/>
        <w:gridCol w:w="781"/>
        <w:gridCol w:w="326"/>
        <w:gridCol w:w="211"/>
        <w:gridCol w:w="886"/>
      </w:tblGrid>
      <w:tr>
        <w:trPr/>
        <w:tc>
          <w:tcPr>
            <w:tcW w:w="6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31,</w:t>
            </w:r>
          </w:p>
        </w:tc>
      </w:tr>
      <w:tr>
        <w:trPr/>
        <w:tc>
          <w:tcPr>
            <w:tcW w:w="6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allowances of $3,253 (2024) and $3,364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33,897</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31,571</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11,739</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to suppliers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14,684</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 held for sale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37,533</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133,370</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60,924</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18,357</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unconsolidated entities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10,211</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 held for sale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105,424</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52,964</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52,381</w:t>
            </w:r>
          </w:p>
        </w:tc>
      </w:tr>
      <w:tr>
        <w:trPr/>
        <w:tc>
          <w:tcPr>
            <w:tcW w:w="6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382,426</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386,854</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8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to growers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14,788</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5,097</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15,809</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 held for sale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29,911</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term loan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3,663</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obligations and 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81,746</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pursuant to line of credit, 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35,024</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 held for sale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29,295</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3,416</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17,328</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obligations and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4,645</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4,432</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4,425</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60,657</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94,879</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205,177</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210,229</w:t>
            </w:r>
          </w:p>
        </w:tc>
      </w:tr>
      <w:tr>
        <w:trPr/>
        <w:tc>
          <w:tcPr>
            <w:tcW w:w="6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382,426</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386,854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Calavo Growers,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Page </w:t>
      </w:r>
      <w:r>
        <w:rPr>
          <w:rFonts w:ascii="Times New Roman;Times;serif" w:hAnsi="Times New Roman;Times;serif"/>
          <w:b/>
          <w:i/>
          <w:sz w:val="20"/>
        </w:rPr>
        <w:t>7</w:t>
      </w:r>
      <w:r>
        <w:rPr>
          <w:rFonts w:ascii="Times New Roman;Times;serif" w:hAnsi="Times New Roman;Times;serif"/>
          <w:sz w:val="20"/>
        </w:rPr>
        <w:t xml:space="preserve"> </w:t>
      </w:r>
      <w:r>
        <w:rPr>
          <w:rFonts w:ascii="Times New Roman;Times;serif" w:hAnsi="Times New Roman;Times;serif"/>
          <w:i/>
          <w:sz w:val="20"/>
        </w:rPr>
        <w:t xml:space="preserve">of </w:t>
      </w:r>
      <w:r>
        <w:rPr>
          <w:rFonts w:ascii="Times New Roman;Times;serif" w:hAnsi="Times New Roman;Times;serif"/>
          <w:b/>
          <w:i/>
          <w:sz w:val="20"/>
        </w:rPr>
        <w:t>11</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CONDENSED STATEMENTS OF OPERATIONS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tbl>
      <w:tblPr>
        <w:tblW w:w="10205" w:type="dxa"/>
        <w:jc w:val="center"/>
        <w:tblInd w:w="0" w:type="dxa"/>
        <w:tblLayout w:type="fixed"/>
        <w:tblCellMar>
          <w:top w:w="0" w:type="dxa"/>
          <w:left w:w="0" w:type="dxa"/>
          <w:bottom w:w="0" w:type="dxa"/>
          <w:right w:w="0" w:type="dxa"/>
        </w:tblCellMar>
      </w:tblPr>
      <w:tblGrid>
        <w:gridCol w:w="4875"/>
        <w:gridCol w:w="326"/>
        <w:gridCol w:w="211"/>
        <w:gridCol w:w="781"/>
        <w:gridCol w:w="326"/>
        <w:gridCol w:w="211"/>
        <w:gridCol w:w="781"/>
        <w:gridCol w:w="326"/>
        <w:gridCol w:w="211"/>
        <w:gridCol w:w="793"/>
        <w:gridCol w:w="326"/>
        <w:gridCol w:w="211"/>
        <w:gridCol w:w="827"/>
      </w:tblGrid>
      <w:tr>
        <w:trPr/>
        <w:tc>
          <w:tcPr>
            <w:tcW w:w="4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095625" cy="175260"/>
                      <wp:effectExtent l="0" t="0" r="0" b="0"/>
                      <wp:wrapNone/>
                      <wp:docPr id="2" name="Frame1"/>
                      <a:graphic xmlns:a="http://schemas.openxmlformats.org/drawingml/2006/main">
                        <a:graphicData uri="http://schemas.microsoft.com/office/word/2010/wordprocessingShape">
                          <wps:wsp>
                            <wps:cNvSpPr txBox="1"/>
                            <wps:spPr>
                              <a:xfrm>
                                <a:off x="0" y="0"/>
                                <a:ext cx="309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95935" cy="175260"/>
                      <wp:effectExtent l="0" t="0" r="0" b="0"/>
                      <wp:wrapNone/>
                      <wp:docPr id="5"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5935" cy="175260"/>
                      <wp:effectExtent l="0" t="0" r="0" b="0"/>
                      <wp:wrapNone/>
                      <wp:docPr id="8" name="Frame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03555" cy="175260"/>
                      <wp:effectExtent l="0" t="0" r="0" b="0"/>
                      <wp:wrapNone/>
                      <wp:docPr id="11" name="Frame1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25145" cy="175260"/>
                      <wp:effectExtent l="0" t="0" r="0" b="0"/>
                      <wp:wrapNone/>
                      <wp:docPr id="14" name="Frame13"/>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36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48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w:t>
            </w:r>
          </w:p>
        </w:tc>
      </w:tr>
      <w:tr>
        <w:trPr/>
        <w:tc>
          <w:tcPr>
            <w:tcW w:w="48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4"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1038"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4"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8"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491,585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451,898</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159,503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138,852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440,071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403,554</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9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48,344</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37,997</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(recovery) related to Mexican tax matters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9,358</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10,213</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93"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13,711</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27"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9,116</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gain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 and loss from unconsolidated entities</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11,643</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93"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9,194</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27"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12,988</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unconsolidated entities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9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9,739</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discontinued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(6,127)</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(10,218)</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(9,786)</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9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Net loss (income) attributable to noncontrolling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Calavo Growers, Inc.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6,626</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r>
      <w:tr>
        <w:trPr/>
        <w:tc>
          <w:tcPr>
            <w:tcW w:w="48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93"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27"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 Growers, Inc.’s net income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Discontinued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Calavo Growers, Inc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r>
      <w:tr>
        <w:trPr/>
        <w:tc>
          <w:tcPr>
            <w:tcW w:w="48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Continuing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Calavo Growers, Inc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r>
      <w:tr>
        <w:trPr/>
        <w:tc>
          <w:tcPr>
            <w:tcW w:w="487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shares used in per share computation: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r>
      <w:tr>
        <w:trPr/>
        <w:tc>
          <w:tcPr>
            <w:tcW w:w="4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17,801</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17,756</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17,746</w:t>
            </w:r>
          </w:p>
        </w:tc>
      </w:tr>
      <w:tr>
        <w:trPr/>
        <w:tc>
          <w:tcPr>
            <w:tcW w:w="4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78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17,842</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78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17,856</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793"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17,848</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827"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17,835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Calavo Growers,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Page </w:t>
      </w:r>
      <w:r>
        <w:rPr>
          <w:rFonts w:ascii="Times New Roman;Times;serif" w:hAnsi="Times New Roman;Times;serif"/>
          <w:b/>
          <w:i/>
          <w:sz w:val="20"/>
        </w:rPr>
        <w:t>8</w:t>
      </w:r>
      <w:r>
        <w:rPr>
          <w:rFonts w:ascii="Times New Roman;Times;serif" w:hAnsi="Times New Roman;Times;serif"/>
          <w:sz w:val="20"/>
        </w:rPr>
        <w:t xml:space="preserve"> </w:t>
      </w:r>
      <w:r>
        <w:rPr>
          <w:rFonts w:ascii="Times New Roman;Times;serif" w:hAnsi="Times New Roman;Times;serif"/>
          <w:i/>
          <w:sz w:val="20"/>
        </w:rPr>
        <w:t xml:space="preserve">of </w:t>
      </w:r>
      <w:r>
        <w:rPr>
          <w:rFonts w:ascii="Times New Roman;Times;serif" w:hAnsi="Times New Roman;Times;serif"/>
          <w:b/>
          <w:i/>
          <w:sz w:val="20"/>
        </w:rPr>
        <w:t>11</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SALES AND GROSS PROFIT BY BUSINESS SEGMENT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decision to divest our Fresh Cut business (formerly RFG), the Company’s Prepared reporting segment included the Fresh Cut business unit and our guacamole business. As a result, the Fresh Cut business unit is no longer included in our Prepared business segment, and is not included in the tables below. All segment information included herein reflects these changes.</w:t>
      </w:r>
    </w:p>
    <w:tbl>
      <w:tblPr>
        <w:tblW w:w="6910" w:type="dxa"/>
        <w:jc w:val="center"/>
        <w:tblInd w:w="0" w:type="dxa"/>
        <w:tblLayout w:type="fixed"/>
        <w:tblCellMar>
          <w:top w:w="0" w:type="dxa"/>
          <w:left w:w="0" w:type="dxa"/>
          <w:bottom w:w="0" w:type="dxa"/>
          <w:right w:w="0" w:type="dxa"/>
        </w:tblCellMar>
      </w:tblPr>
      <w:tblGrid>
        <w:gridCol w:w="3016"/>
        <w:gridCol w:w="326"/>
        <w:gridCol w:w="211"/>
        <w:gridCol w:w="781"/>
        <w:gridCol w:w="326"/>
        <w:gridCol w:w="211"/>
        <w:gridCol w:w="676"/>
        <w:gridCol w:w="326"/>
        <w:gridCol w:w="211"/>
        <w:gridCol w:w="826"/>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Grown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Prepared</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6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amounts are presented in thousands)</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July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992" w:type="dxa"/>
            <w:gridSpan w:val="2"/>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gridSpan w:val="2"/>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7" w:type="dxa"/>
            <w:gridSpan w:val="2"/>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179,596</w:t>
            </w:r>
          </w:p>
        </w:tc>
      </w:tr>
      <w:tr>
        <w:trPr/>
        <w:tc>
          <w:tcPr>
            <w:tcW w:w="30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145,043</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14,460</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159,503</w:t>
            </w:r>
          </w:p>
        </w:tc>
      </w:tr>
      <w:tr>
        <w:trPr/>
        <w:tc>
          <w:tcPr>
            <w:tcW w:w="30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18,175</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20,093</w:t>
            </w:r>
          </w:p>
        </w:tc>
      </w:tr>
      <w:tr>
        <w:trPr/>
        <w:tc>
          <w:tcPr>
            <w:tcW w:w="30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7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July 31,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160,856</w:t>
            </w:r>
          </w:p>
        </w:tc>
      </w:tr>
      <w:tr>
        <w:trPr/>
        <w:tc>
          <w:tcPr>
            <w:tcW w:w="30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124,734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14,118</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138,852</w:t>
            </w:r>
          </w:p>
        </w:tc>
      </w:tr>
      <w:tr>
        <w:trPr/>
        <w:tc>
          <w:tcPr>
            <w:tcW w:w="30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19,335</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22,004</w:t>
            </w:r>
          </w:p>
        </w:tc>
      </w:tr>
    </w:tbl>
    <w:p>
      <w:pPr>
        <w:pStyle w:val="TextBody"/>
        <w:bidi w:val="0"/>
        <w:spacing w:before="0" w:after="240"/>
        <w:ind w:left="0" w:right="0" w:hanging="0"/>
        <w:jc w:val="left"/>
        <w:rPr/>
      </w:pPr>
      <w:r>
        <w:rPr/>
        <w:t>​</w:t>
      </w:r>
    </w:p>
    <w:tbl>
      <w:tblPr>
        <w:tblW w:w="6790" w:type="dxa"/>
        <w:jc w:val="center"/>
        <w:tblInd w:w="0" w:type="dxa"/>
        <w:tblLayout w:type="fixed"/>
        <w:tblCellMar>
          <w:top w:w="0" w:type="dxa"/>
          <w:left w:w="0" w:type="dxa"/>
          <w:bottom w:w="0" w:type="dxa"/>
          <w:right w:w="0" w:type="dxa"/>
        </w:tblCellMar>
      </w:tblPr>
      <w:tblGrid>
        <w:gridCol w:w="2896"/>
        <w:gridCol w:w="326"/>
        <w:gridCol w:w="211"/>
        <w:gridCol w:w="781"/>
        <w:gridCol w:w="326"/>
        <w:gridCol w:w="211"/>
        <w:gridCol w:w="676"/>
        <w:gridCol w:w="326"/>
        <w:gridCol w:w="211"/>
        <w:gridCol w:w="826"/>
      </w:tblGrid>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Grown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Prepared</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6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amounts are presented in thousands)</w:t>
            </w:r>
          </w:p>
        </w:tc>
      </w:tr>
      <w:tr>
        <w:trPr/>
        <w:tc>
          <w:tcPr>
            <w:tcW w:w="28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Nine months ended July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992" w:type="dxa"/>
            <w:gridSpan w:val="2"/>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gridSpan w:val="2"/>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7" w:type="dxa"/>
            <w:gridSpan w:val="2"/>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491,585</w:t>
            </w:r>
          </w:p>
        </w:tc>
      </w:tr>
      <w:tr>
        <w:trPr/>
        <w:tc>
          <w:tcPr>
            <w:tcW w:w="28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402,041</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38,030</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440,071</w:t>
            </w:r>
          </w:p>
        </w:tc>
      </w:tr>
      <w:tr>
        <w:trPr/>
        <w:tc>
          <w:tcPr>
            <w:tcW w:w="28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40,958</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10,556</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51,514</w:t>
            </w:r>
          </w:p>
        </w:tc>
      </w:tr>
      <w:tr>
        <w:trPr/>
        <w:tc>
          <w:tcPr>
            <w:tcW w:w="28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7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Nine months ended July 31,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402,119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451,898</w:t>
            </w:r>
          </w:p>
        </w:tc>
      </w:tr>
      <w:tr>
        <w:trPr/>
        <w:tc>
          <w:tcPr>
            <w:tcW w:w="28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363,120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403,554</w:t>
            </w:r>
          </w:p>
        </w:tc>
      </w:tr>
      <w:tr>
        <w:trPr/>
        <w:tc>
          <w:tcPr>
            <w:tcW w:w="28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38,999</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9,345</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48,344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months ended July 31, 2023, intercompany sales and cost of sales of $0.5 million between Grown products and Prepared products were eliminated. For the nine months ended July 31 2024 and 2023, intercompany sales and cost of sales of $0.6 million and $1.2 million between Grown products and Prepared products were eliminated,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Calavo Growers,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Page </w:t>
      </w:r>
      <w:r>
        <w:rPr>
          <w:rFonts w:ascii="Times New Roman;Times;serif" w:hAnsi="Times New Roman;Times;serif"/>
          <w:b/>
          <w:i/>
          <w:sz w:val="20"/>
        </w:rPr>
        <w:t>9</w:t>
      </w:r>
      <w:r>
        <w:rPr>
          <w:rFonts w:ascii="Times New Roman;Times;serif" w:hAnsi="Times New Roman;Times;serif"/>
          <w:sz w:val="20"/>
        </w:rPr>
        <w:t xml:space="preserve"> </w:t>
      </w:r>
      <w:r>
        <w:rPr>
          <w:rFonts w:ascii="Times New Roman;Times;serif" w:hAnsi="Times New Roman;Times;serif"/>
          <w:i/>
          <w:sz w:val="20"/>
        </w:rPr>
        <w:t xml:space="preserve">of </w:t>
      </w:r>
      <w:r>
        <w:rPr>
          <w:rFonts w:ascii="Times New Roman;Times;serif" w:hAnsi="Times New Roman;Times;serif"/>
          <w:b/>
          <w:i/>
          <w:sz w:val="20"/>
        </w:rPr>
        <w:t>11</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ADJUSTED NET INCOME FROM CONTINUING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 EPS FROM CONTINUING OPERATIONS (UNAUDITED)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table presents adjusted net income (loss) from continuing operations and adjusted diluted EPS from continuing operations, each a non-GAAP measure, and reconciles them to net income (loss) from continuing operations., and Diluted EPS from continuing operations, which are the most directly comparable GAAP measures. See “Non-GAAP Financial Measures” earlier in this release.</w:t>
      </w:r>
    </w:p>
    <w:tbl>
      <w:tblPr>
        <w:tblW w:w="10073" w:type="dxa"/>
        <w:jc w:val="center"/>
        <w:tblInd w:w="0" w:type="dxa"/>
        <w:tblLayout w:type="fixed"/>
        <w:tblCellMar>
          <w:top w:w="0" w:type="dxa"/>
          <w:left w:w="0" w:type="dxa"/>
          <w:bottom w:w="0" w:type="dxa"/>
          <w:right w:w="0" w:type="dxa"/>
        </w:tblCellMar>
      </w:tblPr>
      <w:tblGrid>
        <w:gridCol w:w="5386"/>
        <w:gridCol w:w="326"/>
        <w:gridCol w:w="196"/>
        <w:gridCol w:w="631"/>
        <w:gridCol w:w="326"/>
        <w:gridCol w:w="196"/>
        <w:gridCol w:w="631"/>
        <w:gridCol w:w="326"/>
        <w:gridCol w:w="196"/>
        <w:gridCol w:w="631"/>
        <w:gridCol w:w="326"/>
        <w:gridCol w:w="196"/>
        <w:gridCol w:w="706"/>
      </w:tblGrid>
      <w:tr>
        <w:trPr/>
        <w:tc>
          <w:tcPr>
            <w:tcW w:w="5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420110" cy="175260"/>
                      <wp:effectExtent l="0" t="0" r="0" b="0"/>
                      <wp:wrapNone/>
                      <wp:docPr id="15" name="Frame14"/>
                      <a:graphic xmlns:a="http://schemas.openxmlformats.org/drawingml/2006/main">
                        <a:graphicData uri="http://schemas.microsoft.com/office/word/2010/wordprocessingShape">
                          <wps:wsp>
                            <wps:cNvSpPr txBox="1"/>
                            <wps:spPr>
                              <a:xfrm>
                                <a:off x="0" y="0"/>
                                <a:ext cx="3420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00685" cy="175260"/>
                      <wp:effectExtent l="0" t="0" r="0" b="0"/>
                      <wp:wrapNone/>
                      <wp:docPr id="18" name="Frame1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00685" cy="175260"/>
                      <wp:effectExtent l="0" t="0" r="0" b="0"/>
                      <wp:wrapNone/>
                      <wp:docPr id="21" name="Frame2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3"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00685" cy="175260"/>
                      <wp:effectExtent l="0" t="0" r="0" b="0"/>
                      <wp:wrapNone/>
                      <wp:docPr id="24" name="Frame2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48310" cy="175260"/>
                      <wp:effectExtent l="0" t="0" r="0" b="0"/>
                      <wp:wrapNone/>
                      <wp:docPr id="27" name="Frame2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0"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Three months ended</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left"/>
              <w:rPr/>
            </w:pPr>
            <w:r>
              <w:rPr/>
              <w:t>    </w:t>
            </w:r>
          </w:p>
        </w:tc>
        <w:tc>
          <w:tcPr>
            <w:tcW w:w="205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Nine months ended</w:t>
            </w:r>
            <w:r>
              <w:rPr>
                <w:rFonts w:ascii="Times New Roman;Times;serif" w:hAnsi="Times New Roman;Times;serif"/>
                <w:sz w:val="16"/>
              </w:rPr>
              <w:t> </w:t>
            </w:r>
          </w:p>
        </w:tc>
      </w:tr>
      <w:tr>
        <w:trPr/>
        <w:tc>
          <w:tcPr>
            <w:tcW w:w="5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w:t>
            </w:r>
          </w:p>
        </w:tc>
      </w:tr>
      <w:tr>
        <w:trPr/>
        <w:tc>
          <w:tcPr>
            <w:tcW w:w="5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90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 from 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9,298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9,739</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Add: Net loss (income) attributable to noncontrolling interest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(390)</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 from continuing operations attributable to Calavo Growers, Inc.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9,281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0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9,349</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Non-GAAP adjustments: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Non-cash loss recognized from unconsolidated entities (a)</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398</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Impairment, losses and charges related to property, plant and equipment (b)</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235</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Restructure costs - consulting, management recruiting and severance (c)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5,186</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Expenses (recovery) related to Mexican tax matters (d)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1,231</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Legal settlement and related expenses (e)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700</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Professional fees related to internal investigation (f)</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1,395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6,431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Foreign currency loss (gain) (g)</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(4,435)</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Tax impact of adjustments (h)</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(1,601)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(2,863)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(829)</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Adjusted net income from 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10,197</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7,682</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17,869</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11,835</w:t>
            </w:r>
          </w:p>
        </w:tc>
      </w:tr>
      <w:tr>
        <w:trPr/>
        <w:tc>
          <w:tcPr>
            <w:tcW w:w="5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3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3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3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0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Calavo Growers, Inc.’s continuing operations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Diluted EPS from continuing operations (GAAP)</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0.30</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0.48</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0.52</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0.53</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Adjusted net income from continuing operations per diluted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0.57</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0.43</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0.66</w:t>
            </w:r>
          </w:p>
        </w:tc>
      </w:tr>
      <w:tr>
        <w:trPr/>
        <w:tc>
          <w:tcPr>
            <w:tcW w:w="5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3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3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3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0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Number of shares used in per share computation: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Diluted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17,842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17,856</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17,848</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17,835</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July 31, 2024 and 2023, we realized losses of $0.6 million and losses of $0.5 million from Agricola Don Memo. For the nine months ended July 31, 2024 and 2023, we realized losses of $0.4 million and losses of $0.4 million from Agricola Don Memo.</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2023, we completed the divesture of our salsa business in our Prepared segment and incurred $0.2 million in losses related to the disposal of property, plant and equipment.</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July 31, 2024, we incurred $0.9 million in severance and other costs and $0.1 million in stock-based compensation related to the departure of certain members of management.</w:t>
            </w:r>
          </w:p>
        </w:tc>
      </w:tr>
    </w:tbl>
    <w:p>
      <w:pPr>
        <w:pStyle w:val="TextBody"/>
        <w:bidi w:val="0"/>
        <w:spacing w:before="0" w:after="200"/>
        <w:ind w:left="540" w:right="0" w:hanging="0"/>
        <w:jc w:val="left"/>
        <w:rPr>
          <w:rFonts w:ascii="Times New Roman;Times;serif" w:hAnsi="Times New Roman;Times;serif"/>
          <w:sz w:val="20"/>
        </w:rPr>
      </w:pPr>
      <w:r>
        <w:rPr>
          <w:rFonts w:ascii="Times New Roman;Times;serif" w:hAnsi="Times New Roman;Times;serif"/>
          <w:sz w:val="20"/>
        </w:rPr>
        <w:t>For the three and nine months ended July 31, 2023, we recorded $0.1 million and $0.8 million in severance costs as part of U.S. restructuring efforts, respectively. For the three and nine months ended July 31, 2023, we incurred $0.9 million in severance and other costs and $0.3 million in stock-based compensation related to the departure of certain members of management. In addition, for the nine months ended July 31, 2023, we incurred $1.2 million in severance and other costs and $1.2 million in stock-based compensation related to the departure of our former Chief Executive Officer. Additionally, for the nine months ended July 31, 2023, we incurred $0.6 million related to the divesture of Salsa Lisa.</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Calavo Growers,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Page </w:t>
      </w:r>
      <w:r>
        <w:rPr>
          <w:rFonts w:ascii="Times New Roman;Times;serif" w:hAnsi="Times New Roman;Times;serif"/>
          <w:b/>
          <w:i/>
          <w:sz w:val="20"/>
        </w:rPr>
        <w:t>10</w:t>
      </w:r>
      <w:r>
        <w:rPr>
          <w:rFonts w:ascii="Times New Roman;Times;serif" w:hAnsi="Times New Roman;Times;serif"/>
          <w:sz w:val="20"/>
        </w:rPr>
        <w:t xml:space="preserve"> </w:t>
      </w:r>
      <w:r>
        <w:rPr>
          <w:rFonts w:ascii="Times New Roman;Times;serif" w:hAnsi="Times New Roman;Times;serif"/>
          <w:i/>
          <w:sz w:val="20"/>
        </w:rPr>
        <w:t xml:space="preserve">of </w:t>
      </w:r>
      <w:r>
        <w:rPr>
          <w:rFonts w:ascii="Times New Roman;Times;serif" w:hAnsi="Times New Roman;Times;serif"/>
          <w:b/>
          <w:i/>
          <w:sz w:val="20"/>
        </w:rPr>
        <w:t>11</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July 31, 2024, we incurred $0.2 million and $0.8 million of professional fees related to the Mexican tax matters, respectively. For the three and nine months ended July 31, 2023, we recognized a reserve of $0.5 million and $1.6 million related to the Mexican tax matters, respectively.</w:t>
            </w:r>
          </w:p>
        </w:tc>
      </w:tr>
    </w:tbl>
    <w:p>
      <w:pPr>
        <w:pStyle w:val="TextBody"/>
        <w:bidi w:val="0"/>
        <w:spacing w:before="0" w:after="240"/>
        <w:ind w:left="540" w:right="0" w:hanging="0"/>
        <w:jc w:val="left"/>
        <w:rPr>
          <w:rFonts w:ascii="Times New Roman;Times;serif" w:hAnsi="Times New Roman;Times;serif"/>
          <w:sz w:val="20"/>
        </w:rPr>
      </w:pPr>
      <w:r>
        <w:rPr>
          <w:rFonts w:ascii="Times New Roman;Times;serif" w:hAnsi="Times New Roman;Times;serif"/>
          <w:sz w:val="20"/>
        </w:rPr>
        <w:t>For the three and nine months ended July 31,2023, we recorded a recovery of $1.7 million related to the interest and inflationary adjustments related to an IVA repayment from Mexican Tax Authority. For the nine months ended July 31, 2023, we recognized a reserve of $1.4 million related to the collectability of IVA receivables.</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July 31, 2023, we accrued $0.6 million in a legal settlement from a dispute from over five years ago connected to an old unused distribution agreement that was entered into over a decade ago. This legal settlement was considered out of the ordinary due to the length it took to settle and since we have not done business with this party for many years. There are no other similar matters outstanding. In addition, we incurred $0.1 million in associated legal fees.</w:t>
            </w:r>
          </w:p>
        </w:tc>
      </w:tr>
    </w:tbl>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July 31, 2024, we incurred $1.4 million and $6.4 million of professional fee expenses related to the internal investigation, respectively.</w:t>
            </w:r>
          </w:p>
        </w:tc>
      </w:tr>
    </w:tbl>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change in the Mexican peso to the U.S. dollar exchange rates, foreign currency remeasurement losses, net of gains, for the three and nine months ended July 31, 2024 were $4.2 million and $2.8 million, respectively. Foreign currency remeasurement gains, net of losses, for the three and nine months ended July 31, 2023 were $2.0 million and $4.4 million, respectively. Foreign currency remeasurement gain and loss impacts have been included as an adjustment to non-GAAP earnings measures for the current quarter and for prior period results. We have begun adjusting our non-GAAP earnings to exclude foreign currency remeasurement gains and losses due to volatility in foreign currency.</w:t>
            </w:r>
          </w:p>
        </w:tc>
      </w:tr>
    </w:tbl>
    <w:tbl>
      <w:tblPr>
        <w:tblW w:w="6948" w:type="dxa"/>
        <w:jc w:val="left"/>
        <w:tblInd w:w="0" w:type="dxa"/>
        <w:tblLayout w:type="fixed"/>
        <w:tblCellMar>
          <w:top w:w="0" w:type="dxa"/>
          <w:left w:w="0" w:type="dxa"/>
          <w:bottom w:w="0" w:type="dxa"/>
          <w:right w:w="0" w:type="dxa"/>
        </w:tblCellMar>
      </w:tblPr>
      <w:tblGrid>
        <w:gridCol w:w="23"/>
        <w:gridCol w:w="245"/>
        <w:gridCol w:w="66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6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impact of non-GAAP adjustments are based on effective year-to-date tax rates.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Calavo Growers,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Page </w:t>
      </w:r>
      <w:r>
        <w:rPr>
          <w:rFonts w:ascii="Times New Roman;Times;serif" w:hAnsi="Times New Roman;Times;serif"/>
          <w:b/>
          <w:i/>
          <w:sz w:val="20"/>
        </w:rPr>
        <w:t>11</w:t>
      </w:r>
      <w:r>
        <w:rPr>
          <w:rFonts w:ascii="Times New Roman;Times;serif" w:hAnsi="Times New Roman;Times;serif"/>
          <w:sz w:val="20"/>
        </w:rPr>
        <w:t xml:space="preserve"> </w:t>
      </w:r>
      <w:r>
        <w:rPr>
          <w:rFonts w:ascii="Times New Roman;Times;serif" w:hAnsi="Times New Roman;Times;serif"/>
          <w:i/>
          <w:sz w:val="20"/>
        </w:rPr>
        <w:t xml:space="preserve">of </w:t>
      </w:r>
      <w:r>
        <w:rPr>
          <w:rFonts w:ascii="Times New Roman;Times;serif" w:hAnsi="Times New Roman;Times;serif"/>
          <w:b/>
          <w:i/>
          <w:sz w:val="20"/>
        </w:rPr>
        <w:t>11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EBITDA FROM CONTINUING OPERATIONS AND ADJUSTED EBITDA FROM CONTINUING OPERATIONS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EBITDA from continuing operations and adjusted EBITDA from continuing operations, each a non-GAAP measure, and reconciles them to net income (loss) from continuing operations, which is the most directly comparable GAAP measure. See “Non-GAAP Financial Measures” earlier in this release.</w:t>
      </w:r>
    </w:p>
    <w:tbl>
      <w:tblPr>
        <w:tblW w:w="10205" w:type="dxa"/>
        <w:jc w:val="center"/>
        <w:tblInd w:w="0" w:type="dxa"/>
        <w:tblLayout w:type="fixed"/>
        <w:tblCellMar>
          <w:top w:w="0" w:type="dxa"/>
          <w:left w:w="0" w:type="dxa"/>
          <w:bottom w:w="0" w:type="dxa"/>
          <w:right w:w="0" w:type="dxa"/>
        </w:tblCellMar>
      </w:tblPr>
      <w:tblGrid>
        <w:gridCol w:w="4590"/>
        <w:gridCol w:w="326"/>
        <w:gridCol w:w="252"/>
        <w:gridCol w:w="810"/>
        <w:gridCol w:w="389"/>
        <w:gridCol w:w="252"/>
        <w:gridCol w:w="813"/>
        <w:gridCol w:w="326"/>
        <w:gridCol w:w="233"/>
        <w:gridCol w:w="748"/>
        <w:gridCol w:w="360"/>
        <w:gridCol w:w="233"/>
        <w:gridCol w:w="873"/>
      </w:tblGrid>
      <w:tr>
        <w:trPr/>
        <w:tc>
          <w:tcPr>
            <w:tcW w:w="4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914650" cy="175260"/>
                      <wp:effectExtent l="0" t="0" r="0" b="0"/>
                      <wp:wrapNone/>
                      <wp:docPr id="28" name="Frame27"/>
                      <a:graphic xmlns:a="http://schemas.openxmlformats.org/drawingml/2006/main">
                        <a:graphicData uri="http://schemas.microsoft.com/office/word/2010/wordprocessingShape">
                          <wps:wsp>
                            <wps:cNvSpPr txBox="1"/>
                            <wps:spPr>
                              <a:xfrm>
                                <a:off x="0" y="0"/>
                                <a:ext cx="291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60020" cy="175260"/>
                      <wp:effectExtent l="0" t="0" r="0" b="0"/>
                      <wp:wrapNone/>
                      <wp:docPr id="30" name="Frame2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14350" cy="175260"/>
                      <wp:effectExtent l="0" t="0" r="0" b="0"/>
                      <wp:wrapNone/>
                      <wp:docPr id="31" name="Frame30"/>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47015" cy="175260"/>
                      <wp:effectExtent l="0" t="0" r="0" b="0"/>
                      <wp:wrapNone/>
                      <wp:docPr id="32" name="Frame31"/>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60020" cy="175260"/>
                      <wp:effectExtent l="0" t="0" r="0" b="0"/>
                      <wp:wrapNone/>
                      <wp:docPr id="33" name="Frame3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16255" cy="175260"/>
                      <wp:effectExtent l="0" t="0" r="0" b="0"/>
                      <wp:wrapNone/>
                      <wp:docPr id="34" name="Frame33"/>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7955" cy="175260"/>
                      <wp:effectExtent l="0" t="0" r="0" b="0"/>
                      <wp:wrapNone/>
                      <wp:docPr id="36" name="Frame3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74980" cy="175260"/>
                      <wp:effectExtent l="0" t="0" r="0" b="0"/>
                      <wp:wrapNone/>
                      <wp:docPr id="37" name="Frame36"/>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28600" cy="175260"/>
                      <wp:effectExtent l="0" t="0" r="0" b="0"/>
                      <wp:wrapNone/>
                      <wp:docPr id="38" name="Frame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7955" cy="175260"/>
                      <wp:effectExtent l="0" t="0" r="0" b="0"/>
                      <wp:wrapNone/>
                      <wp:docPr id="39" name="Frame3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54355" cy="175260"/>
                      <wp:effectExtent l="0" t="0" r="0" b="0"/>
                      <wp:wrapNone/>
                      <wp:docPr id="40" name="Frame39"/>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Three months ended</w:t>
            </w:r>
            <w:r>
              <w:rPr>
                <w:rFonts w:ascii="Times New Roman;Times;serif" w:hAnsi="Times New Roman;Times;serif"/>
                <w:sz w:val="20"/>
              </w:rPr>
              <w:t> </w:t>
            </w:r>
            <w:r>
              <w:rPr>
                <w:rFonts w:ascii="Times New Roman;Times;serif" w:hAnsi="Times New Roman;Times;serif"/>
                <w:b/>
                <w:sz w:val="20"/>
              </w:rPr>
              <w:t>July 31,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4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Nine months ended</w:t>
            </w:r>
            <w:r>
              <w:rPr>
                <w:rFonts w:ascii="Times New Roman;Times;serif" w:hAnsi="Times New Roman;Times;serif"/>
                <w:sz w:val="20"/>
              </w:rPr>
              <w:t> </w:t>
            </w:r>
            <w:r>
              <w:rPr>
                <w:rFonts w:ascii="Times New Roman;Times;serif" w:hAnsi="Times New Roman;Times;serif"/>
                <w:b/>
                <w:sz w:val="20"/>
              </w:rPr>
              <w:t>July 31,</w:t>
            </w:r>
          </w:p>
        </w:tc>
      </w:tr>
      <w:tr>
        <w:trPr/>
        <w:tc>
          <w:tcPr>
            <w:tcW w:w="45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110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4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5,365</w:t>
            </w:r>
          </w:p>
        </w:tc>
        <w:tc>
          <w:tcPr>
            <w:tcW w:w="389" w:type="dxa"/>
            <w:tcBorders/>
            <w:shd w:fill="CCEEFF" w:val="clear"/>
            <w:vAlign w:val="center"/>
          </w:tcPr>
          <w:p>
            <w:pPr>
              <w:pStyle w:val="TableContents"/>
              <w:bidi w:val="0"/>
              <w:spacing w:before="0" w:after="0"/>
              <w:ind w:left="0" w:right="0" w:hanging="0"/>
              <w:jc w:val="left"/>
              <w:rPr/>
            </w:pPr>
            <w:r>
              <w:rPr/>
              <w:t>​</w:t>
            </w:r>
          </w:p>
        </w:tc>
        <w:tc>
          <w:tcPr>
            <w:tcW w:w="25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8,737</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9,298</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9,739</w:t>
            </w:r>
          </w:p>
        </w:tc>
      </w:tr>
      <w:tr>
        <w:trPr/>
        <w:tc>
          <w:tcPr>
            <w:tcW w:w="4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Net loss (income) attributable to noncontrolling interest</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r>
      <w:tr>
        <w:trPr/>
        <w:tc>
          <w:tcPr>
            <w:tcW w:w="4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continuing operations attributable to Calavo Growers, Inc.</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1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5,395</w:t>
            </w:r>
          </w:p>
        </w:tc>
        <w:tc>
          <w:tcPr>
            <w:tcW w:w="389" w:type="dxa"/>
            <w:tcBorders/>
            <w:shd w:fill="CCEEFF" w:val="clear"/>
            <w:vAlign w:val="center"/>
          </w:tcPr>
          <w:p>
            <w:pPr>
              <w:pStyle w:val="TableContents"/>
              <w:bidi w:val="0"/>
              <w:spacing w:before="0" w:after="0"/>
              <w:ind w:left="0" w:right="0" w:hanging="0"/>
              <w:jc w:val="left"/>
              <w:rPr/>
            </w:pPr>
            <w:r>
              <w:rPr/>
              <w:t>​</w:t>
            </w:r>
          </w:p>
        </w:tc>
        <w:tc>
          <w:tcPr>
            <w:tcW w:w="25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1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8,655</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4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9,281</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7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9,349</w:t>
            </w:r>
          </w:p>
        </w:tc>
      </w:tr>
      <w:tr>
        <w:trPr/>
        <w:tc>
          <w:tcPr>
            <w:tcW w:w="4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8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4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c>
          <w:tcPr>
            <w:tcW w:w="38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w:t>
            </w:r>
          </w:p>
        </w:tc>
      </w:tr>
      <w:tr>
        <w:trPr/>
        <w:tc>
          <w:tcPr>
            <w:tcW w:w="4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w:t>
            </w:r>
          </w:p>
        </w:tc>
        <w:tc>
          <w:tcPr>
            <w:tcW w:w="38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w:t>
            </w:r>
          </w:p>
        </w:tc>
      </w:tr>
      <w:tr>
        <w:trPr/>
        <w:tc>
          <w:tcPr>
            <w:tcW w:w="4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2,011</w:t>
            </w:r>
          </w:p>
        </w:tc>
        <w:tc>
          <w:tcPr>
            <w:tcW w:w="38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6,121</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w:t>
            </w:r>
          </w:p>
        </w:tc>
      </w:tr>
      <w:tr>
        <w:trPr/>
        <w:tc>
          <w:tcPr>
            <w:tcW w:w="4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4,198</w:t>
            </w:r>
          </w:p>
        </w:tc>
      </w:tr>
      <w:tr>
        <w:trPr/>
        <w:tc>
          <w:tcPr>
            <w:tcW w:w="4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 from 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7,086</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14,629</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18,939</w:t>
            </w:r>
          </w:p>
        </w:tc>
        <w:tc>
          <w:tcPr>
            <w:tcW w:w="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23,470</w:t>
            </w:r>
          </w:p>
        </w:tc>
      </w:tr>
      <w:tr>
        <w:trPr/>
        <w:tc>
          <w:tcPr>
            <w:tcW w:w="45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1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25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1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4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7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r>
      <w:tr>
        <w:trPr/>
        <w:tc>
          <w:tcPr>
            <w:tcW w:w="4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(income) loss recognized from unconsolidated entities (a)</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8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losses and charges related to property, plant and equipment (b)</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4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Restructure costs - consulting and management recruiting and severance (c)</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8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3,626</w:t>
            </w:r>
          </w:p>
        </w:tc>
      </w:tr>
      <w:tr>
        <w:trPr/>
        <w:tc>
          <w:tcPr>
            <w:tcW w:w="4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(recovery) related to Mexican tax matters (d)</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8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w:t>
            </w:r>
          </w:p>
        </w:tc>
      </w:tr>
      <w:tr>
        <w:trPr/>
        <w:tc>
          <w:tcPr>
            <w:tcW w:w="4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settlement and related expenses (e)</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8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4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 related to internal investigation (f)</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c>
          <w:tcPr>
            <w:tcW w:w="38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6,431</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4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 (gain) (g)</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2,799</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r>
      <w:tr>
        <w:trPr/>
        <w:tc>
          <w:tcPr>
            <w:tcW w:w="4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from 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13,488</w:t>
            </w:r>
          </w:p>
        </w:tc>
        <w:tc>
          <w:tcPr>
            <w:tcW w:w="3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13,001</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30,320</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24,727</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prior page for footnote references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5305</Words>
  <Characters>29237</Characters>
  <CharactersWithSpaces>34938</CharactersWithSpaces>
  <Paragraphs>1809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