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54" w:lineRule="exact"/>
        <w:rPr>
          <w:sz w:val="24"/>
          <w:szCs w:val="24"/>
          <w:color w:val="auto"/>
        </w:rPr>
      </w:pPr>
    </w:p>
    <w:p>
      <w:pPr>
        <w:ind w:left="3650" w:right="1980" w:hanging="3650"/>
        <w:spacing w:after="0" w:line="337" w:lineRule="auto"/>
        <w:tabs>
          <w:tab w:leader="none" w:pos="322"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2022</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1" w:lineRule="exact"/>
        <w:rPr>
          <w:sz w:val="24"/>
          <w:szCs w:val="24"/>
          <w:color w:val="auto"/>
        </w:rPr>
      </w:pPr>
    </w:p>
    <w:p>
      <w:pPr>
        <w:ind w:left="3870" w:right="1640" w:hanging="3870"/>
        <w:spacing w:after="0" w:line="338" w:lineRule="auto"/>
        <w:tabs>
          <w:tab w:leader="none" w:pos="329"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000-33385</w:t>
      </w:r>
    </w:p>
    <w:p>
      <w:pPr>
        <w:spacing w:after="0" w:line="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1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0" w:lineRule="exact"/>
        <w:rPr>
          <w:sz w:val="24"/>
          <w:szCs w:val="24"/>
          <w:color w:val="auto"/>
        </w:rPr>
      </w:pPr>
    </w:p>
    <w:tbl>
      <w:tblPr>
        <w:tblLayout w:type="fixed"/>
        <w:tblInd w:w="830" w:type="dxa"/>
        <w:tblCellMar>
          <w:top w:w="0" w:type="dxa"/>
          <w:left w:w="0" w:type="dxa"/>
          <w:bottom w:w="0" w:type="dxa"/>
          <w:right w:w="0" w:type="dxa"/>
        </w:tblCellMar>
      </w:tblPr>
      <w:tr>
        <w:trPr>
          <w:trHeight w:val="196"/>
        </w:trPr>
        <w:tc>
          <w:tcPr>
            <w:tcW w:w="4620" w:type="dxa"/>
            <w:vAlign w:val="bottom"/>
          </w:tcPr>
          <w:p>
            <w:pPr>
              <w:jc w:val="center"/>
              <w:ind w:right="1084"/>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326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188"/>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(State of other jurisdiction of incorporation or organization)</w:t>
            </w:r>
          </w:p>
        </w:tc>
        <w:tc>
          <w:tcPr>
            <w:tcW w:w="32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5"/>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6"/>
                <w:szCs w:val="16"/>
                <w:b w:val="1"/>
                <w:bCs w:val="1"/>
                <w:color w:val="auto"/>
              </w:rPr>
              <w:t>1141-A Cummings Road, Santa Paula, CA</w:t>
            </w:r>
          </w:p>
        </w:tc>
        <w:tc>
          <w:tcPr>
            <w:tcW w:w="326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88"/>
        </w:trPr>
        <w:tc>
          <w:tcPr>
            <w:tcW w:w="4620" w:type="dxa"/>
            <w:vAlign w:val="bottom"/>
          </w:tcPr>
          <w:p>
            <w:pPr>
              <w:jc w:val="center"/>
              <w:ind w:right="110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0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525-1245</w:t>
      </w:r>
    </w:p>
    <w:p>
      <w:pPr>
        <w:spacing w:after="0" w:line="15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49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6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88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Pr>
          <w:p>
            <w:pPr>
              <w:spacing w:after="0"/>
              <w:rPr>
                <w:sz w:val="15"/>
                <w:szCs w:val="15"/>
                <w:color w:val="auto"/>
              </w:rPr>
            </w:pPr>
          </w:p>
        </w:tc>
        <w:tc>
          <w:tcPr>
            <w:tcW w:w="2000" w:type="dxa"/>
            <w:vAlign w:val="bottom"/>
            <w:gridSpan w:val="2"/>
          </w:tcPr>
          <w:p>
            <w:pPr>
              <w:jc w:val="center"/>
              <w:ind w:right="7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0" w:type="dxa"/>
            <w:vAlign w:val="bottom"/>
          </w:tcPr>
          <w:p>
            <w:pPr>
              <w:spacing w:after="0"/>
              <w:rPr>
                <w:sz w:val="15"/>
                <w:szCs w:val="15"/>
                <w:color w:val="auto"/>
              </w:rPr>
            </w:pPr>
          </w:p>
        </w:tc>
        <w:tc>
          <w:tcPr>
            <w:tcW w:w="176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7"/>
        </w:trPr>
        <w:tc>
          <w:tcPr>
            <w:tcW w:w="44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tc>
        <w:tc>
          <w:tcPr>
            <w:tcW w:w="200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CVGW</w:t>
            </w:r>
          </w:p>
        </w:tc>
        <w:tc>
          <w:tcPr>
            <w:tcW w:w="2760" w:type="dxa"/>
            <w:vAlign w:val="bottom"/>
            <w:gridSpan w:val="3"/>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25" w:lineRule="exact"/>
        <w:rPr>
          <w:sz w:val="24"/>
          <w:szCs w:val="24"/>
          <w:color w:val="auto"/>
        </w:rPr>
      </w:pPr>
    </w:p>
    <w:p>
      <w:pPr>
        <w:ind w:left="291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60" w:lineRule="exact"/>
        <w:rPr>
          <w:sz w:val="24"/>
          <w:szCs w:val="24"/>
          <w:color w:val="auto"/>
        </w:rPr>
      </w:pPr>
    </w:p>
    <w:p>
      <w:pPr>
        <w:ind w:left="25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 w:lineRule="exact"/>
        <w:rPr>
          <w:sz w:val="24"/>
          <w:szCs w:val="24"/>
          <w:color w:val="auto"/>
        </w:rPr>
      </w:pPr>
    </w:p>
    <w:p>
      <w:pPr>
        <w:ind w:left="250"/>
        <w:spacing w:after="0" w:line="161" w:lineRule="exact"/>
        <w:tabs>
          <w:tab w:leader="none" w:pos="73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5" w:lineRule="exact"/>
        <w:rPr>
          <w:sz w:val="24"/>
          <w:szCs w:val="24"/>
          <w:color w:val="auto"/>
        </w:rPr>
      </w:pPr>
    </w:p>
    <w:p>
      <w:pPr>
        <w:ind w:left="25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2" w:lineRule="exact"/>
        <w:rPr>
          <w:sz w:val="24"/>
          <w:szCs w:val="24"/>
          <w:color w:val="auto"/>
        </w:rPr>
      </w:pPr>
    </w:p>
    <w:p>
      <w:pPr>
        <w:ind w:left="250"/>
        <w:spacing w:after="0" w:line="161" w:lineRule="exact"/>
        <w:tabs>
          <w:tab w:leader="none" w:pos="73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5" w:lineRule="exact"/>
        <w:rPr>
          <w:sz w:val="24"/>
          <w:szCs w:val="24"/>
          <w:color w:val="auto"/>
        </w:rPr>
      </w:pPr>
    </w:p>
    <w:p>
      <w:pPr>
        <w:ind w:left="1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50" w:hanging="250"/>
        <w:spacing w:after="0" w:line="161" w:lineRule="exact"/>
        <w:tabs>
          <w:tab w:leader="none" w:pos="25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5" w:lineRule="exact"/>
        <w:rPr>
          <w:sz w:val="24"/>
          <w:szCs w:val="24"/>
          <w:color w:val="auto"/>
        </w:rPr>
      </w:pPr>
    </w:p>
    <w:p>
      <w:pPr>
        <w:ind w:left="10" w:right="260"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left="10" w:right="60" w:firstLine="25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10"/>
          </w:cols>
          <w:pgMar w:left="830" w:top="657" w:right="859" w:bottom="1440" w:gutter="0" w:footer="0" w:header="0"/>
        </w:sectPr>
      </w:pPr>
    </w:p>
    <w:p>
      <w:pPr>
        <w:spacing w:after="0" w:line="86" w:lineRule="exact"/>
        <w:rPr>
          <w:sz w:val="24"/>
          <w:szCs w:val="24"/>
          <w:color w:val="auto"/>
        </w:rPr>
      </w:pPr>
    </w:p>
    <w:p>
      <w:pPr>
        <w:ind w:left="29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26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7" w:lineRule="exact"/>
        <w:rPr>
          <w:sz w:val="24"/>
          <w:szCs w:val="24"/>
          <w:color w:val="auto"/>
        </w:rPr>
      </w:pPr>
    </w:p>
    <w:p>
      <w:pPr>
        <w:sectPr>
          <w:pgSz w:w="11900" w:h="16838" w:orient="portrait"/>
          <w:cols w:equalWidth="0" w:num="4">
            <w:col w:w="2070" w:space="720"/>
            <w:col w:w="1380" w:space="720"/>
            <w:col w:w="1860" w:space="720"/>
            <w:col w:w="2740"/>
          </w:cols>
          <w:pgMar w:left="830" w:top="657" w:right="859" w:bottom="1440" w:gutter="0" w:footer="0" w:header="0"/>
          <w:type w:val="continuous"/>
        </w:sectPr>
      </w:pPr>
    </w:p>
    <w:p>
      <w:pPr>
        <w:ind w:left="10" w:right="500"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0" w:lineRule="exact"/>
        <w:rPr>
          <w:sz w:val="24"/>
          <w:szCs w:val="24"/>
          <w:color w:val="auto"/>
        </w:rPr>
      </w:pPr>
    </w:p>
    <w:p>
      <w:pPr>
        <w:ind w:left="10" w:right="160" w:firstLine="259"/>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6" w:lineRule="exact"/>
        <w:rPr>
          <w:sz w:val="24"/>
          <w:szCs w:val="24"/>
          <w:color w:val="auto"/>
        </w:rPr>
      </w:pPr>
    </w:p>
    <w:p>
      <w:pPr>
        <w:ind w:left="25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9" w:lineRule="exact"/>
        <w:rPr>
          <w:sz w:val="24"/>
          <w:szCs w:val="24"/>
          <w:color w:val="auto"/>
        </w:rPr>
      </w:pPr>
    </w:p>
    <w:p>
      <w:pPr>
        <w:ind w:left="10" w:firstLine="259"/>
        <w:spacing w:after="0" w:line="233" w:lineRule="auto"/>
        <w:rPr>
          <w:sz w:val="20"/>
          <w:szCs w:val="20"/>
          <w:color w:val="auto"/>
        </w:rPr>
      </w:pPr>
      <w:r>
        <w:rPr>
          <w:rFonts w:ascii="Times New Roman" w:cs="Times New Roman" w:eastAsia="Times New Roman" w:hAnsi="Times New Roman"/>
          <w:sz w:val="14"/>
          <w:szCs w:val="14"/>
          <w:color w:val="auto"/>
        </w:rPr>
        <w:t>Based on the closing price as reported on The Nasdaq Global Select Market, the aggregate market value of the Registrant's common stock held by non-affiliates on April 30, 2022 (the last business day of the Registrant's most recently completed second fiscal quarter) was approximately $0.6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2022 was 17,731,661.</w:t>
      </w:r>
    </w:p>
    <w:p>
      <w:pPr>
        <w:spacing w:after="0" w:line="10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6" w:lineRule="exact"/>
        <w:rPr>
          <w:sz w:val="24"/>
          <w:szCs w:val="24"/>
          <w:color w:val="auto"/>
        </w:rPr>
      </w:pPr>
    </w:p>
    <w:p>
      <w:pPr>
        <w:ind w:left="10" w:right="80" w:firstLine="25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2023 Annual Meeting of Shareholders, which we intend to hold in late April, are incorporated by reference into Part III of this Form 10-K. The definitive Proxy Statement will be filed within 120 days after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461010</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10"/>
          </w:cols>
          <w:pgMar w:left="830" w:top="657" w:right="8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16" w:lineRule="exact"/>
        <w:rPr>
          <w:sz w:val="20"/>
          <w:szCs w:val="20"/>
          <w:color w:val="auto"/>
        </w:rPr>
      </w:pPr>
    </w:p>
    <w:p>
      <w:pPr>
        <w:ind w:left="40" w:right="99" w:firstLine="25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in Item 7, contains statements relating to future events and results of Calavo Growers, Inc. and its consolidated subsidiaries (collectively,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any statements regarding pending investigations, legal claims or tax disputes; any statements of expectation or belief; and any statements about future risks associated with doing business internationally (including possible restrictive U.S. and foreign governmental actions, such as restrictions on transfers of funds, restrictions as a result of COVID-19 and trade protection measures such as import/export/customs duties, tariffs and/or quotas).</w:t>
      </w:r>
    </w:p>
    <w:p>
      <w:pPr>
        <w:spacing w:after="0" w:line="192" w:lineRule="exact"/>
        <w:rPr>
          <w:sz w:val="20"/>
          <w:szCs w:val="20"/>
          <w:color w:val="auto"/>
        </w:rPr>
      </w:pPr>
    </w:p>
    <w:p>
      <w:pPr>
        <w:ind w:left="40" w:right="59" w:firstLine="259"/>
        <w:spacing w:after="0" w:line="251"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ability of our new management team, including future additions, to work together successfully; the impact of Project Uno initiatives discussed in this Annual Report on our business, results of operations, and financial condition, including uncertainty as to whether the desired effects will be achieved;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foodservice customers, increased costs, the impact of governmental trade restrictions imposed as a result of COVID-19 and the possible adverse impact of COVID-19 on our goodwill and other intangible assets; our ability to raise prices, particularly in our Prepared segment, to offset increases in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including personnel that have not yet been hired,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22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process and package guacamole and salsa and (iii) create, process and package a portfolio of healthy fresh foods including fresh-cut fruit and vegetables, and prepared foods including sandwiches, salads, parfaits and ready-to-eat snack items among other products. We distribute our products both domestically and internationally.</w:t>
      </w:r>
    </w:p>
    <w:p>
      <w:pPr>
        <w:spacing w:after="0" w:line="188"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On April 13, 2022, the Company announced its plans to reorganize its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fresh-cut fruits and vegetables, ready-to-eat sandwiches, wraps, salads and snacks, guacamole, and salsa sold at retail and food service as well as avocado pulp sold to foodservice. See Note 10 in our consolidated financial statements included elsewhere in this Annual Report on Form 10-K for further information about our business segments. Our principal executive offices are located at 1141-A Cummings Road, Santa Paula, California 93060; telephone (805) 525-1245.</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40" w:right="59" w:firstLine="259"/>
        <w:spacing w:after="0" w:line="274" w:lineRule="auto"/>
        <w:rPr>
          <w:sz w:val="20"/>
          <w:szCs w:val="20"/>
          <w:color w:val="auto"/>
        </w:rPr>
      </w:pPr>
      <w:r>
        <w:rPr>
          <w:rFonts w:ascii="Times New Roman" w:cs="Times New Roman" w:eastAsia="Times New Roman" w:hAnsi="Times New Roman"/>
          <w:sz w:val="17"/>
          <w:szCs w:val="17"/>
          <w:color w:val="auto"/>
        </w:rPr>
        <w:t>We maintain an Internet website at http://www.calavo.com. Our annual reports on Form 10-K, quarterly reports on Form 10-Q, current reports on Form 8-K and amendments to such reports filed or furnished pursuant to section 13(a) or 15(d) of the Securities Exchange Act of 1934, as amended, and other information related to us, are available, free of charge, on our website as soon as reasonably practicable after we electronically file those documents with, or otherwise furnish them to, the Securities and Exchange Commission (SEC). Our Internet website and the information contained therein, or connected thereto, is not and is not intended to be incorporated into this Annual Report on Form 10-K (this Annual Report).</w:t>
      </w:r>
    </w:p>
    <w:p>
      <w:pPr>
        <w:spacing w:after="0" w:line="173"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have a code of business conduct and ethics that applies to all employees, including our executive officers, as well as our Board of Directors. Our code of business conduct and ethics is available for review on our corporate website. We intend to disclose any changes in, or waivers from, this code by posting such information on the same website or by filing a Form 8-K, in each case to the extent such disclosure is required by rules of the SEC or Nasdaq.</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Grown</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was founded in 1924 to market California avocados. We sell avocados sourced from a variety of locations (including but not limited to California, Mexico, Peru, and Colombia) to a diverse group of retail grocers, foodservice operators, club stores, mass merchandisers, food distributors and wholesalers, under the Calavo family of brand labels, as well as private labels. Many of our customers desire consistent year-round supply across multiple sourcing locations, the ability to receive just-in-time deliveries at their desired level of ripeness and a variety of packaging and display options. In our judgment, these factors benefit large handlers like us, which have the ability to cultivate a variety of diverse sourcing relationships and the value-added/bagging capabilities, ripening assets and distribution infrastructure to meet the needs of these large nationwide accounts. We believe we have developed strong, long-term relationships with our customers that provide a solid base for our business.</w:t>
      </w:r>
    </w:p>
    <w:p>
      <w:pPr>
        <w:spacing w:after="0" w:line="188" w:lineRule="exact"/>
        <w:rPr>
          <w:sz w:val="20"/>
          <w:szCs w:val="20"/>
          <w:color w:val="auto"/>
        </w:rPr>
      </w:pPr>
    </w:p>
    <w:p>
      <w:pPr>
        <w:ind w:left="40" w:right="279" w:firstLine="259"/>
        <w:spacing w:after="0" w:line="312" w:lineRule="auto"/>
        <w:rPr>
          <w:sz w:val="20"/>
          <w:szCs w:val="20"/>
          <w:color w:val="auto"/>
        </w:rPr>
      </w:pPr>
      <w:r>
        <w:rPr>
          <w:rFonts w:ascii="Times New Roman" w:cs="Times New Roman" w:eastAsia="Times New Roman" w:hAnsi="Times New Roman"/>
          <w:sz w:val="17"/>
          <w:szCs w:val="17"/>
          <w:color w:val="auto"/>
        </w:rPr>
        <w:t>The Hass variety is the predominant avocado variety marketed on a worldwide basis. In California, the growing area stretches from San Diego County to Monterey County, with the majority of the growing areas located approximately 100</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40" w:right="139"/>
        <w:spacing w:after="0" w:line="254" w:lineRule="auto"/>
        <w:rPr>
          <w:sz w:val="20"/>
          <w:szCs w:val="20"/>
          <w:color w:val="auto"/>
        </w:rPr>
      </w:pPr>
      <w:r>
        <w:rPr>
          <w:rFonts w:ascii="Times New Roman" w:cs="Times New Roman" w:eastAsia="Times New Roman" w:hAnsi="Times New Roman"/>
          <w:sz w:val="18"/>
          <w:szCs w:val="18"/>
          <w:color w:val="auto"/>
        </w:rPr>
        <w:t>miles north and south of Los Angeles County. Generally, California grown Hass avocados are available year-round, with peak production periods occurring from April through August. In Mexico, we procure fruit from the growing regions of Michoacán and Jalisco. The Mexican avocado harvest is year-round (though generally most significant from September to June in Michoacán and from June to January for Jalisco). Other significant growing areas from which we have sourced avocados include Peru and Colombia. In fiscal 2022, the United States Department of Agriculture (USDA) approved the export of Jalisco avocados into the United States. The storage life of fresh avocados (once picked from the tree) is limited, typically ranging from one to four weeks depending upon the maturity of the fruit, the growing methods used, and the handling conditions in the distribution chain, including the utilization of controlled atmosphere during transport.</w:t>
      </w:r>
    </w:p>
    <w:p>
      <w:pPr>
        <w:spacing w:after="0" w:line="192" w:lineRule="exact"/>
        <w:rPr>
          <w:sz w:val="20"/>
          <w:szCs w:val="20"/>
          <w:color w:val="auto"/>
        </w:rPr>
      </w:pPr>
    </w:p>
    <w:p>
      <w:pPr>
        <w:ind w:left="40" w:right="79" w:firstLine="259"/>
        <w:spacing w:after="0" w:line="252" w:lineRule="auto"/>
        <w:rPr>
          <w:sz w:val="20"/>
          <w:szCs w:val="20"/>
          <w:color w:val="auto"/>
        </w:rPr>
      </w:pPr>
      <w:r>
        <w:rPr>
          <w:rFonts w:ascii="Times New Roman" w:cs="Times New Roman" w:eastAsia="Times New Roman" w:hAnsi="Times New Roman"/>
          <w:sz w:val="18"/>
          <w:szCs w:val="18"/>
          <w:color w:val="auto"/>
        </w:rPr>
        <w:t>Avocados delivered to our packinghouses are graded, sized, packed and cooled. The actual size and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field-managers is used by our sales department to prepare sales plans used by our direct sales force. The process by which avocados are purchased from growers differs slightly across our different sourcing regions. In California, avocado growers are provided daily field quotes, on a per pound basis, for most fruit. These quotes are based on the variety, size, and grade of California avocados and are calculated based on our expectations of how much we believe we will sell the fruit for, less our anticipated costs and desired margin. Ultimately, we pay/settle with our California growers once a month. The purchase price we pay for fruit acquired from Mexican growers is generally negotiated for substantially all the fruit in a particular grove. The Mexican avocado crop will typically have three to four blooms in a single year. Once a purchase price is agreed to on a daily basis, the fruit is then harvested and delivered to our packinghouses located in Mexico. Based on the size and quality of the fruit harvested, the final settlement with the grower on the respective day’s harvest takes place approximately 14 to 21 days later. We also purchase fruit directly from third-party Mexican packers as a supplemental source to balance inventory or fulfill priority sales orders. In such cases, the already packed fruit may not be packed in a Calavo label but will be packed to our standards for shipment to either our customers’ or our operating facilities. Peruvian and Colombian avocados are primarily handled on a consignment basis, in which the price we pay for the fruit is usually calculated as a percentage of the net selling price less certain charges for distribution and value-added services.</w:t>
      </w:r>
    </w:p>
    <w:p>
      <w:pPr>
        <w:spacing w:after="0" w:line="192"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Apart from the cost of fruit and freight costs, which are generally passed on to our customer, significant portions of our avocado handling costs are fixed. As a result, significant fluctuations in the volume of avocados delivered have a considerable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crops. We believe that our continued success in marketing avocados is largely dependent upon securing a reliable, high-quality supply of avocados at reasonable prices, and keeping the handling costs low as we ship avocados to our packinghouses and distribution centers and, ultimately, customers. We are subject to USDA, Mexican Secretary of Agriculture, Livestock, Rural Development, Fisheries and Food/Plant Protection (SAGARPA) and other regulatory inspections to ensure the safety and the quality of the fruit being delivered.</w:t>
      </w:r>
    </w:p>
    <w:p>
      <w:pPr>
        <w:spacing w:after="0" w:line="154" w:lineRule="exact"/>
        <w:rPr>
          <w:sz w:val="20"/>
          <w:szCs w:val="20"/>
          <w:color w:val="auto"/>
        </w:rPr>
      </w:pPr>
    </w:p>
    <w:p>
      <w:pPr>
        <w:ind w:left="40" w:right="659" w:firstLine="259"/>
        <w:spacing w:after="0" w:line="282" w:lineRule="auto"/>
        <w:rPr>
          <w:sz w:val="20"/>
          <w:szCs w:val="20"/>
          <w:color w:val="auto"/>
        </w:rPr>
      </w:pPr>
      <w:r>
        <w:rPr>
          <w:rFonts w:ascii="Times New Roman" w:cs="Times New Roman" w:eastAsia="Times New Roman" w:hAnsi="Times New Roman"/>
          <w:sz w:val="18"/>
          <w:szCs w:val="18"/>
          <w:color w:val="auto"/>
        </w:rPr>
        <w:t>We have also developed a series of value-added programs that are designed to offer products and services to our customers that meet their various needs. Some of these key programs are as follows:</w:t>
      </w:r>
    </w:p>
    <w:p>
      <w:pPr>
        <w:spacing w:after="0" w:line="162" w:lineRule="exact"/>
        <w:rPr>
          <w:sz w:val="20"/>
          <w:szCs w:val="20"/>
          <w:color w:val="auto"/>
        </w:rPr>
      </w:pPr>
    </w:p>
    <w:p>
      <w:pPr>
        <w:ind w:left="660" w:right="99" w:hanging="333"/>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Ripening: Retailers require that their avocados meet strict quality and ripeness specifications and we believe that our nationwide ripening infrastructure using the latest technology and experienced avocado handling workforce best position us to service those customers. We believe that ripened avocados help our customers fulfill customer needs and accelerate the sale of avocados through their stores.</w:t>
      </w:r>
    </w:p>
    <w:p>
      <w:pPr>
        <w:spacing w:after="0" w:line="179" w:lineRule="exact"/>
        <w:rPr>
          <w:rFonts w:ascii="Times New Roman" w:cs="Times New Roman" w:eastAsia="Times New Roman" w:hAnsi="Times New Roman"/>
          <w:sz w:val="18"/>
          <w:szCs w:val="18"/>
          <w:color w:val="auto"/>
        </w:rPr>
      </w:pPr>
    </w:p>
    <w:p>
      <w:pPr>
        <w:ind w:left="660" w:right="339" w:hanging="333"/>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Packaging: 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The avocado market is highly competitive with many avocado marketers and/or importers, such as Calavo, seeking to source avocados from independent, USDA certified growers worldwide. Based on the information we have from various industry sources, we believe that Calavo is consistently among the largest avocado marketers in the United States (US) from a volume, sales and profitability perspective. We attribute our position as one of the top avocado distributors to our sourcing competitiveness and to the communication and service we maintain with our growers. In addition, we believe our diversified, product assortment, consistent product quality and value-added programs provide us with a competitive advantage in servicing retail and foodservice customers.</w:t>
      </w:r>
    </w:p>
    <w:p>
      <w:pPr>
        <w:spacing w:after="0" w:line="189"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Our Grown business segment also markets and distributes other perishable food products, such as tomatoes and papayas (Other Fresh Products). Tomatoes are primarily handled on a consigned basis, while papayas are handled on a pooling basis, generally at a fixed fee per papaya delivered. Sales of our Other Fresh Products generally experience fluctuations related to seasonality. We believe our efforts in distributing other types of fruit complement our offerings of avocados.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Prepared</w:t>
      </w:r>
    </w:p>
    <w:p>
      <w:pPr>
        <w:spacing w:after="0" w:line="229" w:lineRule="exact"/>
        <w:rPr>
          <w:sz w:val="20"/>
          <w:szCs w:val="20"/>
          <w:color w:val="auto"/>
        </w:rPr>
      </w:pPr>
    </w:p>
    <w:p>
      <w:pPr>
        <w:ind w:left="40" w:right="119" w:firstLine="225"/>
        <w:spacing w:after="0" w:line="256" w:lineRule="auto"/>
        <w:rPr>
          <w:sz w:val="20"/>
          <w:szCs w:val="20"/>
          <w:color w:val="auto"/>
        </w:rPr>
      </w:pPr>
      <w:r>
        <w:rPr>
          <w:rFonts w:ascii="Times New Roman" w:cs="Times New Roman" w:eastAsia="Times New Roman" w:hAnsi="Times New Roman"/>
          <w:sz w:val="18"/>
          <w:szCs w:val="18"/>
          <w:color w:val="auto"/>
        </w:rPr>
        <w:t>Prepared products include prepared avocado products (including both frozen and fresh guacamole), salsa, fresh-cut fruit and vegetables, fresh prepared entrée salads, wraps, sandwiches, parfaits and fresh snacking products, as well as ready-to-heat entrees and other hot bar and various deli items, meals kit components and salad kits. Convenient, ready-to-eat fruits and vegetables have continued to grow faster than their broader produce categories as consumers increasingly place value on the convenient nature of these products. Our Prepared segment has also expanded its capacity to provide products for a larger portion of the fresh deli department.</w:t>
      </w:r>
    </w:p>
    <w:p>
      <w:pPr>
        <w:spacing w:after="0" w:line="18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Our Prepared segment consists of our prepared avocado products division and our fresh-cut division. We utilize ultra-high pressure technology equipment on all of our guacamole products, which is designed to protect and safeguard foods, without the need of preservatives. This procedure substantially destroys the cells of any bacteria that could lead to spoilage, food safety, or oxidation issues, without affecting the taste profile of the finished product. Once the procedure is complete, our packaged guacamole can be frozen to ensure a longer shelf-life or shipped fresh to customers in the U.S and abroad. While the majority of our prepared avocado products are produced in our Uruapan, Mexico production facility, we also often utilize high-quality co-packers (using similar ultra-high pressure technology), to produce some of our retail and foodservice products.</w:t>
      </w:r>
    </w:p>
    <w:p>
      <w:pPr>
        <w:spacing w:after="0" w:line="192"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As a leader in refrigerated fresh packaged foods, we utilize a network of company-operated and independently-operated USDA and organic certified fresh food facilities strategically located across the U.S. These facilities allow us to offer national retailers high quality, refrigerated fresh foods that can generally be delivered within hours from time of production. Consumer demand is high for quality refrigerated fresh packaged foods and our speed to market, product innovation and broad product portfolio position the Company well to serve retailers addressing this consumer trend. Our prepared products include fresh-cut fruit and vegetables, fresh prepared entrée salads, wraps, sandwiches, parfaits and fresh snacking products, as well as ready-to-heat entrees and other hot bar and various deli items, meals kits and related components and salad kits. Our products are marketed under the Garden Highway Fresh Cut, Garden Highway, and Garden Highway Chef Essentials brands, as well as store-brand, private label programs.</w:t>
      </w:r>
    </w:p>
    <w:p>
      <w:pPr>
        <w:spacing w:after="0" w:line="188" w:lineRule="exact"/>
        <w:rPr>
          <w:sz w:val="20"/>
          <w:szCs w:val="20"/>
          <w:color w:val="auto"/>
        </w:rPr>
      </w:pPr>
    </w:p>
    <w:p>
      <w:pPr>
        <w:ind w:left="40" w:right="439" w:firstLine="225"/>
        <w:spacing w:after="0" w:line="266" w:lineRule="auto"/>
        <w:rPr>
          <w:sz w:val="20"/>
          <w:szCs w:val="20"/>
          <w:color w:val="auto"/>
        </w:rPr>
      </w:pPr>
      <w:r>
        <w:rPr>
          <w:rFonts w:ascii="Times New Roman" w:cs="Times New Roman" w:eastAsia="Times New Roman" w:hAnsi="Times New Roman"/>
          <w:sz w:val="18"/>
          <w:szCs w:val="18"/>
          <w:color w:val="auto"/>
        </w:rPr>
        <w:t>For fiscal 2023, with plans to invest in added capacity, we believe our capacity will be sufficient for our expected growth. We believe that our marketing strength is distinguished by providing quality products, innovation, year-round product availability, strategically located warehouses, and market relationships.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 and Product Category</w:t>
      </w:r>
    </w:p>
    <w:p>
      <w:pPr>
        <w:spacing w:after="0" w:line="229" w:lineRule="exact"/>
        <w:rPr>
          <w:sz w:val="20"/>
          <w:szCs w:val="20"/>
          <w:color w:val="auto"/>
        </w:rPr>
      </w:pPr>
    </w:p>
    <w:p>
      <w:pPr>
        <w:ind w:left="40" w:right="679" w:firstLine="259"/>
        <w:spacing w:after="0" w:line="282" w:lineRule="auto"/>
        <w:rPr>
          <w:sz w:val="20"/>
          <w:szCs w:val="20"/>
          <w:color w:val="auto"/>
        </w:rPr>
      </w:pPr>
      <w:r>
        <w:rPr>
          <w:rFonts w:ascii="Times New Roman" w:cs="Times New Roman" w:eastAsia="Times New Roman" w:hAnsi="Times New Roman"/>
          <w:sz w:val="18"/>
          <w:szCs w:val="18"/>
          <w:color w:val="auto"/>
        </w:rPr>
        <w:t>Sales and other financial information by business segment are provided in Note 10 to our consolidated financial statements that are included in this Annual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Our trademarks include the Calavo brand name and related logos. We also utilize the following trademarks in conducting our business: Avo Fresco, Bueno, Calavo Gold, Calavo Salsa Lisa, Salsa Lisa, Celebrate the Taste, El Dorado, Fresh Ripe, Select, Taste of Paradise, The First Name in Avocados, Tico, Mfresh, Maui Fresh International, Triggered Avocados, ProRipeVIP™, RIPE NOW!, Renaissance Food Group, Garden Highway Fresh Cut, Garden Highway, and Garden Highway Chef Essentials.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229"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We generally bridge the timing between vendor payments and customer receipts (our working capital needs) by using operating cash flows and commercial bank borrowings. In addition, from time to time we provide crop loans and other advances to some of our growers, which are also funded through operating cash flows and borrowings.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559" w:firstLine="259"/>
        <w:spacing w:after="0" w:line="282" w:lineRule="auto"/>
        <w:rPr>
          <w:sz w:val="20"/>
          <w:szCs w:val="20"/>
          <w:color w:val="auto"/>
        </w:rPr>
      </w:pPr>
      <w:r>
        <w:rPr>
          <w:rFonts w:ascii="Times New Roman" w:cs="Times New Roman" w:eastAsia="Times New Roman" w:hAnsi="Times New Roman"/>
          <w:sz w:val="18"/>
          <w:szCs w:val="18"/>
          <w:color w:val="auto"/>
        </w:rPr>
        <w:t>Our Grown and Prepared customers do not place product orders significantly in advance of the requested product delivery dates.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Our research and development for new and improved products, which is generally driven by customer requests, changes in product specifications, customer and market research and/or innovative ideas generated by our own team of experts with food processing and culinary backgrounds. We solicit customer and supplier input, review process and product trends and conduct sensory and shelf life testing, all to expand the category and drive new sales for our customers. Research and development costs are charged to expense when incurred. Total research and development costs for fiscal years 2022, 2021 and 2020 were approximately $0.1 million, $0.3 million and $0.7 million.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229"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As a purchaser, manufacturer, distributor, marketer, and advertiser of food products, our operations are subject to extensive regulation by various federal government agencies, including the U.S.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the distribution, safety, purity and labeling of food products. In addition, our operations are subject to certain employment health and safety regulations, including those issued under the Occupational Safety and Health Act (OSHA). Our packinghouse facilities and products are subject to periodic inspection by federal, state and local authorities, including the FDA and the California Department of Food and Agriculture (CFDA), which oversees weights &amp; measures compliance at our California facilities. All of our US facilities are also in compliance with the FDA’s Food Safety Modernization Act (FSMA). In addition, our operations in Mexico are subject to Mexican regulations through the SAGARPA.</w:t>
      </w:r>
    </w:p>
    <w:p>
      <w:pPr>
        <w:spacing w:after="0" w:line="192" w:lineRule="exact"/>
        <w:rPr>
          <w:sz w:val="20"/>
          <w:szCs w:val="20"/>
          <w:color w:val="auto"/>
        </w:rPr>
      </w:pPr>
    </w:p>
    <w:p>
      <w:pPr>
        <w:ind w:left="40" w:right="599" w:firstLine="259"/>
        <w:spacing w:after="0" w:line="282" w:lineRule="auto"/>
        <w:rPr>
          <w:sz w:val="20"/>
          <w:szCs w:val="20"/>
          <w:color w:val="auto"/>
        </w:rPr>
      </w:pPr>
      <w:r>
        <w:rPr>
          <w:rFonts w:ascii="Times New Roman" w:cs="Times New Roman" w:eastAsia="Times New Roman" w:hAnsi="Times New Roman"/>
          <w:sz w:val="18"/>
          <w:szCs w:val="18"/>
          <w:color w:val="auto"/>
        </w:rPr>
        <w:t>As a large importer of perishable products in the US, Calavo was an early adopter of the U.S. Customs &amp; Border Protection’s C-TPAT certification programs for monitoring and expediting all imports to the US.</w:t>
      </w:r>
    </w:p>
    <w:p>
      <w:pPr>
        <w:spacing w:after="0" w:line="162"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As a purchaser and manufacturer of perishable agricultural commodities, we are subject to, and compliant with, USDA’s Perishable Agricultural Commodities Act. 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8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As of October 31, 2022, we had 3,266 employees, of which 1,464 were located in the United States and 1,802 were located in Mexico. We do not have a significant number of United States employees covered by a collective bargaining agreement. Approximately 1,600 of Calavo's Mexican employees are represented by a union. We consider the relationship with our employees to be good and we have never experienced a significant work stoppage.</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a summary of the number of "salaried" and "hourly" employees as of October 31,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Salaried</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Hourly</w:t>
            </w: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09"/>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Form 10-K. Any of the following risks could materially and adversely affect our results of operations or financial condition. The following risk factors should be read in conjunction with Part II, Item 7, “Management’s Discussion and Analysis of Financial Condition and Results of Operations” and the Consolidated Financial Statements and related notes in Part II, Item 8, “Financial Statements and Supplementary Data” of this Form 10-K.</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227" w:lineRule="exact"/>
        <w:rPr>
          <w:sz w:val="20"/>
          <w:szCs w:val="20"/>
          <w:color w:val="auto"/>
        </w:rPr>
      </w:pPr>
    </w:p>
    <w:p>
      <w:pPr>
        <w:ind w:left="40" w:right="159"/>
        <w:spacing w:after="0" w:line="284" w:lineRule="auto"/>
        <w:rPr>
          <w:sz w:val="20"/>
          <w:szCs w:val="20"/>
          <w:color w:val="auto"/>
        </w:rPr>
      </w:pPr>
      <w:r>
        <w:rPr>
          <w:rFonts w:ascii="Times New Roman" w:cs="Times New Roman" w:eastAsia="Times New Roman" w:hAnsi="Times New Roman"/>
          <w:sz w:val="18"/>
          <w:szCs w:val="18"/>
          <w:i w:val="1"/>
          <w:iCs w:val="1"/>
          <w:color w:val="212529"/>
        </w:rPr>
        <w:t>The COVID-19 pandemic and resulting worldwide economic conditions adversely affected, and may continue to adversely affect, our business operations, financial condition, results of operations, and cash flows.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Manufacturing and Supply Chain Disruption</w:t>
      </w:r>
    </w:p>
    <w:p>
      <w:pPr>
        <w:spacing w:after="0" w:line="227"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Outbreaks of contagious diseases, including the ongoing COVID-19 outbreak and pandemic, and other adverse public health developments in countries and states where we operate, have had and may continue to have an adverse effect on our business and financial condition, as well as cause operational challenges in the manufacturing of our products and the operation of the related supply chains supporting our ability to deliver our products to the consumer. These effects include a potential negative impact on the availability of our key personnel; disruptions of our facilities or facilities of our members, business partners, customers, suppliers, third-party service providers or other vendors; and interruption of domestic and global supply chains, distribution channels, liquidity and capital or financial markets. Restrictions on or disruptions of transportation, border controls and closures, and other impacts on domestic and global supply chains and distribution channels could increase our costs for raw materials and commodity costs, increase demand for raw materials and commodities from competing purchasers, limit our ability to meet customer demand or otherwise have a material adverse effect on our business, financial condition, results of operation or cash flows.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Costs to Confront the COVID-19 Pandemic</w:t>
      </w:r>
    </w:p>
    <w:p>
      <w:pPr>
        <w:spacing w:after="0" w:line="227"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We have incurred and may in the future incur increased costs related to overtime and sick pay, government mandated employee leave related to pandemic conditions, incremental pay for working under challenging conditions, temporary employees, temporary facility closures, sanitizing the work environment, and overall increased safety measures. We have implemented health and safety measures to protect our employees and will continue to take precautionary measures to help minimize the risk of COVID-19 to our employees. Some of these precautionary measures, and similar precautionary measures that we may take in the future, may result in additional costs. Our operating results may be adversely affected if we fail to adequately manage these costs or if we experience significant unexpected costs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ultimate impact of the COVID-19 pandemic on our operations and financial performance depends on many factors that are not within our control. If we are unable to successfully manage our business through the challenges and uncertainty created by the COVID-19 pandemic, our business and operating results could be materially adversely affected.</w:t>
      </w:r>
    </w:p>
    <w:p>
      <w:pPr>
        <w:spacing w:after="0" w:line="174"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If the COVID-19 pandemic or other factors result in prolonged adverse impacts on our operating results, our goodwill and other intangible assets may be at risk of impairment.</w:t>
      </w:r>
    </w:p>
    <w:p>
      <w:pPr>
        <w:spacing w:after="0" w:line="160"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We have significant goodwill and intangibles balances recorded with respect to our Prepared reporting unit, which we periodically review for impairment. These assets are sensitive to any significant changes in related results of operations of the underlying businesses. The COVID-19 pandemic has had adverse effects on the Prepared reporting unit, although no impairment of the related goodwill and intangibles balances has occurred during the year ended October 31, 2022. We cannot, however, predict the effects that any continued adverse conditions from the pandemic or other factors may have on the future impairment of these assets.</w:t>
      </w:r>
    </w:p>
    <w:p>
      <w:pPr>
        <w:spacing w:after="0" w:line="185"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i w:val="1"/>
          <w:iCs w:val="1"/>
          <w:color w:val="212529"/>
        </w:rPr>
        <w:t>The recovery from the COVID-19 pandemic and the current economic climate are increasing labor costs, commodity costs and logistical costs, each of which has adversely affected our business operations and results of operations and may continue to do so in the future. Our efforts to raise prices may not be sufficient to offset these cost increases and may have other adverse effects.</w:t>
      </w:r>
    </w:p>
    <w:p>
      <w:pPr>
        <w:spacing w:after="0" w:line="182" w:lineRule="exact"/>
        <w:rPr>
          <w:sz w:val="20"/>
          <w:szCs w:val="20"/>
          <w:color w:val="auto"/>
        </w:rPr>
      </w:pPr>
    </w:p>
    <w:p>
      <w:pPr>
        <w:ind w:left="40" w:right="319" w:firstLine="243"/>
        <w:spacing w:after="0" w:line="266" w:lineRule="auto"/>
        <w:rPr>
          <w:sz w:val="20"/>
          <w:szCs w:val="20"/>
          <w:color w:val="auto"/>
        </w:rPr>
      </w:pPr>
      <w:r>
        <w:rPr>
          <w:rFonts w:ascii="Times New Roman" w:cs="Times New Roman" w:eastAsia="Times New Roman" w:hAnsi="Times New Roman"/>
          <w:sz w:val="18"/>
          <w:szCs w:val="18"/>
          <w:color w:val="auto"/>
        </w:rPr>
        <w:t>We have experienced operational challenges in our production facilities and logistics networks, shortage of labor and impacts from increases in prices of petroleum-based products, packaging materials and commodities, all of which are increasing costs companywide.</w:t>
      </w:r>
    </w:p>
    <w:p>
      <w:pPr>
        <w:spacing w:after="0" w:line="176"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In response to the inflationary costs described above, we have implemented price increases and may implement additional price increases in the future. Customers may not accept price increases or we may face competitive pressure that leads to price reductions for certain products.</w:t>
      </w:r>
    </w:p>
    <w:p>
      <w:pPr>
        <w:spacing w:after="0" w:line="174"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8"/>
          <w:szCs w:val="18"/>
          <w:i w:val="1"/>
          <w:iCs w:val="1"/>
          <w:color w:val="212529"/>
        </w:rPr>
        <w:t>Increases in interest rates could increase the cost of servicing our indebtedness and have an adverse effect on our results of operations, cash flows and stock price.</w:t>
      </w:r>
    </w:p>
    <w:p>
      <w:pPr>
        <w:spacing w:after="0" w:line="160" w:lineRule="exact"/>
        <w:rPr>
          <w:sz w:val="20"/>
          <w:szCs w:val="20"/>
          <w:color w:val="auto"/>
        </w:rPr>
      </w:pPr>
    </w:p>
    <w:p>
      <w:pPr>
        <w:jc w:val="both"/>
        <w:ind w:left="40" w:right="59" w:firstLine="180"/>
        <w:spacing w:after="0" w:line="256" w:lineRule="auto"/>
        <w:rPr>
          <w:sz w:val="20"/>
          <w:szCs w:val="20"/>
          <w:color w:val="auto"/>
        </w:rPr>
      </w:pPr>
      <w:r>
        <w:rPr>
          <w:rFonts w:ascii="Times New Roman" w:cs="Times New Roman" w:eastAsia="Times New Roman" w:hAnsi="Times New Roman"/>
          <w:sz w:val="18"/>
          <w:szCs w:val="18"/>
          <w:color w:val="auto"/>
        </w:rPr>
        <w:t>Our credit facility currently bears interest at a variable rate, which will generally change as interest rates change. We also have various leases, and may enter into future equipment leases, with costs that increase as interest rates increase. We bear the risk that the rates we are charged by our lenders and lessors will increase faster than the earnings and cash flow of our business, which could reduce profitability, adversely affect our ability to service our debt, or cause us to breach covenants contained in our credit agreement or leases, which could materially adversely affect our business, financial condition and results of operations.</w:t>
      </w:r>
    </w:p>
    <w:p>
      <w:pPr>
        <w:spacing w:after="0" w:line="187" w:lineRule="exact"/>
        <w:rPr>
          <w:sz w:val="20"/>
          <w:szCs w:val="20"/>
          <w:color w:val="auto"/>
        </w:rPr>
      </w:pPr>
    </w:p>
    <w:p>
      <w:pPr>
        <w:ind w:left="40" w:right="399" w:firstLine="225"/>
        <w:spacing w:after="0" w:line="282" w:lineRule="auto"/>
        <w:rPr>
          <w:sz w:val="20"/>
          <w:szCs w:val="20"/>
          <w:color w:val="auto"/>
        </w:rPr>
      </w:pPr>
      <w:r>
        <w:rPr>
          <w:rFonts w:ascii="Times New Roman" w:cs="Times New Roman" w:eastAsia="Times New Roman" w:hAnsi="Times New Roman"/>
          <w:sz w:val="18"/>
          <w:szCs w:val="18"/>
          <w:color w:val="auto"/>
        </w:rPr>
        <w:t>Increases in interest rates may also affect consumer purchasing behavior, including for our fresh and processed food products.</w:t>
      </w:r>
    </w:p>
    <w:p>
      <w:pPr>
        <w:spacing w:after="0" w:line="162" w:lineRule="exact"/>
        <w:rPr>
          <w:sz w:val="20"/>
          <w:szCs w:val="20"/>
          <w:color w:val="auto"/>
        </w:rPr>
      </w:pPr>
    </w:p>
    <w:p>
      <w:pPr>
        <w:ind w:left="40" w:right="119" w:firstLine="225"/>
        <w:spacing w:after="0" w:line="277" w:lineRule="auto"/>
        <w:rPr>
          <w:sz w:val="20"/>
          <w:szCs w:val="20"/>
          <w:color w:val="auto"/>
        </w:rPr>
      </w:pPr>
      <w:r>
        <w:rPr>
          <w:rFonts w:ascii="Times New Roman" w:cs="Times New Roman" w:eastAsia="Times New Roman" w:hAnsi="Times New Roman"/>
          <w:sz w:val="17"/>
          <w:szCs w:val="17"/>
          <w:color w:val="auto"/>
        </w:rPr>
        <w:t>Additionally, the trading price of our common stock may be affected by the dividend yield on our common stock relative to market interest rates. When market interest rates rise, prospective purchasers of our common stock may expect a higher dividend yield. We may not be able to, or we may not choose to, provide a higher dividend yield in such instances. As a result, prospective purchasers may decide to purchase other securities rather than shares of our common stock, which would reduce the demand for, and potentially result in a decline in the market price of, shares of our common stock.</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Due to the seasonality of the business, our revenue and operating results may vary from quarter to quarter.</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225" w:lineRule="exact"/>
        <w:rPr>
          <w:sz w:val="20"/>
          <w:szCs w:val="20"/>
          <w:color w:val="auto"/>
        </w:rPr>
      </w:pPr>
    </w:p>
    <w:p>
      <w:pPr>
        <w:ind w:left="720" w:hanging="325"/>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quality and price of raw materials (including, but not limited to fruit and vegetable inputs);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ind w:left="720" w:hanging="325"/>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process perishable raw materials in a timely manner;</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leveraging of certain fixed overhead costs during off-season months; and</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consumer demand based on seasonal and holiday timing.</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earnings are sensitive to fluctuations in market prices and demand for our products.</w:t>
      </w:r>
    </w:p>
    <w:p>
      <w:pPr>
        <w:spacing w:after="0" w:line="227"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Excess supplies often cause severe price competition in our industry. Growing conditions in various parts of the world, particularly weather conditions such as rainfall, hailstorms, windstorms, floods, droughts, wildfires and freezes, as well as diseases and pests, are primary factors affecting market prices because of their influence on the supply and quality of product.</w:t>
      </w:r>
    </w:p>
    <w:p>
      <w:pPr>
        <w:spacing w:after="0" w:line="180" w:lineRule="exact"/>
        <w:rPr>
          <w:sz w:val="20"/>
          <w:szCs w:val="20"/>
          <w:color w:val="auto"/>
        </w:rPr>
      </w:pPr>
    </w:p>
    <w:p>
      <w:pPr>
        <w:jc w:val="both"/>
        <w:ind w:left="40" w:right="319" w:firstLine="259"/>
        <w:spacing w:after="0" w:line="266"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The selling price received for each type of produce depends on factors such as the availability and quality of the produce item in the market and the availability and quality of competing types of produce.</w:t>
      </w:r>
    </w:p>
    <w:p>
      <w:pPr>
        <w:spacing w:after="0" w:line="189" w:lineRule="exact"/>
        <w:rPr>
          <w:sz w:val="20"/>
          <w:szCs w:val="20"/>
          <w:color w:val="auto"/>
        </w:rPr>
      </w:pPr>
    </w:p>
    <w:p>
      <w:pPr>
        <w:ind w:left="40" w:right="179" w:firstLine="259"/>
        <w:spacing w:after="0" w:line="274" w:lineRule="auto"/>
        <w:rPr>
          <w:sz w:val="20"/>
          <w:szCs w:val="20"/>
          <w:color w:val="auto"/>
        </w:rPr>
      </w:pPr>
      <w:r>
        <w:rPr>
          <w:rFonts w:ascii="Times New Roman" w:cs="Times New Roman" w:eastAsia="Times New Roman" w:hAnsi="Times New Roman"/>
          <w:sz w:val="17"/>
          <w:szCs w:val="17"/>
          <w:color w:val="auto"/>
        </w:rPr>
        <w:t>In addition, general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stop purchasing products that we produce due to health, food safety or other reasons, and we are unable to modify our products or to develop products that satisfy new consumer preferences, there will be a decreased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-846455</wp:posOffset>
            </wp:positionV>
            <wp:extent cx="8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51" w:lineRule="exact"/>
        <w:rPr>
          <w:sz w:val="20"/>
          <w:szCs w:val="20"/>
          <w:color w:val="auto"/>
        </w:rPr>
      </w:pPr>
    </w:p>
    <w:p>
      <w:pPr>
        <w:ind w:left="40" w:right="779"/>
        <w:spacing w:after="0" w:line="284" w:lineRule="auto"/>
        <w:rPr>
          <w:sz w:val="20"/>
          <w:szCs w:val="20"/>
          <w:color w:val="auto"/>
        </w:rPr>
      </w:pPr>
      <w:r>
        <w:rPr>
          <w:rFonts w:ascii="Times New Roman" w:cs="Times New Roman" w:eastAsia="Times New Roman" w:hAnsi="Times New Roman"/>
          <w:sz w:val="18"/>
          <w:szCs w:val="18"/>
          <w:i w:val="1"/>
          <w:iCs w:val="1"/>
          <w:color w:val="auto"/>
        </w:rPr>
        <w:t>Increases in commodity or raw product input costs, such as fuel, packaging, and paper, could adversely affect our operating results.</w:t>
      </w:r>
    </w:p>
    <w:p>
      <w:pPr>
        <w:spacing w:after="0" w:line="160"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Many factors may affect the cost and supply of fresh produce, including external conditions, commodity market fluctuations, currency fluctuations, changes in governmental laws and regulations, the war in Ukraine or conflict elsewhere, agricultural programs, severe and prolonged weather conditions and natural disasters. Increased costs for purchased fruit have in the past negatively impacted our operating results, and there can be no assurance that they will not adversely affect our operating results in the future.</w:t>
      </w:r>
    </w:p>
    <w:p>
      <w:pPr>
        <w:spacing w:after="0" w:line="183"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price of various commodities can affect our costs. Fuel and transportation cost is a significant component of the price of much of the produce that we purchase from growers, and there can be no assurance that we will be able to pass on to our customers any increased costs we incur in these respects.</w:t>
      </w:r>
    </w:p>
    <w:p>
      <w:pPr>
        <w:spacing w:after="0" w:line="176" w:lineRule="exact"/>
        <w:rPr>
          <w:sz w:val="20"/>
          <w:szCs w:val="20"/>
          <w:color w:val="auto"/>
        </w:rPr>
      </w:pPr>
    </w:p>
    <w:p>
      <w:pPr>
        <w:jc w:val="both"/>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cost of paper is also significant to us as most of our products are packed in cardboard boxes. If the price of paper increases and we are not able to effectively pass these price increases along to our customers, then our operating income will decrease.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depend on our infrastructure to have sufficient capacity to handle our annual production needs.</w:t>
      </w:r>
    </w:p>
    <w:p>
      <w:pPr>
        <w:spacing w:after="0" w:line="227"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Our infrastructure has sufficient capacity for our production needs, including investments we expect to make to facilitate growth, but if we lose machinery or facilities due to natural disasters or mechanical failure, we may not be able to operate at a sufficient capacity to meet our production needs and we may incur significant costs or delays in any effort to restore lost capacity. This could have a material adverse effect on our business, results of operations, and financial condition.</w:t>
      </w:r>
    </w:p>
    <w:p>
      <w:pPr>
        <w:spacing w:after="0" w:line="181" w:lineRule="exact"/>
        <w:rPr>
          <w:sz w:val="20"/>
          <w:szCs w:val="20"/>
          <w:color w:val="auto"/>
        </w:rPr>
      </w:pPr>
    </w:p>
    <w:p>
      <w:pPr>
        <w:ind w:left="40" w:right="59"/>
        <w:spacing w:after="0" w:line="284" w:lineRule="auto"/>
        <w:rPr>
          <w:sz w:val="20"/>
          <w:szCs w:val="20"/>
          <w:color w:val="auto"/>
        </w:rPr>
      </w:pPr>
      <w:r>
        <w:rPr>
          <w:rFonts w:ascii="Times New Roman" w:cs="Times New Roman" w:eastAsia="Times New Roman" w:hAnsi="Times New Roman"/>
          <w:sz w:val="18"/>
          <w:szCs w:val="18"/>
          <w:i w:val="1"/>
          <w:iCs w:val="1"/>
          <w:color w:val="auto"/>
        </w:rPr>
        <w:t>Failure to optimize our supply chain or disruption of our supply chain could have an adverse effect on our business, financial condition and results of operations.</w:t>
      </w:r>
    </w:p>
    <w:p>
      <w:pPr>
        <w:spacing w:after="0" w:line="160"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In coordination with our suppliers, our ability to make, move and sell products is critical to our success. Our inability to maintain sufficient internal production capacity or our inability to enter into co-packing agreements on terms that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40" w:right="179"/>
        <w:spacing w:after="0" w:line="266" w:lineRule="auto"/>
        <w:rPr>
          <w:sz w:val="20"/>
          <w:szCs w:val="20"/>
          <w:color w:val="auto"/>
        </w:rPr>
      </w:pPr>
      <w:r>
        <w:rPr>
          <w:rFonts w:ascii="Times New Roman" w:cs="Times New Roman" w:eastAsia="Times New Roman" w:hAnsi="Times New Roman"/>
          <w:sz w:val="18"/>
          <w:szCs w:val="18"/>
          <w:color w:val="auto"/>
        </w:rPr>
        <w:t>beneficial to us could have an adverse effect on our business. Failure to adequately handle increasing production costs and complexity, turnover of manufacturing personnel, or production capability and efficiency issues could materially impact our ability to produce our products in a cost-effective manner and meet customer demand.</w:t>
      </w:r>
    </w:p>
    <w:p>
      <w:pPr>
        <w:spacing w:after="0" w:line="176" w:lineRule="exact"/>
        <w:rPr>
          <w:sz w:val="20"/>
          <w:szCs w:val="20"/>
          <w:color w:val="auto"/>
        </w:rPr>
      </w:pPr>
    </w:p>
    <w:p>
      <w:pPr>
        <w:ind w:left="40" w:right="239" w:firstLine="259"/>
        <w:spacing w:after="0" w:line="256" w:lineRule="auto"/>
        <w:rPr>
          <w:sz w:val="20"/>
          <w:szCs w:val="20"/>
          <w:color w:val="auto"/>
        </w:rPr>
      </w:pPr>
      <w:r>
        <w:rPr>
          <w:rFonts w:ascii="Times New Roman" w:cs="Times New Roman" w:eastAsia="Times New Roman" w:hAnsi="Times New Roman"/>
          <w:sz w:val="18"/>
          <w:szCs w:val="18"/>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85" w:lineRule="exact"/>
        <w:rPr>
          <w:sz w:val="20"/>
          <w:szCs w:val="20"/>
          <w:color w:val="auto"/>
        </w:rPr>
      </w:pPr>
    </w:p>
    <w:p>
      <w:pPr>
        <w:ind w:left="40" w:right="319"/>
        <w:spacing w:after="0" w:line="284" w:lineRule="auto"/>
        <w:rPr>
          <w:sz w:val="20"/>
          <w:szCs w:val="20"/>
          <w:color w:val="auto"/>
        </w:rPr>
      </w:pPr>
      <w:r>
        <w:rPr>
          <w:rFonts w:ascii="Times New Roman" w:cs="Times New Roman" w:eastAsia="Times New Roman" w:hAnsi="Times New Roman"/>
          <w:sz w:val="18"/>
          <w:szCs w:val="18"/>
          <w:i w:val="1"/>
          <w:iCs w:val="1"/>
          <w:color w:val="auto"/>
        </w:rPr>
        <w:t>Disruption of the supply or reliability of transportation services and/or significant increases in the cost of these services could impact our operating income.</w:t>
      </w:r>
    </w:p>
    <w:p>
      <w:pPr>
        <w:spacing w:after="0" w:line="160"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We use multiple forms of transportation to bring our products to market, including truck, ocean, and air-cargo.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ability to serve our customers and could have an adverse effect on our business, financial condition and results of operations.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acquisition of other businesses could pose risks to our operating income.</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involve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 and investment transactions that further our strategic objectives.</w:t>
      </w:r>
    </w:p>
    <w:p>
      <w:pPr>
        <w:spacing w:after="0" w:line="190" w:lineRule="exact"/>
        <w:rPr>
          <w:sz w:val="20"/>
          <w:szCs w:val="20"/>
          <w:color w:val="auto"/>
        </w:rPr>
      </w:pPr>
    </w:p>
    <w:p>
      <w:pPr>
        <w:jc w:val="both"/>
        <w:ind w:left="40" w:right="379"/>
        <w:spacing w:after="0" w:line="267" w:lineRule="auto"/>
        <w:rPr>
          <w:sz w:val="20"/>
          <w:szCs w:val="20"/>
          <w:color w:val="auto"/>
        </w:rPr>
      </w:pPr>
      <w:r>
        <w:rPr>
          <w:rFonts w:ascii="Times New Roman" w:cs="Times New Roman" w:eastAsia="Times New Roman" w:hAnsi="Times New Roman"/>
          <w:sz w:val="18"/>
          <w:szCs w:val="18"/>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75" w:lineRule="exact"/>
        <w:rPr>
          <w:sz w:val="20"/>
          <w:szCs w:val="20"/>
          <w:color w:val="auto"/>
        </w:rPr>
      </w:pPr>
    </w:p>
    <w:p>
      <w:pPr>
        <w:ind w:left="40" w:right="79" w:firstLine="389"/>
        <w:spacing w:after="0" w:line="252" w:lineRule="auto"/>
        <w:rPr>
          <w:sz w:val="20"/>
          <w:szCs w:val="20"/>
          <w:color w:val="auto"/>
        </w:rPr>
      </w:pPr>
      <w:r>
        <w:rPr>
          <w:rFonts w:ascii="Times New Roman" w:cs="Times New Roman" w:eastAsia="Times New Roman" w:hAnsi="Times New Roman"/>
          <w:sz w:val="18"/>
          <w:szCs w:val="18"/>
          <w:color w:val="auto"/>
        </w:rPr>
        <w:t>Experienced computer programmers and hackers may be able to penetrate our network security and misappropriate or compromise our confidential information or that of third parties, create system disruptions or cause shutdowns. For example, in 2019, certain of our computer systems became encrypted by ransomware, which prevented them from operating for a time. Computer programmers and hackers also may be able to develop and deploy viruses, worms, and other malicious software programs that attack our systems or otherwise exploit any security vulnerabilities of our systems. In addition, sophisticated hardware and operating system software and applications that we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We carry insurance, including cyber insurance, commensurate with our size and the nature of our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40" w:right="199" w:firstLine="389"/>
        <w:spacing w:after="0" w:line="258" w:lineRule="auto"/>
        <w:rPr>
          <w:sz w:val="20"/>
          <w:szCs w:val="20"/>
          <w:color w:val="auto"/>
        </w:rPr>
      </w:pPr>
      <w:r>
        <w:rPr>
          <w:rFonts w:ascii="Times New Roman" w:cs="Times New Roman" w:eastAsia="Times New Roman" w:hAnsi="Times New Roman"/>
          <w:sz w:val="18"/>
          <w:szCs w:val="18"/>
          <w:color w:val="auto"/>
        </w:rPr>
        <w:t>Portions of our IT infrastructure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w:t>
      </w:r>
    </w:p>
    <w:p>
      <w:pPr>
        <w:spacing w:after="0" w:line="181" w:lineRule="exact"/>
        <w:rPr>
          <w:sz w:val="20"/>
          <w:szCs w:val="20"/>
          <w:color w:val="auto"/>
        </w:rPr>
      </w:pPr>
    </w:p>
    <w:p>
      <w:pPr>
        <w:ind w:left="40" w:right="259"/>
        <w:spacing w:after="0" w:line="284" w:lineRule="auto"/>
        <w:rPr>
          <w:sz w:val="20"/>
          <w:szCs w:val="20"/>
          <w:color w:val="auto"/>
        </w:rPr>
      </w:pPr>
      <w:r>
        <w:rPr>
          <w:rFonts w:ascii="Times New Roman" w:cs="Times New Roman" w:eastAsia="Times New Roman" w:hAnsi="Times New Roman"/>
          <w:sz w:val="18"/>
          <w:szCs w:val="18"/>
          <w:i w:val="1"/>
          <w:iCs w:val="1"/>
          <w:color w:val="auto"/>
        </w:rPr>
        <w:t>The loss of one or more of our largest customers, or a reduction in the level of purchases made by these customers, could negatively impact our sales and profits.</w:t>
      </w:r>
    </w:p>
    <w:p>
      <w:pPr>
        <w:spacing w:after="0" w:line="160"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Sales to Kroger, Trader Joes, and Wal-mart, our largest customers, amounted to approximately 15% , 11% and 10% of our total net sales in 2022.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88" w:lineRule="exact"/>
        <w:rPr>
          <w:sz w:val="20"/>
          <w:szCs w:val="20"/>
          <w:color w:val="auto"/>
        </w:rPr>
      </w:pPr>
    </w:p>
    <w:p>
      <w:pPr>
        <w:ind w:left="40" w:right="99"/>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successful in achieving targeted savings and efficiencies from cost reduction initiatives and related strategic initiatives, including Project Uno.</w:t>
      </w:r>
    </w:p>
    <w:p>
      <w:pPr>
        <w:spacing w:after="0" w:line="160" w:lineRule="exact"/>
        <w:rPr>
          <w:sz w:val="20"/>
          <w:szCs w:val="20"/>
          <w:color w:val="auto"/>
        </w:rPr>
      </w:pPr>
    </w:p>
    <w:p>
      <w:pPr>
        <w:jc w:val="both"/>
        <w:ind w:left="40" w:right="59" w:firstLine="405"/>
        <w:spacing w:after="0" w:line="255" w:lineRule="auto"/>
        <w:rPr>
          <w:sz w:val="20"/>
          <w:szCs w:val="20"/>
          <w:color w:val="auto"/>
        </w:rPr>
      </w:pPr>
      <w:r>
        <w:rPr>
          <w:rFonts w:ascii="Times New Roman" w:cs="Times New Roman" w:eastAsia="Times New Roman" w:hAnsi="Times New Roman"/>
          <w:sz w:val="18"/>
          <w:szCs w:val="18"/>
          <w:color w:val="auto"/>
        </w:rPr>
        <w:t>During the third quarter of 2021, we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and transfer of certain facilities, (2) implementing broader supply chain operational improvements, (3) 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w:t>
      </w:r>
    </w:p>
    <w:p>
      <w:pPr>
        <w:spacing w:after="0" w:line="189" w:lineRule="exact"/>
        <w:rPr>
          <w:sz w:val="20"/>
          <w:szCs w:val="20"/>
          <w:color w:val="auto"/>
        </w:rPr>
      </w:pPr>
    </w:p>
    <w:p>
      <w:pPr>
        <w:ind w:left="40" w:right="219" w:firstLine="389"/>
        <w:spacing w:after="0" w:line="261" w:lineRule="auto"/>
        <w:rPr>
          <w:sz w:val="20"/>
          <w:szCs w:val="20"/>
          <w:color w:val="auto"/>
        </w:rPr>
      </w:pPr>
      <w:r>
        <w:rPr>
          <w:rFonts w:ascii="Times New Roman" w:cs="Times New Roman" w:eastAsia="Times New Roman" w:hAnsi="Times New Roman"/>
          <w:sz w:val="18"/>
          <w:szCs w:val="18"/>
          <w:color w:val="auto"/>
        </w:rPr>
        <w:t>We may not be successful in fully implementing our productivity plans or realizing our anticipated savings and efficiencies, including potentially as a result of factors outside our control. If we are unable to fully realize the anticipated savings and efficiencies of our cost reduction initiatives and related strategic initiatives, including Project Uno, our profitability may be materially and adversely impacted.</w:t>
      </w:r>
    </w:p>
    <w:p>
      <w:pPr>
        <w:spacing w:after="0" w:line="178"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Holders of our common stock may not receive the level of dividends provided for in our dividend policy or any dividends at all.</w:t>
      </w:r>
    </w:p>
    <w:p>
      <w:pPr>
        <w:spacing w:after="0" w:line="268" w:lineRule="exact"/>
        <w:rPr>
          <w:sz w:val="20"/>
          <w:szCs w:val="20"/>
          <w:color w:val="auto"/>
        </w:rPr>
      </w:pPr>
    </w:p>
    <w:p>
      <w:pPr>
        <w:ind w:left="40" w:right="179" w:firstLine="389"/>
        <w:spacing w:after="0" w:line="255" w:lineRule="auto"/>
        <w:rPr>
          <w:sz w:val="20"/>
          <w:szCs w:val="20"/>
          <w:color w:val="auto"/>
        </w:rPr>
      </w:pPr>
      <w:r>
        <w:rPr>
          <w:rFonts w:ascii="Times New Roman" w:cs="Times New Roman" w:eastAsia="Times New Roman" w:hAnsi="Times New Roman"/>
          <w:sz w:val="18"/>
          <w:szCs w:val="18"/>
          <w:color w:val="auto"/>
        </w:rPr>
        <w:t>Dividend payments are not mandatory or guaranteed and holders of our common stock do not have any legal right to receive, or require us to pay, dividends. Our Board of Directors may, in its sole discretion, decrease the level of dividends provided for in our dividend policy or entirely discontinue the payment of dividends. Future dividends with respect to shares of our capital stock, if any, depend on, among other things, our results of operations, cash requirements, financial condition, contractual restrictions (including restrictions in our credit agreement), business opportunities, provisions of applicable law (including certain provisions of the California Corporations Code) and other factors that our board of directors may deem relevant.</w:t>
      </w:r>
    </w:p>
    <w:p>
      <w:pPr>
        <w:spacing w:after="0" w:line="189" w:lineRule="exact"/>
        <w:rPr>
          <w:sz w:val="20"/>
          <w:szCs w:val="20"/>
          <w:color w:val="auto"/>
        </w:rPr>
      </w:pPr>
    </w:p>
    <w:p>
      <w:pPr>
        <w:jc w:val="both"/>
        <w:ind w:left="40" w:right="179" w:firstLine="389"/>
        <w:spacing w:after="0" w:line="266" w:lineRule="auto"/>
        <w:rPr>
          <w:sz w:val="20"/>
          <w:szCs w:val="20"/>
          <w:color w:val="auto"/>
        </w:rPr>
      </w:pPr>
      <w:r>
        <w:rPr>
          <w:rFonts w:ascii="Times New Roman" w:cs="Times New Roman" w:eastAsia="Times New Roman" w:hAnsi="Times New Roman"/>
          <w:sz w:val="18"/>
          <w:szCs w:val="18"/>
          <w:color w:val="auto"/>
        </w:rPr>
        <w:t>If our cash flows from operating activities were to fall below our minimum expectations (or if our assumptions as to capital expenditures or interest expense were too low or our assumptions as to the sufficiency of our credit facility were to prove incorrect), we may need to either reduce or eliminate dividends.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40" w:right="699"/>
        <w:spacing w:after="0" w:line="284" w:lineRule="auto"/>
        <w:rPr>
          <w:sz w:val="20"/>
          <w:szCs w:val="20"/>
          <w:color w:val="auto"/>
        </w:rPr>
      </w:pPr>
      <w:r>
        <w:rPr>
          <w:rFonts w:ascii="Times New Roman" w:cs="Times New Roman" w:eastAsia="Times New Roman" w:hAnsi="Times New Roman"/>
          <w:sz w:val="18"/>
          <w:szCs w:val="18"/>
          <w:i w:val="1"/>
          <w:iCs w:val="1"/>
          <w:color w:val="auto"/>
        </w:rPr>
        <w:t>We have in the past had and may in the future incur substantial indebtedness which could restrict our ability to pay dividends and impact our financing options and liquidity position.</w:t>
      </w:r>
    </w:p>
    <w:p>
      <w:pPr>
        <w:spacing w:after="0" w:line="268" w:lineRule="exact"/>
        <w:rPr>
          <w:sz w:val="20"/>
          <w:szCs w:val="20"/>
          <w:color w:val="auto"/>
        </w:rPr>
      </w:pPr>
    </w:p>
    <w:p>
      <w:pPr>
        <w:ind w:left="40" w:right="179" w:firstLine="660"/>
        <w:spacing w:after="0" w:line="261" w:lineRule="auto"/>
        <w:rPr>
          <w:sz w:val="20"/>
          <w:szCs w:val="20"/>
          <w:color w:val="auto"/>
        </w:rPr>
      </w:pPr>
      <w:r>
        <w:rPr>
          <w:rFonts w:ascii="Times New Roman" w:cs="Times New Roman" w:eastAsia="Times New Roman" w:hAnsi="Times New Roman"/>
          <w:sz w:val="18"/>
          <w:szCs w:val="18"/>
          <w:color w:val="auto"/>
        </w:rPr>
        <w:t>Our ability to pay dividends is subject to restrictions contained in the instruments governing our indebtedness. Additionally, although our credit agreement contains covenants that restrict our ability to incur debt, as long as we meet these covenants, we will be able to incur additional indebtedness. The degree to which we are leveraged on a consolidated basis could have important consequences to the holders of our securities, including:</w:t>
      </w:r>
    </w:p>
    <w:p>
      <w:pPr>
        <w:spacing w:after="0" w:line="72" w:lineRule="exact"/>
        <w:rPr>
          <w:sz w:val="20"/>
          <w:szCs w:val="20"/>
          <w:color w:val="auto"/>
        </w:rPr>
      </w:pPr>
    </w:p>
    <w:p>
      <w:pPr>
        <w:ind w:left="780" w:right="339" w:hanging="250"/>
        <w:spacing w:after="0" w:line="268"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in the future to obtain additional financing for working capital, capital expenditures or acquisitions may be limited;</w:t>
      </w:r>
    </w:p>
    <w:p>
      <w:pPr>
        <w:spacing w:after="0" w:line="1"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refinance our indebtedness on terms acceptable to us or at all;</w:t>
      </w:r>
    </w:p>
    <w:p>
      <w:pPr>
        <w:spacing w:after="0" w:line="22" w:lineRule="exact"/>
        <w:rPr>
          <w:rFonts w:ascii="Times New Roman" w:cs="Times New Roman" w:eastAsia="Times New Roman" w:hAnsi="Times New Roman"/>
          <w:sz w:val="18"/>
          <w:szCs w:val="18"/>
          <w:color w:val="auto"/>
        </w:rPr>
      </w:pPr>
    </w:p>
    <w:p>
      <w:pPr>
        <w:ind w:left="780" w:right="259" w:hanging="250"/>
        <w:spacing w:after="0" w:line="266"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 may be dedicated to the payment of interest on our indebtedness, thereby reducing funds available for operations, capital expenditures, acquisitions and/or dividends on our common stock; and</w:t>
      </w:r>
    </w:p>
    <w:p>
      <w:pPr>
        <w:ind w:left="780" w:right="619" w:hanging="250"/>
        <w:spacing w:after="0" w:line="292"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be limited in our ability to withstand competitive pressures.</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Human Capital Risks</w:t>
      </w:r>
    </w:p>
    <w:p>
      <w:pPr>
        <w:spacing w:after="0" w:line="227" w:lineRule="exact"/>
        <w:rPr>
          <w:sz w:val="20"/>
          <w:szCs w:val="20"/>
          <w:color w:val="auto"/>
        </w:rPr>
      </w:pPr>
    </w:p>
    <w:p>
      <w:pPr>
        <w:jc w:val="both"/>
        <w:ind w:left="40" w:right="139"/>
        <w:spacing w:after="0" w:line="267" w:lineRule="auto"/>
        <w:rPr>
          <w:sz w:val="20"/>
          <w:szCs w:val="20"/>
          <w:color w:val="auto"/>
        </w:rPr>
      </w:pPr>
      <w:r>
        <w:rPr>
          <w:rFonts w:ascii="Times New Roman" w:cs="Times New Roman" w:eastAsia="Times New Roman" w:hAnsi="Times New Roman"/>
          <w:sz w:val="18"/>
          <w:szCs w:val="18"/>
          <w:i w:val="1"/>
          <w:iCs w:val="1"/>
          <w:color w:val="auto"/>
        </w:rPr>
        <w:t>We have recently transitioned new personnel into executive leadership positions and our future success will depend in part on our ability to manage this transition successfully. Management and key personnel changes may disrupt our operations, and we may have difficulty attracting and retaining qualified replacements.</w:t>
      </w:r>
    </w:p>
    <w:p>
      <w:pPr>
        <w:spacing w:after="0" w:line="175"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We have experienced changes in management and other key personnel in critical functions across our organization, including our chief executive officer and our chief financial officer.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87"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a number of reasons, including competitive market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 w:name="page13"/>
    <w:bookmarkEnd w:id="12"/>
    <w:p>
      <w:pPr>
        <w:ind w:left="40" w:right="439" w:firstLine="259"/>
        <w:spacing w:after="0" w:line="261" w:lineRule="auto"/>
        <w:rPr>
          <w:sz w:val="20"/>
          <w:szCs w:val="20"/>
          <w:color w:val="auto"/>
        </w:rPr>
      </w:pPr>
      <w:r>
        <w:rPr>
          <w:rFonts w:ascii="Times New Roman" w:cs="Times New Roman" w:eastAsia="Times New Roman" w:hAnsi="Times New Roman"/>
          <w:sz w:val="18"/>
          <w:szCs w:val="18"/>
          <w:color w:val="auto"/>
        </w:rPr>
        <w:t>Replacing departing executives can involve organizational disruption and uncertainty. If we fail to manage this transition successfully, we could experience significant delays or difficulty in the achievement of our development and strategic objectives and our business, financial condition and results of operations could be materially and adversely harmed.</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 continued shortage of qualified labor could negatively affect our business and materially reduce earnings.</w:t>
      </w:r>
    </w:p>
    <w:p>
      <w:pPr>
        <w:spacing w:after="0" w:line="254"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We have experienced shortages of qualified labor across our operations. Participants in our supply chain have also experienced shortages of qualified labor. 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produce and deliver our products and to achieve our strategic objectives. Such a shortage would also likely lead to higher wages for employees (or higher costs to purchase the services of such third parties) and a corresponding reduction in our results of operations. In the current operating environment, we are experiencing a shortage of qualified labor in certain geographies, particularly with plant production workers, resulting in increased costs from certain temporary wage actions, such as hiring and referral and retention bonus program. A continuation of such shortages for a prolonged period of time could have a material adverse effect on our results of operations.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 portion of our workforce is unionized and labor disruptions could decrease our profitability.</w:t>
      </w:r>
    </w:p>
    <w:p>
      <w:pPr>
        <w:spacing w:after="0" w:line="227"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rely on co-packers for a portion of our production needs.</w:t>
      </w:r>
    </w:p>
    <w:p>
      <w:pPr>
        <w:spacing w:after="0" w:line="227" w:lineRule="exact"/>
        <w:rPr>
          <w:sz w:val="20"/>
          <w:szCs w:val="20"/>
          <w:color w:val="auto"/>
        </w:rPr>
      </w:pPr>
    </w:p>
    <w:p>
      <w:pPr>
        <w:ind w:left="40" w:right="119" w:firstLine="259"/>
        <w:spacing w:after="0" w:line="274" w:lineRule="auto"/>
        <w:rPr>
          <w:sz w:val="20"/>
          <w:szCs w:val="20"/>
          <w:color w:val="auto"/>
        </w:rPr>
      </w:pPr>
      <w:r>
        <w:rPr>
          <w:rFonts w:ascii="Times New Roman" w:cs="Times New Roman" w:eastAsia="Times New Roman" w:hAnsi="Times New Roman"/>
          <w:sz w:val="17"/>
          <w:szCs w:val="17"/>
          <w:color w:val="auto"/>
        </w:rPr>
        <w:t>We utilize high-quality co-packers to produce a portion of our retail and foodservice products. If we are unable to utilize quality co-packers effectively, we may not be able to meet our production needs for our expected growth. Similar,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our co-packers are required to maintain insurance. We, however, remain subject to risks related to the production of fresh and processed foods.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are subject to increasing competition that may adversely affect our operating results.</w:t>
      </w:r>
    </w:p>
    <w:p>
      <w:pPr>
        <w:spacing w:after="0" w:line="227" w:lineRule="exact"/>
        <w:rPr>
          <w:sz w:val="20"/>
          <w:szCs w:val="20"/>
          <w:color w:val="auto"/>
        </w:rPr>
      </w:pPr>
    </w:p>
    <w:p>
      <w:pPr>
        <w:ind w:left="40" w:right="339" w:firstLine="259"/>
        <w:spacing w:after="0" w:line="282" w:lineRule="auto"/>
        <w:rPr>
          <w:sz w:val="20"/>
          <w:szCs w:val="20"/>
          <w:color w:val="auto"/>
        </w:rPr>
      </w:pPr>
      <w:r>
        <w:rPr>
          <w:rFonts w:ascii="Times New Roman" w:cs="Times New Roman" w:eastAsia="Times New Roman" w:hAnsi="Times New Roman"/>
          <w:sz w:val="18"/>
          <w:szCs w:val="18"/>
          <w:color w:val="auto"/>
        </w:rPr>
        <w:t>The fresh produce and prepared food markets in which we operate are highly competitive. Each of our businesses is subject to competitive pressures, including the following:</w:t>
      </w:r>
    </w:p>
    <w:p>
      <w:pPr>
        <w:spacing w:after="0" w:line="162" w:lineRule="exact"/>
        <w:rPr>
          <w:sz w:val="20"/>
          <w:szCs w:val="20"/>
          <w:color w:val="auto"/>
        </w:rPr>
      </w:pPr>
    </w:p>
    <w:p>
      <w:pPr>
        <w:ind w:left="660" w:right="179" w:hanging="333"/>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 Increased supply could put downward pressure on the market price for avocados and also lead to a broader number of marketing and distribution competitors if we are unable to process sufficient supply to maintain our market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660" w:right="519" w:hanging="333"/>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competition from other avocado handlers. If we are unable to consistently pay growers a competitive price for their avocados, these growers may choose to have their avocados marketed by alternate handlers.</w:t>
      </w:r>
    </w:p>
    <w:p>
      <w:pPr>
        <w:spacing w:after="0" w:line="1" w:lineRule="exact"/>
        <w:rPr>
          <w:rFonts w:ascii="Times New Roman" w:cs="Times New Roman" w:eastAsia="Times New Roman" w:hAnsi="Times New Roman"/>
          <w:sz w:val="18"/>
          <w:szCs w:val="18"/>
          <w:color w:val="auto"/>
        </w:rPr>
      </w:pPr>
    </w:p>
    <w:p>
      <w:pPr>
        <w:ind w:left="660" w:right="159" w:hanging="333"/>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Mexican sourced avocados and perishable food products are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1" w:lineRule="exact"/>
        <w:rPr>
          <w:rFonts w:ascii="Times New Roman" w:cs="Times New Roman" w:eastAsia="Times New Roman" w:hAnsi="Times New Roman"/>
          <w:sz w:val="18"/>
          <w:szCs w:val="18"/>
          <w:color w:val="auto"/>
        </w:rPr>
      </w:pPr>
    </w:p>
    <w:p>
      <w:pPr>
        <w:ind w:left="660" w:right="99" w:hanging="333"/>
        <w:spacing w:after="0" w:line="248"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fresh-cut produce market is highly fragmented and we compete with a variety of national, regional and local manufacturers and distributors of fresh-cut produce in the geographies that we serve. These competitors include both branded and non-branded producers, as well as certain retailers’ own in-house fresh-cut operations. To compete successfully, we must be able to strategically source a wide array of fresh produce and prepared food items of uniformly high quality and sell and distribute it on a timely and regular basis. The overall availability and quality of produce items that we purchase for processing can have a meaningful impact on sales and profitability of our Prepared reporting unit. Additionally, the short-shelf life nature of these products makes this business highly localized and our success is often related to our ability to manufacture those products within close proximity to our customers’ locations.</w:t>
      </w:r>
    </w:p>
    <w:p>
      <w:pPr>
        <w:spacing w:after="0" w:line="191" w:lineRule="exact"/>
        <w:rPr>
          <w:sz w:val="20"/>
          <w:szCs w:val="20"/>
          <w:color w:val="auto"/>
        </w:rPr>
      </w:pPr>
    </w:p>
    <w:p>
      <w:pPr>
        <w:ind w:left="40" w:right="139"/>
        <w:spacing w:after="0" w:line="284" w:lineRule="auto"/>
        <w:rPr>
          <w:sz w:val="20"/>
          <w:szCs w:val="20"/>
          <w:color w:val="auto"/>
        </w:rPr>
      </w:pPr>
      <w:r>
        <w:rPr>
          <w:rFonts w:ascii="Times New Roman" w:cs="Times New Roman" w:eastAsia="Times New Roman" w:hAnsi="Times New Roman"/>
          <w:sz w:val="18"/>
          <w:szCs w:val="18"/>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60"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We and our growers are subject to the risks that are inherent in farming.</w:t>
      </w:r>
    </w:p>
    <w:p>
      <w:pPr>
        <w:spacing w:after="0" w:line="227"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Our results of operations may be adversely affected by numerous factors over which we have little or no control and that are inherent in farming, including reductions in the market prices for our products, adverse weather (including but not limited to drought, high winds, earthquakes and/or wildfire) and growing conditions, pest and disease problems, and new government regulations regarding farming and the marketing of agricultural products.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Demand for our products is subject to changing consumer preferences.</w:t>
      </w:r>
    </w:p>
    <w:p>
      <w:pPr>
        <w:spacing w:after="0" w:line="227" w:lineRule="exact"/>
        <w:rPr>
          <w:sz w:val="20"/>
          <w:szCs w:val="20"/>
          <w:color w:val="auto"/>
        </w:rPr>
      </w:pPr>
    </w:p>
    <w:p>
      <w:pPr>
        <w:ind w:left="40" w:right="59" w:firstLine="225"/>
        <w:spacing w:after="0" w:line="253" w:lineRule="auto"/>
        <w:rPr>
          <w:sz w:val="20"/>
          <w:szCs w:val="20"/>
          <w:color w:val="auto"/>
        </w:rPr>
      </w:pPr>
      <w:r>
        <w:rPr>
          <w:rFonts w:ascii="Times New Roman" w:cs="Times New Roman" w:eastAsia="Times New Roman" w:hAnsi="Times New Roman"/>
          <w:sz w:val="18"/>
          <w:szCs w:val="18"/>
          <w:color w:val="auto"/>
        </w:rPr>
        <w:t>Consumer preferences for particular food products are subject to fluctuations over time. Our ability to market and sell our products successfully depends in part on our ability to identify changing consumer preferences and respond to those changes by offering products that appeal broadly to consumers in light of current demands. Shifts in consumer preferences that can impact demand for our products at any given time can result from a number of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 or state agencies involved in monitoring food safety) may make regarding our products or similar products. Consumer demand for our products also may be impacted by changes in the level of advertising or promotional support that are employed by (i) us, (ii) our retail/foodservice customers, or (iii) relevant industry groups or third parties that provide competing products. If consumer preferences trend negatively with respect to any one or more of our products, our sales volumes may decline as a result.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Regulatory and Related Risks</w:t>
      </w:r>
    </w:p>
    <w:p>
      <w:pPr>
        <w:spacing w:after="0" w:line="227"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8"/>
          <w:szCs w:val="18"/>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60"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Climate change could increase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86" w:lineRule="exact"/>
        <w:rPr>
          <w:sz w:val="20"/>
          <w:szCs w:val="20"/>
          <w:color w:val="auto"/>
        </w:rPr>
      </w:pPr>
    </w:p>
    <w:p>
      <w:pPr>
        <w:jc w:val="both"/>
        <w:ind w:left="40" w:right="219"/>
        <w:spacing w:after="0" w:line="267" w:lineRule="auto"/>
        <w:rPr>
          <w:sz w:val="20"/>
          <w:szCs w:val="20"/>
          <w:color w:val="auto"/>
        </w:rPr>
      </w:pPr>
      <w:r>
        <w:rPr>
          <w:rFonts w:ascii="Times New Roman" w:cs="Times New Roman" w:eastAsia="Times New Roman" w:hAnsi="Times New Roman"/>
          <w:sz w:val="18"/>
          <w:szCs w:val="18"/>
          <w:i w:val="1"/>
          <w:iCs w:val="1"/>
          <w:color w:val="auto"/>
        </w:rPr>
        <w:t>Increased legislative, regulatory and public scrutiny on environmental, social, and corporate governance (“ESG”) issues including potential litigation involving our ESG practices or disclosures may adversely affect our business, and results of operations.</w:t>
      </w:r>
    </w:p>
    <w:p>
      <w:pPr>
        <w:spacing w:after="0" w:line="175" w:lineRule="exact"/>
        <w:rPr>
          <w:sz w:val="20"/>
          <w:szCs w:val="20"/>
          <w:color w:val="auto"/>
        </w:rPr>
      </w:pPr>
    </w:p>
    <w:p>
      <w:pPr>
        <w:ind w:left="40" w:right="79" w:firstLine="256"/>
        <w:spacing w:after="0" w:line="253" w:lineRule="auto"/>
        <w:rPr>
          <w:sz w:val="20"/>
          <w:szCs w:val="20"/>
          <w:color w:val="auto"/>
        </w:rPr>
      </w:pPr>
      <w:r>
        <w:rPr>
          <w:rFonts w:ascii="Times New Roman" w:cs="Times New Roman" w:eastAsia="Times New Roman" w:hAnsi="Times New Roman"/>
          <w:sz w:val="18"/>
          <w:szCs w:val="18"/>
          <w:color w:val="auto"/>
        </w:rPr>
        <w:t>A number of companies have been subject to private litigation and governmental action involving a diverse set of claims ranging from allegedly false environmental compliance and “sustainability” disclosures, social issues such as modern slavery in supply chains, and governance issues involving corporate audits and reporting. Like many companies, we publish an annual sustainability report covering topics including energy and emissions, fair labor, and sustainable agriculture. While we believe the disclosures in our sustainability reports and elsewhere concerning ESG are accurate, we could still be subject to litigation involving ESG claims. Such litigation, even if without merit, could negatively impact our reputation, take management time and attention away from other company business, require changes in operations and/or adversely affect our business, financial condition and results of operations. In addition, the actions of growers and other industry partners on ESG matters could negatively impact our reputation or involve us in legal or regulatory proceedings concerning their conduct.</w:t>
      </w:r>
    </w:p>
    <w:p>
      <w:pPr>
        <w:spacing w:after="0" w:line="192"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8"/>
          <w:szCs w:val="18"/>
          <w:i w:val="1"/>
          <w:iCs w:val="1"/>
          <w:color w:val="auto"/>
        </w:rPr>
        <w:t>Unanticipated changes in U.S. or international tax provisions, the adoption of new tax legislation or exposure to additional tax liabilities could affect our financial performance.</w:t>
      </w:r>
    </w:p>
    <w:p>
      <w:pPr>
        <w:spacing w:after="0" w:line="160" w:lineRule="exact"/>
        <w:rPr>
          <w:sz w:val="20"/>
          <w:szCs w:val="20"/>
          <w:color w:val="auto"/>
        </w:rPr>
      </w:pPr>
    </w:p>
    <w:p>
      <w:pPr>
        <w:ind w:left="40" w:right="459" w:firstLine="259"/>
        <w:spacing w:after="0" w:line="261" w:lineRule="auto"/>
        <w:rPr>
          <w:sz w:val="20"/>
          <w:szCs w:val="20"/>
          <w:color w:val="auto"/>
        </w:rPr>
      </w:pPr>
      <w:r>
        <w:rPr>
          <w:rFonts w:ascii="Times New Roman" w:cs="Times New Roman" w:eastAsia="Times New Roman" w:hAnsi="Times New Roman"/>
          <w:sz w:val="18"/>
          <w:szCs w:val="18"/>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We are also subject to the examination of our tax returns and other tax matters by the U.S. Internal Revenue Service, the Servicio de Administracion Tributaria in Mexico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149" w:lineRule="exact"/>
        <w:rPr>
          <w:sz w:val="20"/>
          <w:szCs w:val="20"/>
          <w:color w:val="auto"/>
        </w:rPr>
      </w:pPr>
    </w:p>
    <w:p>
      <w:pPr>
        <w:ind w:left="40" w:right="359"/>
        <w:spacing w:after="0" w:line="284" w:lineRule="auto"/>
        <w:rPr>
          <w:sz w:val="20"/>
          <w:szCs w:val="20"/>
          <w:color w:val="auto"/>
        </w:rPr>
      </w:pPr>
      <w:r>
        <w:rPr>
          <w:rFonts w:ascii="Times New Roman" w:cs="Times New Roman" w:eastAsia="Times New Roman" w:hAnsi="Times New Roman"/>
          <w:sz w:val="18"/>
          <w:szCs w:val="18"/>
          <w:i w:val="1"/>
          <w:iCs w:val="1"/>
          <w:color w:val="auto"/>
        </w:rPr>
        <w:t>Our dispute with Mexican tax authorities related to the 2013 Tax Assessment may have a material adverse effect on our results of operations and financial position.</w:t>
      </w:r>
    </w:p>
    <w:p>
      <w:pPr>
        <w:spacing w:after="0" w:line="201"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In July 2018, a local office of the SAT issued a final tax assessment (the “2013 Assessment”) totaling approximately $2.6 billion Mexican pesos (which includes annual adjustments for inflation, and equals approx. $131.3 million USD at October 31, 2022) related to a fiscal 2013 tax audit. This amount has been adjusted for inflation as of October 31, 2022 to the amount of $3 billion Mexican pesos (approx. $151.5 million USD). Additionally, the tax authorities have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 w:name="page16"/>
    <w:bookmarkEnd w:id="15"/>
    <w:p>
      <w:pPr>
        <w:ind w:left="40" w:right="79"/>
        <w:spacing w:after="0" w:line="266" w:lineRule="auto"/>
        <w:rPr>
          <w:sz w:val="20"/>
          <w:szCs w:val="20"/>
          <w:color w:val="auto"/>
        </w:rPr>
      </w:pPr>
      <w:r>
        <w:rPr>
          <w:rFonts w:ascii="Times New Roman" w:cs="Times New Roman" w:eastAsia="Times New Roman" w:hAnsi="Times New Roman"/>
          <w:sz w:val="18"/>
          <w:szCs w:val="18"/>
          <w:color w:val="auto"/>
        </w:rPr>
        <w:t>determined that we owe our employees profit-sharing liability, totaling approximately $118 million Mexican pesos (approx. $6.0 million USD at October 31, 2022). In August 2018, we filed an administrative appeal (the “Administrative Appeal”) on the 2013 Assessment, appealing our case to the SAT’s Legal Administration in Michoacan.</w:t>
      </w:r>
    </w:p>
    <w:p>
      <w:pPr>
        <w:spacing w:after="0" w:line="216" w:lineRule="exact"/>
        <w:rPr>
          <w:sz w:val="20"/>
          <w:szCs w:val="20"/>
          <w:color w:val="auto"/>
        </w:rPr>
      </w:pPr>
    </w:p>
    <w:p>
      <w:pPr>
        <w:ind w:left="40" w:right="59" w:firstLine="256"/>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against CDM on March 12, 2021, and that CDM had allegedly failed to timely respond to and challenge the SAT’s notification of such resolution, therefore rendering the 2013 Assessment as definitive. In addition, the SAT placed liens on the fixed assets of CDM, with a net book value of approximately $26 million USD, and on bank accounts of CDM totaling approximately $1 million USD in order to guaranty the 2013 Assessment. As of October 31, 2022 all liens have been removed from the assets of CDM as a result of a Court ruling in favor of CDM. CDM accordingly received access to its bank accounts in November 2022.</w:t>
      </w:r>
    </w:p>
    <w:p>
      <w:pPr>
        <w:spacing w:after="0" w:line="187" w:lineRule="exact"/>
        <w:rPr>
          <w:sz w:val="20"/>
          <w:szCs w:val="20"/>
          <w:color w:val="auto"/>
        </w:rPr>
      </w:pPr>
    </w:p>
    <w:p>
      <w:pPr>
        <w:ind w:left="40" w:right="79" w:firstLine="256"/>
        <w:spacing w:after="0" w:line="253" w:lineRule="auto"/>
        <w:rPr>
          <w:sz w:val="20"/>
          <w:szCs w:val="20"/>
          <w:color w:val="auto"/>
        </w:rPr>
      </w:pPr>
      <w:r>
        <w:rPr>
          <w:rFonts w:ascii="Times New Roman" w:cs="Times New Roman" w:eastAsia="Times New Roman" w:hAnsi="Times New Roman"/>
          <w:sz w:val="18"/>
          <w:szCs w:val="18"/>
          <w:color w:val="auto"/>
        </w:rPr>
        <w:t>We have taken measures to vigorously defend our position that the 2013 Assessment is without merit and we have court rulings in favor of CDM, including a Court resolution from the Tax Court ordering the SAT to accept an Administrative Guaranty and remove all liens. We have filed an Annulment Suit (the “Suit”) with the Federal Tax Court, which among other things, contends that the notifications made by the SAT to CDM and its designated advisors of the resolution of the Administrative Appeal in March 2021 was not legally communicated and asserts the same matters central to the Reconsideration as wrongly concluded in the resolution of the Administrative Appeal. We cannot assure you that any of these measures will be successful or that we will be able to settle the 2013 Assessment on terms acceptable to us or at all. Such outcomes could have a material adverse effect on our results of operations and financial condition which could result in an event of default under our credit facility and the acceleration of indebtedness under such facility. Further, we cannot assure you that the provision for this matter in our financial statements will be adequate to fund any settlement we may ultimately enter into or any amount of taxes.</w:t>
      </w:r>
    </w:p>
    <w:p>
      <w:pPr>
        <w:spacing w:after="0" w:line="176"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8"/>
          <w:szCs w:val="18"/>
          <w:i w:val="1"/>
          <w:iCs w:val="1"/>
          <w:color w:val="auto"/>
        </w:rPr>
        <w:t>Our dispute with the Mexican tax authorities related to taxes receivable may have a material adverse effect on our results of operations and financial position.</w:t>
      </w:r>
    </w:p>
    <w:p>
      <w:pPr>
        <w:spacing w:after="0" w:line="160"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As of October 31, 2022, and October 31, 2021, CDM IVA receivables totaled $43.6 million (865.4 million Mexican pesos) and $37.5 million (762.1 million Mexican pesos). 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 For further details on this matter, see Note 15 in the consolidated financial statements.</w:t>
      </w:r>
    </w:p>
    <w:p>
      <w:pPr>
        <w:spacing w:after="0" w:line="194"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78"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possible changing USDA and FDA regulations which govern the importation of foreign avocados into the United States and the processing of processed avocado products.</w:t>
      </w:r>
    </w:p>
    <w:p>
      <w:pPr>
        <w:spacing w:after="0" w:line="16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80" w:lineRule="exact"/>
        <w:rPr>
          <w:sz w:val="20"/>
          <w:szCs w:val="20"/>
          <w:color w:val="auto"/>
        </w:rPr>
      </w:pPr>
    </w:p>
    <w:p>
      <w:pPr>
        <w:jc w:val="both"/>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The FDA establishes, and continues to modify, regulations governing the production of processed avocado products, such as the new Food Safety Modernization Act, which implements mandatory preventive controls for food facilities and compliance with mandatory produce safety standards. Our results of operations may be adversely affected if we 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40" w:right="259"/>
        <w:spacing w:after="0" w:line="282" w:lineRule="auto"/>
        <w:rPr>
          <w:sz w:val="20"/>
          <w:szCs w:val="20"/>
          <w:color w:val="auto"/>
        </w:rPr>
      </w:pPr>
      <w:r>
        <w:rPr>
          <w:rFonts w:ascii="Times New Roman" w:cs="Times New Roman" w:eastAsia="Times New Roman" w:hAnsi="Times New Roman"/>
          <w:sz w:val="18"/>
          <w:szCs w:val="18"/>
          <w:color w:val="auto"/>
        </w:rPr>
        <w:t>unable to comply with these existing and modified regulations. Such failures could also cause reputational damage to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227" w:lineRule="exact"/>
        <w:rPr>
          <w:sz w:val="20"/>
          <w:szCs w:val="20"/>
          <w:color w:val="auto"/>
        </w:rPr>
      </w:pPr>
    </w:p>
    <w:p>
      <w:pPr>
        <w:ind w:left="40" w:right="359"/>
        <w:spacing w:after="0" w:line="284" w:lineRule="auto"/>
        <w:rPr>
          <w:sz w:val="20"/>
          <w:szCs w:val="20"/>
          <w:color w:val="auto"/>
        </w:rPr>
      </w:pPr>
      <w:r>
        <w:rPr>
          <w:rFonts w:ascii="Times New Roman" w:cs="Times New Roman" w:eastAsia="Times New Roman" w:hAnsi="Times New Roman"/>
          <w:sz w:val="18"/>
          <w:szCs w:val="18"/>
          <w:i w:val="1"/>
          <w:iCs w:val="1"/>
          <w:color w:val="auto"/>
        </w:rPr>
        <w:t>We work with international third-party suppliers and partners, and our financial results could suffer due to unfavorable international events or regulations.</w:t>
      </w:r>
    </w:p>
    <w:p>
      <w:pPr>
        <w:spacing w:after="0" w:line="160"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We conduct a substantial amount of business with growers and customers who are located outside the United States. We purchase avocados from foreign growers and packers, sell fresh avocados and processed avocado products to foreign customers, and operate packinghouses and a processing plant in Mexico. In recent years, there has been an increase in organized crime in Mexico. This has not had a significant impact on our operations, but this does increase the risk of doing business in Mexico. We are also subject to regulations imposed by the Mexican government, and also to examinations by the Mexican tax authorities. Significant changes to these government regulations and to assessments by the Mexican tax authorities can have a negative impact on our operations and operating results in Mexico. For additional information about our Mexican sourced fruit, see the “Business” section included in this Annual Report.</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current international operations are subject to a number of inherent risks, including:</w:t>
      </w:r>
    </w:p>
    <w:p>
      <w:pPr>
        <w:spacing w:after="0" w:line="225" w:lineRule="exact"/>
        <w:rPr>
          <w:sz w:val="20"/>
          <w:szCs w:val="20"/>
          <w:color w:val="auto"/>
        </w:rPr>
      </w:pPr>
    </w:p>
    <w:p>
      <w:pPr>
        <w:ind w:left="660" w:right="419" w:hanging="333"/>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 including disruptions in supply, labor, transportation (the transport of consumer goods), trading and capital markets;</w:t>
      </w:r>
    </w:p>
    <w:p>
      <w:pPr>
        <w:ind w:left="660" w:right="299" w:hanging="333"/>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U.S. and foreign governmental actions, such as restrictions on transfers of funds and trade protection measures, including import/export duties and quotas and customs duties and tariffs; and</w:t>
      </w:r>
    </w:p>
    <w:p>
      <w:pPr>
        <w:ind w:left="660" w:right="479" w:hanging="333"/>
        <w:spacing w:after="0" w:line="237" w:lineRule="auto"/>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Changes in legal or regulatory requirements affecting foreign investment, loans, taxes (including value-added taxes), imports, and exports.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Currency exchange fluctuations may impact the results of our operations.</w:t>
      </w:r>
    </w:p>
    <w:p>
      <w:pPr>
        <w:spacing w:after="0" w:line="227" w:lineRule="exact"/>
        <w:rPr>
          <w:sz w:val="20"/>
          <w:szCs w:val="20"/>
          <w:color w:val="auto"/>
        </w:rPr>
      </w:pPr>
    </w:p>
    <w:p>
      <w:pPr>
        <w:ind w:left="40" w:right="239" w:firstLine="259"/>
        <w:spacing w:after="0" w:line="254" w:lineRule="auto"/>
        <w:rPr>
          <w:sz w:val="20"/>
          <w:szCs w:val="20"/>
          <w:color w:val="auto"/>
        </w:rPr>
      </w:pPr>
      <w:r>
        <w:rPr>
          <w:rFonts w:ascii="Times New Roman" w:cs="Times New Roman" w:eastAsia="Times New Roman" w:hAnsi="Times New Roman"/>
          <w:sz w:val="18"/>
          <w:szCs w:val="18"/>
          <w:color w:val="auto"/>
        </w:rPr>
        <w:t>Currency exchange rate fluctuations, depending upon the nature of the changes, may make our domestic-sourced products more expensive compared to foreign grown products or may increase our cost of obtaining foreign-sourced products. These foreign currency fluctuations also affect the ultimate realization of foreign currency denominated assets and liabilities in US dollar terms. While hedging instruments may help reduce the volatility associated with currency rate changes, hedging instruments may not be readily available, may be too expensive or may be ineffective for the respective reduction in volatility desired. To date, the Company has not hedged against foreign currency exposure and we may not hedge against foreign currency exposure in the future, which could increase our susceptibility to foreign currency fluctuations.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7" w:lineRule="exact"/>
        <w:rPr>
          <w:sz w:val="20"/>
          <w:szCs w:val="20"/>
          <w:color w:val="auto"/>
        </w:rPr>
      </w:pPr>
    </w:p>
    <w:p>
      <w:pPr>
        <w:ind w:left="40" w:right="139"/>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raise capital in the future may be limited, and our failure to raise capital when needed could prevent us from executing our growth strategy.</w:t>
      </w:r>
    </w:p>
    <w:p>
      <w:pPr>
        <w:spacing w:after="0" w:line="160"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timing and amount of our working capital and capital expenditure requirements may vary significantly depending on many factors, including:</w:t>
      </w:r>
    </w:p>
    <w:p>
      <w:pPr>
        <w:spacing w:after="0" w:line="162" w:lineRule="exact"/>
        <w:rPr>
          <w:sz w:val="20"/>
          <w:szCs w:val="20"/>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w:t>
      </w:r>
    </w:p>
    <w:p>
      <w:pPr>
        <w:spacing w:after="0" w:line="2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opportunities for expansion.</w:t>
      </w:r>
    </w:p>
    <w:p>
      <w:pPr>
        <w:spacing w:after="0" w:line="207"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We may not be able to obtain additional financing, if required, in amounts or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40" w:right="159"/>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restrictive debt covenants and other requirements related to our debt that limit our business flexibility by imposing operating and financial restrictions on our operations.</w:t>
      </w:r>
    </w:p>
    <w:p>
      <w:pPr>
        <w:spacing w:after="0" w:line="160" w:lineRule="exact"/>
        <w:rPr>
          <w:sz w:val="20"/>
          <w:szCs w:val="20"/>
          <w:color w:val="auto"/>
        </w:rPr>
      </w:pPr>
    </w:p>
    <w:p>
      <w:pPr>
        <w:ind w:left="40" w:right="279" w:firstLine="660"/>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impose significant operating and financial restrictions on us. These restrictions prohibit or limit, among other things:</w:t>
      </w:r>
    </w:p>
    <w:p>
      <w:pPr>
        <w:spacing w:after="0" w:line="54" w:lineRule="exact"/>
        <w:rPr>
          <w:sz w:val="20"/>
          <w:szCs w:val="20"/>
          <w:color w:val="auto"/>
        </w:rPr>
      </w:pPr>
    </w:p>
    <w:p>
      <w:pPr>
        <w:ind w:left="780" w:hanging="250"/>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indebtedness;</w:t>
      </w:r>
    </w:p>
    <w:p>
      <w:pPr>
        <w:spacing w:after="0" w:line="27"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restricted payments, including investments;</w:t>
      </w:r>
    </w:p>
    <w:p>
      <w:pPr>
        <w:spacing w:after="0" w:line="22"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sales of assets;</w:t>
      </w:r>
    </w:p>
    <w:p>
      <w:pPr>
        <w:spacing w:after="0" w:line="22"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transactions with affiliates;</w:t>
      </w:r>
    </w:p>
    <w:p>
      <w:pPr>
        <w:spacing w:after="0" w:line="22"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certain types of liens;</w:t>
      </w:r>
    </w:p>
    <w:p>
      <w:pPr>
        <w:spacing w:after="0" w:line="22" w:lineRule="exact"/>
        <w:rPr>
          <w:rFonts w:ascii="Times New Roman" w:cs="Times New Roman" w:eastAsia="Times New Roman" w:hAnsi="Times New Roman"/>
          <w:sz w:val="18"/>
          <w:szCs w:val="18"/>
          <w:color w:val="auto"/>
        </w:rPr>
      </w:pPr>
    </w:p>
    <w:p>
      <w:pPr>
        <w:ind w:left="780" w:hanging="250"/>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mergers and transfers of all or substantially all of our assets.</w:t>
      </w:r>
    </w:p>
    <w:p>
      <w:pPr>
        <w:spacing w:after="0" w:line="126" w:lineRule="exact"/>
        <w:rPr>
          <w:sz w:val="20"/>
          <w:szCs w:val="20"/>
          <w:color w:val="auto"/>
        </w:rPr>
      </w:pPr>
    </w:p>
    <w:p>
      <w:pPr>
        <w:ind w:left="40" w:right="659" w:firstLine="660"/>
        <w:spacing w:after="0" w:line="282" w:lineRule="auto"/>
        <w:rPr>
          <w:sz w:val="20"/>
          <w:szCs w:val="20"/>
          <w:color w:val="auto"/>
        </w:rPr>
      </w:pPr>
      <w:r>
        <w:rPr>
          <w:rFonts w:ascii="Times New Roman" w:cs="Times New Roman" w:eastAsia="Times New Roman" w:hAnsi="Times New Roman"/>
          <w:sz w:val="18"/>
          <w:szCs w:val="18"/>
          <w:color w:val="auto"/>
        </w:rPr>
        <w:t>Our credit agreement requires us to maintain specified financial ratios and satisfy financial condition tests, including, without limitation, a consolidated leverage ratio and a consolidated fixed charge coverage ratio.</w:t>
      </w:r>
    </w:p>
    <w:p>
      <w:pPr>
        <w:spacing w:after="0" w:line="54" w:lineRule="exact"/>
        <w:rPr>
          <w:sz w:val="20"/>
          <w:szCs w:val="20"/>
          <w:color w:val="auto"/>
        </w:rPr>
      </w:pPr>
    </w:p>
    <w:p>
      <w:pPr>
        <w:ind w:left="40" w:right="79" w:firstLine="660"/>
        <w:spacing w:after="0" w:line="254" w:lineRule="auto"/>
        <w:rPr>
          <w:sz w:val="20"/>
          <w:szCs w:val="20"/>
          <w:color w:val="auto"/>
        </w:rPr>
      </w:pPr>
      <w:r>
        <w:rPr>
          <w:rFonts w:ascii="Times New Roman" w:cs="Times New Roman" w:eastAsia="Times New Roman" w:hAnsi="Times New Roman"/>
          <w:sz w:val="18"/>
          <w:szCs w:val="18"/>
          <w:color w:val="auto"/>
        </w:rPr>
        <w:t>Our ability to comply with the ratios or tests may be affected by events beyond our control, including prevailing economic, financial and industry conditions. A breach of any of these covenants, or failure to meet or maintain ratios or tests could result in a default under our credit agreement. Certain events of default under our credit agreement would prohibit us from paying dividends on our common stock. In addition, upon the occurrence of an event of default under our credit agreement, the lenders could elect to declare all amounts outstanding under the credit agreement, together with accrued interest, to be immediately due and payable. If we were unable to repay those amounts, the credit agreement lenders could proceed against the security granted to them to secure that indebtedness. If the lenders accelerate the payment of the indebtedness, our assets may not be sufficient to repay in full this indebtedness and our other indebtedness.</w:t>
      </w:r>
    </w:p>
    <w:p>
      <w:pPr>
        <w:spacing w:after="0" w:line="84" w:lineRule="exact"/>
        <w:rPr>
          <w:sz w:val="20"/>
          <w:szCs w:val="20"/>
          <w:color w:val="auto"/>
        </w:rPr>
      </w:pPr>
    </w:p>
    <w:p>
      <w:pPr>
        <w:ind w:left="40" w:right="359" w:firstLine="660"/>
        <w:spacing w:after="0" w:line="281" w:lineRule="auto"/>
        <w:rPr>
          <w:sz w:val="20"/>
          <w:szCs w:val="20"/>
          <w:color w:val="auto"/>
        </w:rPr>
      </w:pPr>
      <w:r>
        <w:rPr>
          <w:rFonts w:ascii="Times New Roman" w:cs="Times New Roman" w:eastAsia="Times New Roman" w:hAnsi="Times New Roman"/>
          <w:sz w:val="17"/>
          <w:szCs w:val="17"/>
          <w:color w:val="auto"/>
        </w:rPr>
        <w:t>Further, we were previously not in compliance with certain covenants regarding financial ratios and tests contained in our credit agreement. As a result, we entered into amendments of such credit agreement that waived our noncompliance with such covenants and amended the financial covenants required. See Note 6 to our consolidated financial statements. Currently we are in compliance with such financial covenants and expect to remain in compliance.</w:t>
      </w:r>
    </w:p>
    <w:p>
      <w:pPr>
        <w:spacing w:after="0" w:line="270" w:lineRule="exact"/>
        <w:rPr>
          <w:sz w:val="20"/>
          <w:szCs w:val="20"/>
          <w:color w:val="auto"/>
        </w:rPr>
      </w:pPr>
    </w:p>
    <w:p>
      <w:pPr>
        <w:jc w:val="both"/>
        <w:ind w:left="40" w:right="79"/>
        <w:spacing w:after="0" w:line="267" w:lineRule="auto"/>
        <w:rPr>
          <w:sz w:val="20"/>
          <w:szCs w:val="20"/>
          <w:color w:val="auto"/>
        </w:rPr>
      </w:pPr>
      <w:r>
        <w:rPr>
          <w:rFonts w:ascii="Times New Roman" w:cs="Times New Roman" w:eastAsia="Times New Roman" w:hAnsi="Times New Roman"/>
          <w:sz w:val="18"/>
          <w:szCs w:val="18"/>
          <w:i w:val="1"/>
          <w:iCs w:val="1"/>
          <w:color w:val="212529"/>
        </w:rPr>
        <w:t>Our ownership in unconsolidated subsidiaries, our loans/notes or advances to unconsolidated subsidiaries and other future debt or equity investments that we may make in unconsolidated subsidiaries, present risks and challenges that could have a material adverse effect on our business, financial position and results of operations.</w:t>
      </w:r>
    </w:p>
    <w:p>
      <w:pPr>
        <w:spacing w:after="0" w:line="175"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212529"/>
        </w:rPr>
        <w:t>Income/(loss) from unconsolidated entities includes our allocation of earnings or losses from our investments in Don Memo. We do not control the operations of these investments, and our allocation of potential income or loss can increase or decrease our overall profitability significantly.</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212529"/>
        </w:rPr>
        <w:t>Any loans/notes or advances that we make to unconsolidated entities (such as the existing advances to Don Memo) may at some point in the future be deemed uncollectible and as such may materially and negatively impact our financial results in the period such determination is made. As noted earlier, we do not control the operations of Don Memo, and their future operating performance and/or their future ability to raise capital from other third parties could negatively impact our ability to collect on our loans/notes or advances.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7"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8"/>
          <w:szCs w:val="18"/>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60" w:lineRule="exact"/>
        <w:rPr>
          <w:sz w:val="20"/>
          <w:szCs w:val="20"/>
          <w:color w:val="auto"/>
        </w:rPr>
      </w:pPr>
    </w:p>
    <w:p>
      <w:pPr>
        <w:ind w:left="40" w:right="459"/>
        <w:spacing w:after="0" w:line="266" w:lineRule="auto"/>
        <w:rPr>
          <w:sz w:val="20"/>
          <w:szCs w:val="20"/>
          <w:color w:val="auto"/>
        </w:rPr>
      </w:pPr>
      <w:r>
        <w:rPr>
          <w:rFonts w:ascii="Times New Roman" w:cs="Times New Roman" w:eastAsia="Times New Roman" w:hAnsi="Times New Roman"/>
          <w:sz w:val="18"/>
          <w:szCs w:val="18"/>
          <w:color w:val="auto"/>
        </w:rPr>
        <w:t>Investors should not rely on recent or historical trends to predict future stock prices, financial condition, results of operations or cash flows. Our common stock price, like that of other companies, can be volatile and can be affected by many factors, including:</w:t>
      </w:r>
    </w:p>
    <w:p>
      <w:pPr>
        <w:spacing w:after="0" w:line="176" w:lineRule="exact"/>
        <w:rPr>
          <w:sz w:val="20"/>
          <w:szCs w:val="20"/>
          <w:color w:val="auto"/>
        </w:rPr>
      </w:pPr>
    </w:p>
    <w:p>
      <w:pPr>
        <w:ind w:left="4420" w:right="4359" w:hanging="4093"/>
        <w:spacing w:after="0" w:line="843" w:lineRule="auto"/>
        <w:tabs>
          <w:tab w:leader="none" w:pos="65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 and prospects;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8" w:name="page19"/>
    <w:bookmarkEnd w:id="18"/>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public SEC filings we make about our business, financial performance and prospects;</w:t>
      </w:r>
    </w:p>
    <w:p>
      <w:pPr>
        <w:spacing w:after="0" w:line="27"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our customers or competitors make regarding their business, financial performance and prospects;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Short-interest in our common stock, which may be significant from time-to-time;</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and markets in which we operate;</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in, or removal from, any equity market indices;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analysts;</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meet earnings estimates of analysts who follow our Company;</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common markets; and</w:t>
      </w:r>
    </w:p>
    <w:p>
      <w:pPr>
        <w:spacing w:after="0" w:line="9"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international, economic, industry and other market trends or conditions.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Our performance may be impacted by general economic conditions or an economic downturn.</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92"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8"/>
          <w:szCs w:val="18"/>
          <w:i w:val="1"/>
          <w:iCs w:val="1"/>
          <w:color w:val="auto"/>
        </w:rPr>
        <w:t>Our insurance policies may not adequately protect us from liability or may negatively impact our financial condition and results of operations due to increasing costs.</w:t>
      </w:r>
    </w:p>
    <w:p>
      <w:pPr>
        <w:spacing w:after="0" w:line="160"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building from Limoneira, which building is located in Santa Paula, California. In addition, we lease a corporate office in Rancho Cordova, California. We have numerous facilities throughout the United States and three facilities in Mexico. See the following table for a summary of our locations: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Locations: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Packinghouses: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498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Santa Paula</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California</w:t>
            </w:r>
          </w:p>
        </w:tc>
        <w:tc>
          <w:tcPr>
            <w:tcW w:w="260" w:type="dxa"/>
            <w:vAlign w:val="bottom"/>
            <w:tcBorders>
              <w:top w:val="single" w:sz="8" w:color="CCEEFF"/>
            </w:tcBorders>
            <w:shd w:val="clear" w:color="auto" w:fill="CCEEFF"/>
          </w:tcPr>
          <w:p>
            <w:pPr>
              <w:spacing w:after="0"/>
              <w:rPr>
                <w:sz w:val="16"/>
                <w:szCs w:val="16"/>
                <w:color w:val="auto"/>
              </w:rPr>
            </w:pPr>
          </w:p>
        </w:tc>
        <w:tc>
          <w:tcPr>
            <w:tcW w:w="4960" w:type="dxa"/>
            <w:vAlign w:val="bottom"/>
            <w:tcBorders>
              <w:top w:val="single" w:sz="8" w:color="auto"/>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Primarily handles fresh avocados. The facility was purchased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1955 and has been improved in capacity and efficiency since then.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 believe that the annual capacity of this facility will be sufficient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handle its forecasted annual production needs.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7"/>
              </w:rPr>
              <w:t>Leased</w:t>
            </w:r>
          </w:p>
        </w:tc>
        <w:tc>
          <w:tcPr>
            <w:tcW w:w="13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Temecula</w:t>
            </w:r>
          </w:p>
        </w:tc>
        <w:tc>
          <w:tcPr>
            <w:tcW w:w="10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California</w:t>
            </w:r>
          </w:p>
        </w:tc>
        <w:tc>
          <w:tcPr>
            <w:tcW w:w="49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Primarily ripens, sorts, packs and ships fresh avocados. We sort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 certain other fresh products as well. We sold this facility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and leased back a portion of 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and Distributing Facilities: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300" w:type="dxa"/>
            <w:vAlign w:val="bottom"/>
          </w:tcPr>
          <w:p>
            <w:pPr>
              <w:spacing w:after="0"/>
              <w:rPr>
                <w:sz w:val="15"/>
                <w:szCs w:val="15"/>
                <w:color w:val="auto"/>
              </w:rPr>
            </w:pPr>
          </w:p>
        </w:tc>
        <w:tc>
          <w:tcPr>
            <w:tcW w:w="490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2"/>
        </w:trPr>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Owned</w:t>
            </w:r>
          </w:p>
        </w:tc>
        <w:tc>
          <w:tcPr>
            <w:tcW w:w="2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Santa Paula</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California</w:t>
            </w:r>
          </w:p>
        </w:tc>
        <w:tc>
          <w:tcPr>
            <w:tcW w:w="30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Primarily ripens, sorts, packs and ships fresh avocados. We sort and</w:t>
            </w:r>
          </w:p>
        </w:tc>
        <w:tc>
          <w:tcPr>
            <w:tcW w:w="20" w:type="dxa"/>
            <w:vAlign w:val="bottom"/>
            <w:tcBorders>
              <w:top w:val="single" w:sz="8" w:color="CCEEFF"/>
            </w:tcBorders>
            <w:shd w:val="clear" w:color="auto" w:fill="CCEEFF"/>
          </w:tcPr>
          <w:p>
            <w:pPr>
              <w:spacing w:after="0"/>
              <w:rPr>
                <w:sz w:val="12"/>
                <w:szCs w:val="12"/>
                <w:color w:val="auto"/>
              </w:rPr>
            </w:pP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pack certain other fresh products as well. We believe that the</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annual capacity of this facility will be sufficient to pack and ripen,</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if necessary, its expected annual volume of avocados and other</w:t>
            </w:r>
          </w:p>
        </w:tc>
      </w:tr>
      <w:tr>
        <w:trPr>
          <w:trHeight w:val="216"/>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fresh products delivered to us.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Swedesboro</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New</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avocados. Additionally, it</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Jersey</w:t>
            </w: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also serves to store and ship certain other fresh products, as well as</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prepared foods and prepared guacamole products. We believe that</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the annual capacity of this facility will be sufficient to handle its</w:t>
            </w:r>
          </w:p>
        </w:tc>
      </w:tr>
      <w:tr>
        <w:trPr>
          <w:trHeight w:val="216"/>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Garland</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Additionally, it also serves to store and ship prepared guacamole</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products as well. We believe that the annual capacity of this</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facility will be sufficient to handle its forecasted annual production</w:t>
            </w:r>
          </w:p>
        </w:tc>
      </w:tr>
      <w:tr>
        <w:trPr>
          <w:trHeight w:val="216"/>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Green Cove</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Florida</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 and stores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rPr>
              <w:t>Springs</w:t>
            </w: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and ships prepared guacamole. We believe that the annual capacity</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of this facility will be sufficient to handle its forecasted annual</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production needs. In November 2021, we have ceased operations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in the Prepared products portion of this facility. See Note 18 in</w:t>
            </w:r>
          </w:p>
        </w:tc>
      </w:tr>
      <w:tr>
        <w:trPr>
          <w:trHeight w:val="207"/>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Hawaii</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Primarily sorts, packs, and ships papayas. We believe that the</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annual capacity will be sufficient to handle its forecasted annual</w:t>
            </w:r>
          </w:p>
        </w:tc>
      </w:tr>
      <w:tr>
        <w:trPr>
          <w:trHeight w:val="207"/>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Hawaii</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Primarily provides irradiation services for produce grown in</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Hawaii. We believe that the annual capacity will be sufficient to</w:t>
            </w:r>
          </w:p>
        </w:tc>
      </w:tr>
      <w:tr>
        <w:trPr>
          <w:trHeight w:val="207"/>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handle 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St. Paul</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Minnesota</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Calavo Salsa Lisa (CSL) facility that produces salsa. We believe</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that the annual capacity of this facility will be sufficient to handle</w:t>
            </w:r>
          </w:p>
        </w:tc>
      </w:tr>
      <w:tr>
        <w:trPr>
          <w:trHeight w:val="207"/>
        </w:trPr>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Houston</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Prepared products facility that primarily processes fresh-cut fruits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and vegetables, and prepared foods. We believe that the annual</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capacity of this facility will be sufficient to handle its forecasted</w:t>
            </w:r>
          </w:p>
        </w:tc>
      </w:tr>
      <w:tr>
        <w:trPr>
          <w:trHeight w:val="202"/>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Riverside</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California</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Prepared products facility that primarily processes fresh-cut fruits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and vegetables, and prepared foods. We believe that the annual</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capacity of this facility will be sufficient to handle its forecasted</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annual production needs.</w:t>
            </w:r>
          </w:p>
        </w:tc>
      </w:t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Sacramento</w:t>
            </w:r>
          </w:p>
        </w:tc>
        <w:tc>
          <w:tcPr>
            <w:tcW w:w="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California</w:t>
            </w:r>
          </w:p>
        </w:tc>
        <w:tc>
          <w:tcPr>
            <w:tcW w:w="5200" w:type="dxa"/>
            <w:vAlign w:val="bottom"/>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7"/>
                <w:szCs w:val="17"/>
                <w:color w:val="auto"/>
              </w:rPr>
              <w:t>Prepared products facility that primarily processes fresh-cut fruits</w:t>
            </w:r>
          </w:p>
        </w:tc>
      </w:tr>
      <w:tr>
        <w:trPr>
          <w:trHeight w:val="184"/>
        </w:trPr>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and vegetables, and prepared foods. We believe that the annual</w:t>
            </w:r>
          </w:p>
        </w:tc>
      </w:tr>
      <w:tr>
        <w:trPr>
          <w:trHeight w:val="180"/>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capacity of this facility will be sufficient to handle its forecasted</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annual production needs.</w:t>
            </w:r>
          </w:p>
        </w:tc>
      </w:tr>
      <w:tr>
        <w:trPr>
          <w:trHeight w:val="864"/>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r>
      <w:tr>
        <w:trPr>
          <w:trHeight w:val="560"/>
        </w:trPr>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1" w:name="page22"/>
    <w:bookmarkEnd w:id="2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494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Leased</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Clackamas</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Oregon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Opened in the fourth quarter of fiscal 2019, this Prepared products</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primarily processes fresh-cut fruits and vegetables, and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prepared foods. We believe that the annual capacity of this facility</w:t>
            </w: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be sufficient to handle its forecasted annual production needs.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Conley</w:t>
            </w:r>
          </w:p>
        </w:tc>
        <w:tc>
          <w:tcPr>
            <w:tcW w:w="106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Georgia</w:t>
            </w:r>
          </w:p>
        </w:tc>
        <w:tc>
          <w:tcPr>
            <w:tcW w:w="4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Opened in the third quarter of fiscal 2019, this Prepared products</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primarily processes fresh-cut fruits and vegetables, and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prepared foods. We believe that the annual capacity of this facility</w:t>
            </w: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be sufficient to handle its forecasted annual production needs.</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Mexico Locations: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Packinghouses and Processing Facility:</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40" w:type="dxa"/>
            <w:vAlign w:val="bottom"/>
          </w:tcPr>
          <w:p>
            <w:pPr>
              <w:spacing w:after="0"/>
              <w:rPr>
                <w:sz w:val="15"/>
                <w:szCs w:val="15"/>
                <w:color w:val="auto"/>
              </w:rPr>
            </w:pPr>
          </w:p>
        </w:tc>
        <w:tc>
          <w:tcPr>
            <w:tcW w:w="496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Uruapan</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Michoacan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Our guacamole processing facility produces our guacamole</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products. We believe that the annual capacity of this facility will be</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sufficient to handle its forecasted annual production needs. See</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 7 to our consolidated financial statements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Uruapan</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Michoacan</w:t>
            </w:r>
          </w:p>
        </w:tc>
        <w:tc>
          <w:tcPr>
            <w:tcW w:w="520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Primarily handles fresh avocados. The facility was built in 1985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has been significantly and continually improved in capacity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efficiency since then. We believe that the annual capacity of this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facility will be sufficient to process its forecasted annual production</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needs. See Note 7 to our consolidated financial statements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Ciudad</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Jalisco</w:t>
            </w:r>
          </w:p>
        </w:tc>
        <w:tc>
          <w:tcPr>
            <w:tcW w:w="520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Opened in the third quarter of 2017, this facility primarily handles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Guzman</w:t>
            </w: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fresh avocados. We believe that the annual capacity of this facility</w:t>
            </w:r>
          </w:p>
        </w:tc>
      </w:tr>
      <w:tr>
        <w:trPr>
          <w:trHeight w:val="234"/>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will be sufficient to process its forecasted annual production needs.</w:t>
            </w: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7 of our consolidated financial statements for further information.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"CVGW".</w:t>
      </w:r>
    </w:p>
    <w:p>
      <w:pPr>
        <w:spacing w:after="0" w:line="225"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for the periods indicated, the high and low sales prices per share of our common stock as reported on the Nasdaq Global Select Market.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8"/>
                <w:szCs w:val="18"/>
                <w:color w:val="auto"/>
              </w:rPr>
            </w:pP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0"/>
                <w:szCs w:val="20"/>
                <w:color w:val="auto"/>
              </w:rPr>
            </w:pPr>
          </w:p>
        </w:tc>
      </w:tr>
      <w:tr>
        <w:trPr>
          <w:trHeight w:val="360"/>
        </w:trPr>
        <w:tc>
          <w:tcPr>
            <w:tcW w:w="7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9"/>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shd w:val="clear" w:color="auto" w:fill="CCEEFF"/>
          </w:tcPr>
          <w:p>
            <w:pPr>
              <w:spacing w:after="0"/>
              <w:rPr>
                <w:sz w:val="18"/>
                <w:szCs w:val="18"/>
                <w:color w:val="auto"/>
              </w:rPr>
            </w:pP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20"/>
                <w:szCs w:val="20"/>
                <w:color w:val="auto"/>
              </w:rPr>
            </w:pPr>
          </w:p>
        </w:tc>
      </w:tr>
    </w:tbl>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30, 2022, there were 746 stockholders of record of our common stock.</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dividend policy has historically provided for an annual dividend payment, as determined by the Board of Directors.</w:t>
      </w:r>
    </w:p>
    <w:p>
      <w:pPr>
        <w:spacing w:after="0" w:line="225"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76" w:lineRule="exact"/>
        <w:rPr>
          <w:sz w:val="20"/>
          <w:szCs w:val="20"/>
          <w:color w:val="auto"/>
        </w:rPr>
      </w:pPr>
    </w:p>
    <w:p>
      <w:pPr>
        <w:ind w:left="40" w:right="339" w:firstLine="259"/>
        <w:spacing w:after="0" w:line="282" w:lineRule="auto"/>
        <w:rPr>
          <w:sz w:val="20"/>
          <w:szCs w:val="20"/>
          <w:color w:val="auto"/>
        </w:rPr>
      </w:pPr>
      <w:r>
        <w:rPr>
          <w:rFonts w:ascii="Times New Roman" w:cs="Times New Roman" w:eastAsia="Times New Roman" w:hAnsi="Times New Roman"/>
          <w:sz w:val="18"/>
          <w:szCs w:val="18"/>
          <w:color w:val="auto"/>
        </w:rPr>
        <w:t>On October 29, 2021, we declared a cash dividend of $1.15 per share. On December 3, 2021, we paid the aggregate amount of $20.3 million to shareholders of record on November 12, 2021.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b w:val="1"/>
          <w:bCs w:val="1"/>
          <w:color w:val="auto"/>
        </w:rPr>
        <w:t>Shareholder Return Performance Graph</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with the performance of the Nasdaq Market Index and a Peer Group of major diversified companies in our same industry for approximately the 60-month period beginning October 31, 2017 and ending October 31, 2022. In making this comparison, we have assumed an investment of $100 in Calavo Growers, Inc. common stock, the Nasdaq Market Index, the Peer Group Index as of October 31, 2017. We have also assumed the reinvestment of all dividends. Our Peer Group Index includes the companies of: Andersons, Inc., B&amp;G Foods, Inc., Boston Beer Company, Inc., Fresh Del Monte Produce, Inc., Hain Celestial Group, Inc., Hostess Brands, Inc., J&amp;J Snack Foods, Corp., John B Sanfilippo &amp; Son, Inc., and Landec,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131445</wp:posOffset>
            </wp:positionV>
            <wp:extent cx="5606415" cy="4688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40" w:right="79" w:firstLine="259"/>
        <w:spacing w:after="0" w:line="27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We are a leader in the distribution of avocados, guacamole products, and other perishable food products throughout the United States.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including sandwiches, salads, parfaits and ready-to-eat snack items among other products and (iii) process and package guacamole and salsa. We distribute our products both domestically and internationally.</w:t>
      </w:r>
    </w:p>
    <w:p>
      <w:pPr>
        <w:spacing w:after="0" w:line="188" w:lineRule="exact"/>
        <w:rPr>
          <w:sz w:val="20"/>
          <w:szCs w:val="20"/>
          <w:color w:val="auto"/>
        </w:rPr>
      </w:pPr>
    </w:p>
    <w:p>
      <w:pPr>
        <w:jc w:val="both"/>
        <w:ind w:left="40" w:right="239" w:firstLine="259"/>
        <w:spacing w:after="0" w:line="256" w:lineRule="auto"/>
        <w:rPr>
          <w:sz w:val="20"/>
          <w:szCs w:val="20"/>
          <w:color w:val="auto"/>
        </w:rPr>
      </w:pPr>
      <w:r>
        <w:rPr>
          <w:rFonts w:ascii="Times New Roman" w:cs="Times New Roman" w:eastAsia="Times New Roman" w:hAnsi="Times New Roman"/>
          <w:sz w:val="18"/>
          <w:szCs w:val="18"/>
          <w:color w:val="auto"/>
        </w:rPr>
        <w:t>On April 13, 2022, we announced plans to reorganize our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fresh-cut fruits and vegetables, ready-to-eat sandwiches, wraps, salads and snacks, guacamole, and salsa sold at retail and food service as well as avocado pulp sold to foodservice. See Note 10 to our consolidated financial statements for further information about our business segments.</w:t>
      </w:r>
    </w:p>
    <w:p>
      <w:pPr>
        <w:spacing w:after="0" w:line="18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Our Grown products business grades, sizes, packs, cools, and ripens (if desired) avocados for delivery to our customers. During fiscal 2022, we operated four packinghouses and four operating and distributing facilities (aka value-added depots or VADs) that handle avocados that are sold across the United States and to select international markets. We believe that our continued success in marketing avocados is largely dependent upon securing a reliable, high-quality supply of avocados at reasonable prices, and keeping the handling costs low as we ship avocados to our packinghouses and distribution centers. We believe our diversified avocado sources help provide a level of relative supply stability that may, over time, serve to increase the availability and demand for avocados among consumers in the United States and elsewhere in the world. Significant fluctuations in the volume of avocados delivered have an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volume. We believe our efforts in distributing our other various perishable foods, such as tomatoes and papayas, complement our offerings of avocados. From time to time, we continue to explore the distribution of other crops that provide reasonable returns to our business.</w:t>
      </w:r>
    </w:p>
    <w:p>
      <w:pPr>
        <w:spacing w:after="0" w:line="18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Our Prepared business produces, markets and distributes nationally a portfolio of healthy, high quality fresh packaged food products for consumers sold through the retail and other channels. Prepared products include guacamole products (including both frozen and fresh), salsa, fresh-cut fruit and vegetables, fresh prepared entrée salads, wraps, sandwiches and fresh snacking products, as well as ready-to-heat entrees and other hot bar and various deli items, meals kit components and salad kits. Prepared products are marketed under the Calavo, Garden Highway Fresh Cut, Garden Highway, and Garden Highway Chef Essentials brands, as well as store-brand and private label programs. We believe that we are well positioned to address the diverse taste and needs of today’s foodservice and retail customers. Our Prepared business maintains relationships with foodservice companies and food retailers. We continue to seek to expand our relationships with major foodservice companies and food retailers and develop alliances that will allow our products to reach a larger percentage of the marketplace.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 w:name="page26"/>
    <w:bookmarkEnd w:id="25"/>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operating results of all of our businesses have been, and will continue to be, affected by quarterly and annual fluctuations and market downturns due to a number of factors, including but not limited to pests and disease, weather patterns, changes in demand by consumers, food safety advisories impacting the fresh perishable food categories in which we currently operate, the timing of the receipt, reduction, or cancellation of significant customer orders, the gain or loss of significant customers, market acceptance of our products, our ability to develop, introduce, and market new products on a timely basis, the availability, quality and price of raw materials, new product introductions by our competitors, the utilization of production capacity at our various plant locations, change in the mix of products that our Grown and Prepared segments sell, and general economic conditions. We believe, however, that we are currently positioned to address these risks and deliver favorable operating results for the foreseeable future.</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Sale of Investment in Limoneira</w:t>
      </w:r>
    </w:p>
    <w:p>
      <w:pPr>
        <w:spacing w:after="0" w:line="227"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October 27, 2022, we sold 1,677,299 shares of Limoneira common stock for gross proceeds of approximately $18.5 million. We used the net proceeds thereof after payment of commissions and expenses to pay down borrowings on our credit facility with Bank of America, as administrative agent, and the other lenders thereto. Contemporaneously with such sale, Bank of America, as administrative agent, released its lien on such shares in accordance with terms of the Credit Facility and the related loan documents.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COVID-19 Pandemic Impact</w:t>
      </w:r>
    </w:p>
    <w:p>
      <w:pPr>
        <w:spacing w:after="0" w:line="227"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The COVID-19 pandemic created challenging and unprecedented conditions for our business, and the global economy, disrupting global supply chains, changing certain purchasing norms in retail and foodservice channels and created significant volatility and disruption of financial markets. This has resulted in inflationary and cost pressures that adversely impacted, our production and distribution costs, including costs of raw materials, packaging, labor, and freight.</w:t>
      </w:r>
    </w:p>
    <w:p>
      <w:pPr>
        <w:spacing w:after="0" w:line="180" w:lineRule="exact"/>
        <w:rPr>
          <w:sz w:val="20"/>
          <w:szCs w:val="20"/>
          <w:color w:val="auto"/>
        </w:rPr>
      </w:pPr>
    </w:p>
    <w:p>
      <w:pPr>
        <w:ind w:left="40" w:right="219" w:firstLine="243"/>
        <w:spacing w:after="0" w:line="261" w:lineRule="auto"/>
        <w:rPr>
          <w:sz w:val="20"/>
          <w:szCs w:val="20"/>
          <w:color w:val="auto"/>
        </w:rPr>
      </w:pPr>
      <w:r>
        <w:rPr>
          <w:rFonts w:ascii="Times New Roman" w:cs="Times New Roman" w:eastAsia="Times New Roman" w:hAnsi="Times New Roman"/>
          <w:sz w:val="18"/>
          <w:szCs w:val="18"/>
          <w:color w:val="auto"/>
        </w:rPr>
        <w:t>We continue to experience increased labor costs, commodity costs and logistical costs in the current economic climate and as we recover from the COVID-19 pandemic. We are experiencing higher costs attributed to operational challenges that impact our production facilities and our logistics network; the impact of higher prices for petroleum-based products, packaging materials and other commodities; and the availability of labor.</w:t>
      </w:r>
    </w:p>
    <w:p>
      <w:pPr>
        <w:spacing w:after="0" w:line="180" w:lineRule="exact"/>
        <w:rPr>
          <w:sz w:val="20"/>
          <w:szCs w:val="20"/>
          <w:color w:val="auto"/>
        </w:rPr>
      </w:pPr>
    </w:p>
    <w:p>
      <w:pPr>
        <w:ind w:left="40" w:right="79" w:firstLine="256"/>
        <w:spacing w:after="0" w:line="266" w:lineRule="auto"/>
        <w:rPr>
          <w:sz w:val="20"/>
          <w:szCs w:val="20"/>
          <w:color w:val="auto"/>
        </w:rPr>
      </w:pPr>
      <w:r>
        <w:rPr>
          <w:rFonts w:ascii="Times New Roman" w:cs="Times New Roman" w:eastAsia="Times New Roman" w:hAnsi="Times New Roman"/>
          <w:sz w:val="18"/>
          <w:szCs w:val="18"/>
          <w:color w:val="auto"/>
        </w:rPr>
        <w:t>In response to the inflationary costs described above, we have implemented price increases and may implement additional price increases in the future. Customers may not accept price increases or we may face competitive pressure that leads to price reductions for certain products.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Increasing volume of foreign grown avocados</w:t>
      </w:r>
    </w:p>
    <w:p>
      <w:pPr>
        <w:spacing w:after="0" w:line="227" w:lineRule="exact"/>
        <w:rPr>
          <w:sz w:val="20"/>
          <w:szCs w:val="20"/>
          <w:color w:val="auto"/>
        </w:rPr>
      </w:pPr>
    </w:p>
    <w:p>
      <w:pPr>
        <w:ind w:left="40" w:right="99" w:firstLine="267"/>
        <w:spacing w:after="0" w:line="261" w:lineRule="auto"/>
        <w:rPr>
          <w:sz w:val="20"/>
          <w:szCs w:val="20"/>
          <w:color w:val="auto"/>
        </w:rPr>
      </w:pPr>
      <w:r>
        <w:rPr>
          <w:rFonts w:ascii="Times New Roman" w:cs="Times New Roman" w:eastAsia="Times New Roman" w:hAnsi="Times New Roman"/>
          <w:sz w:val="18"/>
          <w:szCs w:val="18"/>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Project Uno</w:t>
      </w:r>
    </w:p>
    <w:p>
      <w:pPr>
        <w:spacing w:after="0" w:line="227" w:lineRule="exact"/>
        <w:rPr>
          <w:sz w:val="20"/>
          <w:szCs w:val="20"/>
          <w:color w:val="auto"/>
        </w:rPr>
      </w:pPr>
    </w:p>
    <w:p>
      <w:pPr>
        <w:ind w:left="40" w:right="99" w:firstLine="180"/>
        <w:spacing w:after="0" w:line="266" w:lineRule="auto"/>
        <w:rPr>
          <w:sz w:val="20"/>
          <w:szCs w:val="20"/>
          <w:color w:val="auto"/>
        </w:rPr>
      </w:pPr>
      <w:r>
        <w:rPr>
          <w:rFonts w:ascii="Times New Roman" w:cs="Times New Roman" w:eastAsia="Times New Roman" w:hAnsi="Times New Roman"/>
          <w:sz w:val="18"/>
          <w:szCs w:val="18"/>
          <w:color w:val="auto"/>
        </w:rPr>
        <w:t>During the third quarter of 2021, the Company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of the Prepared Florida plant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40" w:right="179"/>
        <w:spacing w:after="0" w:line="258" w:lineRule="auto"/>
        <w:rPr>
          <w:sz w:val="20"/>
          <w:szCs w:val="20"/>
          <w:color w:val="auto"/>
        </w:rPr>
      </w:pPr>
      <w:r>
        <w:rPr>
          <w:rFonts w:ascii="Times New Roman" w:cs="Times New Roman" w:eastAsia="Times New Roman" w:hAnsi="Times New Roman"/>
          <w:sz w:val="18"/>
          <w:szCs w:val="18"/>
          <w:color w:val="auto"/>
        </w:rPr>
        <w:t>and transfer of its viable operations into Prepared Georgia, (2) implementing broader supply chain operational improvements, (3) integrating our commercial, logistics, IT, procurement and accounting functions across the three divisions, (4) product rationalization initiatives which are aimed at eliminating unprofitable or slow moving stock keeping units and (5) outsourcing certain functions in our North American business to third-party service providers and the associated implementation of new procurement technology solutions.</w:t>
      </w:r>
    </w:p>
    <w:p>
      <w:pPr>
        <w:spacing w:after="0" w:line="183" w:lineRule="exact"/>
        <w:rPr>
          <w:sz w:val="20"/>
          <w:szCs w:val="20"/>
          <w:color w:val="auto"/>
        </w:rPr>
      </w:pPr>
    </w:p>
    <w:p>
      <w:pPr>
        <w:ind w:left="40" w:right="199" w:firstLine="180"/>
        <w:spacing w:after="0" w:line="266" w:lineRule="auto"/>
        <w:rPr>
          <w:sz w:val="20"/>
          <w:szCs w:val="20"/>
          <w:color w:val="auto"/>
        </w:rPr>
      </w:pPr>
      <w:r>
        <w:rPr>
          <w:rFonts w:ascii="Times New Roman" w:cs="Times New Roman" w:eastAsia="Times New Roman" w:hAnsi="Times New Roman"/>
          <w:sz w:val="18"/>
          <w:szCs w:val="18"/>
          <w:color w:val="auto"/>
        </w:rPr>
        <w:t>As Project Uno has progressed, we have embedded operating controls and initiatives outlined by Project Uno into our regular operating procedures. As such, we anticipate the financial impact of Project Uno will simply be embedded in our financial results of operations as opposed to separately disclosed.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0" w:lineRule="exact"/>
        <w:rPr>
          <w:sz w:val="20"/>
          <w:szCs w:val="20"/>
          <w:color w:val="auto"/>
        </w:rPr>
      </w:pPr>
    </w:p>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6"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On February 25, 2022, we filed an injunction to challenge the SAT’s response issued to the Reconsideration.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The injunction suit was admitted for analysis by the District Court, however, SAT filed a complaint (queja) against the ruling allowing Calavo de Mexico (“CDM”) to file an extension of the injunction suit. This complaint was filed by SAT to challenge the admission and analysis of the injunction suit; this complaint was decided by the Circuit Courts in October 2022 against the SAT complaint and the Court will start the analysis of injunction in the following months.</w:t>
      </w:r>
    </w:p>
    <w:p>
      <w:pPr>
        <w:spacing w:after="0" w:line="180"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74"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82"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On April 27, 2022, the SAT provided a Positive Compliance Opinion to CDM, and consequently the Tax Authority renewed the VAT Certification to CDM. These two resolutions signal a positive development on the Tax controversies in Mexico.</w:t>
      </w:r>
    </w:p>
    <w:p>
      <w:pPr>
        <w:spacing w:after="0" w:line="176" w:lineRule="exact"/>
        <w:rPr>
          <w:sz w:val="20"/>
          <w:szCs w:val="20"/>
          <w:color w:val="auto"/>
        </w:rPr>
      </w:pPr>
    </w:p>
    <w:p>
      <w:pPr>
        <w:ind w:left="40" w:right="479" w:firstLine="259"/>
        <w:spacing w:after="0" w:line="266" w:lineRule="auto"/>
        <w:rPr>
          <w:sz w:val="20"/>
          <w:szCs w:val="20"/>
          <w:color w:val="auto"/>
        </w:rPr>
      </w:pPr>
      <w:r>
        <w:rPr>
          <w:rFonts w:ascii="Times New Roman" w:cs="Times New Roman" w:eastAsia="Times New Roman" w:hAnsi="Times New Roman"/>
          <w:sz w:val="18"/>
          <w:szCs w:val="18"/>
          <w:color w:val="auto"/>
        </w:rPr>
        <w:t>On October 10, 2022, the Tax Court ruled in favor of CDM granting the definitive suspension, accepting the Administrative Guaranty and forcing the SAT to remove all liens placed on CDM fixed assets and bank accounts. The Court also recognized that the $3.1 billion pesos assessment exceeds the economic capacity of CDM.</w:t>
      </w:r>
    </w:p>
    <w:p>
      <w:pPr>
        <w:spacing w:after="0" w:line="176" w:lineRule="exact"/>
        <w:rPr>
          <w:sz w:val="20"/>
          <w:szCs w:val="20"/>
          <w:color w:val="auto"/>
        </w:rPr>
      </w:pPr>
    </w:p>
    <w:p>
      <w:pPr>
        <w:ind w:left="40" w:right="219" w:firstLine="259"/>
        <w:spacing w:after="0" w:line="256"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and that we have court rulings in favor of CDM,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USD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jc w:val="both"/>
        <w:ind w:left="40" w:right="219"/>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2021, as a discrete item in Income Tax Provision. The provision includes estimated penalties, interest and inflationary adjustments. We believe that this provision remains appropriate as of October 31, 2022 based on our cumulative probability analysis. We incurred $1.4 million of related professional fees for the year ended October 31, 2022, which have been recorded in Expenses related to Mexican Tax matters.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IVA taxes receivable</w:t>
      </w:r>
    </w:p>
    <w:p>
      <w:pPr>
        <w:spacing w:after="0" w:line="227"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Historically, CDM received IVA refund payments from the Mexican tax authorities on a timely basis. Beginning in fiscal 2014 and continuing into fiscal 2022, the tax authorities began objecting to refund requests and supporting documentation that had previously been deemed acceptable to process a refund.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89"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119" w:hanging="329"/>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75" w:lineRule="exact"/>
        <w:rPr>
          <w:rFonts w:ascii="Times New Roman" w:cs="Times New Roman" w:eastAsia="Times New Roman" w:hAnsi="Times New Roman"/>
          <w:sz w:val="18"/>
          <w:szCs w:val="18"/>
          <w:color w:val="auto"/>
        </w:rPr>
      </w:pPr>
    </w:p>
    <w:p>
      <w:pPr>
        <w:ind w:left="980" w:right="299" w:hanging="329"/>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spacing w:after="0" w:line="161" w:lineRule="exact"/>
        <w:rPr>
          <w:rFonts w:ascii="Times New Roman" w:cs="Times New Roman" w:eastAsia="Times New Roman" w:hAnsi="Times New Roman"/>
          <w:sz w:val="18"/>
          <w:szCs w:val="18"/>
          <w:color w:val="auto"/>
        </w:rPr>
      </w:pPr>
    </w:p>
    <w:p>
      <w:pPr>
        <w:ind w:left="980" w:right="159" w:hanging="329"/>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76"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 court is still reviewing the appeal filed by the Company on May 9, 2022, against the ruling resolving that certain VAT amounts are not recoverable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latest court resolution sustains the Company’s position that it is entitled to substantially all of its VAT amounts, and the Company is considering its options for collecting the entire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3"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90" w:lineRule="exact"/>
        <w:rPr>
          <w:sz w:val="20"/>
          <w:szCs w:val="20"/>
          <w:color w:val="auto"/>
        </w:rPr>
      </w:pPr>
    </w:p>
    <w:p>
      <w:pPr>
        <w:jc w:val="both"/>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76"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We believe the following are the more significant judgments and estimates used in the preparation of our consolidated financial statements.</w:t>
      </w:r>
    </w:p>
    <w:p>
      <w:pPr>
        <w:spacing w:after="0" w:line="160"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Promotional allowances. </w:t>
      </w:r>
      <w:r>
        <w:rPr>
          <w:rFonts w:ascii="Times New Roman" w:cs="Times New Roman" w:eastAsia="Times New Roman" w:hAnsi="Times New Roman"/>
          <w:sz w:val="18"/>
          <w:szCs w:val="18"/>
          <w:color w:val="auto"/>
        </w:rPr>
        <w:t>We provide for promotional allowances at the time of sale, based on volume purchased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historical experience. Our estimates are generally based on evaluating the relationship between promotional allowances and gross sales. The derived percentage is then applied to the current period’s sales revenues in order to arrive at the appropriate debit to sales allowances for the period. The offsetting credit is made to accrued liabilities.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 We estimate that a one percent (100 basis point) change in the derived percentage for the entire year would impact results of operations by approximately $0.1 million.</w:t>
      </w:r>
    </w:p>
    <w:p>
      <w:pPr>
        <w:spacing w:after="0" w:line="185"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2013 Mexican Tax Audit Assessment. </w:t>
      </w:r>
      <w:r>
        <w:rPr>
          <w:rFonts w:ascii="Times New Roman" w:cs="Times New Roman" w:eastAsia="Times New Roman" w:hAnsi="Times New Roman"/>
          <w:sz w:val="18"/>
          <w:szCs w:val="18"/>
          <w:color w:val="auto"/>
        </w:rPr>
        <w:t>In January 2017, we received preliminary observations from SAT related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2"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totaling approximately $2.6 billion Mexican pesos (which includes annual adjustments for inflation, and equals approximately $131.3 million USD at October 31, 2022) related to Income Tax, Flat Rate Business Tax, and value added tax, related to this fiscal 2013 tax audit. This amount has been adjusted for inflation as of October 31, 2022 to the amount of $3 billion Mexican pesos (approximately $151.5 million USD). Additionally, the tax authorities have determined that we owe our employee’s profit-sharing liability, totaling approximately $118 million Mexican pesos (approximately $6.0 million USD at October 31, 2022).</w:t>
      </w:r>
    </w:p>
    <w:p>
      <w:pPr>
        <w:spacing w:after="0" w:line="18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and that we have court rulings in favor of CDM,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October 31, 2022 based on our cumulative probability analysis. We incurred $1.4 million of related professional fees for the year ended October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40" w:right="159"/>
        <w:spacing w:after="0" w:line="282" w:lineRule="auto"/>
        <w:rPr>
          <w:sz w:val="20"/>
          <w:szCs w:val="20"/>
          <w:color w:val="auto"/>
        </w:rPr>
      </w:pPr>
      <w:r>
        <w:rPr>
          <w:rFonts w:ascii="Times New Roman" w:cs="Times New Roman" w:eastAsia="Times New Roman" w:hAnsi="Times New Roman"/>
          <w:sz w:val="18"/>
          <w:szCs w:val="18"/>
          <w:color w:val="auto"/>
        </w:rPr>
        <w:t>31, 2022, which have been recorded in Expenses related to Mexican Tax matters. See Note 7 to our consolidated financial statements for further information.</w:t>
      </w:r>
    </w:p>
    <w:p>
      <w:pPr>
        <w:spacing w:after="0" w:line="160"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i w:val="1"/>
          <w:iCs w:val="1"/>
          <w:color w:val="auto"/>
        </w:rPr>
        <w:t>Mexican IVA taxes receivable</w:t>
      </w:r>
      <w:r>
        <w:rPr>
          <w:rFonts w:ascii="Times New Roman" w:cs="Times New Roman" w:eastAsia="Times New Roman" w:hAnsi="Times New Roman"/>
          <w:sz w:val="18"/>
          <w:szCs w:val="18"/>
          <w:color w:val="auto"/>
        </w:rPr>
        <w:t>. As of October 31, 2022, and October 31, 2021, CDM IVA receivables totaled $43.6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(865.4 million Mexican pesos) and $37.5 million (762.1 million Mexican pesos). Historically, CDM received IVA refund payments from the Mexican tax authorities on a timely basis. Beginning in fiscal 2014 and continuing into fiscal 2022,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90"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0" w:lineRule="exact"/>
        <w:rPr>
          <w:sz w:val="20"/>
          <w:szCs w:val="20"/>
          <w:color w:val="auto"/>
        </w:rPr>
      </w:pPr>
    </w:p>
    <w:p>
      <w:pPr>
        <w:ind w:left="40" w:right="199" w:firstLine="259"/>
        <w:spacing w:after="0" w:line="255" w:lineRule="auto"/>
        <w:rPr>
          <w:sz w:val="20"/>
          <w:szCs w:val="20"/>
          <w:color w:val="auto"/>
        </w:rPr>
      </w:pPr>
      <w:r>
        <w:rPr>
          <w:rFonts w:ascii="Times New Roman" w:cs="Times New Roman" w:eastAsia="Times New Roman" w:hAnsi="Times New Roman"/>
          <w:sz w:val="18"/>
          <w:szCs w:val="18"/>
          <w:color w:val="auto"/>
        </w:rPr>
        <w:t>In spite of the favorable ruling from the SAT’s Legal Administration in Michoacan, as discussed above, the local SAT office has denied our refund claims and continues to believe that CDM is not properly documented relative to its declared tax structure. As a result, they believe CDM cannot claim certain refundable IVA balances, specifically regarding our IVA refunds since January through October 2017. CDM has strong arguments and supporting documentation to sustain its declared tax structure for IVA and income tax purposes. With assistance from our internationally recognized tax advisory firm, CDM has filed an Administrative Appeals for the IVA related to the preceding months. A response to these Administrative Appeals is currently pending resolution.</w:t>
      </w:r>
    </w:p>
    <w:p>
      <w:pPr>
        <w:spacing w:after="0" w:line="189"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In light of the foregoing, the Company is currently considering its options for resolution of the VAT receivables.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 This estimated time could be impacted and delayed by the situation of the COVID-19 pandemic.</w:t>
      </w:r>
    </w:p>
    <w:p>
      <w:pPr>
        <w:spacing w:after="0" w:line="183" w:lineRule="exact"/>
        <w:rPr>
          <w:sz w:val="20"/>
          <w:szCs w:val="20"/>
          <w:color w:val="auto"/>
        </w:rPr>
      </w:pPr>
    </w:p>
    <w:p>
      <w:pPr>
        <w:jc w:val="both"/>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Therefore, we believe that it is probable that the Mexican tax authorities will ultimately authorize the refund of the corresponding IVA amounts. However, there is no assurance that we will collect the full amount reflected in our financial statements.</w:t>
      </w:r>
    </w:p>
    <w:p>
      <w:pPr>
        <w:spacing w:after="0" w:line="178" w:lineRule="exact"/>
        <w:rPr>
          <w:sz w:val="20"/>
          <w:szCs w:val="20"/>
          <w:color w:val="auto"/>
        </w:rPr>
      </w:pPr>
    </w:p>
    <w:p>
      <w:pPr>
        <w:ind w:left="40" w:right="79" w:firstLine="243"/>
        <w:spacing w:after="0" w:line="273" w:lineRule="auto"/>
        <w:rPr>
          <w:sz w:val="20"/>
          <w:szCs w:val="20"/>
          <w:color w:val="auto"/>
        </w:rPr>
      </w:pPr>
      <w:r>
        <w:rPr>
          <w:rFonts w:ascii="Times New Roman" w:cs="Times New Roman" w:eastAsia="Times New Roman" w:hAnsi="Times New Roman"/>
          <w:sz w:val="17"/>
          <w:szCs w:val="17"/>
          <w:i w:val="1"/>
          <w:iCs w:val="1"/>
          <w:color w:val="auto"/>
        </w:rPr>
        <w:t>Goodwill and acquired intangible assets</w:t>
      </w:r>
      <w:r>
        <w:rPr>
          <w:rFonts w:ascii="Times New Roman" w:cs="Times New Roman" w:eastAsia="Times New Roman" w:hAnsi="Times New Roman"/>
          <w:sz w:val="17"/>
          <w:szCs w:val="17"/>
          <w:color w:val="auto"/>
        </w:rPr>
        <w:t>. Goodwill, defined as unidentified asset(s) acquired in conjunction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perform a goodwill impairment test on an annual basis, and between annual tests whenever events or changes in circumstances indicate that the carrying amount may not be recoverable. To the extent the carrying amount of the reporting unit’s allocated goodwill exceeds the unit’s fair value, we recognize an impairment of goodwill for the excess up to the amount of goodwill of that reporting unit.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As a result of the Company's operating segment realignment, the composition of its reporting units for the evaluation of goodwill impairment was changed. RFG reporting unit goodwill is now included within the Prepared reporting unit. Therefore, goodwill of $24.7 million, which was previously recorded within the RFG reporting unit, is now within our Prepared segment and $4.0 million, previously recorded within the Fresh reporting unit, is now in our Grown segment. Prior to the change in its reporting unit, the Company tested goodwill for impairment at the previous reporting unit, which did not result in any impairment charge.</w:t>
      </w:r>
    </w:p>
    <w:p>
      <w:pPr>
        <w:spacing w:after="0" w:line="187" w:lineRule="exact"/>
        <w:rPr>
          <w:sz w:val="20"/>
          <w:szCs w:val="20"/>
          <w:color w:val="auto"/>
        </w:rPr>
      </w:pPr>
    </w:p>
    <w:p>
      <w:pPr>
        <w:ind w:left="40" w:right="79" w:firstLine="243"/>
        <w:spacing w:after="0" w:line="253" w:lineRule="auto"/>
        <w:rPr>
          <w:sz w:val="20"/>
          <w:szCs w:val="20"/>
          <w:color w:val="auto"/>
        </w:rPr>
      </w:pPr>
      <w:r>
        <w:rPr>
          <w:rFonts w:ascii="Times New Roman" w:cs="Times New Roman" w:eastAsia="Times New Roman" w:hAnsi="Times New Roman"/>
          <w:sz w:val="18"/>
          <w:szCs w:val="18"/>
          <w:color w:val="auto"/>
        </w:rPr>
        <w:t>In fiscal 2022 and 2021, the Company’s estimated fair value significantly exceeded its carrying value in our quantitative assessment of the Company’s impairment test.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The Company concluded based on quantitative assessment tests that no goodwill impairment existed in the fiscal years ended October 31, 2022 and 2021. Goodwill impairment testing requires significant judgment and management estimates, including, but not limited to, the determination of (i) the number of reporting units,</w:t>
      </w:r>
    </w:p>
    <w:p>
      <w:pPr>
        <w:spacing w:after="0" w:line="3" w:lineRule="exact"/>
        <w:rPr>
          <w:sz w:val="20"/>
          <w:szCs w:val="20"/>
          <w:color w:val="auto"/>
        </w:rPr>
      </w:pPr>
    </w:p>
    <w:p>
      <w:pPr>
        <w:ind w:left="40" w:right="119" w:firstLine="4"/>
        <w:spacing w:after="0" w:line="253"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and other assets and liabilities to be allocated to the reporting units and (iii) the fair values of the reporting units which includes forecasted cash flow. The estimates and assumptions described above, along with other factors such as discount rates, will significantly affect the outcome of the impairment tests and the amounts of any resulting impairment losses.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operations, expressed as percentages of our total net sales,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580" w:type="dxa"/>
            <w:vAlign w:val="bottom"/>
            <w:gridSpan w:val="6"/>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42"/>
        </w:trPr>
        <w:tc>
          <w:tcPr>
            <w:tcW w:w="63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8.5 %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5.5 %</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charges related to RFG Florida facility closure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sales of Temecula packinghouse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r>
      <w:tr>
        <w:trPr>
          <w:trHeight w:val="198"/>
        </w:trPr>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Recovery (loss) on reserve for FreshRealm note receivable and impairment of</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0.6 %</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and realized net loss (gain) on Limoneira shares</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0.4 %</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 below tables include non-GAAP measures EBITDA, adjusted EBITDA, adjusted net income and adjusted diluted earnings per share (“EPS”), which are not prepared in accordance with U.S. generally accepted accounting principles, or “GAAP.”</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is defined as net income (loss) attributable to Calavo Growers, Inc. excluding (1) interest income and expense,</w:t>
      </w:r>
    </w:p>
    <w:p>
      <w:pPr>
        <w:spacing w:after="0" w:line="27" w:lineRule="exact"/>
        <w:rPr>
          <w:sz w:val="20"/>
          <w:szCs w:val="20"/>
          <w:color w:val="auto"/>
        </w:rPr>
      </w:pPr>
    </w:p>
    <w:p>
      <w:pPr>
        <w:ind w:left="40" w:right="159" w:firstLine="4"/>
        <w:spacing w:after="0" w:line="252" w:lineRule="auto"/>
        <w:tabs>
          <w:tab w:leader="none" w:pos="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40" w:right="479"/>
        <w:spacing w:after="0" w:line="282" w:lineRule="auto"/>
        <w:rPr>
          <w:sz w:val="20"/>
          <w:szCs w:val="20"/>
          <w:color w:val="auto"/>
        </w:rPr>
      </w:pPr>
      <w:r>
        <w:rPr>
          <w:rFonts w:ascii="Times New Roman" w:cs="Times New Roman" w:eastAsia="Times New Roman" w:hAnsi="Times New Roman"/>
          <w:sz w:val="18"/>
          <w:szCs w:val="18"/>
          <w:color w:val="auto"/>
        </w:rPr>
        <w:t>EBITDA are items recognized and recorded under GAAP in particular periods but might be viewed as not necessarily coinciding with the underlying business operations for the periods in which they are so recognized and recorded.</w:t>
      </w:r>
    </w:p>
    <w:p>
      <w:pPr>
        <w:spacing w:after="0" w:line="162"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92"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6"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(Non-GAAP, Unaudited)</w:t>
      </w:r>
    </w:p>
    <w:p>
      <w:pPr>
        <w:spacing w:after="0" w:line="229"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(recovery) from FreshRealm and other related expenses (b)</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 loss on Limoneira shares (d)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 add back (e)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(f)</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tax matters (g)</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and charges related to property, plant and equipment (h)</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(i)</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net income attributed to Calavo Growers, Inc.</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(GAAP)</w:t>
            </w: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Borders>
              <w:bottom w:val="single" w:sz="8" w:color="CCEEFF"/>
            </w:tcBorders>
            <w:gridSpan w:val="2"/>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jc w:val="right"/>
              <w:ind w:right="50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6"/>
        </w:trPr>
        <w:tc>
          <w:tcPr>
            <w:tcW w:w="566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2" w:name="page33"/>
    <w:bookmarkEnd w:id="32"/>
    <w:p>
      <w:pPr>
        <w:ind w:left="360" w:right="119" w:hanging="316"/>
        <w:spacing w:after="0" w:line="272"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2020, FreshRealm incurred losses totaling $24.1 million, of which we recorded $7.2 million of non-cash losses during fiscal 2020. For the years ended October 31, 2022, 2021 and 2020, we incurred income from Agricola Don Memo totaling $0.6 million, $1.7 million, and $1.1 million. In July 2021, as part of the FreshRealm Separation Agreement, FreshRealm paid Calavo the Loan Payoff Amount of $6.0 million, and we recorded the receipt on the statement of operations as a recovery of the reserve for collectability of the FreshRealm note receivable.</w:t>
      </w:r>
    </w:p>
    <w:p>
      <w:pPr>
        <w:spacing w:after="0" w:line="77" w:lineRule="exact"/>
        <w:rPr>
          <w:rFonts w:ascii="Times New Roman" w:cs="Times New Roman" w:eastAsia="Times New Roman" w:hAnsi="Times New Roman"/>
          <w:sz w:val="16"/>
          <w:szCs w:val="16"/>
          <w:color w:val="auto"/>
        </w:rPr>
      </w:pPr>
    </w:p>
    <w:p>
      <w:pPr>
        <w:ind w:left="360" w:right="199" w:hanging="316"/>
        <w:spacing w:after="0" w:line="267"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In addition, we recovered $0.1 million in receivables that we previously reserved. During the third quarter of fiscal 2020, the results of operations of FreshRealm deteriorated significantly, with declining sales and continuing losses. We therefore recorded an impairment of 100% of our equity investment of $2.8 million, and we recorded a reserve for 100% of our note receivable of 34.2 million (which includes accrued interest of $4.1 million), and $0.3 million in trade accounts receivable as of October 31, 2020, which resulted in a loss of $37.3 million. For the year ended October 31, 2021 and 2020, we incurred $0.1 million and $0.3 million of professional fees related to FreshRealm and to the Loss on reserve for FreshRealm note receivable and impairment of investment. For the year ended October 31, 2022, we recognized a return to provision discrete tax expense of $0.6 million due to the finalization of the tax treatment of the loss related to the previously recorded impairment of the investment in FreshRealm.</w:t>
      </w:r>
    </w:p>
    <w:p>
      <w:pPr>
        <w:spacing w:after="0" w:line="83" w:lineRule="exact"/>
        <w:rPr>
          <w:rFonts w:ascii="Times New Roman" w:cs="Times New Roman" w:eastAsia="Times New Roman" w:hAnsi="Times New Roman"/>
          <w:sz w:val="16"/>
          <w:szCs w:val="16"/>
          <w:color w:val="auto"/>
        </w:rPr>
      </w:pPr>
    </w:p>
    <w:p>
      <w:pPr>
        <w:ind w:left="360" w:right="159" w:hanging="316"/>
        <w:spacing w:after="0" w:line="281"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fiscal 2021, we incurred professional service costs related to a considered but non-consummated acquisition. In fiscal 2020, we incurred expenses related to the acquisition of SFFI Company, Inc. doing business as Simply Fresh (SFFI). SFFI is a processor and supplier of a broad line of fresh-cut fruit, principally serving the foodservice and hospitality markets.</w:t>
      </w:r>
    </w:p>
    <w:p>
      <w:pPr>
        <w:spacing w:after="0" w:line="69"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October 31, 2022, 2021 and 2020, we recorded losses of $8.6 million, income of $3.9 million, and losses of</w:t>
      </w:r>
    </w:p>
    <w:p>
      <w:pPr>
        <w:spacing w:after="0" w:line="26" w:lineRule="exact"/>
        <w:rPr>
          <w:rFonts w:ascii="Times New Roman" w:cs="Times New Roman" w:eastAsia="Times New Roman" w:hAnsi="Times New Roman"/>
          <w:sz w:val="16"/>
          <w:szCs w:val="16"/>
          <w:color w:val="auto"/>
        </w:rPr>
      </w:pPr>
    </w:p>
    <w:p>
      <w:pPr>
        <w:jc w:val="both"/>
        <w:ind w:left="360" w:right="139"/>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 million in realized and unrealized net gain (loss) on Limoneira shares. In the year ended October 31, 2022, we sold our entire investment of 1,677,299 shares of Limoneira stock. We incurred $0.3 million of broker fees as part of the sale of Limoneira stock.</w:t>
      </w:r>
    </w:p>
    <w:p>
      <w:pPr>
        <w:spacing w:after="0" w:line="63" w:lineRule="exact"/>
        <w:rPr>
          <w:rFonts w:ascii="Times New Roman" w:cs="Times New Roman" w:eastAsia="Times New Roman" w:hAnsi="Times New Roman"/>
          <w:sz w:val="16"/>
          <w:szCs w:val="16"/>
          <w:color w:val="auto"/>
        </w:rPr>
      </w:pPr>
    </w:p>
    <w:p>
      <w:pPr>
        <w:ind w:left="360" w:right="79" w:hanging="316"/>
        <w:spacing w:after="0" w:line="298"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2022, 2021 and 2020, we incurred $0.4 million, $0.4 million and $0.1 million related to rent paid for Prepared’s former corporate office space that we have vacated and plan to sublease.</w:t>
      </w:r>
    </w:p>
    <w:p>
      <w:pPr>
        <w:spacing w:after="0" w:line="56" w:lineRule="exact"/>
        <w:rPr>
          <w:rFonts w:ascii="Times New Roman" w:cs="Times New Roman" w:eastAsia="Times New Roman" w:hAnsi="Times New Roman"/>
          <w:sz w:val="16"/>
          <w:szCs w:val="16"/>
          <w:color w:val="auto"/>
        </w:rPr>
      </w:pPr>
    </w:p>
    <w:p>
      <w:pPr>
        <w:ind w:left="360" w:right="239" w:hanging="316"/>
        <w:spacing w:after="0" w:line="271"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fiscal 2022, 2021 and 2020, results include higher stock-based compensation expense of $0.1 million, $1.3 million and $1.1 million related to senior management transitions, which does not impact the underlying cost structure of the Company. For fiscal 2022 and 2021, we recorded $2.8 million and $0.9 million of consulting expenses related to an enterprise-wide strategic business review conducted for the purpose of restructuring to improve the profitability of the organization and efficiency of our operations. In fiscal 2022 and 2021, we incurred $2.0 million and $0.9 million related to management recruiting and severance costs in connection with the restructuring initiative.</w:t>
      </w:r>
    </w:p>
    <w:p>
      <w:pPr>
        <w:spacing w:after="0" w:line="76" w:lineRule="exact"/>
        <w:rPr>
          <w:rFonts w:ascii="Times New Roman" w:cs="Times New Roman" w:eastAsia="Times New Roman" w:hAnsi="Times New Roman"/>
          <w:sz w:val="16"/>
          <w:szCs w:val="16"/>
          <w:color w:val="auto"/>
        </w:rPr>
      </w:pPr>
    </w:p>
    <w:p>
      <w:pPr>
        <w:ind w:left="360" w:right="159" w:hanging="316"/>
        <w:spacing w:after="0" w:line="281"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2022, we incurred $1.4 million of professional fees related to the Mexican tax matters. For the year ended October 31, 2022, we recognized a return to provision discrete tax expense of $0.9 million due to the finalization of the tax treatment for the final settlement of the 2011 Assessment (see below).</w:t>
      </w:r>
    </w:p>
    <w:p>
      <w:pPr>
        <w:spacing w:after="0" w:line="69" w:lineRule="exact"/>
        <w:rPr>
          <w:rFonts w:ascii="Times New Roman" w:cs="Times New Roman" w:eastAsia="Times New Roman" w:hAnsi="Times New Roman"/>
          <w:sz w:val="16"/>
          <w:szCs w:val="16"/>
          <w:color w:val="auto"/>
        </w:rPr>
      </w:pPr>
    </w:p>
    <w:p>
      <w:pPr>
        <w:ind w:left="360" w:right="59"/>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2021, we paid $2.4 million in full settlement of the 2011 Assessment. Of this amount, $1.5 million has been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 See Note 7 to the consolidated financial statements for further information.</w:t>
      </w:r>
    </w:p>
    <w:p>
      <w:pPr>
        <w:spacing w:after="0" w:line="74" w:lineRule="exact"/>
        <w:rPr>
          <w:rFonts w:ascii="Times New Roman" w:cs="Times New Roman" w:eastAsia="Times New Roman" w:hAnsi="Times New Roman"/>
          <w:sz w:val="16"/>
          <w:szCs w:val="16"/>
          <w:color w:val="auto"/>
        </w:rPr>
      </w:pPr>
    </w:p>
    <w:p>
      <w:pPr>
        <w:ind w:left="360" w:right="59"/>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2021, based on our evaluation of the most probable outcomes of the 2013 Assessment, we recorded an accrual of $11 million as a discrete item in Income Tax Provision. An additional $0.6 million of related professional fees have also been recorded as Expenses related to the Mexican tax matters. See Note 7 to the consolidated financial statements for further information.</w:t>
      </w:r>
    </w:p>
    <w:p>
      <w:pPr>
        <w:spacing w:after="0" w:line="69" w:lineRule="exact"/>
        <w:rPr>
          <w:rFonts w:ascii="Times New Roman" w:cs="Times New Roman" w:eastAsia="Times New Roman" w:hAnsi="Times New Roman"/>
          <w:sz w:val="16"/>
          <w:szCs w:val="16"/>
          <w:color w:val="auto"/>
        </w:rPr>
      </w:pPr>
    </w:p>
    <w:p>
      <w:pPr>
        <w:ind w:left="360" w:right="239" w:hanging="316"/>
        <w:spacing w:after="0" w:line="272"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18, 2021, we announced the closure of Prepared’s food processing operations at our Green Cove Springs (near Jacksonville), Florida facility, as part of our Project Uno profit improvement program. As of November 15, 2021, the Green Cove facility for our Prepared segment has ceased operations. We wrote down $8.7 million of leasehold improvements, $0.1 million of equipment, and $0.6 million of inventory (recognized through cost of goods sold). We also paid $0.4 million in employee severance. We incurred $0.9 million of expenses for the year ended October 31, 2022, related to the closure of this facility.</w:t>
      </w:r>
    </w:p>
    <w:p>
      <w:pPr>
        <w:spacing w:after="0" w:line="77" w:lineRule="exact"/>
        <w:rPr>
          <w:rFonts w:ascii="Times New Roman" w:cs="Times New Roman" w:eastAsia="Times New Roman" w:hAnsi="Times New Roman"/>
          <w:sz w:val="16"/>
          <w:szCs w:val="16"/>
          <w:color w:val="auto"/>
        </w:rPr>
      </w:pPr>
    </w:p>
    <w:p>
      <w:pPr>
        <w:ind w:left="360" w:right="139" w:hanging="316"/>
        <w:spacing w:after="0" w:line="298"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non-GAAP adjustments are based on the prevailing year-to-date tax rates in each period and adjusted to the one-time tax charges mentioned in note (b) above.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(Non-GAAP, Unaudited)</w:t>
      </w:r>
    </w:p>
    <w:p>
      <w:pPr>
        <w:spacing w:after="0" w:line="229"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Limoneira shares (d)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(recovery) from FreshRealm and other related expenses (b)</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 add back (e)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and management recruiting and severance (f)</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 (g)</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and charges related to property, plant and equipment (h)</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35,147</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 per dilutive share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8770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prior page for footnote references</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We believe that the fundamental consumption trends for our products continue to be favorable. First, U.S. avocado demand continues to grow, with per capita consumption in 2021/2022 per USDA reaching 8.4 pounds per person, and approximately 65% higher than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 Also, a growing number of research studies seem to suggest that phytonutrients, which avocados are rich in, help fight chronic illnesses, such as heart disease and cancer.</w:t>
      </w:r>
    </w:p>
    <w:p>
      <w:pPr>
        <w:spacing w:after="0" w:line="189"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Additionally, we believe that the demographic changes in the U.S. will impact the consumption of avocados and avocado-based products. The Hispanic community currently accounts for approximately 20%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80"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We anticipate avocado products will further penetrate the United States marketplace, driven by year-round availability of imported fresh avocados, a rapidly growing Hispanic population, and the promotion of the health benefits of avocados. As one of the largest marketers of avocado products in the United States, we believe that we are well positioned to leverage this trend and to grow our avocado and guacamole products business. Additionally, we also believe that avocados and avocado based products will further penetrate other marketplaces that we currently operate in as interest in avocados continues to expand.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During fiscal 2022, 2021 and 2020, on behalf of avocado growers, we remitted approximately $1.5 million, $1.0 million and $1.3 million to the California Avocado Commission. During fiscal 2022, 2021 and 2020, we remitted approximately $8.1 million, $8.3 million and $8.4 million to the Hass Avocado Board related to avocados. Similarly, Avocados from Mexico (AFM) was formed in 2013 as the marketing arm of the Mexican Hass Avocados Importers Association (MHAIA) and the Association of Growers and Packers of Avocados From Mexico (APEAM). During fiscal 2022, 2021 and 2020, we remitted approximately $4.2 million, $5.7 million and $5.2 million to APEAM primarily related to these marketing activities for Mexican avocados.</w:t>
      </w:r>
    </w:p>
    <w:p>
      <w:pPr>
        <w:spacing w:after="0" w:line="18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We also believe that our other Grown products, primarily tomatoes, are positioned for future growth. The tomato is the fourth most popular fresh-market vegetable (though a fruit scientifically speaking, tomatoes are more commonly considered a vegetable) behind potatoes, lettuce, and onions in the U.S. Although stabilizing in the first decade of the 2000s, annual average fresh-market tomato consumption remains well above that of the previous decade.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88" w:lineRule="exact"/>
        <w:rPr>
          <w:sz w:val="20"/>
          <w:szCs w:val="20"/>
          <w:color w:val="auto"/>
        </w:rPr>
      </w:pPr>
    </w:p>
    <w:p>
      <w:pPr>
        <w:ind w:left="40" w:right="419" w:firstLine="259"/>
        <w:spacing w:after="0" w:line="266" w:lineRule="auto"/>
        <w:rPr>
          <w:sz w:val="20"/>
          <w:szCs w:val="20"/>
          <w:color w:val="auto"/>
        </w:rPr>
      </w:pPr>
      <w:r>
        <w:rPr>
          <w:rFonts w:ascii="Times New Roman" w:cs="Times New Roman" w:eastAsia="Times New Roman" w:hAnsi="Times New Roman"/>
          <w:sz w:val="18"/>
          <w:szCs w:val="18"/>
          <w:color w:val="auto"/>
        </w:rPr>
        <w:t>Papayas have become more popular as consumption in the U.S. has more than doubled in the past decade. Papayas have high nutritional benefits. They are rich in anti-oxidants, B vitamins, folate and pantothenic acid, potassium and magnesium, and fiber.</w:t>
      </w:r>
    </w:p>
    <w:p>
      <w:pPr>
        <w:spacing w:after="0" w:line="176"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Additionally, through our Prepared segment we have expanded and accelerated the Company’s presence in the fast-growing refrigerated fresh packaged foods category through an array of retail product lines for produce, deli, and foodservice departments. Prepared products include guacamole products (including both frozen and fresh), salsa, fresh-cut fruit and vegetables, fresh prepared entrée salads, wraps, sandwiches, parfaits and fresh snacking products, as well as ready-to-heat entrees and other hot bar and various deli items, meals kit components and salad kits. Value-added fruits and vegetables have continued to grow faster than their broader produce categories as consumers increasingly place value on the convenient nature of those products and producers to develop new formulations of value-added products. Our Prepared segment has also expanded the capacity to provide products for a larger portion of the Fresh Deli department.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8"/>
          <w:szCs w:val="18"/>
          <w:color w:val="auto"/>
        </w:rPr>
        <w:t>The following tables set forth sales by product category and sales allowances, by segment (dollars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tc>
        <w:tc>
          <w:tcPr>
            <w:tcW w:w="140" w:type="dxa"/>
            <w:vAlign w:val="bottom"/>
          </w:tcPr>
          <w:p>
            <w:pPr>
              <w:spacing w:after="0"/>
              <w:rPr>
                <w:sz w:val="15"/>
                <w:szCs w:val="15"/>
                <w:color w:val="auto"/>
              </w:rPr>
            </w:pPr>
          </w:p>
        </w:tc>
        <w:tc>
          <w:tcPr>
            <w:tcW w:w="256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60" w:type="dxa"/>
            <w:vAlign w:val="bottom"/>
          </w:tcPr>
          <w:p>
            <w:pPr>
              <w:spacing w:after="0"/>
              <w:rPr>
                <w:sz w:val="15"/>
                <w:szCs w:val="15"/>
                <w:color w:val="auto"/>
              </w:rPr>
            </w:pPr>
          </w:p>
        </w:tc>
      </w:tr>
      <w:tr>
        <w:trPr>
          <w:trHeight w:val="291"/>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7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7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Avocados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$ 536,969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536,969</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Tomatoes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Papayas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204,433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204,433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205,087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205,087</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107,332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102,291</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114,396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114,396</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Salsa</w:t>
            </w:r>
          </w:p>
        </w:tc>
        <w:tc>
          <w:tcPr>
            <w:tcW w:w="7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60" w:type="dxa"/>
            <w:vAlign w:val="bottom"/>
            <w:tcBorders>
              <w:bottom w:val="single" w:sz="8" w:color="CCEEFF"/>
            </w:tcBorders>
          </w:tcPr>
          <w:p>
            <w:pPr>
              <w:spacing w:after="0"/>
              <w:rPr>
                <w:sz w:val="17"/>
                <w:szCs w:val="17"/>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502,991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1,207,768</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481,482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1,073,686</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(15,359)</w:t>
            </w:r>
          </w:p>
        </w:tc>
        <w:tc>
          <w:tcPr>
            <w:tcW w:w="60" w:type="dxa"/>
            <w:vAlign w:val="bottom"/>
          </w:tcPr>
          <w:p>
            <w:pPr>
              <w:spacing w:after="0"/>
              <w:rPr>
                <w:sz w:val="17"/>
                <w:szCs w:val="17"/>
                <w:color w:val="auto"/>
              </w:rPr>
            </w:pPr>
          </w:p>
        </w:tc>
      </w:tr>
      <w:tr>
        <w:trPr>
          <w:trHeight w:val="22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60" w:type="dxa"/>
            <w:vAlign w:val="bottom"/>
            <w:shd w:val="clear" w:color="auto" w:fill="CCEEFF"/>
          </w:tcPr>
          <w:p>
            <w:pPr>
              <w:spacing w:after="0"/>
              <w:rPr>
                <w:sz w:val="19"/>
                <w:szCs w:val="19"/>
                <w:color w:val="auto"/>
              </w:rPr>
            </w:pPr>
          </w:p>
        </w:tc>
      </w:tr>
      <w:tr>
        <w:trPr>
          <w:trHeight w:val="23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$ 698,205</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492,868</w:t>
            </w:r>
          </w:p>
        </w:tc>
        <w:tc>
          <w:tcPr>
            <w:tcW w:w="14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1,191,073</w:t>
            </w:r>
          </w:p>
        </w:tc>
        <w:tc>
          <w:tcPr>
            <w:tcW w:w="14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$ 586,030</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1,055,830</w:t>
            </w:r>
          </w:p>
        </w:tc>
        <w:tc>
          <w:tcPr>
            <w:tcW w:w="60" w:type="dxa"/>
            <w:vAlign w:val="bottom"/>
            <w:tcBorders>
              <w:bottom w:val="single" w:sz="8" w:color="CCEEFF"/>
            </w:tcBorders>
          </w:tcPr>
          <w:p>
            <w:pPr>
              <w:spacing w:after="0"/>
              <w:rPr>
                <w:sz w:val="20"/>
                <w:szCs w:val="20"/>
                <w:color w:val="auto"/>
              </w:rPr>
            </w:pPr>
          </w:p>
        </w:tc>
      </w:tr>
      <w:tr>
        <w:trPr>
          <w:trHeight w:val="210"/>
        </w:trPr>
        <w:tc>
          <w:tcPr>
            <w:tcW w:w="2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78"/>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140" w:type="dxa"/>
            <w:vAlign w:val="bottom"/>
          </w:tcPr>
          <w:p>
            <w:pPr>
              <w:spacing w:after="0"/>
              <w:rPr>
                <w:sz w:val="24"/>
                <w:szCs w:val="24"/>
                <w:color w:val="auto"/>
              </w:rPr>
            </w:pPr>
          </w:p>
        </w:tc>
        <w:tc>
          <w:tcPr>
            <w:tcW w:w="256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2020</w:t>
            </w:r>
          </w:p>
        </w:tc>
        <w:tc>
          <w:tcPr>
            <w:tcW w:w="60" w:type="dxa"/>
            <w:vAlign w:val="bottom"/>
          </w:tcPr>
          <w:p>
            <w:pPr>
              <w:spacing w:after="0"/>
              <w:rPr>
                <w:sz w:val="24"/>
                <w:szCs w:val="24"/>
                <w:color w:val="auto"/>
              </w:rPr>
            </w:pPr>
          </w:p>
        </w:tc>
      </w:tr>
      <w:tr>
        <w:trPr>
          <w:trHeight w:val="291"/>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7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7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Avocados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$ 536,969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$ 521,542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521,542</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Tomatoes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53,922</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Papayas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205,087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205,087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204,766</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102,291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113,460</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7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88,346</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75,409</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Salsa</w:t>
            </w:r>
          </w:p>
        </w:tc>
        <w:tc>
          <w:tcPr>
            <w:tcW w:w="7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60" w:type="dxa"/>
            <w:vAlign w:val="bottom"/>
            <w:tcBorders>
              <w:bottom w:val="single" w:sz="8" w:color="CCEEFF"/>
            </w:tcBorders>
          </w:tcPr>
          <w:p>
            <w:pPr>
              <w:spacing w:after="0"/>
              <w:rPr>
                <w:sz w:val="17"/>
                <w:szCs w:val="17"/>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481,482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1,073,686</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484,764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1,071,084</w:t>
            </w:r>
          </w:p>
        </w:tc>
        <w:tc>
          <w:tcPr>
            <w:tcW w:w="60" w:type="dxa"/>
            <w:vAlign w:val="bottom"/>
            <w:shd w:val="clear" w:color="auto" w:fill="CCEEFF"/>
          </w:tcPr>
          <w:p>
            <w:pPr>
              <w:spacing w:after="0"/>
              <w:rPr>
                <w:sz w:val="17"/>
                <w:szCs w:val="17"/>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(10,062)</w:t>
            </w:r>
          </w:p>
        </w:tc>
        <w:tc>
          <w:tcPr>
            <w:tcW w:w="60" w:type="dxa"/>
            <w:vAlign w:val="bottom"/>
          </w:tcPr>
          <w:p>
            <w:pPr>
              <w:spacing w:after="0"/>
              <w:rPr>
                <w:sz w:val="17"/>
                <w:szCs w:val="17"/>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60" w:type="dxa"/>
            <w:vAlign w:val="bottom"/>
            <w:shd w:val="clear" w:color="auto" w:fill="CCEEFF"/>
          </w:tcPr>
          <w:p>
            <w:pPr>
              <w:spacing w:after="0"/>
              <w:rPr>
                <w:sz w:val="17"/>
                <w:szCs w:val="17"/>
                <w:color w:val="auto"/>
              </w:rPr>
            </w:pP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$ 586,030</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469,800</w:t>
            </w: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1,055,830</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$ 583,401</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475,970</w:t>
            </w:r>
          </w:p>
        </w:tc>
        <w:tc>
          <w:tcPr>
            <w:tcW w:w="16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1,059,371</w:t>
            </w:r>
          </w:p>
        </w:tc>
        <w:tc>
          <w:tcPr>
            <w:tcW w:w="6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Net sales to third parties by segment exclude inter-segment sales and cost of sales. For fiscal years 2022, 2021 and 2020, inter-segment sales and cost of sales of $2.1 million, $2.5 million and $1.7 million between the Grown segment and the Prepared segment were eliminated.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ind w:left="280"/>
        <w:spacing w:after="0"/>
        <w:rPr>
          <w:sz w:val="20"/>
          <w:szCs w:val="20"/>
          <w:color w:val="auto"/>
        </w:rPr>
      </w:pPr>
      <w:r>
        <w:rPr>
          <w:rFonts w:ascii="Times New Roman" w:cs="Times New Roman" w:eastAsia="Times New Roman" w:hAnsi="Times New Roman"/>
          <w:sz w:val="18"/>
          <w:szCs w:val="18"/>
          <w:color w:val="auto"/>
        </w:rPr>
        <w:t>The following table summarizes our net sales by business segment: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Grown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700,270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588,527</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Prepared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1,191,073</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1,055,830</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1,059,371</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8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58.7 %</w:t>
            </w:r>
          </w:p>
        </w:tc>
        <w:tc>
          <w:tcPr>
            <w:tcW w:w="18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55.6 %</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55.1 %</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8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41.3 %</w:t>
            </w:r>
          </w:p>
        </w:tc>
        <w:tc>
          <w:tcPr>
            <w:tcW w:w="18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44.4 %</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44.9 %</w:t>
            </w:r>
          </w:p>
        </w:tc>
      </w:tr>
      <w:tr>
        <w:trPr>
          <w:trHeight w:val="209"/>
        </w:trPr>
        <w:tc>
          <w:tcPr>
            <w:tcW w:w="40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year ended October 31, 2022, as compared to 2021, increased by approximately $135.2 million or 13%. The increase in sales for the year ended October 31, 2022, when compared to the prior year period, was due to an increase in both Grown and Prepared segments.</w:t>
      </w:r>
    </w:p>
    <w:p>
      <w:pPr>
        <w:spacing w:after="0" w:line="176"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For the year ended October 31, 2022, the increase in Grown product sales was primarily due to an increase in price per unit of avocados offset by lower sales volume resulting from industry-wide constraints of fruit available for purchase in Mexico. For the year ended October 31, 2022, the increase in Prepared product sales was due primarily to increased per unit sales prices of fresh-cut fruit and vegetables and prepared foods products.</w:t>
      </w:r>
    </w:p>
    <w:p>
      <w:pPr>
        <w:spacing w:after="0" w:line="180"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Our Grown and Prepared segments of our business are subject to seasonal trends which can impact the volume and/or quality of raw materials sourced in any particular quarter. All intercompany sales are eliminated in our consolidated results of operations.</w:t>
      </w:r>
    </w:p>
    <w:p>
      <w:pPr>
        <w:spacing w:after="0" w:line="176" w:lineRule="exact"/>
        <w:rPr>
          <w:sz w:val="20"/>
          <w:szCs w:val="20"/>
          <w:color w:val="auto"/>
        </w:rPr>
      </w:pPr>
    </w:p>
    <w:p>
      <w:pPr>
        <w:ind w:left="40" w:right="619" w:firstLine="259"/>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2022, we have begun importing avocados into the United States from our subsidiary Avocados de Jalisco. We expect this volume to increase in fiscal 2023.</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$111.7 million, or 19%, for the year ended October 31, 2022, compared to prior year period. This increase in Grown product sales during the year ended October 31, 2022, was due primarily to increased sales prices of avocados associated with lower overall supply of avocados in the marketplace. In addition, tomato sales increased due to an increase in overall sales volume, partially offset by a decrease in sales prices.</w:t>
      </w:r>
    </w:p>
    <w:p>
      <w:pPr>
        <w:spacing w:after="0" w:line="183"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$108.1 million, or 20%, for the year ended October 31, 2022, compared to the prior year period. The average avocado sales price per carton increased 37% compared to the prior year period. This increase in the sales price per carton was mainly due to a decrease of supply of avocados in the marketplace. The volume of avocados sold for the year ended October 31, 2022, decreased 12% compared to the prior year period.</w:t>
      </w:r>
    </w:p>
    <w:p>
      <w:pPr>
        <w:spacing w:after="0" w:line="180" w:lineRule="exact"/>
        <w:rPr>
          <w:sz w:val="20"/>
          <w:szCs w:val="20"/>
          <w:color w:val="auto"/>
        </w:rPr>
      </w:pPr>
    </w:p>
    <w:p>
      <w:pPr>
        <w:jc w:val="both"/>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$3.6 million, or 8%, for the year ended October 31, 2022, when compared to the prior year period. This increase in tomato sales was due primarily to a 9% increase in the cartons sold of tomatoes, partially offset by a 1% decrease in average sales prices per carton.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8"/>
          <w:szCs w:val="18"/>
          <w:color w:val="auto"/>
        </w:rPr>
        <w:t>Fiscal 2021 vs. Fiscal 2020:</w:t>
      </w:r>
    </w:p>
    <w:p>
      <w:pPr>
        <w:spacing w:after="0" w:line="225"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Net sales delivered by the Grown products business increased by approximately $3.5 million, or 1%, for the year ended October 31, 2021, when compared to prior year period. This increase in Grown product sales during fiscal 2021, was primarily related to increased sales prices, partially offset by a decrease in sales of tomatoes.</w:t>
      </w:r>
    </w:p>
    <w:p>
      <w:pPr>
        <w:spacing w:after="0" w:line="176"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Sales of avocados increased $13.0 million, or 3%, for the year ended October 31, 2021, when compared to the prior year period. The average avocado sales price per carton increased 3% compared to the prior year period.</w:t>
      </w:r>
    </w:p>
    <w:p>
      <w:pPr>
        <w:spacing w:after="0" w:line="162"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decreased $10.3 million, or 19%, for the year ended October 31, 2021, when compared to the prior year period. This decrease in tomato sales was primarily due to a 21% decrease in the average sales price per carton compared to the prior year period. This was partially offset by an increase of 2% in the volume of tomatoes.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Prepared products business increased by approximately $23.5 million, or 5%, for the year ended October 31, 2022 compared to the prior year period. This increase in Prepared product sales during the year ended October 31, 2022 was due primarily to increased sales prices of fresh-cut fruit &amp; vegetables and prepared foods products. Partially offsetting these increases was a decrease in sales of guacamole products due to overall lower sales volume.</w:t>
      </w:r>
    </w:p>
    <w:p>
      <w:pPr>
        <w:spacing w:after="0" w:line="180"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fresh-cut fruit and vegetables and prepared foods products for the year ended October 31, 2022 compared to the prior year period increased $27.1 million, or 7%. This increase primarily reflects price increases of 14% as well as a favorable product mix, partially offset by a 7% decrease in sales volumes.</w:t>
      </w:r>
    </w:p>
    <w:p>
      <w:pPr>
        <w:spacing w:after="0" w:line="1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Net sales for guacamole products for the year ended October 31, 2022 compared to the prior year period decreased $3.2 million, or 4%, primarily due to a decrease in the total volume sold.</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2021 vs. Fiscal 2020:</w:t>
      </w:r>
    </w:p>
    <w:p>
      <w:pPr>
        <w:spacing w:after="0" w:line="225"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$6.2 million, or 2%, for the year ended October 31, 2021 compared to the prior year period.</w:t>
      </w:r>
    </w:p>
    <w:p>
      <w:pPr>
        <w:spacing w:after="0" w:line="162"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Net sales for fresh-cut fruit and vegetables and prepared foods products for the year ended October 31, 2021, when compared to the prior year period, decreased $8.3 million, or 2%. The decrease was primarily due to lower sales out of the Midwest, relating to the closure of Prepared’s co-packing partner in that region, which occurred in April 2020. This was partially offset by additional sales in regions where we added manufacturing capacity. Additionally, changing consumer demand and buying patterns related to COVID-19 adversely impacted Prepared’s sales during the year ended October 31, 2021.</w:t>
      </w:r>
    </w:p>
    <w:p>
      <w:pPr>
        <w:spacing w:after="0" w:line="187"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Sales of guacamole products increased by approximately $2.3 million, or 3%, primarily related to an increase in the sales price per pound, partially offset by a decrease in pounds sold. The decline in pounds sold of guacamole products was due to a decline in demand from foodservice customers related to COVID-19 during the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r>
      <w:tr>
        <w:trPr>
          <w:trHeight w:val="20"/>
        </w:trPr>
        <w:tc>
          <w:tcPr>
            <w:tcW w:w="3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3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$ 50,165</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5 % $ 47,787</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0 % $ 47,563</w:t>
            </w:r>
          </w:p>
        </w:tc>
        <w:tc>
          <w:tcPr>
            <w:tcW w:w="24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240" w:type="dxa"/>
            <w:vAlign w:val="bottom"/>
            <w:shd w:val="clear" w:color="auto" w:fill="CCEEFF"/>
          </w:tcPr>
          <w:p>
            <w:pPr>
              <w:spacing w:after="0"/>
              <w:rPr>
                <w:sz w:val="18"/>
                <w:szCs w:val="18"/>
                <w:color w:val="auto"/>
              </w:rPr>
            </w:pPr>
          </w:p>
        </w:tc>
      </w:tr>
      <w:tr>
        <w:trPr>
          <w:trHeight w:val="249"/>
        </w:trPr>
        <w:tc>
          <w:tcPr>
            <w:tcW w:w="3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156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$ 73,845</w:t>
            </w:r>
          </w:p>
        </w:tc>
        <w:tc>
          <w:tcPr>
            <w:tcW w:w="92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$ 57,425</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$ 89,898</w:t>
            </w:r>
          </w:p>
        </w:tc>
        <w:tc>
          <w:tcPr>
            <w:tcW w:w="240" w:type="dxa"/>
            <w:vAlign w:val="bottom"/>
            <w:tcBorders>
              <w:bottom w:val="single" w:sz="8" w:color="CCEEFF"/>
            </w:tcBorders>
          </w:tcPr>
          <w:p>
            <w:pPr>
              <w:spacing w:after="0"/>
              <w:rPr>
                <w:sz w:val="21"/>
                <w:szCs w:val="21"/>
                <w:color w:val="auto"/>
              </w:rPr>
            </w:pPr>
          </w:p>
        </w:tc>
      </w:tr>
      <w:tr>
        <w:trPr>
          <w:trHeight w:val="197"/>
        </w:trPr>
        <w:tc>
          <w:tcPr>
            <w:tcW w:w="3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(loss) percentages:</w:t>
            </w:r>
          </w:p>
        </w:tc>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2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7.2 %</w:t>
            </w:r>
          </w:p>
        </w:tc>
        <w:tc>
          <w:tcPr>
            <w:tcW w:w="16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8.1 %</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2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4.8 %</w:t>
            </w:r>
          </w:p>
        </w:tc>
        <w:tc>
          <w:tcPr>
            <w:tcW w:w="1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2.1 %</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6.2 %</w:t>
            </w:r>
          </w:p>
        </w:tc>
        <w:tc>
          <w:tcPr>
            <w:tcW w:w="16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5.4 %</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$16.4 million, or 29%, for the year ended October 31, 2022, when compared to the prior year period. The increase was attributable to gross profit increases in both our Grown and Prepared segments.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119" w:firstLine="259"/>
        <w:spacing w:after="0" w:line="257" w:lineRule="auto"/>
        <w:rPr>
          <w:sz w:val="20"/>
          <w:szCs w:val="20"/>
          <w:color w:val="auto"/>
        </w:rPr>
      </w:pPr>
      <w:r>
        <w:rPr>
          <w:rFonts w:ascii="Times New Roman" w:cs="Times New Roman" w:eastAsia="Times New Roman" w:hAnsi="Times New Roman"/>
          <w:sz w:val="18"/>
          <w:szCs w:val="18"/>
          <w:color w:val="auto"/>
        </w:rPr>
        <w:t>During our year ended October 31, 2022, as compared to the prior year period, our Grown products segment gross profit increased $2.3 million or 4%. While our overall gross profit increased, our gross profit percentage decreased. For the year ended October 31, 2022 and 2021, the gross profit percentages for avocados were 7.1% and 8.0%,</w:t>
      </w:r>
    </w:p>
    <w:p>
      <w:pPr>
        <w:spacing w:after="0" w:line="1"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respectively. Partially offsetting the increase in gross profit for fiscal 2022 was the weakening of the U.S. dollar in relation to the Mexican peso during the year ended October 31, 2022, which resulted in a $1.0 million net loss related to the remeasurement of peso-dominated net assets at our Mexican subsidiaries. For the year ended October 31, 2021, we had a remeasurement gain of $0.9 million.</w:t>
      </w:r>
    </w:p>
    <w:p>
      <w:pPr>
        <w:spacing w:after="0" w:line="189" w:lineRule="exact"/>
        <w:rPr>
          <w:sz w:val="20"/>
          <w:szCs w:val="20"/>
          <w:color w:val="auto"/>
        </w:rPr>
      </w:pPr>
    </w:p>
    <w:p>
      <w:pPr>
        <w:ind w:left="40" w:right="59" w:firstLine="304"/>
        <w:spacing w:after="0" w:line="282" w:lineRule="auto"/>
        <w:rPr>
          <w:sz w:val="20"/>
          <w:szCs w:val="20"/>
          <w:color w:val="auto"/>
        </w:rPr>
      </w:pPr>
      <w:r>
        <w:rPr>
          <w:rFonts w:ascii="Times New Roman" w:cs="Times New Roman" w:eastAsia="Times New Roman" w:hAnsi="Times New Roman"/>
          <w:sz w:val="18"/>
          <w:szCs w:val="18"/>
          <w:color w:val="auto"/>
        </w:rPr>
        <w:t>Significant fluctuations in the exchange rate between the U.S. Dollar and the Mexican Peso may have a material impact on future gross profit for our Grown products segment.</w:t>
      </w:r>
    </w:p>
    <w:p>
      <w:pPr>
        <w:spacing w:after="0" w:line="162"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For the year ended October 31, 2022 we generated gross profit of $3.5 million from tomato sales, down from $3.7 million in the prior year period. The majority of our tomato sales are made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 The decrease in tomato gross profit was due primarily to an increase in sales of tomatoes from third-party growers/packers. As discussed above, even though a majority of our tomato sales are made on a consignment basis, we had lower gross profit from third-party growers/packers compared to prior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8"/>
          <w:szCs w:val="18"/>
          <w:color w:val="auto"/>
        </w:rPr>
        <w:t>Fiscal 2021 vs. Fiscal 2020:</w:t>
      </w:r>
    </w:p>
    <w:p>
      <w:pPr>
        <w:spacing w:after="0" w:line="225"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During our year ended October 31, 2021, as compared to the prior year period, our Grown products segment gross profit percentage was consistent. For each of the years ended October 31, 2021 and 2020, the gross profit percentage for avocados was 8.0%. Gross profit benefited for fiscal 2021 by the strengthening of the U.S. dollar in relation to the Mexican peso during the year ended October 31, 2021, which resulted in a $0.9 million net gain related to the remeasurement of peso-dominated net assets at our Mexican subsidiaries. For the year ended October 31, 2020, we had a remeasurement loss of $1.0 million.</w:t>
      </w:r>
    </w:p>
    <w:p>
      <w:pPr>
        <w:spacing w:after="0" w:line="18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For the year ended October 31, 2021 we generated gross profit of $3.7 million from tomato sales, down from $5.1 million in the prior year period. The decrease in tomato gross profit was due primarily to the year-over-year decrease in sales described in more detail above. The majority of our tomato sales are made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is dependent on the volume of fruit we handle, the average selling prices, and the competitiveness of the returns that we provide to third-party growers/packers.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2022 vs. Fiscal 2021:</w:t>
      </w:r>
    </w:p>
    <w:p>
      <w:pPr>
        <w:spacing w:after="0" w:line="225"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The increase in our Prepared products gross profit for the year ended October 31, 2022 was the result of increased gross profit for fresh-cut fruit and vegetables and prepared foods, partially offset by decreases in gross profit from guacamole products.</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Fresh-cut fruit and vegetables and prepared foods products gross profit percentages for the year ended October 31, 2022 was 4.8%, compared to a loss of 0.9% for the same prior year period. The increase in gross profit for these products for the year ended October 31, 2022 was mainly due to increased sales prices and a reduction in distribution expenses, an improvement in product yield and labor productivity, and a reduction in costs related to the consolidation of operations in our Green Cove Springs, Florida facility into our Georgia facility</w:t>
      </w:r>
      <w:r>
        <w:rPr>
          <w:rFonts w:ascii="Times New Roman" w:cs="Times New Roman" w:eastAsia="Times New Roman" w:hAnsi="Times New Roman"/>
          <w:sz w:val="18"/>
          <w:szCs w:val="18"/>
          <w:color w:val="212529"/>
        </w:rPr>
        <w:t>.</w:t>
      </w:r>
    </w:p>
    <w:p>
      <w:pPr>
        <w:spacing w:after="0" w:line="183"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Guacamole products gross profit percentage for the year ended October 31, 2022 was 5.7% compared to a gross profit of 17.6% for the prior year period. The decrease in guacamole products gross profit was due primarily to higher raw product fruit costs associated with the same supply constraints that drove whole avocado prices to historically high levels, which increased manufacturing costs. Any significant fluctuation in the cost of fruit used in the production process or the exchange rate between the U.S. dollar and the Mexican peso may have a material impact on future gross profit for our Prepared segment.</w:t>
      </w:r>
    </w:p>
    <w:p>
      <w:pPr>
        <w:spacing w:after="0" w:line="187" w:lineRule="exact"/>
        <w:rPr>
          <w:sz w:val="20"/>
          <w:szCs w:val="20"/>
          <w:color w:val="auto"/>
        </w:rPr>
      </w:pPr>
    </w:p>
    <w:p>
      <w:pPr>
        <w:ind w:left="40" w:right="99" w:firstLine="243"/>
        <w:spacing w:after="0" w:line="266" w:lineRule="auto"/>
        <w:rPr>
          <w:sz w:val="20"/>
          <w:szCs w:val="20"/>
          <w:color w:val="auto"/>
        </w:rPr>
      </w:pPr>
      <w:r>
        <w:rPr>
          <w:rFonts w:ascii="Times New Roman" w:cs="Times New Roman" w:eastAsia="Times New Roman" w:hAnsi="Times New Roman"/>
          <w:sz w:val="18"/>
          <w:szCs w:val="18"/>
          <w:color w:val="auto"/>
        </w:rPr>
        <w:t>Management has considered the impact of current operating results as well as expected future results and has concluded that there were no impairment indicators regarding intangible assets carried on the balance sheet as of October 31, 2022. Management will continue to evaluate the impact of operating results on these considerations in future quarters.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Fiscal 2021 vs. Fiscal 2020:</w:t>
      </w:r>
    </w:p>
    <w:p>
      <w:pPr>
        <w:spacing w:after="0" w:line="225" w:lineRule="exact"/>
        <w:rPr>
          <w:sz w:val="20"/>
          <w:szCs w:val="20"/>
          <w:color w:val="auto"/>
        </w:rPr>
      </w:pPr>
    </w:p>
    <w:p>
      <w:pPr>
        <w:ind w:left="40" w:right="459" w:firstLine="259"/>
        <w:spacing w:after="0" w:line="282" w:lineRule="auto"/>
        <w:rPr>
          <w:sz w:val="20"/>
          <w:szCs w:val="20"/>
          <w:color w:val="auto"/>
        </w:rPr>
      </w:pPr>
      <w:r>
        <w:rPr>
          <w:rFonts w:ascii="Times New Roman" w:cs="Times New Roman" w:eastAsia="Times New Roman" w:hAnsi="Times New Roman"/>
          <w:sz w:val="18"/>
          <w:szCs w:val="18"/>
          <w:color w:val="auto"/>
        </w:rPr>
        <w:t>The decrease in our Prepared products gross profit for the year ended October 31, 2021 was the result of decreased gross profit for fresh-cut fruit and vegetables, prepared foods, and guacamole products.</w:t>
      </w:r>
    </w:p>
    <w:p>
      <w:pPr>
        <w:spacing w:after="0" w:line="162"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Fresh-cut fruit and vegetables and prepared foods’ gross profit (loss) percentage for the year ended October 31, 2021 was (0.9)%, compared to 5.3% in the same prior year period. The declines in gross profit for the year ended October 31, 2021, was due to increased commodity costs, lack of availability of key commodities, lower supply and higher turnover of labor that increased overtime costs and decreased efficiencies</w:t>
      </w:r>
      <w:r>
        <w:rPr>
          <w:rFonts w:ascii="Times New Roman" w:cs="Times New Roman" w:eastAsia="Times New Roman" w:hAnsi="Times New Roman"/>
          <w:sz w:val="18"/>
          <w:szCs w:val="18"/>
          <w:color w:val="212529"/>
        </w:rPr>
        <w:t>. In addition, gross profit (loss) was negatively impacted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decreased sales that resulted from </w:t>
      </w:r>
      <w:r>
        <w:rPr>
          <w:rFonts w:ascii="Times New Roman" w:cs="Times New Roman" w:eastAsia="Times New Roman" w:hAnsi="Times New Roman"/>
          <w:sz w:val="18"/>
          <w:szCs w:val="18"/>
          <w:color w:val="000000"/>
        </w:rPr>
        <w:t>the closure of our Midwest co-packing partner.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Our prepared avocado products gross profit percentage decreased to 16.9% of net sales, during the year ended October 31, 2021 compared to 27.8% during the prior year period. The decrease in our guacamole products’ gross profit percentage was due primarily to an increase in fruit input costs, in addition to higher manufacturing costs relating to an overall decrease in guacamole pounds produced. Any significant fluctuation in the cost of fruit used in the production process or the exchange rate between the U.S. Dollar and the Mexican Peso may have a material impact on future gross profit for our Prepared segment.</w:t>
      </w:r>
    </w:p>
    <w:p>
      <w:pPr>
        <w:spacing w:after="0" w:line="187" w:lineRule="exact"/>
        <w:rPr>
          <w:sz w:val="20"/>
          <w:szCs w:val="20"/>
          <w:color w:val="auto"/>
        </w:rPr>
      </w:pPr>
    </w:p>
    <w:p>
      <w:pPr>
        <w:ind w:left="40" w:right="59" w:firstLine="243"/>
        <w:spacing w:after="0" w:line="266" w:lineRule="auto"/>
        <w:rPr>
          <w:sz w:val="20"/>
          <w:szCs w:val="20"/>
          <w:color w:val="auto"/>
        </w:rPr>
      </w:pPr>
      <w:r>
        <w:rPr>
          <w:rFonts w:ascii="Times New Roman" w:cs="Times New Roman" w:eastAsia="Times New Roman" w:hAnsi="Times New Roman"/>
          <w:sz w:val="18"/>
          <w:szCs w:val="18"/>
          <w:color w:val="auto"/>
        </w:rPr>
        <w:t>We are experiencing operational challenges that impact our production facilities and our logistics network; the impact of higher prices for petroleum-based products, packaging materials and other commodities; and the availability of sufficient labor is increasing costs.</w:t>
      </w:r>
    </w:p>
    <w:p>
      <w:pPr>
        <w:spacing w:after="0" w:line="176" w:lineRule="exact"/>
        <w:rPr>
          <w:sz w:val="20"/>
          <w:szCs w:val="20"/>
          <w:color w:val="auto"/>
        </w:rPr>
      </w:pPr>
    </w:p>
    <w:p>
      <w:pPr>
        <w:ind w:left="40" w:right="699" w:firstLine="243"/>
        <w:spacing w:after="0" w:line="282" w:lineRule="auto"/>
        <w:rPr>
          <w:sz w:val="20"/>
          <w:szCs w:val="20"/>
          <w:color w:val="auto"/>
        </w:rPr>
      </w:pPr>
      <w:r>
        <w:rPr>
          <w:rFonts w:ascii="Times New Roman" w:cs="Times New Roman" w:eastAsia="Times New Roman" w:hAnsi="Times New Roman"/>
          <w:sz w:val="18"/>
          <w:szCs w:val="18"/>
          <w:color w:val="auto"/>
        </w:rPr>
        <w:t>In response to the inflationary costs described above, we have implemented price increases and may implement additional price increases in the future.</w:t>
      </w:r>
    </w:p>
    <w:p>
      <w:pPr>
        <w:spacing w:after="0" w:line="162"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In October 2021, we announced the closure of Prepared’s food processing operations at our Green Cove Springs (near Jacksonville), Florida facility, as part of our Project Uno profit improvement program. As of November 15, 2021, Prepared’s portion of our Green Cove facility had ceased operations. We wrote down $8.7 million of leasehold improvements, $0.1 million of equipment, and $0.6 million of inventory. We also paid $0.4 million in employee severance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r>
      <w:tr>
        <w:trPr>
          <w:trHeight w:val="128"/>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$ 65,698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$ 56,679</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180" w:type="dxa"/>
            <w:vAlign w:val="bottom"/>
            <w:shd w:val="clear" w:color="auto" w:fill="CCEEFF"/>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5.4 %</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bl>
    <w:p>
      <w:pPr>
        <w:spacing w:after="0" w:line="179"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$65.7 million for the year ended October 31, 2022 include costs of marketing and advertising, sales expenses (including broker commissions) and other general and administrative costs. Selling, general and administrative expenses increased by $9.0 million, or 16%, for the year ended October 31, 2022, when compared to the prior year period. This increase was primarily due to an increase in management restructuring costs that include recruiting fees and severance ($2.8 million), an increase in consulting services related to restructuring efforts ($2.0 million), an increase in our short-term incentive accrual ($1.4 million) and an increase in salaries primarily related to the investment in key personnel.</w:t>
      </w:r>
    </w:p>
    <w:p>
      <w:pPr>
        <w:spacing w:after="0" w:line="18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of $56.7 million for the year ended October 31, 2021 include costs of marketing and advertising, sales expenses (including broker commissions) and other general and administrative costs. Selling, general and administrative expenses decreased by $1.3 million, or 2.2%, for the year ended October 31, 2021, when compared to the prior period. This decrease was primarily due to a decrease in salaries and benefit expense due to the eliminations of staff positions ($1.9 million), a decrease in broker commission ($0.9 million) and a decrease in stock based compensation due to prior year stock grants for certain management transition expenses ($0.5 million). Partially offsetting these decreases is an increase in professional service fees ($1.4 million), an increase in travel and entertainment ($0.5 million) and an increase in IT expenses ($0.4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28"/>
        </w:trPr>
        <w:tc>
          <w:tcPr>
            <w:tcW w:w="3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5"/>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2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(564)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(1,719)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(6,110)</w:t>
            </w:r>
          </w:p>
        </w:tc>
      </w:tr>
    </w:tbl>
    <w:p>
      <w:pPr>
        <w:spacing w:after="0" w:line="19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Loss from unconsolidated entities includes our allocation of earnings or losses from our investments in FreshRealm and Don Memo. For the year ended October 31, 2022, 2021 and 2020, we recognized income (losses) of $(0.6) million, $(1.7) million and of $1.1 million, respectively, related to Don Memo. For the year ended October 31, 2020, we recognized $7.2 million of losses related to FreshRealm.</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r>
      <w:tr>
        <w:trPr>
          <w:trHeight w:val="128"/>
        </w:trPr>
        <w:tc>
          <w:tcPr>
            <w:tcW w:w="34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6"/>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43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w:t>
            </w:r>
          </w:p>
        </w:tc>
        <w:tc>
          <w:tcPr>
            <w:tcW w:w="200" w:type="dxa"/>
            <w:vAlign w:val="bottom"/>
            <w:shd w:val="clear" w:color="auto" w:fill="CCEEFF"/>
          </w:tcPr>
          <w:p>
            <w:pPr>
              <w:spacing w:after="0"/>
              <w:rPr>
                <w:sz w:val="24"/>
                <w:szCs w:val="24"/>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 $ 335</w:t>
            </w:r>
          </w:p>
        </w:tc>
        <w:tc>
          <w:tcPr>
            <w:tcW w:w="200" w:type="dxa"/>
            <w:vAlign w:val="bottom"/>
            <w:shd w:val="clear" w:color="auto" w:fill="CCEEFF"/>
          </w:tcPr>
          <w:p>
            <w:pPr>
              <w:spacing w:after="0"/>
              <w:rPr>
                <w:sz w:val="24"/>
                <w:szCs w:val="24"/>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$ 1,998</w:t>
            </w:r>
          </w:p>
        </w:tc>
        <w:tc>
          <w:tcPr>
            <w:tcW w:w="260" w:type="dxa"/>
            <w:vAlign w:val="bottom"/>
            <w:shd w:val="clear" w:color="auto" w:fill="CCEEFF"/>
          </w:tcPr>
          <w:p>
            <w:pPr>
              <w:spacing w:after="0"/>
              <w:rPr>
                <w:sz w:val="24"/>
                <w:szCs w:val="24"/>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40" w:right="579" w:firstLine="259"/>
        <w:spacing w:after="0" w:line="266" w:lineRule="auto"/>
        <w:rPr>
          <w:sz w:val="20"/>
          <w:szCs w:val="20"/>
          <w:color w:val="auto"/>
        </w:rPr>
      </w:pPr>
      <w:r>
        <w:rPr>
          <w:rFonts w:ascii="Times New Roman" w:cs="Times New Roman" w:eastAsia="Times New Roman" w:hAnsi="Times New Roman"/>
          <w:sz w:val="18"/>
          <w:szCs w:val="18"/>
          <w:color w:val="auto"/>
        </w:rPr>
        <w:t>The increase in interest income in fiscal 2022 as compared to 2021 is primarily due to a bridge loan to one of our tomato growers. The decrease in interest income in fiscal 2021 as compared to fiscal 2020 is primarily due to the discontinuation of accruing interest for FreshRealm, which was effective August 1, 2020.</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gridSpan w:val="3"/>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7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4"/>
              </w:rPr>
              <w:t>in thousands)</w:t>
            </w:r>
          </w:p>
        </w:tc>
        <w:tc>
          <w:tcPr>
            <w:tcW w:w="4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$ 1,686</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$ 798</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$ 877</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Interest expense is primarily generated from our line of credit borrowings with Farm Credit West, PCA (FCW) and Bank of America, N.A. (Bank of America). For fiscal 2022, as compared to fiscal 2021, the increase in interest expense was due to higher interest rates, as well as a higher average debt balance over the first half of the year. For fiscal 2021, as compared to fiscal 2020, the decrease in interest expense was primarily related to lower interest rates, offset by a higher average debt balance.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8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4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$ 1,017</w:t>
            </w:r>
          </w:p>
        </w:tc>
        <w:tc>
          <w:tcPr>
            <w:tcW w:w="20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 $ 1,016</w:t>
            </w:r>
          </w:p>
        </w:tc>
        <w:tc>
          <w:tcPr>
            <w:tcW w:w="200" w:type="dxa"/>
            <w:vAlign w:val="bottom"/>
            <w:shd w:val="clear" w:color="auto" w:fill="CCEEFF"/>
          </w:tcPr>
          <w:p>
            <w:pPr>
              <w:spacing w:after="0"/>
              <w:rPr>
                <w:sz w:val="24"/>
                <w:szCs w:val="24"/>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$ 553</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Other income, net includes dividend income, as well as certain other transactions that are outside of the normal course of operations. During fiscal 2022, 2021 and 2020, we received $0.6 million, $0.5 million and $0.5 million, million as dividend income from Limoneira.</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 Benefit (Provision)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(3,251)</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(10,747)</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$ 4,292</w:t>
            </w:r>
          </w:p>
        </w:tc>
        <w:tc>
          <w:tcPr>
            <w:tcW w:w="160" w:type="dxa"/>
            <w:vAlign w:val="bottom"/>
            <w:shd w:val="clear" w:color="auto" w:fill="CCEEFF"/>
          </w:tcPr>
          <w:p>
            <w:pPr>
              <w:spacing w:after="0"/>
              <w:rPr>
                <w:sz w:val="24"/>
                <w:szCs w:val="24"/>
                <w:color w:val="auto"/>
              </w:rPr>
            </w:pPr>
          </w:p>
        </w:tc>
      </w:tr>
      <w:tr>
        <w:trPr>
          <w:trHeight w:val="234"/>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913.3 %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42" w:name="page43"/>
    <w:bookmarkEnd w:id="42"/>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For fiscal 2022, we incurred return to provision discrete taxable items in the amount of $2.0 million. These discrete items were primarily related to rate differentials related to our carryback losses from prior years and the lack of deductibility of certain Mexican tax expenses. In addition, we recognized additional income tax provision expenses during fiscal 2022 related to the recording of additional valuation allowance and other permanent differences.</w:t>
      </w:r>
    </w:p>
    <w:p>
      <w:pPr>
        <w:spacing w:after="0" w:line="180"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In June 2021, we paid $2.4 million related to the settlement of the 2011 Assessment (See Note 7 to our consolidated financial statements for further information). Of this amount, $1.5 million was included as a discrete item in income tax provision and $0.9 million related to value added taxes was included in expenses related to Mexican tax matters in the accompanying consolidated statement of operations.</w:t>
      </w:r>
    </w:p>
    <w:p>
      <w:pPr>
        <w:spacing w:after="0" w:line="180" w:lineRule="exact"/>
        <w:rPr>
          <w:sz w:val="20"/>
          <w:szCs w:val="20"/>
          <w:color w:val="auto"/>
        </w:rPr>
      </w:pPr>
    </w:p>
    <w:p>
      <w:pPr>
        <w:jc w:val="both"/>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In July 2021, based on our evaluation of the most probable outcomes of the 2013 Assessment, we recorded an accrual for uncertain tax positions of $11 million in the accompanying financials, as a discrete item in tax provision expense. An additional $0.6 million of related professional fees was also recorded as expenses related to the Mexican tax matters. See Note 7 to our consolidated financial statements for further information.</w:t>
      </w:r>
    </w:p>
    <w:p>
      <w:pPr>
        <w:spacing w:after="0" w:line="180" w:lineRule="exact"/>
        <w:rPr>
          <w:sz w:val="20"/>
          <w:szCs w:val="20"/>
          <w:color w:val="auto"/>
        </w:rPr>
      </w:pPr>
    </w:p>
    <w:p>
      <w:pPr>
        <w:ind w:left="40" w:right="199" w:firstLine="259"/>
        <w:spacing w:after="0" w:line="277" w:lineRule="auto"/>
        <w:rPr>
          <w:sz w:val="20"/>
          <w:szCs w:val="20"/>
          <w:color w:val="auto"/>
        </w:rPr>
      </w:pPr>
      <w:r>
        <w:rPr>
          <w:rFonts w:ascii="Times New Roman" w:cs="Times New Roman" w:eastAsia="Times New Roman" w:hAnsi="Times New Roman"/>
          <w:sz w:val="17"/>
          <w:szCs w:val="17"/>
          <w:color w:val="auto"/>
        </w:rPr>
        <w:t>Our effective tax rate without the above discrete items was approximately 21.7% for the year ended October 31, 2022. Our effective tax rate for year ended October 31, 2021 was approximately 146.6%. The distortive effective tax rate for fiscal 2021 differs from that of prior fiscal periods primarily due to the impacts of one-time tax events including the 2011 and 2013 Mexico Assessments, tax rate arbitrage on carryback claims under the CARES Act, and near break-even pre-tax operations relative to prior fiscal periods. See Note 9 to our consolidated financial statements for further information.</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r>
      <w:tr>
        <w:trPr>
          <w:trHeight w:val="128"/>
        </w:trPr>
        <w:tc>
          <w:tcPr>
            <w:tcW w:w="4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353</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shd w:val="clear" w:color="auto" w:fill="CCEEFF"/>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79" w:lineRule="exact"/>
        <w:rPr>
          <w:sz w:val="20"/>
          <w:szCs w:val="20"/>
          <w:color w:val="auto"/>
        </w:rPr>
      </w:pPr>
    </w:p>
    <w:p>
      <w:pPr>
        <w:ind w:left="40" w:right="739" w:firstLine="259"/>
        <w:spacing w:after="0" w:line="282" w:lineRule="auto"/>
        <w:rPr>
          <w:sz w:val="20"/>
          <w:szCs w:val="20"/>
          <w:color w:val="auto"/>
        </w:rPr>
      </w:pPr>
      <w:r>
        <w:rPr>
          <w:rFonts w:ascii="Times New Roman" w:cs="Times New Roman" w:eastAsia="Times New Roman" w:hAnsi="Times New Roman"/>
          <w:sz w:val="18"/>
          <w:szCs w:val="18"/>
          <w:color w:val="auto"/>
        </w:rPr>
        <w:t>For fiscal years 2022, 2021 and 2020, the net losses attributable to noncontrolling interest is due to losses from Avocados de Jalisco.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Operating activities for fiscal 2022, 2021 and 2020 provided cash flows of $50.1 million, $13.6 million and $28.9 million. Fiscal year 2022 operating cash flows reflect our net loss of $6.6 million, net increase of noncash charges (depreciation and amortization, stock-based compensation expense, provision for losses on accounts receivable, losses from unconsolidated entities, net losses on Limoneira shares, deferred taxes, loss on disposal of property, plant and equipment, loss on the reserve for FreshRealm, impairment related to Prepared’s Florida facility closure and gain on the sale of the Temecula packinghouse) of $29.1 million and a net increase from changes in the non-cash components of our working capital accounts of approximately $27.6 million.</w:t>
      </w:r>
    </w:p>
    <w:p>
      <w:pPr>
        <w:spacing w:after="0" w:line="18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Increases in operating cash flows caused by working capital changes include a decrease in accounts receivable of $19.9 million, a net increase in accounts payable, accrued expenses and other liabilities of $10.4 million, an increase in income taxes payable of $8.1 million, and a decrease in inventory of $1.8 million, partially offset by an increase in other assets of $5.0 million, an increase in advances to suppliers of $4.7 million, and a decrease in payable to growers of $2.8 million and an increase in prepaid expenses and other current assets of $0.1 million.</w:t>
      </w:r>
    </w:p>
    <w:p>
      <w:pPr>
        <w:spacing w:after="0" w:line="183" w:lineRule="exact"/>
        <w:rPr>
          <w:sz w:val="20"/>
          <w:szCs w:val="20"/>
          <w:color w:val="auto"/>
        </w:rPr>
      </w:pPr>
    </w:p>
    <w:p>
      <w:pPr>
        <w:ind w:left="40" w:right="179" w:firstLine="259"/>
        <w:spacing w:after="0" w:line="254" w:lineRule="auto"/>
        <w:rPr>
          <w:sz w:val="20"/>
          <w:szCs w:val="20"/>
          <w:color w:val="auto"/>
        </w:rPr>
      </w:pPr>
      <w:r>
        <w:rPr>
          <w:rFonts w:ascii="Times New Roman" w:cs="Times New Roman" w:eastAsia="Times New Roman" w:hAnsi="Times New Roman"/>
          <w:sz w:val="18"/>
          <w:szCs w:val="18"/>
          <w:color w:val="auto"/>
        </w:rPr>
        <w:t>The decrease in our accounts receivable is due to improvements in our working capital practices and lower sales in October 2022 compared to the same prior year period. The increase in accounts payable, accrued expenses and other liabilities is primarily related to an increase in payables related to an increase in freight and other costs. The increase in income taxes payable is due to a combination of discrete tax items and income tax refunds in fiscal 2022. The decrease in our inventory as of October 31, 2022, when compared to the prior year period, is primarily due to a combination of lower inventory of Mexican avocados and prepared avocado products. The increase in other assets is primarily related to the increase in IVA receivable in fiscal 2022. The increase in advances to suppliers is mainly due to advances to our tomato growers for fiscal 2022 compared to the prior year period. The decrease in payable to growers is mostly due to lower sales prices for Mexican avocados in the month of October 2022 compared to October 2021.</w:t>
      </w:r>
    </w:p>
    <w:p>
      <w:pPr>
        <w:spacing w:after="0" w:line="188"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was $8.0 million for fiscal year 2022. Cash used in investing activities was $9.6 million and $31.9 million for fiscal years 2021, and 2020. Fiscal year 2022 cash flows provided by investing activities includes the proceeds received on the sale of Limoneira stock of $18.5 million, partially offset by purchases of property, plant and equipment of $10.5 million.</w:t>
      </w:r>
    </w:p>
    <w:p>
      <w:pPr>
        <w:spacing w:after="0" w:line="180"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$57.8 million, $5.2 million and $0.9 million for fiscal years 2022, 2021 and 2020. Cash used during fiscal year 2022 primarily relates to the net payment on our credit facilities totaling $36.5 million, payment of a $20.3 million dividend, payments on long-term obligations of $1.1 million and the payment of minimum withholding taxes on net share settlement of equity awards of $0.1 million, partially offset by proceeds received from a failed leaseback of $0.2 million.</w:t>
      </w:r>
    </w:p>
    <w:p>
      <w:pPr>
        <w:spacing w:after="0" w:line="183" w:lineRule="exact"/>
        <w:rPr>
          <w:sz w:val="20"/>
          <w:szCs w:val="20"/>
          <w:color w:val="auto"/>
        </w:rPr>
      </w:pPr>
    </w:p>
    <w:p>
      <w:pPr>
        <w:jc w:val="both"/>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operations and amounts available for borrowing under our Credit Facility. Restricted cash, cash and cash equivalents as of October 31, 2022 and 2021 totaled $3.1 million and $2.9 million. Our working capital at October 31, 2022 was $23.7 million, compared to $38.0 million at October 31, 2021.</w:t>
      </w:r>
    </w:p>
    <w:p>
      <w:pPr>
        <w:spacing w:after="0" w:line="176"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We believe that cash flows from operations, the available Credit Facility, and other sources will be sufficient to satisfy our future capital expenditures,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For our line of credit the weighted-average interest rate was 4.9% and 2.2% at October 31, 2022 and 2021. Under this Credit Facility, we had $1.2 million and $37.7 million outstanding as of October 31, 2022 and 2021. We have a $3.2 million letter of credit balance that reduces the amount of the credit facility available as of October 31, 2022.</w:t>
      </w:r>
    </w:p>
    <w:p>
      <w:pPr>
        <w:spacing w:after="0" w:line="188"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As of October 31, 2021, we were out of compliance with the Fixed Charge Coverage Ratio (“FCCR”) covenant of our Credit Facility. In response to this event of default, we entered into the Fourth Amendment, Joinder, Limited Waiver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color w:val="auto"/>
        </w:rPr>
        <w:t>and Limited Consent to Credit Agreement (the “Fourth Amendment”) on December 1, 2021. The principal terms of this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Fourth Amendment are as follows:</w:t>
      </w:r>
    </w:p>
    <w:p>
      <w:pPr>
        <w:spacing w:after="0" w:line="9" w:lineRule="exact"/>
        <w:rPr>
          <w:sz w:val="20"/>
          <w:szCs w:val="20"/>
          <w:color w:val="auto"/>
        </w:rPr>
      </w:pPr>
    </w:p>
    <w:p>
      <w:pPr>
        <w:ind w:left="720" w:hanging="325"/>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CDM was added as a guarantor;</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increased by 0.50%;</w:t>
      </w:r>
    </w:p>
    <w:p>
      <w:pPr>
        <w:spacing w:after="0" w:line="22" w:lineRule="exact"/>
        <w:rPr>
          <w:rFonts w:ascii="Times New Roman" w:cs="Times New Roman" w:eastAsia="Times New Roman" w:hAnsi="Times New Roman"/>
          <w:sz w:val="18"/>
          <w:szCs w:val="18"/>
          <w:color w:val="auto"/>
        </w:rPr>
      </w:pPr>
    </w:p>
    <w:p>
      <w:pPr>
        <w:ind w:left="720" w:right="239" w:hanging="325"/>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pledged our Limoneira stock as collateral (in addition to the general business assets of the Company already securing the Credit Facility); and</w:t>
      </w:r>
    </w:p>
    <w:p>
      <w:pPr>
        <w:ind w:left="720" w:right="199" w:hanging="325"/>
        <w:spacing w:after="0" w:line="29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financial covenant was added that tested minimum Consolidated EBITDA on a cumulative monthly basis for the period January 2022 through and including June 2022.</w:t>
      </w:r>
    </w:p>
    <w:p>
      <w:pPr>
        <w:spacing w:after="0" w:line="9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Simultaneous to the Fourth Amendment we entered into the Fifth Amendment to Credit Agreement (the “Fifth Amendment”) for the principal purpose of replacing the LIBOR reference interest rate with the BSBY (Bloomberg Short-Term Bank Yield Index) Daily Floating Rate.</w:t>
      </w:r>
    </w:p>
    <w:p>
      <w:pPr>
        <w:spacing w:after="0" w:line="176" w:lineRule="exact"/>
        <w:rPr>
          <w:sz w:val="20"/>
          <w:szCs w:val="20"/>
          <w:color w:val="auto"/>
        </w:rPr>
      </w:pPr>
    </w:p>
    <w:p>
      <w:pPr>
        <w:ind w:left="40" w:right="459" w:firstLine="259"/>
        <w:spacing w:after="0" w:line="261" w:lineRule="auto"/>
        <w:rPr>
          <w:sz w:val="20"/>
          <w:szCs w:val="20"/>
          <w:color w:val="auto"/>
        </w:rPr>
      </w:pPr>
      <w:r>
        <w:rPr>
          <w:rFonts w:ascii="Times New Roman" w:cs="Times New Roman" w:eastAsia="Times New Roman" w:hAnsi="Times New Roman"/>
          <w:sz w:val="18"/>
          <w:szCs w:val="18"/>
          <w:color w:val="auto"/>
        </w:rPr>
        <w:t>As of January 31, 2022, we were not in compliance with the cumulative monthly minimum Consolidated EBITDA covenant, and the Consolidated Leverage Ratio (CLR) covenant. On March 14, 2022, we entered into the Sixth Amendment, Limited Waiver, and Limited Consent (the “Sixth Amendment”), which amendment waived such non-compliance and included the following terms.</w:t>
      </w:r>
    </w:p>
    <w:p>
      <w:pPr>
        <w:spacing w:after="0" w:line="180" w:lineRule="exact"/>
        <w:rPr>
          <w:sz w:val="20"/>
          <w:szCs w:val="20"/>
          <w:color w:val="auto"/>
        </w:rPr>
      </w:pPr>
    </w:p>
    <w:p>
      <w:pPr>
        <w:ind w:left="720" w:right="219" w:hanging="325"/>
        <w:spacing w:after="0" w:line="25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increased to BSBY plus 3.0%, until the first business day of the month after we certify that no default or event of default exists for the period ended July 31, 2022, at which point our interest rate would range between BSBY plus 1.25% to 1.75% based on our CLR;</w:t>
      </w:r>
    </w:p>
    <w:p>
      <w:pPr>
        <w:spacing w:after="0" w:line="1"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facility was reduced from $100 million to $80 million.</w:t>
      </w:r>
    </w:p>
    <w:p>
      <w:pPr>
        <w:spacing w:after="0" w:line="9" w:lineRule="exact"/>
        <w:rPr>
          <w:rFonts w:ascii="Times New Roman" w:cs="Times New Roman" w:eastAsia="Times New Roman" w:hAnsi="Times New Roman"/>
          <w:sz w:val="18"/>
          <w:szCs w:val="18"/>
          <w:color w:val="auto"/>
        </w:rPr>
      </w:pPr>
    </w:p>
    <w:p>
      <w:pPr>
        <w:ind w:left="720" w:right="419" w:hanging="325"/>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would be based on a borrowing base consisting of the sum of eligible accounts receivable (80%), eligible inventory (50%), and Limoneira shares (60%), less reserves including grower payables;</w:t>
      </w:r>
    </w:p>
    <w:p>
      <w:pPr>
        <w:ind w:left="720" w:right="179" w:hanging="325"/>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FCCR covenant was amended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to 1.20 to 1.00 and (ii) to calculate monthly and cumulatively starting with the quarter ended April 30, 2022, which calculation converts to a quarterly calculation of trailing 12 month figures starting with the period ending October 31, 2022; and</w:t>
      </w:r>
    </w:p>
    <w:p>
      <w:pPr>
        <w:spacing w:after="0" w:line="1" w:lineRule="exact"/>
        <w:rPr>
          <w:rFonts w:ascii="Times New Roman" w:cs="Times New Roman" w:eastAsia="Times New Roman" w:hAnsi="Times New Roman"/>
          <w:sz w:val="18"/>
          <w:szCs w:val="18"/>
          <w:color w:val="auto"/>
        </w:rPr>
      </w:pPr>
    </w:p>
    <w:p>
      <w:pPr>
        <w:ind w:left="720" w:right="199" w:hanging="325"/>
        <w:spacing w:after="0" w:line="26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Consolidated EBITDA covenant was amended to be a non-cumulative monthly test for the period from February 2022 through and including April 30, 2022.</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1, 2022, we entered into a Seventh Amendment to our Credit Facility with principal terms as follows:</w:t>
      </w:r>
    </w:p>
    <w:p>
      <w:pPr>
        <w:spacing w:after="0" w:line="225" w:lineRule="exact"/>
        <w:rPr>
          <w:sz w:val="20"/>
          <w:szCs w:val="20"/>
          <w:color w:val="auto"/>
        </w:rPr>
      </w:pPr>
    </w:p>
    <w:p>
      <w:pPr>
        <w:ind w:left="720" w:hanging="325"/>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FCCR covenant, only for the period ending October 31, 2022, was modified to 1.00 to 1.00; and</w:t>
      </w:r>
    </w:p>
    <w:p>
      <w:pPr>
        <w:spacing w:after="0" w:line="27" w:lineRule="exact"/>
        <w:rPr>
          <w:rFonts w:ascii="Times New Roman" w:cs="Times New Roman" w:eastAsia="Times New Roman" w:hAnsi="Times New Roman"/>
          <w:sz w:val="18"/>
          <w:szCs w:val="18"/>
          <w:color w:val="auto"/>
        </w:rPr>
      </w:pPr>
    </w:p>
    <w:p>
      <w:pPr>
        <w:ind w:left="720" w:right="59" w:hanging="325"/>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permitted to declare cash dividends so long as (i) after giving effect to any such dividend a new Consolidated Dividend Adjusted Fixed Charge Coverage Ratio is not less than 1.20 to 1.00 and (ii) any such cash dividends are paid in the same fiscal quarter in which they are declared. Notwithstanding the foregoing restriction, we may declare and make a dividend payment in an amount not to exceed $5,200,000 on or before January 31, 2023.</w:t>
      </w:r>
    </w:p>
    <w:p>
      <w:pPr>
        <w:spacing w:after="0" w:line="187"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As of October 31, 2022, we were in compliance with the financial covenants and approximately $29.9 million was available for borrowing, based on the borrowing base calculation discussed above. See Note 6 to the consolidated financial statements.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40" w:right="79" w:firstLine="225"/>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issued Accounting Standards Update 2019-12, "Income Taxes (Topic 740): Simplifying the Accounting for Income Taxes," which amends and simplifies the accounting for income taxes by removing certain exceptions and providing new guidance to reduce complexity in certain aspects of the current guidance. This guidance was adopted by the Company during the first quarter of 2022 and did not impact the Company’s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2022.</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color w:val="auto"/>
              </w:rPr>
              <w:t>Expected maturity date October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7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color w:val="auto"/>
                <w:w w:val="99"/>
              </w:rPr>
              <w:t>Thereafter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cash, cash and cash equivalents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pursuant to credit facilities (1)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9" w:lineRule="exact"/>
        <w:rPr>
          <w:sz w:val="20"/>
          <w:szCs w:val="20"/>
          <w:color w:val="auto"/>
        </w:rPr>
      </w:pPr>
    </w:p>
    <w:p>
      <w:pPr>
        <w:ind w:left="360" w:right="79" w:hanging="316"/>
        <w:spacing w:after="0" w:line="261"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167"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foreign cash needs. We do not currently use derivative instruments to hedge fluctuations in the Mexican peso to U.S. dollar exchange rates. Management does, however, evaluate this opportunity from time to time. Total foreign currency translation losses for fiscal years 2022, and 2020, net of gains, were $1.0 million and $1.0 million. Total foreign current translation gains for fiscal year 2021, net of losses, was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$4,199 (2022) and $4,816 (2021)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 to suppliers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125,674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385,746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to growers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Borrowings pursuant to credit facilities, long-term</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17,732 (2022) and 17,686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 shares issued and outstanding)</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171,223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223,371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226,883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385,746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1,191,073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1,059,371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1,117,228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969,473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charges related to Florida facility closure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Temecula packinghouse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Recovery (loss) on reserve for FreshRealm note receivable and impairment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investment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net gain (loss) on Limoneira shares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and loss from unconsolidated entities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Add: Net loss attributable to noncontrolling interest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loss per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17,621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17,564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4360" w:type="dxa"/>
            <w:vAlign w:val="bottom"/>
          </w:tcPr>
          <w:p>
            <w:pPr>
              <w:spacing w:after="0"/>
              <w:rPr>
                <w:sz w:val="13"/>
                <w:szCs w:val="13"/>
                <w:color w:val="auto"/>
              </w:rPr>
            </w:pPr>
          </w:p>
        </w:tc>
        <w:tc>
          <w:tcPr>
            <w:tcW w:w="1360" w:type="dxa"/>
            <w:vAlign w:val="bottom"/>
            <w:tcBorders>
              <w:bottom w:val="single" w:sz="8" w:color="auto"/>
            </w:tcBorders>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43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56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74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1"/>
                <w:szCs w:val="11"/>
                <w:color w:val="auto"/>
              </w:rPr>
            </w:pPr>
          </w:p>
        </w:tc>
        <w:tc>
          <w:tcPr>
            <w:tcW w:w="60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43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2019</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17,595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161,606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122,557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285,869</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4,487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4,487</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 awards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(1,179)</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($1.15 per share)</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(20,343)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(20,343)</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Cumulative effect adjustment on ASC 842 related to leases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923</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(216)</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(13,625)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(13,625)</w:t>
            </w:r>
          </w:p>
        </w:tc>
      </w:tr>
      <w:tr>
        <w:trPr>
          <w:trHeight w:val="128"/>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2020</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17,661</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165,000</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89,512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256,002</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3,950</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 awards</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(864)</w:t>
            </w: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(864)</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($1.15 per share)</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(20,330)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(20,330)</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(11,818)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(11,818)</w:t>
            </w:r>
          </w:p>
        </w:tc>
      </w:tr>
      <w:tr>
        <w:trPr>
          <w:trHeight w:val="128"/>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2021</w:t>
            </w: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17,686</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168,133</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57,364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226,883</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3,139</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 awards</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r>
      <w:tr>
        <w:trPr>
          <w:trHeight w:val="135"/>
        </w:trPr>
        <w:tc>
          <w:tcPr>
            <w:tcW w:w="4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(353)</w:t>
            </w:r>
          </w:p>
        </w:tc>
      </w:tr>
      <w:tr>
        <w:trPr>
          <w:trHeight w:val="135"/>
        </w:trPr>
        <w:tc>
          <w:tcPr>
            <w:tcW w:w="4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(6,249)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(6,249)</w:t>
            </w:r>
          </w:p>
        </w:tc>
      </w:tr>
      <w:tr>
        <w:trPr>
          <w:trHeight w:val="128"/>
        </w:trPr>
        <w:tc>
          <w:tcPr>
            <w:tcW w:w="43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2022</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171,223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51,115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223,371</w:t>
            </w:r>
          </w:p>
        </w:tc>
      </w:tr>
      <w:tr>
        <w:trPr>
          <w:trHeight w:val="20"/>
        </w:trPr>
        <w:tc>
          <w:tcPr>
            <w:tcW w:w="4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(6,602)</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(11,922)</w:t>
            </w:r>
          </w:p>
        </w:tc>
        <w:tc>
          <w:tcPr>
            <w:tcW w:w="240" w:type="dxa"/>
            <w:vAlign w:val="bottom"/>
          </w:tcPr>
          <w:p>
            <w:pPr>
              <w:spacing w:after="0"/>
              <w:rPr>
                <w:sz w:val="12"/>
                <w:szCs w:val="12"/>
                <w:color w:val="auto"/>
              </w:rPr>
            </w:pP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17,571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losses on accounts receivable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Realized and unrealized net loss (gain) on Limoneira 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and non-cash charges related to closure of Florida facility</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9,748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Recovery from reserve for FreshRealm note receivable and impairment of investment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income on notes to FreshRealm</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plant, and equipment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19,850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(15,024)</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(4,961)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15,077</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50,233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SFFI, net of cash acquired of $623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unconsolidated entities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 to Agricola Belher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Limoneira stock sales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FreshRealm Separation Agreement recovery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received on repayment of infrastructure loan</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Infrastructure advance to tomato growers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top w:val="single" w:sz="8" w:color="CCEEFF"/>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8,681</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(9,364)</w:t>
            </w: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(20,343)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334,850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(303,700)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(215,950)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leaseback</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(58,635)</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(5,408)</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7,973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3,134</w:t>
            </w: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240" w:type="dxa"/>
            <w:vAlign w:val="bottom"/>
          </w:tcPr>
          <w:p>
            <w:pPr>
              <w:spacing w:after="0"/>
              <w:rPr>
                <w:sz w:val="16"/>
                <w:szCs w:val="16"/>
                <w:color w:val="auto"/>
              </w:rPr>
            </w:pP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ind w:left="300"/>
              <w:spacing w:after="0" w:line="129" w:lineRule="exact"/>
              <w:rPr>
                <w:sz w:val="20"/>
                <w:szCs w:val="20"/>
                <w:color w:val="auto"/>
              </w:rPr>
            </w:pPr>
            <w:r>
              <w:rPr>
                <w:rFonts w:ascii="Times New Roman" w:cs="Times New Roman" w:eastAsia="Times New Roman" w:hAnsi="Times New Roman"/>
                <w:sz w:val="14"/>
                <w:szCs w:val="14"/>
                <w:color w:val="auto"/>
              </w:rPr>
              <w:t>Income taxes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2,601</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3,047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5,470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w:t>
            </w:r>
          </w:p>
        </w:tc>
        <w:tc>
          <w:tcPr>
            <w:tcW w:w="240" w:type="dxa"/>
            <w:vAlign w:val="bottom"/>
          </w:tcPr>
          <w:p>
            <w:pPr>
              <w:spacing w:after="0"/>
              <w:rPr>
                <w:sz w:val="16"/>
                <w:szCs w:val="16"/>
                <w:color w:val="auto"/>
              </w:rPr>
            </w:pP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1,060</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2,761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160</w:t>
            </w:r>
          </w:p>
        </w:tc>
        <w:tc>
          <w:tcPr>
            <w:tcW w:w="26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312</w:t>
            </w:r>
          </w:p>
        </w:tc>
        <w:tc>
          <w:tcPr>
            <w:tcW w:w="2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3"/>
          <w:szCs w:val="13"/>
          <w:i w:val="1"/>
          <w:iCs w:val="1"/>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including sandwiches, salads, parfaits and ready-to-eat snack items among other products and (iii) process and package guacamole and salsa. We distribute our products both domestically and internationally and beginning in the third quarter of fiscal 2022 we report our operations in two different business segments: Grown and Prepared.</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accordance with accounting principles generally accepted in the U.S.</w:t>
      </w:r>
    </w:p>
    <w:p>
      <w:pPr>
        <w:spacing w:after="0" w:line="162"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Calavo Growers, Inc. and our wholly owned subsidiaries, Calavo de Mexico S.A. de C.V. (Calavo de Mexico), Calavo Growers de Mexico, S. de R.L. de C.V. ( Calavo Growers de Mexico), Maui Fresh International, Inc. (Maui), Hawaiian Sweet, Inc. (HS), CW Hawaii Pride, LLC (HP), Calavo Salsa Lisa, LLC (CSL), Renaissance Food Group, LLC (RFG), and Avocados de Jalisco, S.A.P.I. de C.V. (Avocados de Jalisco), in which we have an 83% ownership interest. All intercompany accounts and transactions have been eliminated in consolidation.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valuation allowances for accounts and notes receivable,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We have $1.0 million in restricted cash in our subsidiary Calavo de Mexico. This cash is restricted due to the 2013 tax assessment. In November 2022, this restriction was lifted. See Note 7.</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40" w:right="99" w:firstLine="259"/>
        <w:spacing w:after="0" w:line="277" w:lineRule="auto"/>
        <w:rPr>
          <w:sz w:val="20"/>
          <w:szCs w:val="20"/>
          <w:color w:val="auto"/>
        </w:rPr>
      </w:pPr>
      <w:r>
        <w:rPr>
          <w:rFonts w:ascii="Times New Roman" w:cs="Times New Roman" w:eastAsia="Times New Roman" w:hAnsi="Times New Roman"/>
          <w:sz w:val="17"/>
          <w:szCs w:val="17"/>
          <w:color w:val="auto"/>
        </w:rPr>
        <w:t>Prepaid expenses and other current assets consist primarily of non-trade receivables, infrastructure advances and prepaid expenses. Non-trade receivables were $4.8 million and $5.3 million at October 31, 2022 and 2021. Included in non-trade receivables are $1.8 million and $1.7 million related to the current portion of non-CDM Mexican IVA (i.e. value-added) taxes at October 31, 2022 and 2021 (See Note 15). Infrastructure advances are discussed below. Prepaid expenses totaling $3.1 million and $3.7 million at October 31, 2022 and 2021, are primarily for insurance, rent and other items.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97" w:lineRule="exact"/>
        <w:rPr>
          <w:sz w:val="20"/>
          <w:szCs w:val="20"/>
          <w:color w:val="auto"/>
        </w:rPr>
      </w:pPr>
    </w:p>
    <w:p>
      <w:pPr>
        <w:ind w:left="40" w:right="139" w:firstLine="225"/>
        <w:spacing w:after="0" w:line="261" w:lineRule="auto"/>
        <w:rPr>
          <w:sz w:val="20"/>
          <w:szCs w:val="20"/>
          <w:color w:val="auto"/>
        </w:rPr>
      </w:pPr>
      <w:r>
        <w:rPr>
          <w:rFonts w:ascii="Times New Roman" w:cs="Times New Roman" w:eastAsia="Times New Roman" w:hAnsi="Times New Roman"/>
          <w:sz w:val="18"/>
          <w:szCs w:val="18"/>
          <w:color w:val="auto"/>
        </w:rPr>
        <w:t>Trade accounts receivable are reported at amounts due from customers, net of an allowance for doubtful accounts and customer deductions accounted for as variable consideration. The Company performs credit evaluations of customers and evaluates the need for allowances for potential credit losses based on historical experience, as well as current and expected general economic conditions.</w:t>
      </w:r>
    </w:p>
    <w:p>
      <w:pPr>
        <w:spacing w:after="0" w:line="180" w:lineRule="exact"/>
        <w:rPr>
          <w:sz w:val="20"/>
          <w:szCs w:val="20"/>
          <w:color w:val="auto"/>
        </w:rPr>
      </w:pPr>
    </w:p>
    <w:p>
      <w:pPr>
        <w:ind w:left="40" w:right="599" w:firstLine="243"/>
        <w:spacing w:after="0" w:line="282" w:lineRule="auto"/>
        <w:rPr>
          <w:sz w:val="20"/>
          <w:szCs w:val="20"/>
          <w:color w:val="auto"/>
        </w:rPr>
      </w:pPr>
      <w:r>
        <w:rPr>
          <w:rFonts w:ascii="Times New Roman" w:cs="Times New Roman" w:eastAsia="Times New Roman" w:hAnsi="Times New Roman"/>
          <w:sz w:val="18"/>
          <w:szCs w:val="18"/>
          <w:color w:val="auto"/>
        </w:rPr>
        <w:t>The total allowance for estimated uncollectable accounts receivable balances and customer deductions were $4.2 million and $4.8 million as of October 31, 2022 and 2021.</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229" w:lineRule="exact"/>
        <w:rPr>
          <w:sz w:val="20"/>
          <w:szCs w:val="20"/>
          <w:color w:val="auto"/>
        </w:rPr>
      </w:pPr>
    </w:p>
    <w:p>
      <w:pPr>
        <w:ind w:left="40" w:right="79" w:firstLine="243"/>
        <w:spacing w:after="0" w:line="255" w:lineRule="auto"/>
        <w:rPr>
          <w:sz w:val="20"/>
          <w:szCs w:val="20"/>
          <w:color w:val="auto"/>
        </w:rPr>
      </w:pPr>
      <w:r>
        <w:rPr>
          <w:rFonts w:ascii="Times New Roman" w:cs="Times New Roman" w:eastAsia="Times New Roman" w:hAnsi="Times New Roman"/>
          <w:sz w:val="18"/>
          <w:szCs w:val="18"/>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perform an assessment of goodwill for impairment on an annual basis, and between annual tests whenever events or changes in circumstances indicate that the carrying amount may not be recoverable. To the extent the carrying amount of the reporting unit’s allocated goodwill exceeds the unit’s fair value, we recognize an impairment of goodwill for the excess up to the amount of goodwill of that reporting unit.</w:t>
      </w:r>
    </w:p>
    <w:p>
      <w:pPr>
        <w:spacing w:after="0" w:line="189"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As a result of the Company's operating segment realignment, the composition of its reporting units for the evaluation of goodwill impairment was changed. RFG reporting unit goodwill is now included within the Prepared reporting unit. Therefore, the goodwill of $24.7 million, which was previously recorded within the RFG reporting unit, is now within our Prepared segment and $4.0 million which was previously within the Fresh reporting unit, is now within our Grown segment. Prior to the change in its reporting unit, the Company tested goodwill for impairment at the previous reporting unit, which did not result in any impairment charge.</w:t>
      </w:r>
    </w:p>
    <w:p>
      <w:pPr>
        <w:spacing w:after="0" w:line="187" w:lineRule="exact"/>
        <w:rPr>
          <w:sz w:val="20"/>
          <w:szCs w:val="20"/>
          <w:color w:val="auto"/>
        </w:rPr>
      </w:pPr>
    </w:p>
    <w:p>
      <w:pPr>
        <w:jc w:val="both"/>
        <w:ind w:left="40" w:right="79" w:firstLine="243"/>
        <w:spacing w:after="0" w:line="266" w:lineRule="auto"/>
        <w:rPr>
          <w:sz w:val="20"/>
          <w:szCs w:val="20"/>
          <w:color w:val="auto"/>
        </w:rPr>
      </w:pPr>
      <w:r>
        <w:rPr>
          <w:rFonts w:ascii="Times New Roman" w:cs="Times New Roman" w:eastAsia="Times New Roman" w:hAnsi="Times New Roman"/>
          <w:sz w:val="18"/>
          <w:szCs w:val="18"/>
          <w:color w:val="auto"/>
        </w:rPr>
        <w:t>In fiscal 2022 and 2021, the Company’s estimated fair value significantly exceeded its carrying value. The fair value of the Company’s reporting units is determined using a combination of valuation techniques, including a discounted cash flow methodology. To corroborate the discounted cash flow analysis, a market approach is utilized using observable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2" w:name="page53"/>
    <w:bookmarkEnd w:id="52"/>
    <w:p>
      <w:pPr>
        <w:ind w:left="40" w:right="139"/>
        <w:spacing w:after="0" w:line="255" w:lineRule="auto"/>
        <w:rPr>
          <w:sz w:val="20"/>
          <w:szCs w:val="20"/>
          <w:color w:val="auto"/>
        </w:rPr>
      </w:pPr>
      <w:r>
        <w:rPr>
          <w:rFonts w:ascii="Times New Roman" w:cs="Times New Roman" w:eastAsia="Times New Roman" w:hAnsi="Times New Roman"/>
          <w:sz w:val="18"/>
          <w:szCs w:val="18"/>
          <w:color w:val="auto"/>
        </w:rPr>
        <w:t>market data such as comparable companies in similar lines of business that are publicly traded. The Company concluded based on its quantitative assessment that no goodwill impairment existed in the fiscal years ended October 31, 2022 and 2021.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estimates and assumptions described above, along with other factors such as discount rates, will significantly affect the outcome of the impairment tests and the amounts of any resulting impairment losses.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2022 and 2021, we performed our annual assessment of long-lived assets and determined that no impairment existed as of October 31, 2022 and 2021, except as it related to the Florida plant as disclosed in Note 18.</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83"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of tomatoes and other produce and the sale and distribution of tomatoes and other produce. Belo and Calavo Sub have an equal one-half ownership interest in Don Memo. Pursuant to a management service agreement, Belo, through its officers and employees, shall have day-to-day power and authority to manage the operations. This investment contribution represent Calavo Sub’s 50% ownership in Don Memo, which is included in investment in unconsolidated entities on our balance sheet. We use the equity method to account for this investment. As of October 31, 2022 and 2021, we have an investment of $3.8 million and $4.3 million in Don Memo.</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left="40" w:right="199" w:firstLine="243"/>
        <w:spacing w:after="0" w:line="266" w:lineRule="auto"/>
        <w:rPr>
          <w:sz w:val="20"/>
          <w:szCs w:val="20"/>
          <w:color w:val="auto"/>
        </w:rPr>
      </w:pPr>
      <w:r>
        <w:rPr>
          <w:rFonts w:ascii="Times New Roman" w:cs="Times New Roman" w:eastAsia="Times New Roman" w:hAnsi="Times New Roman"/>
          <w:sz w:val="18"/>
          <w:szCs w:val="18"/>
          <w:color w:val="auto"/>
        </w:rPr>
        <w:t>Our marketable securities consist of our investment in Limoneira Company (Limoneira) stock. These securities are considered available for sale securities based on management’s intent with respect to such securities and are carried at fair value as determined from quoted market prices.</w:t>
      </w:r>
    </w:p>
    <w:p>
      <w:pPr>
        <w:spacing w:after="0" w:line="176" w:lineRule="exact"/>
        <w:rPr>
          <w:sz w:val="20"/>
          <w:szCs w:val="20"/>
          <w:color w:val="auto"/>
        </w:rPr>
      </w:pPr>
    </w:p>
    <w:p>
      <w:pPr>
        <w:ind w:left="40" w:right="119" w:firstLine="243"/>
        <w:spacing w:after="0" w:line="256" w:lineRule="auto"/>
        <w:rPr>
          <w:sz w:val="20"/>
          <w:szCs w:val="20"/>
          <w:color w:val="auto"/>
        </w:rPr>
      </w:pPr>
      <w:r>
        <w:rPr>
          <w:rFonts w:ascii="Times New Roman" w:cs="Times New Roman" w:eastAsia="Times New Roman" w:hAnsi="Times New Roman"/>
          <w:sz w:val="18"/>
          <w:szCs w:val="18"/>
          <w:color w:val="auto"/>
        </w:rPr>
        <w:t>On October 27, 2022, we sold 1,677,299 shares of Limoneira common stock for gross proceeds of approximately $18.5 million. The net proceeds thereof after payment of commissions and expenses was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Facility and the related loan documents. For year ended October 31, 2022, we recorded a loss of $8.6 million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3" w:name="page54"/>
    <w:bookmarkEnd w:id="53"/>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Limoneira’s stock price at October 31, 2021, and 2020 equaled $16.13 per share, and $13.83 per share. Our shares of Limoneira stock, totaling 1,677,299, were revalued to $16.13 per share at October 31, 2021 as a result, we recorded a gain of $3.9 million and a loss of $8.5 million for the year ended October 31, 2021 and 2020 in our consolidated statements of operations.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229"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2022 and 2021.</w:t>
      </w:r>
    </w:p>
    <w:p>
      <w:pPr>
        <w:spacing w:after="0" w:line="153"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Pursuant to our distribution agreement, which was amended in fiscal 2011, with Agricola Belher (Belher) of Mexico, a producer of fresh vegetables, primarily tomatoes, for export to the U.S. market, Belher agreed, at their sole cost and expense, to harvest, pack, export, ship, and deliver tomatoes exclusively to our Company, primarily our Arizona facility.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by the end of each year. For fiscal 2022 and 2021, we agreed to advance $4.5 million and $4.5 million for preseason advances. As of October 31, 2022 and 2021, we have total advances of $4.5 million and $4.5 million to Belher pursuant to this agreement, which is recorded in advances to suppliers.</w:t>
      </w:r>
    </w:p>
    <w:p>
      <w:pPr>
        <w:spacing w:after="0" w:line="188"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2022 and 2021, we have total advances of $7.0 million and $4.2 million to Don Memo, which is recorded in advances to suppliers, offset by tomato liabilities from the sales of tomatoes per the tomato marketing agreement.</w:t>
      </w:r>
    </w:p>
    <w:p>
      <w:pPr>
        <w:spacing w:after="0" w:line="183"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have entered into a distribution agreement with a new tomato grower Exportadora Silvalber (Silvalber). We made $1.4 million in advances for operating purposes, similar to Belher and Don Memo, as of October 31,2022. Advances to suppliers are offset by tomato liabilities from the sales of tomatoes per the tomato marketing agreement.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Infrastructure Advances</w:t>
      </w:r>
    </w:p>
    <w:p>
      <w:pPr>
        <w:spacing w:after="0" w:line="229" w:lineRule="exact"/>
        <w:rPr>
          <w:sz w:val="20"/>
          <w:szCs w:val="20"/>
          <w:color w:val="auto"/>
        </w:rPr>
      </w:pPr>
    </w:p>
    <w:p>
      <w:pPr>
        <w:jc w:val="both"/>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76" w:lineRule="exact"/>
        <w:rPr>
          <w:sz w:val="20"/>
          <w:szCs w:val="20"/>
          <w:color w:val="auto"/>
        </w:rPr>
      </w:pPr>
    </w:p>
    <w:p>
      <w:pPr>
        <w:ind w:left="40" w:right="219" w:firstLine="259"/>
        <w:spacing w:after="0" w:line="255"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$2.4 million secured by Don Memo’s property and equipment. This infrastructure loan accrues interest at 7.25%. In October 2020, we advanced $0.7 million related to this loan agreement. We advanced an additional $0.7 million, and $0.6 million in the first, and second quarters of fiscal 2021, for a total outstanding balance at October 31, 2021 of $2.0 million ($0.4 million is included in prepaids and other currents assets and $1.6 million in other assets). As of October 31, 2022, we have a total outstanding balance at October 31, 2022 of $1.6 million ($0.4 million is included in prepaids and other current assets and $1.2 million in other assets).</w:t>
      </w:r>
    </w:p>
    <w:p>
      <w:pPr>
        <w:spacing w:after="0" w:line="18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August 2018, we entered into an amended infrastructure loan agreement with Belher and advanced $3.0 million. This amount shall be paid back in annual installments of $0.6 million through June 2023, and accrues interest at Libor plus 10%. Loans prior to this amended agreement accrued interest at Libor plus 3.0%. In August 2020, we have agreed to amend the terms of this agreement to lower the interest rate to 7.25% and changed the repayment terms to two years ($0.9 million per year). This portion of the infrastructure loan has been paid in full as of October 31, 2022, of which $0.2 million was offset against the grower payable due to Belher.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4" w:name="page55"/>
    <w:bookmarkEnd w:id="54"/>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For the year ended October 31, 2022, we withheld $0.9 million from payments to Belher to offset the bridge loan repayments. The remaining bridge loan has been recorded as $0.9 million in prepaid expenses and other current assets and $1.7 million in other assets.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Included in accrued expenses are liabilities related to the receipt of goods and/or services for which an invoice has not yet been received. These totaled approximately $28.7 million and $32.6 million for the year ended October 31, 2022 and 2021.</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219" w:firstLine="259"/>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variable considerations such as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Incentives and Other Promotional Programs</w:t>
      </w:r>
    </w:p>
    <w:p>
      <w:pPr>
        <w:spacing w:after="0" w:line="241"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accounts receivable or accrued expenses.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Principal vs. Agent Considerations</w:t>
      </w:r>
    </w:p>
    <w:p>
      <w:pPr>
        <w:spacing w:after="0" w:line="241"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We evaluate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We sell to retail grocery, foodservice, club stores, mass merchandisers, food distributors and wholesale customers. Our top ten customers accounted for approximately 59%, 58% and 56% of our consolidated net sales in fiscal years 2022, 2021 and 2020. Sales to our largest customer, Kroger (including its affiliates), represented approximately 15%, 16%, and 18% of net sales in each of fiscal years 2022, 2021, and 2020. Trader Joes, represented approximately 11% of net sales in fiscal year 2022. Additionally, Wal-Mart (including its affiliates) represented approximately 10%, 11% and 12% of net sales in fiscal years 2022, 2021 and 2020. No other single customer accounted for more than 10% of our net sales in any of the last three fiscal years.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sales. Amounts incurred by us for freight are included in cost of goods sold.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Promotional Allowances</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We provide for promotional allowances at the time of sale, based on our historical experience. Our estimates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accrued expenses.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on Reserve for FreshRealm Note Receivable and Impairment of Investment</w:t>
      </w:r>
    </w:p>
    <w:p>
      <w:pPr>
        <w:spacing w:after="0" w:line="229"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At the beginning of fiscal year 2020, we had a note receivable from FreshRealm totaling $34.5 million which has been fully reserved during fiscal 2020.</w:t>
      </w:r>
    </w:p>
    <w:p>
      <w:pPr>
        <w:spacing w:after="0" w:line="162" w:lineRule="exact"/>
        <w:rPr>
          <w:sz w:val="20"/>
          <w:szCs w:val="20"/>
          <w:color w:val="auto"/>
        </w:rPr>
      </w:pPr>
    </w:p>
    <w:p>
      <w:pPr>
        <w:jc w:val="both"/>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In July 2021, FreshRealm paid Calavo the Loan Payoff Amount per the Separation Agreements with FreshRealm (See Note 16) of $6.0 million, and we recorded the receipt as a recovery of the reserve for collectability of the FreshRealm note receivable on the statement of operations. Therefore, the notes receivable mentioned above, have been deemed paid in full.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Consignment Arrangements</w:t>
      </w:r>
    </w:p>
    <w:p>
      <w:pPr>
        <w:spacing w:after="0" w:line="229" w:lineRule="exact"/>
        <w:rPr>
          <w:sz w:val="20"/>
          <w:szCs w:val="20"/>
          <w:color w:val="auto"/>
        </w:rPr>
      </w:pPr>
    </w:p>
    <w:p>
      <w:pPr>
        <w:ind w:left="40" w:right="25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2022, 2021 and 2020 in the financial statements pursuant to consignment arrangements are as follows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78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6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9"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229"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Advertising costs are expensed when incurred and are generally included as a component of selling, general and administrative expense. Such costs were approximately $0.6 million, $0.4 million and $0.4 million for fiscal years 2022, 2021, and 2020.</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generally included as a component of selling, general and administrative expense. Total research and development costs for fiscal year 2022, 2021 and 2020 was approximately $0.1 million, $0.3 million and $0.7 million.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For the year ended October 31, 2022 and 2021, we recorded $2.8 million and $0.9 million of consulting expenses (included in selling, general and administrative expenses) related to an enterprise-wide strategic business review conducted for the purpose of restructuring to improve the profitability of the organization and efficiency of our operations. We also recorded $2.0 million and $0.6 million for the years ended October 31, 2022 and 2021, respectively, of management recruiting and severance costs related to this restructuring initiative.</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Included in other income is dividend income totaling $0.8 million, $0.6 million, and $0.6 million for fiscal years 2022, 2021 and 2020. See Note 8 for related party disclosure related to other income.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87"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80" w:lineRule="exact"/>
        <w:rPr>
          <w:sz w:val="20"/>
          <w:szCs w:val="20"/>
          <w:color w:val="auto"/>
        </w:rPr>
      </w:pPr>
    </w:p>
    <w:p>
      <w:pPr>
        <w:ind w:left="40" w:right="79" w:firstLine="263"/>
        <w:spacing w:after="0" w:line="256" w:lineRule="auto"/>
        <w:rPr>
          <w:sz w:val="20"/>
          <w:szCs w:val="20"/>
          <w:color w:val="auto"/>
        </w:rPr>
      </w:pPr>
      <w:r>
        <w:rPr>
          <w:rFonts w:ascii="Times New Roman" w:cs="Times New Roman" w:eastAsia="Times New Roman" w:hAnsi="Times New Roman"/>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87"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w:t>
      </w:r>
    </w:p>
    <w:p>
      <w:pPr>
        <w:spacing w:after="0" w:line="229" w:lineRule="exact"/>
        <w:rPr>
          <w:sz w:val="20"/>
          <w:szCs w:val="20"/>
          <w:color w:val="auto"/>
        </w:rPr>
      </w:pPr>
    </w:p>
    <w:p>
      <w:pPr>
        <w:ind w:left="40" w:right="379" w:firstLine="259"/>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weighted-average number of common shares outstanding during the period without consideration of the dilutive effect of stock options and contingent consideration. Diluted earnings per common share is calculated using the weighted-average number of common shares outstanding during the period after consideration of the dilutive effect of stock options and the effect of contingent consideration shares.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(U.S. dollars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42"/>
        </w:trPr>
        <w:tc>
          <w:tcPr>
            <w:tcW w:w="54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 Restricted stock/units/options (1)</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w:t>
            </w:r>
          </w:p>
        </w:tc>
      </w:tr>
      <w:tr>
        <w:trPr>
          <w:trHeight w:val="197"/>
        </w:trPr>
        <w:tc>
          <w:tcPr>
            <w:tcW w:w="5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attributable to Calavo Growers, Inc:</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bl>
    <w:p>
      <w:pPr>
        <w:spacing w:after="0" w:line="198" w:lineRule="exact"/>
        <w:rPr>
          <w:sz w:val="20"/>
          <w:szCs w:val="20"/>
          <w:color w:val="auto"/>
        </w:rPr>
      </w:pPr>
    </w:p>
    <w:p>
      <w:pPr>
        <w:ind w:left="720" w:right="219" w:hanging="325"/>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October 31, 2022, 2021 and 2020, approximately 82,000 shares, 42,000 shares, and 55,000 shares of common stock equivalents were excluded in the computation of diluted net loss per share, as the effect would be anti-dilutive since the Company reported a net loss.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w:t>
      </w:r>
    </w:p>
    <w:p>
      <w:pPr>
        <w:spacing w:after="0" w:line="180" w:lineRule="exact"/>
        <w:rPr>
          <w:sz w:val="20"/>
          <w:szCs w:val="20"/>
          <w:color w:val="auto"/>
        </w:rPr>
      </w:pPr>
    </w:p>
    <w:p>
      <w:pPr>
        <w:ind w:left="40" w:right="239" w:firstLine="243"/>
        <w:spacing w:after="0" w:line="266" w:lineRule="auto"/>
        <w:rPr>
          <w:sz w:val="20"/>
          <w:szCs w:val="20"/>
          <w:color w:val="auto"/>
        </w:rPr>
      </w:pPr>
      <w:r>
        <w:rPr>
          <w:rFonts w:ascii="Times New Roman" w:cs="Times New Roman" w:eastAsia="Times New Roman" w:hAnsi="Times New Roman"/>
          <w:sz w:val="18"/>
          <w:szCs w:val="18"/>
          <w:color w:val="auto"/>
        </w:rPr>
        <w:t>For the years ended October 31, 2022, 2021 and 2020, we recognized compensation expense of $3.1 million, $4.0 million, and $4.5 million related to stock-based compensation (See Note 12). The value of the stock-based compensation was determined from quoted market prices at the date of the grant.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229" w:lineRule="exact"/>
        <w:rPr>
          <w:sz w:val="20"/>
          <w:szCs w:val="20"/>
          <w:color w:val="auto"/>
        </w:rPr>
      </w:pPr>
    </w:p>
    <w:p>
      <w:pPr>
        <w:ind w:left="40" w:right="119" w:firstLine="259"/>
        <w:spacing w:after="0" w:line="273" w:lineRule="auto"/>
        <w:rPr>
          <w:sz w:val="20"/>
          <w:szCs w:val="20"/>
          <w:color w:val="auto"/>
        </w:rPr>
      </w:pPr>
      <w:r>
        <w:rPr>
          <w:rFonts w:ascii="Times New Roman" w:cs="Times New Roman" w:eastAsia="Times New Roman" w:hAnsi="Times New Roman"/>
          <w:sz w:val="17"/>
          <w:szCs w:val="17"/>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in income. Total foreign currency translation gains for fiscal 2021, net of losses, was $0.9 million. Total foreign currency translation losses for fiscal 2022 and 2020, net of gains, were $1.0 million for each year.</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We believe that the carrying amounts of cash and cash equivalents, accounts receivable, accounts payable, and short-term borrowings approximates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$6.0 million and $7.1 million as of October 31, 2022 and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issued ASU 2019-12, "Income Taxes (Topic 740): Simplifying the Accounting for Income Taxes," which amends and simplifies the accounting for income taxes by removing certain exceptions and providing new guidance to reduce complexity in certain aspects of the current guidance. This guidance was adopted by the Company during the first quarter of 2022 and did not impact the Company’s financial statements or related disclosures.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tables reconcile shareholders’ equity attributable to noncontrolling interest related to Avocados de Jalisco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14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4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$ 16,938</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14,176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7,716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$ 38,830</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83" w:lineRule="exact"/>
        <w:rPr>
          <w:sz w:val="20"/>
          <w:szCs w:val="20"/>
          <w:color w:val="auto"/>
        </w:rPr>
      </w:pPr>
    </w:p>
    <w:p>
      <w:pPr>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83"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October 18, 2021, the Company announced the closure of Prepared’s food processing operations at its Green Cove Springs (near Jacksonville), Florida facility, as part of its Project Uno profit improvement program. As of November 15, 2021, Prepared’s portion of the Green Cove facility has ceased operations. The Company’s Grown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59" w:name="page60"/>
    <w:bookmarkEnd w:id="59"/>
    <w:p>
      <w:pPr>
        <w:ind w:left="40" w:right="199"/>
        <w:spacing w:after="0" w:line="282" w:lineRule="auto"/>
        <w:rPr>
          <w:sz w:val="20"/>
          <w:szCs w:val="20"/>
          <w:color w:val="auto"/>
        </w:rPr>
      </w:pPr>
      <w:r>
        <w:rPr>
          <w:rFonts w:ascii="Times New Roman" w:cs="Times New Roman" w:eastAsia="Times New Roman" w:hAnsi="Times New Roman"/>
          <w:sz w:val="18"/>
          <w:szCs w:val="18"/>
          <w:color w:val="auto"/>
        </w:rPr>
        <w:t>avocado operations at this facility will continue in operation and are not affected. We wrote down inventory related to this closure of $0.6 million as of October 31, 2021. See Note 18 for further information.</w:t>
      </w:r>
    </w:p>
    <w:p>
      <w:pPr>
        <w:spacing w:after="0" w:line="158"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Property, Plant, and Equipment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Property, plant, and equipment consist of the following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209"/>
        </w:trPr>
        <w:tc>
          <w:tcPr>
            <w:tcW w:w="5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46,133</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115,942</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systems - hardware and software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8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215,597</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(104,129)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(97,317)</w:t>
            </w:r>
          </w:p>
        </w:tc>
      </w:tr>
      <w:tr>
        <w:trPr>
          <w:trHeight w:val="210"/>
        </w:trPr>
        <w:tc>
          <w:tcPr>
            <w:tcW w:w="522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$15.0 million, $14.5 million and $13.9 million for fiscal years 2022, 2021, and 2020. Included in property, plant, and equipment are finance leases. Amortization of finance leases was $1.8 million, $1.8 million and $1.0 million for fiscal years 2022, 2021, and 2020.</w:t>
      </w:r>
    </w:p>
    <w:p>
      <w:pPr>
        <w:spacing w:after="0" w:line="174" w:lineRule="exact"/>
        <w:rPr>
          <w:sz w:val="20"/>
          <w:szCs w:val="20"/>
          <w:color w:val="auto"/>
        </w:rPr>
      </w:pPr>
    </w:p>
    <w:p>
      <w:pPr>
        <w:ind w:left="4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17.</w:t>
      </w:r>
    </w:p>
    <w:p>
      <w:pPr>
        <w:spacing w:after="0" w:line="184" w:lineRule="exact"/>
        <w:rPr>
          <w:sz w:val="20"/>
          <w:szCs w:val="20"/>
          <w:color w:val="auto"/>
        </w:rPr>
      </w:pPr>
    </w:p>
    <w:p>
      <w:pPr>
        <w:ind w:left="40" w:right="139" w:firstLine="324"/>
        <w:spacing w:after="0" w:line="261" w:lineRule="auto"/>
        <w:rPr>
          <w:sz w:val="20"/>
          <w:szCs w:val="20"/>
          <w:color w:val="auto"/>
        </w:rPr>
      </w:pPr>
      <w:r>
        <w:rPr>
          <w:rFonts w:ascii="Times New Roman" w:cs="Times New Roman" w:eastAsia="Times New Roman" w:hAnsi="Times New Roman"/>
          <w:sz w:val="18"/>
          <w:szCs w:val="18"/>
          <w:color w:val="auto"/>
        </w:rPr>
        <w:t>On October 18, 2021, the Company announced the closure of Prepared’s food processing operations at its Green Cove Springs (near Jacksonville), Florida facility, as part of its Project Uno profit improvement program. As of November 15, 2021, Prepared’s portion of the Green Cove facility has ceased operations. The Company’s Grown avocado operations at this facility will continue in operation and are not affected.</w:t>
      </w:r>
    </w:p>
    <w:p>
      <w:pPr>
        <w:spacing w:after="0" w:line="180"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See Note 18 for further information.</w:t>
      </w:r>
    </w:p>
    <w:p>
      <w:pPr>
        <w:spacing w:after="0" w:line="172"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tab/>
        <w:t>Other Assets and Intangibles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394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 to Agricola Belher</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to Agricola Belher</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100" w:type="dxa"/>
            <w:vAlign w:val="bottom"/>
            <w:vMerge w:val="restart"/>
          </w:tcPr>
          <w:p>
            <w:pPr>
              <w:jc w:val="right"/>
              <w:ind w:right="239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8"/>
          <w:szCs w:val="18"/>
          <w:color w:val="auto"/>
        </w:rPr>
        <w:t>The intangible assets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$ 17,340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$ 5,967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$ 17,340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$ 7,351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indefinite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$ 7,206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$ 22,305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$ 8,769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40" w:firstLine="259"/>
        <w:spacing w:after="0" w:line="266" w:lineRule="auto"/>
        <w:rPr>
          <w:sz w:val="20"/>
          <w:szCs w:val="20"/>
          <w:color w:val="auto"/>
        </w:rPr>
      </w:pPr>
      <w:r>
        <w:rPr>
          <w:rFonts w:ascii="Times New Roman" w:cs="Times New Roman" w:eastAsia="Times New Roman" w:hAnsi="Times New Roman"/>
          <w:sz w:val="18"/>
          <w:szCs w:val="18"/>
          <w:color w:val="auto"/>
        </w:rPr>
        <w:t>We recorded amortization expense of approximately $1.6 million, $1.6 million, and $1.1 million for fiscal years 2022, 2021, and 2020. We anticipate recording amortization expense of approximately $1.6 million for fiscal year 2023, $1.5 million for each fiscal years 2024 through 2025 and $2.4 million thereafter.</w:t>
      </w:r>
    </w:p>
    <w:p>
      <w:pPr>
        <w:spacing w:after="0" w:line="172" w:lineRule="exact"/>
        <w:rPr>
          <w:sz w:val="20"/>
          <w:szCs w:val="20"/>
          <w:color w:val="auto"/>
        </w:rPr>
      </w:pPr>
    </w:p>
    <w:p>
      <w:pPr>
        <w:ind w:left="400" w:hanging="356"/>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Credit Facilities</w:t>
      </w:r>
    </w:p>
    <w:p>
      <w:pPr>
        <w:spacing w:after="0" w:line="229" w:lineRule="exact"/>
        <w:rPr>
          <w:sz w:val="20"/>
          <w:szCs w:val="20"/>
          <w:color w:val="auto"/>
        </w:rPr>
      </w:pPr>
    </w:p>
    <w:p>
      <w:pPr>
        <w:ind w:left="40" w:right="220" w:firstLine="259"/>
        <w:spacing w:after="0" w:line="266" w:lineRule="auto"/>
        <w:rPr>
          <w:sz w:val="20"/>
          <w:szCs w:val="20"/>
          <w:color w:val="auto"/>
        </w:rPr>
      </w:pPr>
      <w:r>
        <w:rPr>
          <w:rFonts w:ascii="Times New Roman" w:cs="Times New Roman" w:eastAsia="Times New Roman" w:hAnsi="Times New Roman"/>
          <w:sz w:val="18"/>
          <w:szCs w:val="18"/>
          <w:color w:val="auto"/>
        </w:rPr>
        <w:t>We have a revolving credit facility (the “Credit Facility”) with Bank of America, N.A. (Bank of America) as administrative agent and Merrill Lynch, Pierce, Fenner &amp; Smith Inc. as joint lead arranger and sole bookrunner, and Farm Credit West (FCW), as joint lead arranger.</w:t>
      </w:r>
    </w:p>
    <w:p>
      <w:pPr>
        <w:spacing w:after="0" w:line="176" w:lineRule="exact"/>
        <w:rPr>
          <w:sz w:val="20"/>
          <w:szCs w:val="20"/>
          <w:color w:val="auto"/>
        </w:rPr>
      </w:pPr>
    </w:p>
    <w:p>
      <w:pPr>
        <w:ind w:left="40" w:right="300" w:firstLine="259"/>
        <w:spacing w:after="0" w:line="272" w:lineRule="auto"/>
        <w:rPr>
          <w:sz w:val="20"/>
          <w:szCs w:val="20"/>
          <w:color w:val="auto"/>
        </w:rPr>
      </w:pPr>
      <w:r>
        <w:rPr>
          <w:rFonts w:ascii="Times New Roman" w:cs="Times New Roman" w:eastAsia="Times New Roman" w:hAnsi="Times New Roman"/>
          <w:sz w:val="17"/>
          <w:szCs w:val="17"/>
          <w:color w:val="auto"/>
        </w:rPr>
        <w:t>Borrowings under the Credit Facility are at the Company’s discretion at a BSBY (Bloomberg Short-Term Bank Yield Index) Daily Floating Rate plus applicable margin or a base rate loan plus applicable margin. The applicable margin is based on the Company’s Consolidated Leverage Ratio (as defined in the Credit Facility) and can range from 1.25% to</w:t>
      </w:r>
    </w:p>
    <w:p>
      <w:pPr>
        <w:spacing w:after="0" w:line="2" w:lineRule="exact"/>
        <w:rPr>
          <w:sz w:val="20"/>
          <w:szCs w:val="20"/>
          <w:color w:val="auto"/>
        </w:rPr>
      </w:pPr>
    </w:p>
    <w:p>
      <w:pPr>
        <w:ind w:left="40" w:right="320"/>
        <w:spacing w:after="0" w:line="260" w:lineRule="auto"/>
        <w:rPr>
          <w:sz w:val="20"/>
          <w:szCs w:val="20"/>
          <w:color w:val="auto"/>
        </w:rPr>
      </w:pPr>
      <w:r>
        <w:rPr>
          <w:rFonts w:ascii="Times New Roman" w:cs="Times New Roman" w:eastAsia="Times New Roman" w:hAnsi="Times New Roman"/>
          <w:sz w:val="18"/>
          <w:szCs w:val="18"/>
          <w:color w:val="auto"/>
        </w:rPr>
        <w:t>1.75% for BSBY loans and 0.25% to 0.75% for Base Rate Loans. The Credit Facility also includes a commitment fee on the unused commitment amount at a rate per annum of 0.15%.</w:t>
      </w:r>
    </w:p>
    <w:p>
      <w:pPr>
        <w:spacing w:after="0" w:line="181" w:lineRule="exact"/>
        <w:rPr>
          <w:sz w:val="20"/>
          <w:szCs w:val="20"/>
          <w:color w:val="auto"/>
        </w:rPr>
      </w:pPr>
    </w:p>
    <w:p>
      <w:pPr>
        <w:ind w:left="40" w:right="100" w:firstLine="259"/>
        <w:spacing w:after="0" w:line="261" w:lineRule="auto"/>
        <w:rPr>
          <w:sz w:val="20"/>
          <w:szCs w:val="20"/>
          <w:color w:val="auto"/>
        </w:rPr>
      </w:pPr>
      <w:r>
        <w:rPr>
          <w:rFonts w:ascii="Times New Roman" w:cs="Times New Roman" w:eastAsia="Times New Roman" w:hAnsi="Times New Roman"/>
          <w:sz w:val="18"/>
          <w:szCs w:val="18"/>
          <w:color w:val="auto"/>
        </w:rPr>
        <w:t>The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1.20 to 1.00.</w:t>
      </w:r>
    </w:p>
    <w:p>
      <w:pPr>
        <w:spacing w:after="0" w:line="180" w:lineRule="exact"/>
        <w:rPr>
          <w:sz w:val="20"/>
          <w:szCs w:val="20"/>
          <w:color w:val="auto"/>
        </w:rPr>
      </w:pPr>
    </w:p>
    <w:p>
      <w:pPr>
        <w:ind w:left="40" w:right="80" w:firstLine="259"/>
        <w:spacing w:after="0" w:line="256" w:lineRule="auto"/>
        <w:rPr>
          <w:sz w:val="20"/>
          <w:szCs w:val="20"/>
          <w:color w:val="auto"/>
        </w:rPr>
      </w:pPr>
      <w:r>
        <w:rPr>
          <w:rFonts w:ascii="Times New Roman" w:cs="Times New Roman" w:eastAsia="Times New Roman" w:hAnsi="Times New Roman"/>
          <w:sz w:val="18"/>
          <w:szCs w:val="18"/>
          <w:color w:val="auto"/>
        </w:rPr>
        <w:t>The Credit Facility also contains customary events of default. If any event of default occurs and is continuing, Bank of America may take the following actions: (a) declare the commitment of each lender to make loans and any obligation of the Issuer to make credit extensions to be terminated; (b) declare the unpaid principal amount of all outstanding loans, all interest, and all other amounts to be immediately due and payable; (c) require that Calavo cash collateralize the obligations; and (d) exercise on behalf of itself, the lenders and the letter of credit issuers under the Credit Facility all rights and remedies available to it.</w:t>
      </w:r>
    </w:p>
    <w:p>
      <w:pPr>
        <w:spacing w:after="0" w:line="187" w:lineRule="exact"/>
        <w:rPr>
          <w:sz w:val="20"/>
          <w:szCs w:val="20"/>
          <w:color w:val="auto"/>
        </w:rPr>
      </w:pPr>
    </w:p>
    <w:p>
      <w:pPr>
        <w:ind w:left="40" w:right="240" w:firstLine="259"/>
        <w:spacing w:after="0" w:line="261" w:lineRule="auto"/>
        <w:rPr>
          <w:sz w:val="20"/>
          <w:szCs w:val="20"/>
          <w:color w:val="auto"/>
        </w:rPr>
      </w:pPr>
      <w:r>
        <w:rPr>
          <w:rFonts w:ascii="Times New Roman" w:cs="Times New Roman" w:eastAsia="Times New Roman" w:hAnsi="Times New Roman"/>
          <w:sz w:val="18"/>
          <w:szCs w:val="18"/>
          <w:color w:val="auto"/>
        </w:rPr>
        <w:t>On January 29, 2021, we entered into the Third Amendment to our Credit Facility, which amendment, among other things, provides for a five-year extension of the maturity date to January 29, 2026, a $20 million increase in the revolving commitment to $100 million (from $80 million) (for a total facility size of $150 million if the $50 million accordion is exercised, up from a total size of $130 million), and a 25 basis point increase in the interest rate.</w:t>
      </w:r>
    </w:p>
    <w:p>
      <w:pPr>
        <w:spacing w:after="0" w:line="180" w:lineRule="exact"/>
        <w:rPr>
          <w:sz w:val="20"/>
          <w:szCs w:val="20"/>
          <w:color w:val="auto"/>
        </w:rPr>
      </w:pPr>
    </w:p>
    <w:p>
      <w:pPr>
        <w:ind w:left="40" w:right="300" w:firstLine="259"/>
        <w:spacing w:after="0" w:line="256" w:lineRule="auto"/>
        <w:rPr>
          <w:sz w:val="20"/>
          <w:szCs w:val="20"/>
          <w:color w:val="auto"/>
        </w:rPr>
      </w:pPr>
      <w:r>
        <w:rPr>
          <w:rFonts w:ascii="Times New Roman" w:cs="Times New Roman" w:eastAsia="Times New Roman" w:hAnsi="Times New Roman"/>
          <w:sz w:val="18"/>
          <w:szCs w:val="18"/>
          <w:color w:val="auto"/>
        </w:rPr>
        <w:t>On December 1, 2021, we entered into the Fourth and Fifth Amendments to our Credit Facility, which amendments, among other terms, added CDM as a guarantor, increased the interest rate by 50 basis points required that we pledge our Limoneira shares as collateral (in addition to the general business assets of the Company already securing the Credit Facility), added a new financial covenant testing the minimum Consolidated EBITDA on a cumulative monthly basis for the period January 2022 through and including June 2022, and replaced LIBOR as the reference interest rate with the BSBY Daily Floating Rate.</w:t>
      </w:r>
    </w:p>
    <w:p>
      <w:pPr>
        <w:spacing w:after="0" w:line="187" w:lineRule="exact"/>
        <w:rPr>
          <w:sz w:val="20"/>
          <w:szCs w:val="20"/>
          <w:color w:val="auto"/>
        </w:rPr>
      </w:pPr>
    </w:p>
    <w:p>
      <w:pPr>
        <w:ind w:left="40" w:right="500" w:firstLine="259"/>
        <w:spacing w:after="0" w:line="312" w:lineRule="auto"/>
        <w:rPr>
          <w:sz w:val="20"/>
          <w:szCs w:val="20"/>
          <w:color w:val="auto"/>
        </w:rPr>
      </w:pPr>
      <w:r>
        <w:rPr>
          <w:rFonts w:ascii="Times New Roman" w:cs="Times New Roman" w:eastAsia="Times New Roman" w:hAnsi="Times New Roman"/>
          <w:sz w:val="17"/>
          <w:szCs w:val="17"/>
          <w:color w:val="auto"/>
        </w:rPr>
        <w:t>As of January 31, 2022, the Company was not in compliance with the cumulative monthly minimum Consolidated EBITDA covenant, and the Consolidated Leverage Ratio (CLR) covenants. On March 14, 2022, we entered into the</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823" w:right="1419"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8"/>
          <w:szCs w:val="18"/>
          <w:color w:val="auto"/>
        </w:rPr>
        <w:t>Sixth Amendment to our Credit Facility, which amendment waived such non-compliance and included the following terms:</w:t>
      </w:r>
    </w:p>
    <w:p>
      <w:pPr>
        <w:spacing w:after="0" w:line="225" w:lineRule="exact"/>
        <w:rPr>
          <w:sz w:val="20"/>
          <w:szCs w:val="20"/>
          <w:color w:val="auto"/>
        </w:rPr>
      </w:pPr>
    </w:p>
    <w:p>
      <w:pPr>
        <w:jc w:val="both"/>
        <w:ind w:left="720" w:right="219" w:hanging="325"/>
        <w:spacing w:after="0" w:line="257"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increased to BSBY plus 3.0%, until the first business day of the month after we certify that no default or event of default exists for the period ended July 31, 2022, after which point the interest rate would range between BSBY plus 1.25% to 1.75% based on our CLR.</w:t>
      </w:r>
    </w:p>
    <w:p>
      <w:pPr>
        <w:spacing w:after="0" w:line="1"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facility size was reduced from $100 million to $80 million</w:t>
      </w:r>
    </w:p>
    <w:p>
      <w:pPr>
        <w:spacing w:after="0" w:line="9" w:lineRule="exact"/>
        <w:rPr>
          <w:rFonts w:ascii="Times New Roman" w:cs="Times New Roman" w:eastAsia="Times New Roman" w:hAnsi="Times New Roman"/>
          <w:sz w:val="18"/>
          <w:szCs w:val="18"/>
          <w:color w:val="auto"/>
        </w:rPr>
      </w:pPr>
    </w:p>
    <w:p>
      <w:pPr>
        <w:ind w:left="720" w:right="419" w:hanging="325"/>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would be based on a borrowing base consisting of the sum of eligible accounts receivable (80%), eligible inventory (50%), and Limoneira shares (60%), less reserves including grower payables; and</w:t>
      </w:r>
    </w:p>
    <w:p>
      <w:pPr>
        <w:ind w:left="720" w:right="179" w:hanging="325"/>
        <w:spacing w:after="0" w:line="255"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FCCR covenant was amended (i) to 1.20 to 1.00 and (ii) to calculate monthly and cumulatively starting with the quarter ended April 30, 2022, which calculation converts to a quarterly calculation of trailing 12 month figures starting with the period ending October 31, 2022.</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1, 2022, we entered into a Seventh Amendment to our Credit Facility with principal terms as follows:</w:t>
      </w:r>
    </w:p>
    <w:p>
      <w:pPr>
        <w:spacing w:after="0" w:line="225" w:lineRule="exact"/>
        <w:rPr>
          <w:sz w:val="20"/>
          <w:szCs w:val="20"/>
          <w:color w:val="auto"/>
        </w:rPr>
      </w:pPr>
    </w:p>
    <w:p>
      <w:pPr>
        <w:ind w:left="720" w:hanging="325"/>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FCCR covenant, only for the period ending October 31, 2022, was modified to 1.00 to 1.00; and</w:t>
      </w:r>
    </w:p>
    <w:p>
      <w:pPr>
        <w:spacing w:after="0" w:line="27" w:lineRule="exact"/>
        <w:rPr>
          <w:rFonts w:ascii="Times New Roman" w:cs="Times New Roman" w:eastAsia="Times New Roman" w:hAnsi="Times New Roman"/>
          <w:sz w:val="18"/>
          <w:szCs w:val="18"/>
          <w:color w:val="auto"/>
        </w:rPr>
      </w:pPr>
    </w:p>
    <w:p>
      <w:pPr>
        <w:ind w:left="720" w:right="59" w:hanging="325"/>
        <w:spacing w:after="0" w:line="253"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permitted to declare cash dividends so long as (i) after giving effect to any such dividend a new Consolidated Dividend Adjusted Fixed Charge Coverage Ratio is not less than 1.20 to 1.00 and (ii) any such cash dividends are paid in the same fiscal quarter in which they are declared. Notwithstanding the foregoing restriction, we may declare and make a dividend payment in an amount not to exceed $5,200,000 on or before January 31, 2023.</w:t>
      </w:r>
    </w:p>
    <w:p>
      <w:pPr>
        <w:spacing w:after="0" w:line="187"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As of October 31, 2022, we were in compliance with the financial covenants, and we expect to remain in compliance. As of October 31, 2022, approximately $29.9 million was available for borrowing, based on our borrowing base calculation discussed above. We have a letter of credit balance of $3.2 million as of October 31, 2022, that lowers the amount available per our Credit Facility.</w:t>
      </w:r>
    </w:p>
    <w:p>
      <w:pPr>
        <w:spacing w:after="0" w:line="180" w:lineRule="exact"/>
        <w:rPr>
          <w:sz w:val="20"/>
          <w:szCs w:val="20"/>
          <w:color w:val="auto"/>
        </w:rPr>
      </w:pPr>
    </w:p>
    <w:p>
      <w:pPr>
        <w:ind w:left="40" w:right="299" w:firstLine="304"/>
        <w:spacing w:after="0" w:line="258"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4.9% and 2.2% at October 31, 2022 and 2021, respectively. Under the Credit Facility, we had $1.2 million and $37.7 million outstanding as of October 31, 2022 and 2021, and had standby letters-of-credit of $3.2 million and $2.5 million as of October 31, 2022 and 2021. In accordance with the extended due date, the outstanding balance of the Credit Facility has been classified as long-term in the accompanying consolidated balance sheet as of October 31, 2022.</w:t>
      </w:r>
    </w:p>
    <w:p>
      <w:pPr>
        <w:spacing w:after="0" w:line="179" w:lineRule="exact"/>
        <w:rPr>
          <w:sz w:val="20"/>
          <w:szCs w:val="20"/>
          <w:color w:val="auto"/>
        </w:rPr>
      </w:pPr>
    </w:p>
    <w:p>
      <w:pPr>
        <w:ind w:left="400" w:hanging="356"/>
        <w:spacing w:after="0"/>
        <w:tabs>
          <w:tab w:leader="none" w:pos="4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guarantees</w:t>
      </w:r>
    </w:p>
    <w:p>
      <w:pPr>
        <w:spacing w:after="0" w:line="229" w:lineRule="exact"/>
        <w:rPr>
          <w:sz w:val="20"/>
          <w:szCs w:val="20"/>
          <w:color w:val="auto"/>
        </w:rPr>
      </w:pPr>
    </w:p>
    <w:p>
      <w:pPr>
        <w:jc w:val="both"/>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We lease facilities and certain equipment under non-cancelable leases expiring at various dates through 2031. We are committed to make minimum cash payments under these agreements as of October 31, 2022. See Note 17 for additional details on the type of lease agreements.</w:t>
      </w:r>
    </w:p>
    <w:p>
      <w:pPr>
        <w:spacing w:after="0" w:line="176" w:lineRule="exact"/>
        <w:rPr>
          <w:sz w:val="20"/>
          <w:szCs w:val="20"/>
          <w:color w:val="auto"/>
        </w:rPr>
      </w:pPr>
    </w:p>
    <w:p>
      <w:pPr>
        <w:jc w:val="both"/>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8"/>
          <w:szCs w:val="18"/>
          <w:b w:val="1"/>
          <w:bCs w:val="1"/>
          <w:color w:val="auto"/>
        </w:rPr>
        <w:t>2011 Assessment</w:t>
      </w:r>
    </w:p>
    <w:p>
      <w:pPr>
        <w:spacing w:after="0" w:line="229" w:lineRule="exact"/>
        <w:rPr>
          <w:sz w:val="20"/>
          <w:szCs w:val="20"/>
          <w:color w:val="auto"/>
        </w:rPr>
      </w:pPr>
    </w:p>
    <w:p>
      <w:pPr>
        <w:ind w:left="40" w:right="539" w:firstLine="304"/>
        <w:spacing w:after="0" w:line="258" w:lineRule="auto"/>
        <w:rPr>
          <w:sz w:val="20"/>
          <w:szCs w:val="20"/>
          <w:color w:val="auto"/>
        </w:rPr>
      </w:pPr>
      <w:r>
        <w:rPr>
          <w:rFonts w:ascii="Times New Roman" w:cs="Times New Roman" w:eastAsia="Times New Roman" w:hAnsi="Times New Roman"/>
          <w:sz w:val="18"/>
          <w:szCs w:val="18"/>
          <w:color w:val="auto"/>
        </w:rPr>
        <w:t>On June 16, 2021 Calavo reached a settlement agreement with the Ministry of Finance and Administration of the government of the State of Michoacan, Mexico (MFM) regarding a 2011 Assessment of approximately $2.2 billion Mexican pesos related to income tax, flat rate business tax and value added tax. Calavo agreed to pay approximately $47.8 million Mexican pesos (approximately $2.4 million USD) as a full and final settlement of all taxes, fines, and penalties.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“Mexican Tax Administrative Service” or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w:t>
      </w:r>
    </w:p>
    <w:p>
      <w:pPr>
        <w:spacing w:after="0" w:line="183"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Calavo de Mexico (“CDM”) a final tax assessment (the “2013 Assessment”) totaling approximately $2.6 billion Mexican pesos (which includes annual adjustments for inflation, and equals approximately $131.3 million USD at October 31, 2022) related to income tax, flat rate business tax, and value added tax, related to this fiscal 2013 tax audit. This amount has been adjusted for inflation as of October 31, 2022 to the amount of $3.08 billion Mexican pesos (approximately $151.5 million USD). Additionally, the tax authorities have determined that we owe our employees profit-sharing liability, totaling approximately $118 million Mexican pesos (approximately $6.0 million USD at October 31, 2022).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87" w:lineRule="exact"/>
        <w:rPr>
          <w:sz w:val="20"/>
          <w:szCs w:val="20"/>
          <w:color w:val="auto"/>
        </w:rPr>
      </w:pPr>
    </w:p>
    <w:p>
      <w:pPr>
        <w:ind w:left="40" w:right="359" w:firstLine="259"/>
        <w:spacing w:after="0" w:line="257"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4" w:lineRule="auto"/>
        <w:tabs>
          <w:tab w:leader="none" w:pos="162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2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3" w:lineRule="exact"/>
        <w:rPr>
          <w:sz w:val="20"/>
          <w:szCs w:val="20"/>
          <w:color w:val="auto"/>
        </w:rPr>
      </w:pPr>
    </w:p>
    <w:p>
      <w:pPr>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with a federal district court seeking to nullify the arguments against the Reconsideration made by the SAT on constitutional grounds.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63" w:name="page64"/>
    <w:bookmarkEnd w:id="63"/>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6" w:lineRule="exact"/>
        <w:rPr>
          <w:sz w:val="20"/>
          <w:szCs w:val="20"/>
          <w:color w:val="auto"/>
        </w:rPr>
      </w:pPr>
    </w:p>
    <w:p>
      <w:pPr>
        <w:ind w:left="40" w:right="79" w:firstLine="304"/>
        <w:spacing w:after="0" w:line="261" w:lineRule="auto"/>
        <w:rPr>
          <w:sz w:val="20"/>
          <w:szCs w:val="20"/>
          <w:color w:val="auto"/>
        </w:rPr>
      </w:pPr>
      <w:r>
        <w:rPr>
          <w:rFonts w:ascii="Times New Roman" w:cs="Times New Roman" w:eastAsia="Times New Roman" w:hAnsi="Times New Roman"/>
          <w:sz w:val="18"/>
          <w:szCs w:val="18"/>
          <w:color w:val="auto"/>
        </w:rPr>
        <w:t>On February 25, 2022, we filed an injunction to challenge the SAT’s response issued to the Reconsideration. This would allow time to continue the discussions with SAT at the administrative level and would give SAT the legal basis to issue a new resolution. This injunction suit represents a further opportunity for a Court of Law to analyze this matter from a constitutional perspective.</w:t>
      </w:r>
    </w:p>
    <w:p>
      <w:pPr>
        <w:spacing w:after="0" w:line="180"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The injunction suit was admitted for analysis by the District Court, however, SAT filed a complaint (queja) against the ruling allowing CDM to file an extension of the injunction suit. This complaint was filed by SAT to challenge the admission and analysis of the injunction suit; this complaint was decided by the Circuit Courts in October against the SAT complaint and the court will start the analysis of injunction in the following months.</w:t>
      </w:r>
    </w:p>
    <w:p>
      <w:pPr>
        <w:spacing w:after="0" w:line="180"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74"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82"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On April 27, 2022, the SAT provided a Positive Compliance Opinion to CDM, and consequently the Tax Authority renewed the VAT Certification to CDM. These two resolutions signal a positive development on the Tax controversies in Mexico.</w:t>
      </w:r>
    </w:p>
    <w:p>
      <w:pPr>
        <w:spacing w:after="0" w:line="176"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pesos assessment exceeds the economic capacity of CDM.</w:t>
      </w:r>
    </w:p>
    <w:p>
      <w:pPr>
        <w:spacing w:after="0" w:line="180"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and we have had court rulings in favor of CDM,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October 31, 2022 based on our cumulative probability analysis. We incurred $1.4 million of related professional fees for the year ended October 31, 2022, which have been recorded in Expenses related to Mexican Tax matters.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59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litigation arising in the ordinary course of our business that we do not believe will have a material adverse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4" w:name="page65"/>
    <w:bookmarkEnd w:id="64"/>
    <w:p>
      <w:pPr>
        <w:ind w:left="400" w:hanging="356"/>
        <w:spacing w:after="0"/>
        <w:tabs>
          <w:tab w:leader="none" w:pos="4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During the years ended October 31, 2022, 2021, and 2020, the aggregate amount of avocados procured from entities owned or controlled by members of our Board of Directors was $7.5 million, $17.8 million and $18.0 million. We did not have any amounts due to Board members as of October 31, 2022 and 2021.</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Limoneira</w:t>
      </w:r>
    </w:p>
    <w:p>
      <w:pPr>
        <w:spacing w:after="0" w:line="227"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During fiscal years 2022, 2021, and 2020, we received $0.6 million, $0.5 million and $0.5 million as dividend income from Limoneira. In addition, we lease office space from Limoneira for our corporate office. Rent to Limoneira amounted to approximately $0.3 million for fiscal years 2022, 2021, and 2020. Harold Edwards, who resigned as a member of our Board of Directors in February 2022, is the Chief Executive Officer of Limoneira Company. In February 2022, Limoneira ended its marketing agreement with Calavo.</w:t>
      </w:r>
    </w:p>
    <w:p>
      <w:pPr>
        <w:spacing w:after="0" w:line="183"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On October 27, 2022, we sold our entire investment of 1,677,299 shares of Limoneira common stock for gross proceeds of approximately $18.5 million. The net proceeds thereof after payment of commissions and expenses was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Facility and the related loan documents. For the year ended October 31, 2022, 2021 and 2020, we recorded losses of $8.6 million, income of $3.9 million, and losses of $8.5 million in realized and unrealized net gain (loss) on Limoneira shares.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In December 2014, Calavo formed a wholly owned subsidiary Calavo Growers De Mexico, S. de R.L. de C.V. (Calavo Sub). In July 2015, Calavo Sub entered into a Shareholder Agreement with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as defined, which is payable annually in July of each year. Additionally, Calavo Sub is entitled to commission, for the sale of produce in Mexico, U.S., Canada, and any other overseas market.</w:t>
      </w:r>
    </w:p>
    <w:p>
      <w:pPr>
        <w:spacing w:after="0" w:line="192"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As of October 31, 2022, 2021 and 2020, we have an investment of $3.8 million, $4.3 million and $6.1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year ended October 31, 2022, we advanced an additional $2.8 million of preseason advances to Don Memo. As of October 31, 2022, 2021 and 2020, we had outstanding advances of $7.0 million, $4.2 million and $2.4 million to Don Memo. As of October 31, 2022, 2021 and 2020, we had a tomato liability of $1.9 million, $3.0 million and $1.8 million to Don Memo. During the year ended October 31, 2022, 2021 and 2020 we purchased $13.7 million, $14.7 million and $15.8 million of tomatoes from Don Memo pursuant to our consignment agreement.</w:t>
      </w:r>
    </w:p>
    <w:p>
      <w:pPr>
        <w:spacing w:after="0" w:line="194"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In October 2020, we entered into an infrastructure loan agreement with Don Memo for up to $2.4 million secured by certain property and equipment of Don Memo. This infrastructure loan accrues interest at 7.25%. The total outstanding balance related to this infrastructure loan agreement at October 31, 2022 was $1.6 million ($0.4 million is included in prepaids and other current assets and $1.2 million in other assets). The total outstanding balance related to this infrastructure loan agreement at October 31, 2021 was $2.0 million ($0.4 million is included in prepaids and other current assets and $1.6 million in other assets). This infrastructure loan agreement will mature in fiscal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We had grower advances due from Belher of $4.5 million, $4.5 million and $4.5 million as of October 31, 2022, 2021 and 2020. In August 2018, we entered into an amended infrastructure agreement with Belher and advanced $3.0 million. This amount was to be paid back annually at $0.6 million through June 2023, and accrue interest of LIBOR plus 10%. In August 2020, we have amended this agreement to lower the interest rate to 7.25% and change the repayment terms to two years ($0.9 million per year). We had infrastructure advances due from Belher of $0.9 million, and $1.8 million as of October 31, 2021 and 2020. This infrastructure advance was paid in full during fiscal 2022, through the netting against the grower payable to Belher (see below).</w:t>
      </w:r>
    </w:p>
    <w:p>
      <w:pPr>
        <w:spacing w:after="0" w:line="18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For the year ended October 31, 2022, we withheld $1.1 million from payments to Belher to offset the bridge loan repayments. The remaining bridge loan has been recorded as $0.9 million in prepaid expenses and other current assets and $1.7 million in other assets. During the year ended October 31, 2022, 2021 and 2020, we purchased $19.4 million, $16.3 million, and $26.9 million of tomatoes from Belher pursuant to our consignment agreement.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Shareholder’s Agreement with various partners to create Avocados de Jalisco, which is a Mexican corporation engaged in procuring, packing and selling avocados. This entity is approximately 83% owned by Calavo and is consolidated in our financial statements. Avocados de Jalisco built a packinghouse located in Jalisco, Mexico and such packinghouse began operations in June of 2017. As of October 31, 2022 and 2021, we have made an insignificant amount of preseason advances to various partners of Avocados de Jalisco. During the year ended October 31, 2022, 2021 and 2020, we purchased approximately $7.0 million, $13.0 million and $8.3 million of avocados from the partners of Avocados de Jalisco.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37" w:right="1440" w:bottom="1440" w:gutter="0" w:footer="0" w:header="0"/>
        </w:sectPr>
      </w:pPr>
    </w:p>
    <w:bookmarkStart w:id="66" w:name="page67"/>
    <w:bookmarkEnd w:id="66"/>
    <w:p>
      <w:pPr>
        <w:ind w:left="400" w:hanging="356"/>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income tax provision (benefit) consists of the following for the years ended October 31, (in thousands):</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$ 2,012</w:t>
            </w:r>
          </w:p>
        </w:tc>
        <w:tc>
          <w:tcPr>
            <w:tcW w:w="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(3,449)</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(5,684)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18"/>
                <w:szCs w:val="18"/>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(3,934)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Pr>
          <w:p>
            <w:pPr>
              <w:spacing w:after="0"/>
              <w:rPr>
                <w:sz w:val="18"/>
                <w:szCs w:val="18"/>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$ 3,251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$ 10,747</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(4,292)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At October 31, 2022 and 2021, gross deferred tax assets totaled approximately $23.5 million and $29.3 million, while gross deferred tax liabilities totaled approximately $16.2 million and $22.7 million. Deferred income taxes reflect the net of temporary differences between the carrying amount of assets and liabilities for financial reporting and income tax purposes.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Significant components of our deferred taxes assets (liabilities) as of October 31, are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96"/>
        </w:trPr>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Limoneira investment</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Credits and incentives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w:t>
            </w:r>
          </w:p>
        </w:tc>
        <w:tc>
          <w:tcPr>
            <w:tcW w:w="3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(13,723)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(15,839)</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Capital loss carryover</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2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5,433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379"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2022 and 2021, the Company has no federal net operating loss carryforwards. The Company has gross state net operating loss carryforwards of approximately $9.1 million and $19.0 million with carryforward periods primarily ranging from 20 years to indefinite.</w:t>
      </w:r>
    </w:p>
    <w:p>
      <w:pPr>
        <w:spacing w:after="0" w:line="176" w:lineRule="exact"/>
        <w:rPr>
          <w:sz w:val="20"/>
          <w:szCs w:val="20"/>
          <w:color w:val="auto"/>
        </w:rPr>
      </w:pPr>
    </w:p>
    <w:p>
      <w:pPr>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a valuation allowance against deferred tax assets when determined that all or a portion of the deferred tax assets are not more likely than not to be realized based on all available evidence. As of October 31, 2022 and 2021, the Company recorded an approximate $1.8 million and $1.2 million valuation allowance against the deferred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67" w:name="page68"/>
    <w:bookmarkEnd w:id="67"/>
    <w:p>
      <w:pPr>
        <w:ind w:left="40" w:right="99"/>
        <w:spacing w:after="0" w:line="266" w:lineRule="auto"/>
        <w:rPr>
          <w:sz w:val="20"/>
          <w:szCs w:val="20"/>
          <w:color w:val="auto"/>
        </w:rPr>
      </w:pPr>
      <w:r>
        <w:rPr>
          <w:rFonts w:ascii="Times New Roman" w:cs="Times New Roman" w:eastAsia="Times New Roman" w:hAnsi="Times New Roman"/>
          <w:sz w:val="18"/>
          <w:szCs w:val="18"/>
          <w:color w:val="auto"/>
        </w:rPr>
        <w:t>tax assets for state tax credit carryforwards and federal capital loss carryforwards that are more likely than not to expire unutilized. During the year ended October 31, 2022, the Company increased the valuation allowance against federal capital loss carryforwards by $0.6 million.</w:t>
      </w:r>
    </w:p>
    <w:p>
      <w:pPr>
        <w:spacing w:after="0" w:line="176"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A reconciliation of the significant differences between the federal statutory income tax rate and the effective income tax rate on pretax income (loss) for the years ended October 31, is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Pr>
          <w:p>
            <w:pPr>
              <w:spacing w:after="0"/>
              <w:rPr>
                <w:sz w:val="15"/>
                <w:szCs w:val="15"/>
                <w:color w:val="auto"/>
              </w:rPr>
            </w:pPr>
          </w:p>
        </w:tc>
      </w:tr>
      <w:tr>
        <w:trPr>
          <w:trHeight w:val="196"/>
        </w:trPr>
        <w:tc>
          <w:tcPr>
            <w:tcW w:w="6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21.0 %</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effects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3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11.6</w:t>
            </w:r>
          </w:p>
        </w:tc>
        <w:tc>
          <w:tcPr>
            <w:tcW w:w="2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differential on NOL carryback</w:t>
            </w:r>
          </w:p>
        </w:tc>
        <w:tc>
          <w:tcPr>
            <w:tcW w:w="80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3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taxes greater than U.S.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3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2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(1,059.9)</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w:t>
            </w:r>
          </w:p>
        </w:tc>
        <w:tc>
          <w:tcPr>
            <w:tcW w:w="300" w:type="dxa"/>
            <w:vAlign w:val="bottom"/>
          </w:tcPr>
          <w:p>
            <w:pPr>
              <w:spacing w:after="0"/>
              <w:rPr>
                <w:sz w:val="18"/>
                <w:szCs w:val="18"/>
                <w:color w:val="auto"/>
              </w:rPr>
            </w:pPr>
          </w:p>
        </w:tc>
        <w:tc>
          <w:tcPr>
            <w:tcW w:w="9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6"/>
              </w:rPr>
              <w:t>(16.7)</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39.2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3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State rate change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3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2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(44.1)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w:t>
            </w:r>
          </w:p>
        </w:tc>
        <w:tc>
          <w:tcPr>
            <w:tcW w:w="3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(33.8)</w:t>
            </w:r>
          </w:p>
        </w:tc>
        <w:tc>
          <w:tcPr>
            <w:tcW w:w="3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6"/>
              </w:rPr>
              <w:t>(15.5)</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300" w:type="dxa"/>
            <w:vAlign w:val="bottom"/>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(97.0)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(913.3)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For fiscal years 2022, 2021 and 2020, income (loss) before income taxes (benefit) related to domestic operations was approximately $(1.4) million, $(5.0) million, and $(18.9) million. Additionally, for fiscal 2022, we received income tax refunds of $6.7 million. For fiscal years 2022, 2021 and 2020, income before income taxes (benefit) related to foreign operations was approximately $(1.9) million, $3.8 million and $0.8 million.</w:t>
      </w:r>
    </w:p>
    <w:p>
      <w:pPr>
        <w:spacing w:after="0" w:line="180" w:lineRule="exact"/>
        <w:rPr>
          <w:sz w:val="20"/>
          <w:szCs w:val="20"/>
          <w:color w:val="auto"/>
        </w:rPr>
      </w:pPr>
    </w:p>
    <w:p>
      <w:pPr>
        <w:ind w:left="40" w:right="599"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2022, and 2021, we had $11.1 million and $11.3 million for unrecognized tax benefits related primarily to the probable outcomes of the 2013 Mexico Assessment. See Note 7 for further information.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taxes (exclusive of interest and penalties)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was as follows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99"/>
        </w:trPr>
        <w:tc>
          <w:tcPr>
            <w:tcW w:w="7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Reductions based on tax positions related to prior periods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 - Tax positions in prior periods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increase - Tax positions in current period</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w:t>
            </w:r>
          </w:p>
        </w:tc>
      </w:tr>
      <w:tr>
        <w:trPr>
          <w:trHeight w:val="209"/>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79" w:firstLine="324"/>
        <w:spacing w:after="0" w:line="254" w:lineRule="auto"/>
        <w:rPr>
          <w:sz w:val="20"/>
          <w:szCs w:val="20"/>
          <w:color w:val="auto"/>
        </w:rPr>
      </w:pPr>
      <w:r>
        <w:rPr>
          <w:rFonts w:ascii="Times New Roman" w:cs="Times New Roman" w:eastAsia="Times New Roman" w:hAnsi="Times New Roman"/>
          <w:sz w:val="18"/>
          <w:szCs w:val="18"/>
          <w:color w:val="auto"/>
        </w:rPr>
        <w:t>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The Company accounts for income taxes regarding uncertain tax positions and recognized interest and penalties related to uncertain tax positions in income tax benefit/(expense) in the consolidated statements of operations. Total accrued interest and penalties recorded on the consolidated balance sheet were zero because the company prepaid the disputed amount. See Note 7 for additional details.</w:t>
      </w:r>
    </w:p>
    <w:p>
      <w:pPr>
        <w:spacing w:after="0" w:line="192"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Due to our history of earnings, current, and expected future profitability, we believe there is sufficient objective positive evidence that it is more likely than not that we will realize our net deferred tax assets, therefore a valuation allowance over our federal and state net deferred tax assets is not needed, other than the state tax credit and federal capital loss carryforwards.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68" w:name="page69"/>
    <w:bookmarkEnd w:id="68"/>
    <w:p>
      <w:pPr>
        <w:jc w:val="both"/>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We are subject to U.S. federal income tax as well as income of multiple state tax and foreign tax jurisdictions. We are no longer subject to U.S. income tax examinations for the fiscal years prior to October 31, 2019, and are no longer subject to state income tax examinations for fiscal years prior to October 31, 2018.</w:t>
      </w:r>
    </w:p>
    <w:p>
      <w:pPr>
        <w:spacing w:after="0" w:line="200" w:lineRule="exact"/>
        <w:rPr>
          <w:sz w:val="20"/>
          <w:szCs w:val="20"/>
          <w:color w:val="auto"/>
        </w:rPr>
      </w:pPr>
    </w:p>
    <w:p>
      <w:pPr>
        <w:spacing w:after="0" w:line="232"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The Company determined that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200" w:lineRule="exact"/>
        <w:rPr>
          <w:sz w:val="20"/>
          <w:szCs w:val="20"/>
          <w:color w:val="auto"/>
        </w:rPr>
      </w:pPr>
    </w:p>
    <w:p>
      <w:pPr>
        <w:spacing w:after="0" w:line="232" w:lineRule="exact"/>
        <w:rPr>
          <w:sz w:val="20"/>
          <w:szCs w:val="20"/>
          <w:color w:val="auto"/>
        </w:rPr>
      </w:pPr>
    </w:p>
    <w:p>
      <w:pPr>
        <w:ind w:left="500" w:hanging="456"/>
        <w:spacing w:after="0"/>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On April 13, 2022, the Company announced its plans to reorganize its business into two reporting segments, Grown and Prepared. The management transition to operate as Grown and Prepared began at the start of the third quarter of 2022. The Grown segment consists of fresh avocados, tomatoes and papayas. The Prepared segment comprises all other products including fresh-cut fruits and vegetables, ready-to-eat sandwiches, wraps, salads and snacks, guacamole, and salsa sold at retail and food service as well as avocado pulp sold to foodservice.</w:t>
      </w:r>
    </w:p>
    <w:p>
      <w:pPr>
        <w:spacing w:after="0" w:line="183" w:lineRule="exact"/>
        <w:rPr>
          <w:sz w:val="20"/>
          <w:szCs w:val="20"/>
          <w:color w:val="auto"/>
        </w:rPr>
      </w:pPr>
    </w:p>
    <w:p>
      <w:pPr>
        <w:ind w:left="40" w:right="59" w:firstLine="243"/>
        <w:spacing w:after="0" w:line="253" w:lineRule="auto"/>
        <w:rPr>
          <w:sz w:val="20"/>
          <w:szCs w:val="20"/>
          <w:color w:val="auto"/>
        </w:rPr>
      </w:pPr>
      <w:r>
        <w:rPr>
          <w:rFonts w:ascii="Times New Roman" w:cs="Times New Roman" w:eastAsia="Times New Roman" w:hAnsi="Times New Roman"/>
          <w:sz w:val="18"/>
          <w:szCs w:val="18"/>
          <w:color w:val="auto"/>
        </w:rPr>
        <w:t>As a result of the Company's operating segment realignment, the composition of its reporting units for the evaluation of goodwill impairment was changed. RFG reporting unit goodwill is now included within the Prepared reporting unit. Therefore, the goodwill of $24.7 million, which was previously recorded within the RFG reporting unit, is now within Prepared and the goodwill previously reported as part of the Fresh segment remained unchanged in the amount of $4.0 million and is part of the Grown segment. Prior to the change in its reporting unit, the Company tested goodwill for impairment at the previous reporting unit, which did not result in any impairment charge.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includes forecasted cash flow. The fair value of the Company’s reporting units is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w:t>
      </w:r>
    </w:p>
    <w:p>
      <w:pPr>
        <w:spacing w:after="0" w:line="190" w:lineRule="exact"/>
        <w:rPr>
          <w:sz w:val="20"/>
          <w:szCs w:val="20"/>
          <w:color w:val="auto"/>
        </w:rPr>
      </w:pPr>
    </w:p>
    <w:p>
      <w:pPr>
        <w:ind w:left="40" w:right="59" w:firstLine="225"/>
        <w:spacing w:after="0" w:line="258" w:lineRule="auto"/>
        <w:rPr>
          <w:sz w:val="20"/>
          <w:szCs w:val="20"/>
          <w:color w:val="auto"/>
        </w:rPr>
      </w:pPr>
      <w:r>
        <w:rPr>
          <w:rFonts w:ascii="Times New Roman" w:cs="Times New Roman" w:eastAsia="Times New Roman" w:hAnsi="Times New Roman"/>
          <w:sz w:val="18"/>
          <w:szCs w:val="18"/>
          <w:color w:val="auto"/>
        </w:rPr>
        <w:t>These two business segments are presented based on how information is used by our Chief Executive Officer (our Chief Operating Decision Maker)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Prior year information has been recast to conform with the new segment disclosures.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8"/>
          <w:szCs w:val="18"/>
          <w:color w:val="auto"/>
        </w:rPr>
        <w:t>The following table sets forth sales, cost of sales, and gross profit by segment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1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Interco.</w:t>
            </w:r>
          </w:p>
        </w:tc>
        <w:tc>
          <w:tcPr>
            <w:tcW w:w="120" w:type="dxa"/>
            <w:vAlign w:val="bottom"/>
          </w:tcPr>
          <w:p>
            <w:pPr>
              <w:spacing w:after="0"/>
              <w:rPr>
                <w:sz w:val="13"/>
                <w:szCs w:val="13"/>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10"/>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700,270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492,868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1,191,073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1,117,228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1,055,830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585,052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475,970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1,059,371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For fiscal year 2022, 2021 and 2020, inter-segment sales and cost of sales of $2.1 million, $2.5 million and $1.7 million between Grown and Prepared were eliminated.</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sales by product category,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4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October 31, 2022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20" w:type="dxa"/>
            <w:vAlign w:val="bottom"/>
          </w:tcPr>
          <w:p>
            <w:pPr>
              <w:spacing w:after="0"/>
              <w:rPr>
                <w:sz w:val="15"/>
                <w:szCs w:val="15"/>
                <w:color w:val="auto"/>
              </w:rPr>
            </w:pPr>
          </w:p>
        </w:tc>
      </w:tr>
      <w:tr>
        <w:trPr>
          <w:trHeight w:val="290"/>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6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$ 645,944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645,944</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$ 536,969</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536,969</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47,288</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204,433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204,433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205,087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205,087</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7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107,332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102,291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102,291</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114,396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Guacamole</w:t>
            </w:r>
          </w:p>
        </w:tc>
        <w:tc>
          <w:tcPr>
            <w:tcW w:w="7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Salsa</w:t>
            </w: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20" w:type="dxa"/>
            <w:vAlign w:val="bottom"/>
            <w:shd w:val="clear" w:color="auto" w:fill="CCEEFF"/>
          </w:tcPr>
          <w:p>
            <w:pPr>
              <w:spacing w:after="0"/>
              <w:rPr>
                <w:sz w:val="17"/>
                <w:szCs w:val="17"/>
                <w:color w:val="auto"/>
              </w:rPr>
            </w:pPr>
          </w:p>
        </w:tc>
      </w:tr>
      <w:tr>
        <w:trPr>
          <w:trHeight w:val="19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704,777</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502,991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1,207,768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592,204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481,482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1,073,686</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(14,630)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(11,682)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(15,359)</w:t>
            </w: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(2,065)</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(2,497)</w:t>
            </w:r>
          </w:p>
        </w:tc>
      </w:tr>
      <w:tr>
        <w:trPr>
          <w:trHeight w:val="196"/>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$ 698,205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492,868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1,191,073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$ 586,030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469,800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0" w:name="page71"/>
    <w:bookmarkEnd w:id="70"/>
    <w:tbl>
      <w:tblPr>
        <w:tblLayout w:type="fixed"/>
        <w:tblInd w:w="4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4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October 31, 2021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October 31, 2020</w:t>
            </w:r>
          </w:p>
        </w:tc>
        <w:tc>
          <w:tcPr>
            <w:tcW w:w="20" w:type="dxa"/>
            <w:vAlign w:val="bottom"/>
          </w:tcPr>
          <w:p>
            <w:pPr>
              <w:spacing w:after="0"/>
              <w:rPr>
                <w:sz w:val="15"/>
                <w:szCs w:val="15"/>
                <w:color w:val="auto"/>
              </w:rPr>
            </w:pPr>
          </w:p>
        </w:tc>
      </w:tr>
      <w:tr>
        <w:trPr>
          <w:trHeight w:val="290"/>
        </w:trPr>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6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$ 536,969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536,969</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$ 521,542</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521,542</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53,922</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205,087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205,087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204,766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204,766</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7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102,291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113,460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113,460</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88,346</w:t>
            </w:r>
          </w:p>
        </w:tc>
        <w:tc>
          <w:tcPr>
            <w:tcW w:w="20" w:type="dxa"/>
            <w:vAlign w:val="bottom"/>
            <w:shd w:val="clear" w:color="auto" w:fill="CCEEFF"/>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Guacamole</w:t>
            </w:r>
          </w:p>
        </w:tc>
        <w:tc>
          <w:tcPr>
            <w:tcW w:w="7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75,409</w:t>
            </w:r>
          </w:p>
        </w:tc>
        <w:tc>
          <w:tcPr>
            <w:tcW w:w="20" w:type="dxa"/>
            <w:vAlign w:val="bottom"/>
          </w:tcPr>
          <w:p>
            <w:pPr>
              <w:spacing w:after="0"/>
              <w:rPr>
                <w:sz w:val="17"/>
                <w:szCs w:val="17"/>
                <w:color w:val="auto"/>
              </w:rPr>
            </w:pPr>
          </w:p>
        </w:tc>
      </w:tr>
      <w:tr>
        <w:trPr>
          <w:trHeight w:val="20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Salsa</w:t>
            </w:r>
          </w:p>
        </w:tc>
        <w:tc>
          <w:tcPr>
            <w:tcW w:w="7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20" w:type="dxa"/>
            <w:vAlign w:val="bottom"/>
            <w:shd w:val="clear" w:color="auto" w:fill="CCEEFF"/>
          </w:tcPr>
          <w:p>
            <w:pPr>
              <w:spacing w:after="0"/>
              <w:rPr>
                <w:sz w:val="17"/>
                <w:szCs w:val="17"/>
                <w:color w:val="auto"/>
              </w:rPr>
            </w:pPr>
          </w:p>
        </w:tc>
      </w:tr>
      <w:tr>
        <w:trPr>
          <w:trHeight w:val="19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592,204</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481,482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1,073,686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586,320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484,764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1,071,084</w:t>
            </w:r>
          </w:p>
        </w:tc>
        <w:tc>
          <w:tcPr>
            <w:tcW w:w="20" w:type="dxa"/>
            <w:vAlign w:val="bottom"/>
          </w:tcPr>
          <w:p>
            <w:pPr>
              <w:spacing w:after="0"/>
              <w:rPr>
                <w:sz w:val="17"/>
                <w:szCs w:val="17"/>
                <w:color w:val="auto"/>
              </w:rPr>
            </w:pPr>
          </w:p>
        </w:tc>
      </w:tr>
      <w:tr>
        <w:trPr>
          <w:trHeight w:val="20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(3,677)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(11,682)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(15,359)</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(8,794)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(10,062)</w:t>
            </w: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(2,497)</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(1,651)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(1,651)</w:t>
            </w:r>
          </w:p>
        </w:tc>
      </w:tr>
      <w:tr>
        <w:trPr>
          <w:trHeight w:val="196"/>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$ 586,030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469,800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$ 583,401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475,970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1,059,371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19" w:firstLine="243"/>
        <w:spacing w:after="0" w:line="282" w:lineRule="auto"/>
        <w:rPr>
          <w:sz w:val="20"/>
          <w:szCs w:val="20"/>
          <w:color w:val="auto"/>
        </w:rPr>
      </w:pPr>
      <w:r>
        <w:rPr>
          <w:rFonts w:ascii="Times New Roman" w:cs="Times New Roman" w:eastAsia="Times New Roman" w:hAnsi="Times New Roman"/>
          <w:sz w:val="18"/>
          <w:szCs w:val="18"/>
          <w:color w:val="auto"/>
        </w:rPr>
        <w:t>Sales to customers outside the U.S. were approximately $27.8 million, $34.8 million and $29.7 million for fiscal years 2022, 2021, and 2020.</w:t>
      </w:r>
    </w:p>
    <w:p>
      <w:pPr>
        <w:spacing w:after="0" w:line="162" w:lineRule="exact"/>
        <w:rPr>
          <w:sz w:val="20"/>
          <w:szCs w:val="20"/>
          <w:color w:val="auto"/>
        </w:rPr>
      </w:pPr>
    </w:p>
    <w:p>
      <w:pPr>
        <w:ind w:left="40" w:right="119" w:firstLine="243"/>
        <w:spacing w:after="0" w:line="266" w:lineRule="auto"/>
        <w:rPr>
          <w:sz w:val="20"/>
          <w:szCs w:val="20"/>
          <w:color w:val="auto"/>
        </w:rPr>
      </w:pPr>
      <w:r>
        <w:rPr>
          <w:rFonts w:ascii="Times New Roman" w:cs="Times New Roman" w:eastAsia="Times New Roman" w:hAnsi="Times New Roman"/>
          <w:sz w:val="18"/>
          <w:szCs w:val="18"/>
          <w:color w:val="auto"/>
        </w:rPr>
        <w:t>Prepared segment sales included sales to one customer who represented more than 10% of total consolidated revenues for fiscal 2022, 2021 and 2020. Additionally, the Grown products segment had sales to one customer that represented more than 10% of total consolidated revenues for fiscal 2021 and 2020.</w:t>
      </w:r>
    </w:p>
    <w:p>
      <w:pPr>
        <w:spacing w:after="0" w:line="176" w:lineRule="exact"/>
        <w:rPr>
          <w:sz w:val="20"/>
          <w:szCs w:val="20"/>
          <w:color w:val="auto"/>
        </w:rPr>
      </w:pPr>
    </w:p>
    <w:p>
      <w:pPr>
        <w:ind w:left="40" w:right="599" w:firstLine="243"/>
        <w:spacing w:after="0" w:line="282" w:lineRule="auto"/>
        <w:rPr>
          <w:sz w:val="20"/>
          <w:szCs w:val="20"/>
          <w:color w:val="auto"/>
        </w:rPr>
      </w:pPr>
      <w:r>
        <w:rPr>
          <w:rFonts w:ascii="Times New Roman" w:cs="Times New Roman" w:eastAsia="Times New Roman" w:hAnsi="Times New Roman"/>
          <w:sz w:val="18"/>
          <w:szCs w:val="18"/>
          <w:color w:val="auto"/>
        </w:rPr>
        <w:t>Our goodwill balance of $28.7 million is attributed by segment to Grown for $4.0 million and Prepared for $24.7 million as of October 31, 2022 and 2021.</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Long-lived assets attributed to geographic areas as of October 31,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80" w:type="dxa"/>
            <w:vAlign w:val="bottom"/>
          </w:tcPr>
          <w:p>
            <w:pPr>
              <w:spacing w:after="0"/>
              <w:rPr>
                <w:sz w:val="15"/>
                <w:szCs w:val="15"/>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2022</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113,310</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20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80" w:type="dxa"/>
            <w:vAlign w:val="bottom"/>
          </w:tcPr>
          <w:p>
            <w:pPr>
              <w:spacing w:after="0"/>
              <w:rPr>
                <w:sz w:val="20"/>
                <w:szCs w:val="20"/>
                <w:color w:val="auto"/>
              </w:rPr>
            </w:pPr>
          </w:p>
        </w:tc>
        <w:tc>
          <w:tcPr>
            <w:tcW w:w="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118,280</w:t>
            </w:r>
          </w:p>
        </w:tc>
      </w:tr>
      <w:tr>
        <w:trPr>
          <w:trHeight w:val="65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Long-Term Obligations</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Long-term obligations at fiscal year ends consist of the following (in thousands):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1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4"/>
                <w:szCs w:val="24"/>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(1,587)</w:t>
            </w: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17 for additional information.</w:t>
      </w:r>
    </w:p>
    <w:p>
      <w:pPr>
        <w:spacing w:after="0" w:line="23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w:t>
        <w:tab/>
        <w:t>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2011 Management Incentive Plan</w:t>
      </w:r>
    </w:p>
    <w:p>
      <w:pPr>
        <w:spacing w:after="0" w:line="229"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0" w:right="1440" w:bottom="1440" w:gutter="0" w:footer="0" w:header="0"/>
        </w:sectPr>
      </w:pPr>
    </w:p>
    <w:bookmarkStart w:id="71" w:name="page72"/>
    <w:bookmarkEnd w:id="71"/>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On November 2, 2020, 11 of our non-employee directors were each granted 1,500 restricted shares, as part of their annual compensation (total of 16,500 shares). In January of fiscal 2020 all 12 of our non-employee directors were granted 1,500 restricted shares each (total of 18,000 shares). These shares have full voting rights and participate in dividends as if unrestricted. The closing price of our stock was $67.97 and $87.21 for each respective year. After one year from the grant date, as long as the directors are still serving on the Board of Directors, these shares lose their restriction and become non-forfeitable and transferable. These shares were granted pursuant to our 2011 Plan. The total recognized stock-based compensation expense for these grants was $0.2 million and $1.1 million for the year ended October 31, 2022 and 2021.</w:t>
      </w:r>
    </w:p>
    <w:p>
      <w:pPr>
        <w:spacing w:after="0" w:line="18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On November 2, 2020, our executive officers were granted a total of 9,334 restricted shares. On December 18, 2019, our executive officers were granted a total of 31,158 restricted shares. These shares have full voting rights and participate in dividends as if unrestricted. The closing price of our stock on such dates was $67.97 and $87.63, respectively. The shares granted in fiscal year 2021, vest over two years, on an annual basis, beginning November 2, 2021. The shares granted in fiscal year 2020, vest in one-third increments, on an annual basis, beginning December 18, 2020. All shares were granted pursuant to our 2011 Plan. The total recognized stock-based compensation expense for these grants were $0.2 million and $1.0 million for the year ended October 31, 2022 and 2021.</w:t>
      </w:r>
    </w:p>
    <w:p>
      <w:pPr>
        <w:spacing w:after="0" w:line="189"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In April 2021, the Board of Directors approved the vesting of all of the remaining restricted shares outstanding to our former Chief Executive Officer and Board member. With this vesting, we recognized stock-based compensation of $0.7 million for the year ended October 31, 2021. We recorded amortization of $0.3 million for the year ended October 31, 2021, of previous stock grants before his retirement.</w:t>
      </w:r>
    </w:p>
    <w:p>
      <w:pPr>
        <w:spacing w:after="0" w:line="180" w:lineRule="exact"/>
        <w:rPr>
          <w:sz w:val="20"/>
          <w:szCs w:val="20"/>
          <w:color w:val="auto"/>
        </w:rPr>
      </w:pPr>
    </w:p>
    <w:p>
      <w:pPr>
        <w:jc w:val="both"/>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In June 2021, our former Chief Financial Officer, resigned from Calavo and 5,598 restricted shares were forfeited. We recorded amortization of $0.1 million for the year ended October 31, 2021, of previous stock grants before his resignation.</w:t>
      </w:r>
    </w:p>
    <w:p>
      <w:pPr>
        <w:spacing w:after="0" w:line="162"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In September 2021, the Board of Directors approved the vesting of all of the remaining restricted shares outstanding to our former Chief Executive Officer. With this vesting, we recognized stock-based compensation of $0.7 million for the year ended October 31, 2021.</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2020 Equity Incentive Plan</w:t>
      </w:r>
    </w:p>
    <w:p>
      <w:pPr>
        <w:spacing w:after="0" w:line="229"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In April 2021, our shareholders approved the Calavo Growers, Inc. 2020 Equity Incentive Plan (the 2020 Plan). All directors, officers, employees and consultants (including prospective directors, officers, employees and consultants) of Calavo and its subsidiaries are eligible to receive awards under the 2020 Plan. This is a five-year plan, with up to 1,500,000 shares issuable through December 9, 2025.</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On December 13, 2021, certain of our officers were granted a total of 5,355 restricted shares. These shares have full voting rights and participate in dividends as if unrestricted. The closing price of our stock on such date was $40.53. These shares vest over two years, on an annual basis, beginning December 13, 2022. These shares were granted pursuant to our 2020 Plan. The total recognized stock-based compensation expense for these grants was less than $0.1 million for the year ended October 31, 2022.</w:t>
      </w:r>
    </w:p>
    <w:p>
      <w:pPr>
        <w:spacing w:after="0" w:line="183"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January 3, 2022, all 10 of our current directors were granted 2,814 restricted shares each (for a total of 28,140 shares). These shares have full voting rights and participate in dividends as if unrestricted. The closing share price of our stock on such grant date was $42.64. As of January 3, 2023, these shares will vest and become unrestricted subject to the continued service of the director. The total recognized stock-based compensation expense for these grants was $1.0 million for the year ended October 31, 2022.</w:t>
      </w:r>
    </w:p>
    <w:p>
      <w:pPr>
        <w:spacing w:after="0" w:line="183" w:lineRule="exact"/>
        <w:rPr>
          <w:sz w:val="20"/>
          <w:szCs w:val="20"/>
          <w:color w:val="auto"/>
        </w:rPr>
      </w:pPr>
    </w:p>
    <w:p>
      <w:pPr>
        <w:ind w:left="40" w:right="439" w:firstLine="259"/>
        <w:spacing w:after="0" w:line="312" w:lineRule="auto"/>
        <w:rPr>
          <w:sz w:val="20"/>
          <w:szCs w:val="20"/>
          <w:color w:val="auto"/>
        </w:rPr>
      </w:pPr>
      <w:r>
        <w:rPr>
          <w:rFonts w:ascii="Times New Roman" w:cs="Times New Roman" w:eastAsia="Times New Roman" w:hAnsi="Times New Roman"/>
          <w:sz w:val="17"/>
          <w:szCs w:val="17"/>
          <w:color w:val="auto"/>
        </w:rPr>
        <w:t>On January 20, 2022, one of our current directors was granted 1,500 unrestricted shares as a component of her compensation for services rendered during the 2021 fiscal year. The closing share price of our stock on such grant date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2" w:name="page73"/>
    <w:bookmarkEnd w:id="72"/>
    <w:p>
      <w:pPr>
        <w:ind w:left="40" w:right="219"/>
        <w:spacing w:after="0" w:line="282" w:lineRule="auto"/>
        <w:rPr>
          <w:sz w:val="20"/>
          <w:szCs w:val="20"/>
          <w:color w:val="auto"/>
        </w:rPr>
      </w:pPr>
      <w:r>
        <w:rPr>
          <w:rFonts w:ascii="Times New Roman" w:cs="Times New Roman" w:eastAsia="Times New Roman" w:hAnsi="Times New Roman"/>
          <w:sz w:val="18"/>
          <w:szCs w:val="18"/>
          <w:color w:val="auto"/>
        </w:rPr>
        <w:t>was $41.73. The stock-based compensation expense for this grant was recognized in total upon grant and aggregated $0.1 million for the year ended October 31, 2022.</w:t>
      </w:r>
    </w:p>
    <w:p>
      <w:pPr>
        <w:spacing w:after="0" w:line="162"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On February 1, 2022, Brian Kocher, our new Chief Executive Officer, was granted 28,993 restricted shares as part of his employment agreement. The closing share price of our stock on such grant date was $41.39. These shares will vest over three years on an annual basis, beginning February 1, 2023. The total recognized stock-based compensation expense for this grant was $0.3 million for the year ended October 31, 2022.</w:t>
      </w:r>
    </w:p>
    <w:p>
      <w:pPr>
        <w:spacing w:after="0" w:line="180"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A summary of restricted stock activity, related to our 2011 Plan and 2020 Plan,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79" w:firstLine="324"/>
        <w:spacing w:after="0" w:line="282"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awards was $2.3 million and $4.0 million for the years ended October 31, 2022 and 2021.</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339" w:firstLine="259"/>
        <w:spacing w:after="0" w:line="276" w:lineRule="auto"/>
        <w:rPr>
          <w:sz w:val="20"/>
          <w:szCs w:val="20"/>
          <w:color w:val="auto"/>
        </w:rPr>
      </w:pPr>
      <w:r>
        <w:rPr>
          <w:rFonts w:ascii="Times New Roman" w:cs="Times New Roman" w:eastAsia="Times New Roman" w:hAnsi="Times New Roman"/>
          <w:sz w:val="17"/>
          <w:szCs w:val="17"/>
          <w:color w:val="auto"/>
        </w:rPr>
        <w:t>On April 1, 2022, we issued RSUs for officers and other members of management as part of our long-term incentive plan. The RSUs are time-based and vest annually in equal amounts over a three-year period. The PRSUs are based</w:t>
      </w:r>
    </w:p>
    <w:p>
      <w:pPr>
        <w:spacing w:after="0" w:line="1"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on three-year cumulative performance targets of net sales, adjusted EBITDA and return on invested capital and vest entirely at the third anniversary. We granted 34,269 RSUs and 34,269 PRSUs at a grant stock price of $37.49. With the departure of our former Chief Financial Officer, 4,014 shares each of RSUs and PRSUs were forfeited. Based on our current projections, we recognized approximately $0.6 million of stock-based compensation for the year ended October 31, 2022. As of October 31, 2022, there was $2.2 million of unrecognized stock-based compensation costs related to non-vested RSUs and PRSUs, which the Company expects to recognize over a weighted-average period of 2.0 years. The total fair value of the restricted stock units at October 31, 2022, is approximately $2.2 million.</w:t>
      </w:r>
    </w:p>
    <w:p>
      <w:pPr>
        <w:spacing w:after="0" w:line="18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2022, Shawn Munsell, our new Chief Financial Officer, and Danny Demas, our new SVP of Grown products were granted 9,002 RSUs and 3,533 RSUs, respectively, as part of their employment agreements. The closing share price of our stock on such grant dates were $38.88 and $42.46, respectively. These shares will vest over three years on an annual basis, with the first third vesting on June 20, 2023, and July 11, 2023, respectively. The total recognized stock-based compensation expense for this grant was $0.1 million for the year ended October 31, 2022.</w:t>
      </w:r>
    </w:p>
    <w:p>
      <w:pPr>
        <w:spacing w:after="0" w:line="183"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In the fourth quarter of fiscal 2022, Helen Kurtz, our new SVP of Prepared products, and our new VP of global supply chain was granted 6,778 RSUs and 2,341 RSU’s as part of their employment agreements. The closing share price of our stock on such grant date was $44.26 and $42.71, respectively. These shares will vest over three years on an annual basis, with the first third vesting on August 16, 2023 and August 29, 2023. The total recognized stock-based compensation expense for this grant was insignificant for the year ended October 31, 2022.</w:t>
      </w:r>
    </w:p>
    <w:p>
      <w:pPr>
        <w:spacing w:after="0" w:line="183" w:lineRule="exact"/>
        <w:rPr>
          <w:sz w:val="20"/>
          <w:szCs w:val="20"/>
          <w:color w:val="auto"/>
        </w:rPr>
      </w:pPr>
    </w:p>
    <w:p>
      <w:pPr>
        <w:ind w:left="40" w:right="239" w:firstLine="259"/>
        <w:spacing w:after="0" w:line="276" w:lineRule="auto"/>
        <w:rPr>
          <w:sz w:val="20"/>
          <w:szCs w:val="20"/>
          <w:color w:val="auto"/>
        </w:rPr>
      </w:pPr>
      <w:r>
        <w:rPr>
          <w:rFonts w:ascii="Times New Roman" w:cs="Times New Roman" w:eastAsia="Times New Roman" w:hAnsi="Times New Roman"/>
          <w:sz w:val="17"/>
          <w:szCs w:val="17"/>
          <w:color w:val="auto"/>
        </w:rPr>
        <w:t>In December 2022, we issued RSUs for officers and other members of management as part of our long-term incentive plan. The RSUs are time-based and vest annually in equal amounts over a three-year period. The PRSUs are based</w:t>
      </w:r>
    </w:p>
    <w:p>
      <w:pPr>
        <w:spacing w:after="0" w:line="1" w:lineRule="exact"/>
        <w:rPr>
          <w:sz w:val="20"/>
          <w:szCs w:val="20"/>
          <w:color w:val="auto"/>
        </w:rPr>
      </w:pPr>
    </w:p>
    <w:p>
      <w:pPr>
        <w:ind w:left="40" w:right="639"/>
        <w:spacing w:after="0" w:line="290" w:lineRule="auto"/>
        <w:rPr>
          <w:sz w:val="20"/>
          <w:szCs w:val="20"/>
          <w:color w:val="auto"/>
        </w:rPr>
      </w:pPr>
      <w:r>
        <w:rPr>
          <w:rFonts w:ascii="Times New Roman" w:cs="Times New Roman" w:eastAsia="Times New Roman" w:hAnsi="Times New Roman"/>
          <w:sz w:val="17"/>
          <w:szCs w:val="17"/>
          <w:color w:val="auto"/>
        </w:rPr>
        <w:t>on three-year cumulative performance targets of net sales, adjusted EBITDA and return on invested capital and vest entirely at the third anniversary. We granted 101,800 RSUs and 66,228 PRSUs at a grant stock price of $34.51.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3" w:name="page74"/>
    <w:bookmarkEnd w:id="73"/>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RSU and PRSU activity, related to our 2020 Plan, is as follows (in thousands, except for per share amounts):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0"/>
        </w:trPr>
        <w:tc>
          <w:tcPr>
            <w:tcW w:w="5400" w:type="dxa"/>
            <w:vAlign w:val="bottom"/>
          </w:tcPr>
          <w:p>
            <w:pPr>
              <w:spacing w:after="0"/>
              <w:rPr>
                <w:sz w:val="13"/>
                <w:szCs w:val="13"/>
                <w:color w:val="auto"/>
              </w:rPr>
            </w:pPr>
          </w:p>
        </w:tc>
        <w:tc>
          <w:tcPr>
            <w:tcW w:w="1120" w:type="dxa"/>
            <w:vAlign w:val="bottom"/>
          </w:tcPr>
          <w:p>
            <w:pPr>
              <w:jc w:val="right"/>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Grant Price</w:t>
            </w:r>
          </w:p>
        </w:tc>
        <w:tc>
          <w:tcPr>
            <w:tcW w:w="9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units was $0.8 million for the year ended October 31, 2022.</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September 2021, our Board of Directors approved the issuance of options to acquire a total of 5,000 shares of our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common stock to Steven Hollister, who for a period of time assumed the role of Interim Chief Executive Officer. Such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grant vests in equal increments over a two-year period and has an exercise price of $39.20 per share. Vested options have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 exercise period of five years from the vesting date. The market price of our common stock at the grant date was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$39.20. The estimated fair market value of such option grant was approximately $0.2 million. The total recognized stock-</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based compensation expense for this grant was insignificant for the year ended October 31, 2022.</w:t>
      </w:r>
    </w:p>
    <w:p>
      <w:pPr>
        <w:spacing w:after="0" w:line="207" w:lineRule="exact"/>
        <w:rPr>
          <w:sz w:val="20"/>
          <w:szCs w:val="20"/>
          <w:color w:val="auto"/>
        </w:rPr>
      </w:pPr>
    </w:p>
    <w:p>
      <w:pPr>
        <w:jc w:val="both"/>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The value of each option award is estimated using a lattice-based option valuation model. We primarily consider the following assumptions when using these models: (1) expected volatility, (2) expected dividends, (3) expected life and (4) risk-free interest rate. Such models also consider the intrinsic value in the estimation of fair value of the option award.</w:t>
      </w:r>
    </w:p>
    <w:p>
      <w:pPr>
        <w:spacing w:after="0" w:line="176" w:lineRule="exact"/>
        <w:rPr>
          <w:sz w:val="20"/>
          <w:szCs w:val="20"/>
          <w:color w:val="auto"/>
        </w:rPr>
      </w:pPr>
    </w:p>
    <w:p>
      <w:pPr>
        <w:ind w:left="40" w:right="719"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and 2020 Management Incentive Plan,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October 31, 2022</w:t>
            </w: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remaining life of such outstanding options is 1.5 years. The weighted average remaining life of such exercisable options is 2.4 years. The fair value of vested shares was insignificant for fiscal 2022 and $0.1 million for fiscal 2021.</w:t>
      </w:r>
    </w:p>
    <w:p>
      <w:pPr>
        <w:spacing w:after="0" w:line="212" w:lineRule="exact"/>
        <w:rPr>
          <w:sz w:val="20"/>
          <w:szCs w:val="20"/>
          <w:color w:val="auto"/>
        </w:rPr>
      </w:pPr>
    </w:p>
    <w:p>
      <w:pPr>
        <w:ind w:left="500" w:hanging="456"/>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In November 2022, we announced that we will begin declaring and paying dividends quarterly rather than annually as had been our practice. On December 14, 2022, we paid a dividend of $0.2875 per share, or an aggregate of $5.2 million to shareholders of record on November 16, 2022.</w:t>
      </w:r>
    </w:p>
    <w:p>
      <w:pPr>
        <w:spacing w:after="0" w:line="176"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On October 29, 2021, we declared a cash dividend of $1.15 per share. On December 3, 2021, we paid the aggregate amount of $20.3 million to shareholders of record on November 12, 2021.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4" w:name="page75"/>
    <w:bookmarkEnd w:id="74"/>
    <w:p>
      <w:pPr>
        <w:ind w:left="440" w:hanging="396"/>
        <w:spacing w:after="0"/>
        <w:tabs>
          <w:tab w:leader="none" w:pos="4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3" w:lineRule="exact"/>
        <w:rPr>
          <w:sz w:val="20"/>
          <w:szCs w:val="20"/>
          <w:color w:val="auto"/>
        </w:rPr>
      </w:pPr>
    </w:p>
    <w:p>
      <w:pPr>
        <w:jc w:val="both"/>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Company had no financial assets or liabilities measured at fair value on a recurring basis as of October 31, 2022. The following table sets forth our financial assets and liabilities as of October 31, 2021 that are measured on a recurring basis during the period, segregated by level within the fair value hierarchy:</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(All amounts are pres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 thousands)</w:t>
            </w:r>
          </w:p>
        </w:tc>
        <w:tc>
          <w:tcPr>
            <w:tcW w:w="180" w:type="dxa"/>
            <w:vAlign w:val="bottom"/>
          </w:tcPr>
          <w:p>
            <w:pPr>
              <w:spacing w:after="0"/>
              <w:rPr>
                <w:sz w:val="15"/>
                <w:szCs w:val="15"/>
                <w:color w:val="auto"/>
              </w:rPr>
            </w:pPr>
          </w:p>
        </w:tc>
      </w:tr>
      <w:tr>
        <w:trPr>
          <w:trHeight w:val="377"/>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October 31, 2021:</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3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27,055</w:t>
            </w:r>
          </w:p>
        </w:tc>
        <w:tc>
          <w:tcPr>
            <w:tcW w:w="180" w:type="dxa"/>
            <w:vAlign w:val="bottom"/>
            <w:shd w:val="clear" w:color="auto" w:fill="CCEEFF"/>
          </w:tcPr>
          <w:p>
            <w:pPr>
              <w:spacing w:after="0"/>
              <w:rPr>
                <w:sz w:val="18"/>
                <w:szCs w:val="18"/>
                <w:color w:val="auto"/>
              </w:rPr>
            </w:pPr>
          </w:p>
        </w:tc>
      </w:tr>
      <w:tr>
        <w:trPr>
          <w:trHeight w:val="209"/>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$ 27,055</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27,055</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63" w:lineRule="exact"/>
        <w:rPr>
          <w:sz w:val="20"/>
          <w:szCs w:val="20"/>
          <w:color w:val="auto"/>
        </w:rPr>
      </w:pPr>
    </w:p>
    <w:p>
      <w:pPr>
        <w:ind w:left="720" w:right="79" w:hanging="325"/>
        <w:spacing w:after="0" w:line="258"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Limoneira Company consists of marketable securities in the Limoneira Company stock. These securities were measured at fair value by quoted market prices. Limoneira’s stock price at October 31, 2021 equaled $16.13 per share (level 1). Our remaining shares of Limoneira stock, totaling 1,677,299, were revalued to $16.13 per share and $13.83 per share at October 31, 2021 and 2020 and, as a result, we recorded a gain of $3.9 million for the year ended October 31, 2021 in our consolidated statements of operations.</w:t>
      </w:r>
    </w:p>
    <w:p>
      <w:pPr>
        <w:spacing w:after="0" w:line="183" w:lineRule="exact"/>
        <w:rPr>
          <w:sz w:val="20"/>
          <w:szCs w:val="20"/>
          <w:color w:val="auto"/>
        </w:rPr>
      </w:pPr>
    </w:p>
    <w:p>
      <w:pPr>
        <w:ind w:left="40" w:right="419" w:firstLine="259"/>
        <w:spacing w:after="0" w:line="258" w:lineRule="auto"/>
        <w:rPr>
          <w:sz w:val="20"/>
          <w:szCs w:val="20"/>
          <w:color w:val="auto"/>
        </w:rPr>
      </w:pPr>
      <w:r>
        <w:rPr>
          <w:rFonts w:ascii="Times New Roman" w:cs="Times New Roman" w:eastAsia="Times New Roman" w:hAnsi="Times New Roman"/>
          <w:sz w:val="18"/>
          <w:szCs w:val="18"/>
          <w:color w:val="auto"/>
        </w:rPr>
        <w:t>On October 27, 2022, the Company sold 1,677,299 shares of Limoneira common stock for gross proceeds of approximately $18.5 million. The net proceeds thereof after payment of commissions and expenses was used by the Company to pay down borrowings on its credit facility with Bank of America, as administrative agent, and the other lenders thereto. Contemporaneously with such sale, Bank of America, as administrative agent, released its lien on such shares in accordance with terms of the Credit Facility and the related loan documents.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Mexican IVA taxes receivable</w:t>
      </w:r>
    </w:p>
    <w:p>
      <w:pPr>
        <w:spacing w:after="0" w:line="229" w:lineRule="exact"/>
        <w:rPr>
          <w:sz w:val="20"/>
          <w:szCs w:val="20"/>
          <w:color w:val="auto"/>
        </w:rPr>
      </w:pPr>
    </w:p>
    <w:p>
      <w:pPr>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6"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As of October 31, 2022, and October 31, 2021, CDM IVA receivables totaled $43.6 million (865.4 million Mexican pesos) and $37.5 million (762.1 million Mexican pesos). Historically, CDM received IVA refund payments from the Mexican tax authorities on a timely basis. Beginning in fiscal 2014 and continuing into fiscal 2021,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88" w:lineRule="exact"/>
        <w:rPr>
          <w:sz w:val="20"/>
          <w:szCs w:val="20"/>
          <w:color w:val="auto"/>
        </w:rPr>
      </w:pPr>
    </w:p>
    <w:p>
      <w:pPr>
        <w:ind w:left="40" w:right="279" w:firstLine="259"/>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75" w:name="page76"/>
    <w:bookmarkEnd w:id="75"/>
    <w:p>
      <w:pPr>
        <w:ind w:left="40" w:right="79"/>
        <w:spacing w:after="0" w:line="258" w:lineRule="auto"/>
        <w:rPr>
          <w:sz w:val="20"/>
          <w:szCs w:val="20"/>
          <w:color w:val="auto"/>
        </w:rPr>
      </w:pPr>
      <w:r>
        <w:rPr>
          <w:rFonts w:ascii="Times New Roman" w:cs="Times New Roman" w:eastAsia="Times New Roman" w:hAnsi="Times New Roman"/>
          <w:sz w:val="18"/>
          <w:szCs w:val="18"/>
          <w:color w:val="auto"/>
        </w:rPr>
        <w:t>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83"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119"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75" w:lineRule="exact"/>
        <w:rPr>
          <w:rFonts w:ascii="Times New Roman" w:cs="Times New Roman" w:eastAsia="Times New Roman" w:hAnsi="Times New Roman"/>
          <w:sz w:val="18"/>
          <w:szCs w:val="18"/>
          <w:color w:val="auto"/>
        </w:rPr>
      </w:pPr>
    </w:p>
    <w:p>
      <w:pPr>
        <w:ind w:left="980" w:right="299"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spacing w:after="0" w:line="161" w:lineRule="exact"/>
        <w:rPr>
          <w:rFonts w:ascii="Times New Roman" w:cs="Times New Roman" w:eastAsia="Times New Roman" w:hAnsi="Times New Roman"/>
          <w:sz w:val="18"/>
          <w:szCs w:val="18"/>
          <w:color w:val="auto"/>
        </w:rPr>
      </w:pPr>
    </w:p>
    <w:p>
      <w:pPr>
        <w:ind w:left="980" w:right="159"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76"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 court is still reviewing the appeal filed by the Company on May 9, 2022, against the ruling resolving that certain VAT amounts are not recoverable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latest court resolution sustains the Company’s position that it is entitled to substantially all of its VAT amounts, and the Company is considering its options for collecting the entire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pacing w:after="0" w:line="183"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FreshRealm Separation</w:t>
      </w:r>
    </w:p>
    <w:p>
      <w:pPr>
        <w:spacing w:after="0" w:line="256" w:lineRule="exact"/>
        <w:rPr>
          <w:sz w:val="20"/>
          <w:szCs w:val="20"/>
          <w:color w:val="auto"/>
        </w:rPr>
      </w:pPr>
    </w:p>
    <w:p>
      <w:pPr>
        <w:ind w:left="40" w:right="579" w:firstLine="259"/>
        <w:spacing w:after="0" w:line="282" w:lineRule="auto"/>
        <w:rPr>
          <w:sz w:val="20"/>
          <w:szCs w:val="20"/>
          <w:color w:val="auto"/>
        </w:rPr>
      </w:pPr>
      <w:r>
        <w:rPr>
          <w:rFonts w:ascii="Times New Roman" w:cs="Times New Roman" w:eastAsia="Times New Roman" w:hAnsi="Times New Roman"/>
          <w:sz w:val="18"/>
          <w:szCs w:val="18"/>
          <w:color w:val="auto"/>
        </w:rPr>
        <w:t>On February 3, 2021, Calavo and FreshRealm entered into a Limited Liability Company Member Separation and Release Agreement (the “Separation Agreement”) described below.</w:t>
      </w:r>
    </w:p>
    <w:p>
      <w:pPr>
        <w:spacing w:after="0" w:line="16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Calavo was previously a limited liability company member in FreshRealm and was a party to that certain FreshRealm, LLC Seventh Amended and Restated Limited Liability Company Agreement, dated as of February 27, 2019, by and among FreshRealm and its members. Calavo and FreshRealm were also parties to that certain Sixth Amended and Restated Senior Promissory Note, effective August 10, 2018, as amended (the “Prior Note”), pursuant to which Calavo loaned to FreshRealm principal plus accrued interest in the total sum of $34.5 million. We recorded a reserve of $34.5 million on this balance in the third quarter of fiscal 2020.</w:t>
      </w:r>
    </w:p>
    <w:p>
      <w:pPr>
        <w:spacing w:after="0" w:line="187" w:lineRule="exact"/>
        <w:rPr>
          <w:sz w:val="20"/>
          <w:szCs w:val="20"/>
          <w:color w:val="auto"/>
        </w:rPr>
      </w:pPr>
    </w:p>
    <w:p>
      <w:pPr>
        <w:ind w:left="40" w:right="119" w:firstLine="259"/>
        <w:spacing w:after="0" w:line="257" w:lineRule="auto"/>
        <w:rPr>
          <w:sz w:val="20"/>
          <w:szCs w:val="20"/>
          <w:color w:val="auto"/>
        </w:rPr>
      </w:pPr>
      <w:r>
        <w:rPr>
          <w:rFonts w:ascii="Times New Roman" w:cs="Times New Roman" w:eastAsia="Times New Roman" w:hAnsi="Times New Roman"/>
          <w:sz w:val="18"/>
          <w:szCs w:val="18"/>
          <w:color w:val="auto"/>
        </w:rPr>
        <w:t>Pursuant to the Separation Agreement, among other terms: (i) Calavo terminated its limited liability company interest and equity ownership in FreshRealm; (ii) Calavo and FreshRealm simultaneously entered into an Amended and Restated Senior Secured Loan Agreement and Promissory Note (the “Amended Note”), which amended and restated the Prior Note;</w:t>
      </w:r>
    </w:p>
    <w:p>
      <w:pPr>
        <w:spacing w:after="0" w:line="1" w:lineRule="exact"/>
        <w:rPr>
          <w:sz w:val="20"/>
          <w:szCs w:val="20"/>
          <w:color w:val="auto"/>
        </w:rPr>
      </w:pPr>
    </w:p>
    <w:p>
      <w:pPr>
        <w:ind w:left="4420" w:right="1159" w:hanging="4376"/>
        <w:spacing w:after="0" w:line="761" w:lineRule="auto"/>
        <w:tabs>
          <w:tab w:leader="none" w:pos="3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FreshRealm issued an additional Secured Promissory Note to Calavo in the amount of approximately $5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6" w:name="page77"/>
    <w:bookmarkEnd w:id="76"/>
    <w:p>
      <w:pPr>
        <w:ind w:left="40" w:right="79"/>
        <w:spacing w:after="0" w:line="261" w:lineRule="auto"/>
        <w:rPr>
          <w:sz w:val="20"/>
          <w:szCs w:val="20"/>
          <w:color w:val="auto"/>
        </w:rPr>
      </w:pPr>
      <w:r>
        <w:rPr>
          <w:rFonts w:ascii="Times New Roman" w:cs="Times New Roman" w:eastAsia="Times New Roman" w:hAnsi="Times New Roman"/>
          <w:sz w:val="18"/>
          <w:szCs w:val="18"/>
          <w:color w:val="auto"/>
        </w:rPr>
        <w:t>million that is subordinated to the Amended Note (the “Second Note”, together with the Amended Note, the “Notes”); (iv) in the event FreshRealm paid Calavo the sum of $6 million (the “Loan Payoff Amount”) by March 31, 2022 (the “Loan Payoff Period”), the Notes shall be deemed paid in full; (v) the parties agreed to a mutual release of any claims; and (vi) the parties agreed to indemnify each other from any subsequent third party claims.</w:t>
      </w:r>
    </w:p>
    <w:p>
      <w:pPr>
        <w:spacing w:after="0" w:line="180"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In July 2021, FreshRealm paid Calavo the Loan Payoff Amount of $6.0 million, and we recorded the receipt as a recovery of the reserve for collectability of the FreshRealm note receivable on the statement of operations. Therefore, the Notes mentioned above, have been deemed paid in full. If FreshRealm undergoes a sale of its business either through a merger or a majority sale of its assets or equity interests before February 3, 2022, FreshRealm must pay Calavo twenty percent (20%) of the purchase price proceeds from such sale of FreshRealm.</w:t>
      </w:r>
    </w:p>
    <w:p>
      <w:pPr>
        <w:spacing w:after="0" w:line="183"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If FreshRealm (i) undergoes a “Success Event” in the future, including: a merger, a majority sale of FreshRealm’s assets or equity ownership interests, a private placement (greater than $35 million), or an initial public offering where FreshRealm as a company is valued at $100 million or more, FreshRealm must pay to the Company additional compensation in accordance with the following:</w:t>
      </w:r>
    </w:p>
    <w:p>
      <w:pPr>
        <w:spacing w:after="0" w:line="180" w:lineRule="exact"/>
        <w:rPr>
          <w:sz w:val="20"/>
          <w:szCs w:val="20"/>
          <w:color w:val="auto"/>
        </w:rPr>
      </w:pPr>
    </w:p>
    <w:p>
      <w:pPr>
        <w:ind w:left="580" w:right="319" w:hanging="253"/>
        <w:spacing w:after="0" w:line="282"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FreshRealm must pay Calavo a $10 million payment upon the closing of a Success Event if the valuation of FreshRealm at the time of the Success Event is equal to or greater than $100 million, but less than $230 million;</w:t>
      </w:r>
    </w:p>
    <w:p>
      <w:pPr>
        <w:spacing w:after="0" w:line="161" w:lineRule="exact"/>
        <w:rPr>
          <w:rFonts w:ascii="Times New Roman" w:cs="Times New Roman" w:eastAsia="Times New Roman" w:hAnsi="Times New Roman"/>
          <w:sz w:val="18"/>
          <w:szCs w:val="18"/>
          <w:color w:val="auto"/>
        </w:rPr>
      </w:pPr>
    </w:p>
    <w:p>
      <w:pPr>
        <w:ind w:left="580" w:right="179" w:hanging="253"/>
        <w:spacing w:after="0" w:line="312" w:lineRule="auto"/>
        <w:tabs>
          <w:tab w:leader="none" w:pos="5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FreshRealm must pay Calavo a $20 million payment upon the closing of a Success Event if the valuation of FreshRealm at the time of the Success Event is equal to or greater than $230 million, but less than $380 million; or</w:t>
      </w:r>
    </w:p>
    <w:p>
      <w:pPr>
        <w:spacing w:after="0" w:line="139" w:lineRule="exact"/>
        <w:rPr>
          <w:rFonts w:ascii="Times New Roman" w:cs="Times New Roman" w:eastAsia="Times New Roman" w:hAnsi="Times New Roman"/>
          <w:sz w:val="17"/>
          <w:szCs w:val="17"/>
          <w:color w:val="auto"/>
        </w:rPr>
      </w:pPr>
    </w:p>
    <w:p>
      <w:pPr>
        <w:ind w:left="580" w:right="679" w:hanging="253"/>
        <w:spacing w:after="0" w:line="282"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FreshRealm must pay Calavo a $34 million payment upon the closing of a Success Event if the valuation of FreshRealm at the time of the Success Event is equal to or greater than $380 Million.</w:t>
      </w:r>
    </w:p>
    <w:p>
      <w:pPr>
        <w:spacing w:after="0" w:line="162"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No amounts have been recorded on the balance sheet as of October 31, 2022 and 2021, with respect to a sale or success event.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ind w:left="40" w:right="139" w:firstLine="225"/>
        <w:spacing w:after="0" w:line="274" w:lineRule="auto"/>
        <w:rPr>
          <w:sz w:val="20"/>
          <w:szCs w:val="20"/>
          <w:color w:val="auto"/>
        </w:rPr>
      </w:pPr>
      <w:r>
        <w:rPr>
          <w:rFonts w:ascii="Times New Roman" w:cs="Times New Roman" w:eastAsia="Times New Roman" w:hAnsi="Times New Roman"/>
          <w:sz w:val="17"/>
          <w:szCs w:val="17"/>
          <w:color w:val="auto"/>
        </w:rPr>
        <w:t>The impact of applying ASC 842 effective as of November 1, 2019, to the Company’s consolidated statements of operations and cash flows was not significant. The major impacts to the balance sheet at the effective date were 1) the addition of $65.7 million in operating lease assets and $69.6 million of operating lease liabilities, 2) the removal of approximately $3.7 million and $1.2 million of deferred rent and other long-term obligations, respectively, and 3) a cumulative-effect adjustment for the adoption of ASC 842 of $0.9 million was recorded to retained earnings, which relates to the gain previously recognized in accordance with ASC 840 on its sale and operating leaseback of the Temecula facility.</w:t>
      </w:r>
    </w:p>
    <w:p>
      <w:pPr>
        <w:spacing w:after="0" w:line="173" w:lineRule="exact"/>
        <w:rPr>
          <w:sz w:val="20"/>
          <w:szCs w:val="20"/>
          <w:color w:val="auto"/>
        </w:rPr>
      </w:pPr>
    </w:p>
    <w:p>
      <w:pPr>
        <w:ind w:left="40" w:right="279" w:firstLine="225"/>
        <w:spacing w:after="0" w:line="261" w:lineRule="auto"/>
        <w:rPr>
          <w:sz w:val="20"/>
          <w:szCs w:val="20"/>
          <w:color w:val="auto"/>
        </w:rPr>
      </w:pPr>
      <w:r>
        <w:rPr>
          <w:rFonts w:ascii="Times New Roman" w:cs="Times New Roman" w:eastAsia="Times New Roman" w:hAnsi="Times New Roman"/>
          <w:sz w:val="18"/>
          <w:szCs w:val="18"/>
          <w:color w:val="auto"/>
        </w:rPr>
        <w:t>ASC 842 made changes to sale-leaseback accounting to result in the recognition of the gain on the transaction at the time of the sale instead of recognizing over the leaseback period, when the transaction is deemed to be a sale instead of a financing arrangement. ASC 842 further changes the assessment of sale accounting from a transfer of risk and rewards assessment to a transfer of control assessment.</w:t>
      </w:r>
    </w:p>
    <w:p>
      <w:pPr>
        <w:spacing w:after="0" w:line="180" w:lineRule="exact"/>
        <w:rPr>
          <w:sz w:val="20"/>
          <w:szCs w:val="20"/>
          <w:color w:val="auto"/>
        </w:rPr>
      </w:pPr>
    </w:p>
    <w:p>
      <w:pPr>
        <w:jc w:val="both"/>
        <w:ind w:left="40" w:right="59" w:firstLine="220"/>
        <w:spacing w:after="0" w:line="256" w:lineRule="auto"/>
        <w:rPr>
          <w:sz w:val="20"/>
          <w:szCs w:val="20"/>
          <w:color w:val="auto"/>
        </w:rPr>
      </w:pPr>
      <w:r>
        <w:rPr>
          <w:rFonts w:ascii="Times New Roman" w:cs="Times New Roman" w:eastAsia="Times New Roman" w:hAnsi="Times New Roman"/>
          <w:sz w:val="18"/>
          <w:szCs w:val="18"/>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87" w:lineRule="exact"/>
        <w:rPr>
          <w:sz w:val="20"/>
          <w:szCs w:val="20"/>
          <w:color w:val="auto"/>
        </w:rPr>
      </w:pPr>
    </w:p>
    <w:p>
      <w:pPr>
        <w:ind w:left="40" w:right="199" w:firstLine="225"/>
        <w:spacing w:after="0" w:line="282" w:lineRule="auto"/>
        <w:rPr>
          <w:sz w:val="20"/>
          <w:szCs w:val="20"/>
          <w:color w:val="auto"/>
        </w:rPr>
      </w:pPr>
      <w:r>
        <w:rPr>
          <w:rFonts w:ascii="Times New Roman" w:cs="Times New Roman" w:eastAsia="Times New Roman" w:hAnsi="Times New Roman"/>
          <w:sz w:val="18"/>
          <w:szCs w:val="18"/>
          <w:color w:val="auto"/>
        </w:rPr>
        <w:t>We lease property and equipment under finance and operating leases. For leases with terms greater than 12 months, we record the related asset and obligation at the present value of lease payments over the term. Many of our leases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77" w:name="page78"/>
    <w:bookmarkEnd w:id="77"/>
    <w:p>
      <w:pPr>
        <w:ind w:left="40" w:right="419"/>
        <w:spacing w:after="0" w:line="282" w:lineRule="auto"/>
        <w:rPr>
          <w:sz w:val="20"/>
          <w:szCs w:val="20"/>
          <w:color w:val="auto"/>
        </w:rPr>
      </w:pPr>
      <w:r>
        <w:rPr>
          <w:rFonts w:ascii="Times New Roman" w:cs="Times New Roman" w:eastAsia="Times New Roman" w:hAnsi="Times New Roman"/>
          <w:sz w:val="18"/>
          <w:szCs w:val="18"/>
          <w:color w:val="auto"/>
        </w:rPr>
        <w:t>include rental escalation clauses, renewal options and/or termination options that are factored into our determination of lease payments when appropriate.</w:t>
      </w:r>
    </w:p>
    <w:p>
      <w:pPr>
        <w:spacing w:after="0" w:line="162" w:lineRule="exact"/>
        <w:rPr>
          <w:sz w:val="20"/>
          <w:szCs w:val="20"/>
          <w:color w:val="auto"/>
        </w:rPr>
      </w:pPr>
    </w:p>
    <w:p>
      <w:pPr>
        <w:ind w:left="40" w:right="319" w:firstLine="225"/>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We estimated our incremental borrowing rate based upon</w:t>
      </w:r>
    </w:p>
    <w:p>
      <w:pPr>
        <w:spacing w:after="0" w:line="3" w:lineRule="exact"/>
        <w:rPr>
          <w:sz w:val="20"/>
          <w:szCs w:val="20"/>
          <w:color w:val="auto"/>
        </w:rPr>
      </w:pPr>
    </w:p>
    <w:p>
      <w:pPr>
        <w:ind w:left="40" w:right="299"/>
        <w:spacing w:after="0" w:line="260" w:lineRule="auto"/>
        <w:rPr>
          <w:sz w:val="20"/>
          <w:szCs w:val="20"/>
          <w:color w:val="auto"/>
        </w:rPr>
      </w:pPr>
      <w:r>
        <w:rPr>
          <w:rFonts w:ascii="Times New Roman" w:cs="Times New Roman" w:eastAsia="Times New Roman" w:hAnsi="Times New Roman"/>
          <w:sz w:val="18"/>
          <w:szCs w:val="18"/>
          <w:color w:val="auto"/>
        </w:rPr>
        <w:t>a synthetic credit rating and yield curve analysis. As a result, the incremental borrowing rate is estimated to approximate the interest rate on a collateralized basis with similar terms and payments.</w:t>
      </w:r>
    </w:p>
    <w:p>
      <w:pPr>
        <w:spacing w:after="0" w:line="181" w:lineRule="exact"/>
        <w:rPr>
          <w:sz w:val="20"/>
          <w:szCs w:val="20"/>
          <w:color w:val="auto"/>
        </w:rPr>
      </w:pPr>
    </w:p>
    <w:p>
      <w:pPr>
        <w:ind w:left="40" w:right="59" w:firstLine="180"/>
        <w:spacing w:after="0" w:line="261" w:lineRule="auto"/>
        <w:rPr>
          <w:sz w:val="20"/>
          <w:szCs w:val="20"/>
          <w:color w:val="auto"/>
        </w:rPr>
      </w:pPr>
      <w:r>
        <w:rPr>
          <w:rFonts w:ascii="Times New Roman" w:cs="Times New Roman" w:eastAsia="Times New Roman" w:hAnsi="Times New Roman"/>
          <w:sz w:val="18"/>
          <w:szCs w:val="18"/>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Position</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balance sheet as of October 31, 2022 and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54,518</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assets</w:t>
            </w:r>
          </w:p>
        </w:tc>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60,239</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66,749</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gridSpan w:val="2"/>
            <w:vMerge w:val="continue"/>
          </w:tcPr>
          <w:p>
            <w:pPr>
              <w:spacing w:after="0"/>
              <w:rPr>
                <w:sz w:val="17"/>
                <w:szCs w:val="17"/>
                <w:color w:val="auto"/>
              </w:rPr>
            </w:pPr>
          </w:p>
        </w:tc>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5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w:t>
            </w:r>
          </w:p>
        </w:tc>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5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w:t>
            </w:r>
          </w:p>
        </w:tc>
        <w:tc>
          <w:tcPr>
            <w:tcW w:w="5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3000" w:type="dxa"/>
            <w:vAlign w:val="bottom"/>
          </w:tcPr>
          <w:p>
            <w:pPr>
              <w:spacing w:after="0"/>
              <w:rPr>
                <w:sz w:val="20"/>
                <w:szCs w:val="20"/>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0" w:type="dxa"/>
            <w:vAlign w:val="bottom"/>
          </w:tcPr>
          <w:p>
            <w:pPr>
              <w:spacing w:after="0"/>
              <w:rPr>
                <w:sz w:val="20"/>
                <w:szCs w:val="20"/>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9.3 years</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97"/>
              </w:rPr>
              <w:t>10.1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3000" w:type="dxa"/>
            <w:vAlign w:val="bottom"/>
          </w:tcPr>
          <w:p>
            <w:pPr>
              <w:spacing w:after="0"/>
              <w:rPr>
                <w:sz w:val="18"/>
                <w:szCs w:val="18"/>
                <w:color w:val="auto"/>
              </w:rPr>
            </w:pP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6.9 years</w:t>
            </w:r>
          </w:p>
        </w:tc>
        <w:tc>
          <w:tcPr>
            <w:tcW w:w="20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7.1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3"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29"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related to the lease costs for finance and operating leases for the year ended October 31, 2022 and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5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financing lease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on financing lease liabilities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9"/>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leases for the year ended October 31, 2022 and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paid for amounts included in the measurement of lease liabilities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The total right-of-use assets obtained in exchange for new operating leases for the year ended October 31, 2022 and 2021 was $1.0 million and $1.0 million.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Undiscounted Cash Flows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total remaining years to the finance lease liabilities and operating lease liabilities recorded on the balance sheet as of October 31, 2022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420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Closure of Prepared’s Florida facility</w:t>
      </w:r>
    </w:p>
    <w:p>
      <w:pPr>
        <w:spacing w:after="0" w:line="229" w:lineRule="exact"/>
        <w:rPr>
          <w:sz w:val="20"/>
          <w:szCs w:val="20"/>
          <w:color w:val="auto"/>
        </w:rPr>
      </w:pPr>
    </w:p>
    <w:p>
      <w:pPr>
        <w:ind w:left="40" w:right="159" w:firstLine="225"/>
        <w:spacing w:after="0" w:line="258" w:lineRule="auto"/>
        <w:rPr>
          <w:sz w:val="20"/>
          <w:szCs w:val="20"/>
          <w:color w:val="auto"/>
        </w:rPr>
      </w:pPr>
      <w:r>
        <w:rPr>
          <w:rFonts w:ascii="Times New Roman" w:cs="Times New Roman" w:eastAsia="Times New Roman" w:hAnsi="Times New Roman"/>
          <w:sz w:val="18"/>
          <w:szCs w:val="18"/>
          <w:color w:val="auto"/>
        </w:rPr>
        <w:t>On October 18, 2021, the Company announced the closure of Prepared’s food processing operations at its Green Cove Springs (near Jacksonville), Florida facility, as part of its Project Uno profit improvement program. As of November 15, 2021, the Green Cove facility for our Prepared segment has ceased operations. The Company’s Grown avocado operations at this facility will continue in operation and are not affected. We will continue to serve customers of this location from its other food processing locations, primarily in Georgia.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79" w:name="page80"/>
    <w:bookmarkEnd w:id="79"/>
    <w:p>
      <w:pPr>
        <w:ind w:left="40" w:right="139" w:firstLine="180"/>
        <w:spacing w:after="0" w:line="261" w:lineRule="auto"/>
        <w:rPr>
          <w:sz w:val="20"/>
          <w:szCs w:val="20"/>
          <w:color w:val="auto"/>
        </w:rPr>
      </w:pPr>
      <w:r>
        <w:rPr>
          <w:rFonts w:ascii="Times New Roman" w:cs="Times New Roman" w:eastAsia="Times New Roman" w:hAnsi="Times New Roman"/>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The impairment related to the Prepared Florida closure has been recorded on the face of the income statement under “Impairment and charges related to Prepared’s Florida facility closure”.</w:t>
      </w:r>
    </w:p>
    <w:p>
      <w:pPr>
        <w:spacing w:after="0" w:line="180" w:lineRule="exact"/>
        <w:rPr>
          <w:sz w:val="20"/>
          <w:szCs w:val="20"/>
          <w:color w:val="auto"/>
        </w:rPr>
      </w:pPr>
    </w:p>
    <w:p>
      <w:pPr>
        <w:ind w:left="40" w:right="99" w:firstLine="225"/>
        <w:spacing w:after="0" w:line="261" w:lineRule="auto"/>
        <w:rPr>
          <w:sz w:val="20"/>
          <w:szCs w:val="20"/>
          <w:color w:val="auto"/>
        </w:rPr>
      </w:pPr>
      <w:r>
        <w:rPr>
          <w:rFonts w:ascii="Times New Roman" w:cs="Times New Roman" w:eastAsia="Times New Roman" w:hAnsi="Times New Roman"/>
          <w:sz w:val="18"/>
          <w:szCs w:val="18"/>
          <w:color w:val="auto"/>
        </w:rPr>
        <w:t>As of October 31, 2021, the Company had leasehold improvements with a net book value of $8.8 million, right of use assets with a net book value of $4.8 million, and lease liabilities of $6.0 million recorded on the balance sheet, all related to the closed facility. The facility lease has a maturity date of October 31, 2031. The Company completed an undiscounted cash flow analysis of its long-lived assets and estimated the undiscounted cash flow was less than the carrying value.</w:t>
      </w:r>
    </w:p>
    <w:p>
      <w:pPr>
        <w:spacing w:after="0" w:line="180" w:lineRule="exact"/>
        <w:rPr>
          <w:sz w:val="20"/>
          <w:szCs w:val="20"/>
          <w:color w:val="auto"/>
        </w:rPr>
      </w:pPr>
    </w:p>
    <w:p>
      <w:pPr>
        <w:ind w:left="40" w:right="59" w:firstLine="180"/>
        <w:spacing w:after="0" w:line="253" w:lineRule="auto"/>
        <w:rPr>
          <w:sz w:val="20"/>
          <w:szCs w:val="20"/>
          <w:color w:val="auto"/>
        </w:rPr>
      </w:pPr>
      <w:r>
        <w:rPr>
          <w:rFonts w:ascii="Times New Roman" w:cs="Times New Roman" w:eastAsia="Times New Roman" w:hAnsi="Times New Roman"/>
          <w:sz w:val="18"/>
          <w:szCs w:val="18"/>
          <w:color w:val="auto"/>
        </w:rPr>
        <w:t>As of October 31, 2022 and October 31, 2021, the Company had right of use assets with a net book value of $4.0 million and $4.8 million respectively, and lease liabilities of $5.3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 rate, and for a lease period, sufficient to realize the right of use asset. However, a full impairment of the leasehold improvements was recorded during the year ended October 31, 2021, which represented the excess of the carrying value over the estimated fair value.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 An additional $0.3 million of property, plant and equipment was impaired during the year ended October 31,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Following is a summary of the impairment and other charges recorded during the year ended October 31, 2021.</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8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(recorded in cost of goods sold)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severance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69"/>
        </w:trPr>
        <w:tc>
          <w:tcPr>
            <w:tcW w:w="40" w:type="dxa"/>
            <w:vAlign w:val="bottom"/>
          </w:tcPr>
          <w:p>
            <w:pPr>
              <w:spacing w:after="0"/>
              <w:rPr>
                <w:sz w:val="14"/>
                <w:szCs w:val="14"/>
                <w:color w:val="auto"/>
              </w:rPr>
            </w:pPr>
          </w:p>
        </w:tc>
        <w:tc>
          <w:tcPr>
            <w:tcW w:w="7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$ 9,748</w:t>
            </w: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19. COVID-19 Pandemic Impact</w:t>
      </w:r>
    </w:p>
    <w:p>
      <w:pPr>
        <w:spacing w:after="0" w:line="229" w:lineRule="exact"/>
        <w:rPr>
          <w:sz w:val="20"/>
          <w:szCs w:val="20"/>
          <w:color w:val="auto"/>
        </w:rPr>
      </w:pPr>
    </w:p>
    <w:p>
      <w:pPr>
        <w:ind w:left="40" w:right="79" w:firstLine="180"/>
        <w:spacing w:after="0" w:line="261"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0" w:lineRule="exact"/>
        <w:rPr>
          <w:sz w:val="20"/>
          <w:szCs w:val="20"/>
          <w:color w:val="auto"/>
        </w:rPr>
      </w:pPr>
    </w:p>
    <w:p>
      <w:pPr>
        <w:ind w:left="40" w:right="59" w:firstLine="180"/>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well-positioned for the future as we continue to navigate the crisis and prepare for an eventual return to a more normal operating environment. We have successfully implemented contingency plans in the U.S. and in Mexico to monitor the evolving needs of our businesses in those countries, as well as those related to our Peru partner in consignment avocado sales.</w:t>
      </w:r>
    </w:p>
    <w:p>
      <w:pPr>
        <w:spacing w:after="0" w:line="189" w:lineRule="exact"/>
        <w:rPr>
          <w:sz w:val="20"/>
          <w:szCs w:val="20"/>
          <w:color w:val="auto"/>
        </w:rPr>
      </w:pPr>
    </w:p>
    <w:p>
      <w:pPr>
        <w:jc w:val="both"/>
        <w:ind w:left="40" w:right="79" w:firstLine="225"/>
        <w:spacing w:after="0" w:line="266" w:lineRule="auto"/>
        <w:rPr>
          <w:sz w:val="20"/>
          <w:szCs w:val="20"/>
          <w:color w:val="auto"/>
        </w:rPr>
      </w:pPr>
      <w:r>
        <w:rPr>
          <w:rFonts w:ascii="Times New Roman" w:cs="Times New Roman" w:eastAsia="Times New Roman" w:hAnsi="Times New Roman"/>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8"/>
          <w:szCs w:val="18"/>
          <w:b w:val="1"/>
          <w:bCs w:val="1"/>
          <w:color w:val="auto"/>
        </w:rPr>
        <w:t>20. Sale of Investment in Limoneira</w:t>
      </w:r>
    </w:p>
    <w:p>
      <w:pPr>
        <w:spacing w:after="0" w:line="229"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On October 27, 2022, we sold our entire investment of 1,677,299 shares of Limoneira common stock for gross proceeds of approximately $18.5 million. The net proceeds thereof after payment of commissions and expenses were used to pay down borrowings on our credit facility with Bank of America, as administrative agent, and the other lenders thereto. Contemporaneously with such sale, Bank of America, as administrative agent, released its lien on such shares in accordance with terms of the Credit Facility and the related loan documents. For the year ended October 31, 2022, 2021 and 2020, we recorded losses of $8.6 million, income of $3.9 million, and losses of $8.5 million in realized and unrealized net gain (loss) on Limoneira stock.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1" w:name="page82"/>
    <w:bookmarkEnd w:id="81"/>
    <w:p>
      <w:pPr>
        <w:ind w:left="3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ind w:left="360" w:right="9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Calavo Growers, Inc. and subsidiaries (the "Company") as of October 31, 2022 and 2021, the related consolidated statements of operations, shareholders' equity, and cash flows, for each of the three years in the period ended October 31, 2022, and the related notes (collectively referred to as the "financial statements"). In our opinion, the financial statements present fairly, in all material respects, the financial position of the Company as of October 31, 2022 and 2021, and the results of its operations and its cash flows for each of the three years in the period ended October 31, 2022, in conformity with accounting principles generally accepted in the United States of America.</w:t>
      </w:r>
    </w:p>
    <w:p>
      <w:pPr>
        <w:spacing w:after="0" w:line="189" w:lineRule="exact"/>
        <w:rPr>
          <w:sz w:val="20"/>
          <w:szCs w:val="20"/>
          <w:color w:val="auto"/>
        </w:rPr>
      </w:pPr>
    </w:p>
    <w:p>
      <w:pPr>
        <w:ind w:left="360" w:right="99"/>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December 20, 2022, expressed an unqualified opinion on the Company's internal control over financial reporting.</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left="360" w:right="5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3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left="360" w:right="23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Mexican IVA taxes receivable — Refer to Note 15 to the financial statements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60" w:right="479"/>
        <w:spacing w:after="0" w:line="312" w:lineRule="auto"/>
        <w:rPr>
          <w:sz w:val="20"/>
          <w:szCs w:val="20"/>
          <w:color w:val="auto"/>
        </w:rPr>
      </w:pPr>
      <w:r>
        <w:rPr>
          <w:rFonts w:ascii="Times New Roman" w:cs="Times New Roman" w:eastAsia="Times New Roman" w:hAnsi="Times New Roman"/>
          <w:sz w:val="17"/>
          <w:szCs w:val="17"/>
          <w:color w:val="auto"/>
        </w:rPr>
        <w:t>As of October 31, 2022, the Company’s subsidiary, Calavo de Mexico (“CDM”), has a value-added taxes (IVA) receivable of $43.6 million due from the Mexican government. Historically, CDM received IVA refund payments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4" w:right="1440" w:bottom="1440" w:gutter="0" w:footer="0" w:header="0"/>
        </w:sectPr>
      </w:pPr>
    </w:p>
    <w:bookmarkStart w:id="82" w:name="page83"/>
    <w:bookmarkEnd w:id="82"/>
    <w:p>
      <w:pPr>
        <w:ind w:left="360" w:right="159"/>
        <w:spacing w:after="0" w:line="258" w:lineRule="auto"/>
        <w:rPr>
          <w:sz w:val="20"/>
          <w:szCs w:val="20"/>
          <w:color w:val="auto"/>
        </w:rPr>
      </w:pPr>
      <w:r>
        <w:rPr>
          <w:rFonts w:ascii="Times New Roman" w:cs="Times New Roman" w:eastAsia="Times New Roman" w:hAnsi="Times New Roman"/>
          <w:sz w:val="18"/>
          <w:szCs w:val="18"/>
          <w:color w:val="auto"/>
        </w:rPr>
        <w:t>from the Mexican tax authorities on a timely basis. Beginning in fiscal 2014 and continuing into fiscal 2022, there have been delays in the processing of the IVA claims by the Mexican tax authorities. The 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75" w:lineRule="exact"/>
        <w:rPr>
          <w:sz w:val="20"/>
          <w:szCs w:val="20"/>
          <w:color w:val="auto"/>
        </w:rPr>
      </w:pPr>
    </w:p>
    <w:p>
      <w:pPr>
        <w:ind w:left="360" w:right="159"/>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60" w:right="55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related to the collectability of the IVA taxes receivable included the following, among others:</w:t>
      </w:r>
    </w:p>
    <w:p>
      <w:pPr>
        <w:spacing w:after="0" w:line="54" w:lineRule="exact"/>
        <w:rPr>
          <w:sz w:val="20"/>
          <w:szCs w:val="20"/>
          <w:color w:val="auto"/>
        </w:rPr>
      </w:pPr>
    </w:p>
    <w:p>
      <w:pPr>
        <w:ind w:left="1040" w:right="299" w:hanging="321"/>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recoverability of the Mexican IVA taxes receivable and the review of related disclosures.</w:t>
      </w:r>
    </w:p>
    <w:p>
      <w:pPr>
        <w:spacing w:after="0" w:line="53" w:lineRule="exact"/>
        <w:rPr>
          <w:rFonts w:ascii="Times New Roman" w:cs="Times New Roman" w:eastAsia="Times New Roman" w:hAnsi="Times New Roman"/>
          <w:sz w:val="18"/>
          <w:szCs w:val="18"/>
          <w:color w:val="auto"/>
        </w:rPr>
      </w:pPr>
    </w:p>
    <w:p>
      <w:pPr>
        <w:ind w:left="1040" w:right="119" w:hanging="321"/>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recoverability of the IVA receivable by evaluating the technical merits and the Company’s interpretation of international tax law, including substantiating that the Company’s declared tax structure is in compliance with Mexican tax regulations.</w:t>
      </w:r>
    </w:p>
    <w:p>
      <w:pPr>
        <w:spacing w:after="0" w:line="67" w:lineRule="exact"/>
        <w:rPr>
          <w:rFonts w:ascii="Times New Roman" w:cs="Times New Roman" w:eastAsia="Times New Roman" w:hAnsi="Times New Roman"/>
          <w:sz w:val="18"/>
          <w:szCs w:val="18"/>
          <w:color w:val="auto"/>
        </w:rPr>
      </w:pPr>
    </w:p>
    <w:p>
      <w:pPr>
        <w:ind w:left="1040" w:right="159" w:hanging="321"/>
        <w:spacing w:after="0" w:line="312" w:lineRule="auto"/>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legal letters from the Company’s tax advisors related to the collectability of the IVA receivable, and evaluated case rulings supporting the recoverability of IVA taxes paid to non-compliant vendors.</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 Related to Mexico tax audits — Refer to Note 7 to the financial statements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60" w:right="79"/>
        <w:spacing w:after="0" w:line="253" w:lineRule="auto"/>
        <w:rPr>
          <w:sz w:val="20"/>
          <w:szCs w:val="20"/>
          <w:color w:val="auto"/>
        </w:rPr>
      </w:pPr>
      <w:r>
        <w:rPr>
          <w:rFonts w:ascii="Times New Roman" w:cs="Times New Roman" w:eastAsia="Times New Roman" w:hAnsi="Times New Roman"/>
          <w:sz w:val="18"/>
          <w:szCs w:val="18"/>
          <w:color w:val="auto"/>
        </w:rPr>
        <w:t>The Company is under audit by the Mexican tax authorities relating to the Company’s 2013 fiscal year. The Mexican tax authorities have assessed the Company with an underpayment of tax amounts alleging improper deductions for intercompany funding, deductions for services from certain vendors/suppliers and IVA in the Company’s calculation of taxable income. The assessment, including the effect of inflation and penalties, amounted to $3.08 billion Mexican pesos (approximately $151.5 million) as of October 31, 2022. The Company has filed an administrative reconsideration, injunction suit and an annulment suit to dismiss the assessment made by the Mexican tax authorities. While the Company believes the assessment is completely without merit, and that the Company will prevail on the annulment suit in tax court, the Company believes it is in the best interest to settle the 2013 tax matter. Therefore, in accordance with a cumulative probability analysis, the Company concluded that a provision of $11 million remains appropriate as of October 31, 2022.</w:t>
      </w:r>
    </w:p>
    <w:p>
      <w:pPr>
        <w:spacing w:after="0" w:line="86" w:lineRule="exact"/>
        <w:rPr>
          <w:sz w:val="20"/>
          <w:szCs w:val="20"/>
          <w:color w:val="auto"/>
        </w:rPr>
      </w:pPr>
    </w:p>
    <w:p>
      <w:pPr>
        <w:ind w:left="360" w:right="259"/>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in determining its analysis and accounting for the Company’s uncertain tax position for the 2013 tax matter,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whether it is more likely than not that the Company’s tax positions challenged by the Mexican tax authorities will be realized included the following, among others:</w:t>
      </w:r>
    </w:p>
    <w:p>
      <w:pPr>
        <w:spacing w:after="0" w:line="54" w:lineRule="exact"/>
        <w:rPr>
          <w:sz w:val="20"/>
          <w:szCs w:val="20"/>
          <w:color w:val="auto"/>
        </w:rPr>
      </w:pPr>
    </w:p>
    <w:p>
      <w:pPr>
        <w:ind w:left="1040" w:right="359" w:hanging="321"/>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evaluation of uncertain tax positions as it relates to the periods subject to the Mexico tax audit and the review of related disclosures.</w:t>
      </w:r>
    </w:p>
    <w:p>
      <w:pPr>
        <w:spacing w:after="0" w:line="53" w:lineRule="exact"/>
        <w:rPr>
          <w:rFonts w:ascii="Times New Roman" w:cs="Times New Roman" w:eastAsia="Times New Roman" w:hAnsi="Times New Roman"/>
          <w:sz w:val="18"/>
          <w:szCs w:val="18"/>
          <w:color w:val="auto"/>
        </w:rPr>
      </w:pPr>
    </w:p>
    <w:p>
      <w:pPr>
        <w:ind w:left="1040" w:right="439" w:hanging="321"/>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Company’s interpretation of international taw laws and whether the declared tax structure is in compliance with Mexican tax regulations.</w:t>
      </w:r>
    </w:p>
    <w:p>
      <w:pPr>
        <w:spacing w:after="0" w:line="53"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legal letters from the Company’s tax advisors related to understanding the advisors current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3" w:name="page84"/>
    <w:bookmarkEnd w:id="83"/>
    <w:p>
      <w:pPr>
        <w:ind w:left="1040"/>
        <w:spacing w:after="0"/>
        <w:rPr>
          <w:sz w:val="20"/>
          <w:szCs w:val="20"/>
          <w:color w:val="auto"/>
        </w:rPr>
      </w:pPr>
      <w:r>
        <w:rPr>
          <w:rFonts w:ascii="Times New Roman" w:cs="Times New Roman" w:eastAsia="Times New Roman" w:hAnsi="Times New Roman"/>
          <w:sz w:val="18"/>
          <w:szCs w:val="18"/>
          <w:color w:val="auto"/>
        </w:rPr>
        <w:t>assessment of the tax audit and assessed the technical merits of tax positions taken by the Company.</w:t>
      </w:r>
    </w:p>
    <w:p>
      <w:pPr>
        <w:spacing w:after="0" w:line="117" w:lineRule="exact"/>
        <w:rPr>
          <w:sz w:val="20"/>
          <w:szCs w:val="20"/>
          <w:color w:val="auto"/>
        </w:rPr>
      </w:pPr>
    </w:p>
    <w:p>
      <w:pPr>
        <w:ind w:left="1040" w:right="559" w:hanging="321"/>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method, judgment, and assumptions used by the Company in determining the provision recognized to settle the uncertain tax position using a cumulative probability analysis.</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20, 2022</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2022.</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2022 that have materially affected, or are reasonably likely to materially affect, our internal control over financial reporting.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w:t>
      </w:r>
    </w:p>
    <w:p>
      <w:pPr>
        <w:spacing w:after="0" w:line="185"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 xml:space="preserve">Based on our evaluation under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October 31, 2022. Our internal control over financial reporting as of October 31, 2022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Calavo Growers, Inc. and subsidiaries (the “Company”) as of October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14"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2022, of the Company and our report dated December 20, 2022, expressed an unqualified opinion on those financial statements.</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70"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left="40" w:right="11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20, 2022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7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Kocher</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4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Graciela Montgomery</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4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Danny Dumas</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4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of Calavo Grown</w:t>
            </w: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Kurtz</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of Calavo Prepared</w:t>
            </w:r>
          </w:p>
        </w:tc>
      </w:tr>
    </w:tbl>
    <w:p>
      <w:pPr>
        <w:spacing w:after="0" w:line="196"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Brian Kocher </w:t>
      </w:r>
      <w:r>
        <w:rPr>
          <w:rFonts w:ascii="Times New Roman" w:cs="Times New Roman" w:eastAsia="Times New Roman" w:hAnsi="Times New Roman"/>
          <w:sz w:val="18"/>
          <w:szCs w:val="18"/>
          <w:color w:val="auto"/>
        </w:rPr>
        <w:t>has served as our Chief Executive Officer since February 2022. Prior to his appointment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 </w:t>
      </w:r>
      <w:r>
        <w:rPr>
          <w:rFonts w:ascii="Times New Roman" w:cs="Times New Roman" w:eastAsia="Times New Roman" w:hAnsi="Times New Roman"/>
          <w:sz w:val="18"/>
          <w:szCs w:val="18"/>
          <w:color w:val="212529"/>
        </w:rPr>
        <w:t>Mr.</w:t>
      </w:r>
      <w:r>
        <w:rPr>
          <w:rFonts w:ascii="Times New Roman" w:cs="Times New Roman" w:eastAsia="Times New Roman" w:hAnsi="Times New Roman"/>
          <w:sz w:val="18"/>
          <w:szCs w:val="18"/>
          <w:color w:val="auto"/>
        </w:rPr>
        <w:t xml:space="preserve"> Kocher served as President and Chief Executive Officer of the Castellini Group of Companies, one of the largest distributors of fresh produce in the United States. Prior to his promotion to CEO, Mr. Kocher served as Castellini’s Chief Operating Officer. Before his time at Castellini, Mr. Kocher held several executive roles, including Interim CEO at Chiquita Brands International, a leading producer and distributor of bananas and other produce.</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Shawn Munsell </w:t>
      </w:r>
      <w:r>
        <w:rPr>
          <w:rFonts w:ascii="Times New Roman" w:cs="Times New Roman" w:eastAsia="Times New Roman" w:hAnsi="Times New Roman"/>
          <w:sz w:val="18"/>
          <w:szCs w:val="18"/>
          <w:color w:val="auto"/>
        </w:rPr>
        <w:t>has served as our Chief Financial Officer since June 2022. Prior to his appointment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Munsell led the finance and accounting functions for Tyson Foods’ (NYSE: TSN) chicken segment, from 2018 to 2022, as Senior Vice President of Finance and Accounting. From 2015 to 2018, he served as Tyson’s Treasurer. Prior to Tyson, Mr. Munsell was with CF Industries, serving in a variety of roles with progressive responsibility for the nitrogen products manufacturer.</w:t>
      </w:r>
    </w:p>
    <w:p>
      <w:pPr>
        <w:spacing w:after="0" w:line="183"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Graciela Montgomery </w:t>
      </w:r>
      <w:r>
        <w:rPr>
          <w:rFonts w:ascii="Times New Roman" w:cs="Times New Roman" w:eastAsia="Times New Roman" w:hAnsi="Times New Roman"/>
          <w:sz w:val="18"/>
          <w:szCs w:val="18"/>
          <w:color w:val="auto"/>
        </w:rPr>
        <w:t>has served as our Chief Human Resources Officer since October 2021. P</w:t>
      </w:r>
      <w:r>
        <w:rPr>
          <w:rFonts w:ascii="Times New Roman" w:cs="Times New Roman" w:eastAsia="Times New Roman" w:hAnsi="Times New Roman"/>
          <w:sz w:val="18"/>
          <w:szCs w:val="18"/>
          <w:color w:val="1D2228"/>
        </w:rPr>
        <w:t>rior to joining Calavo,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1D2228"/>
        </w:rPr>
        <w:t>Ms. Montgomery led a consultancy specializing in the areas of leadership, organizational design, cultural transformation and change management. Prior to that role, she held senior human resources positions with National Public Radio, Deckers Brands, AECOM, Nortel Networks and Citibank, where she led initiatives in human resources development, recruiting, performance management and total rewards.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Danny Dumas </w:t>
      </w:r>
      <w:r>
        <w:rPr>
          <w:rFonts w:ascii="Times New Roman" w:cs="Times New Roman" w:eastAsia="Times New Roman" w:hAnsi="Times New Roman"/>
          <w:sz w:val="18"/>
          <w:szCs w:val="18"/>
          <w:color w:val="auto"/>
        </w:rPr>
        <w:t>has served as our Senior Vice President and General Manager of Calavo Grown since July 2022.</w:t>
      </w:r>
    </w:p>
    <w:p>
      <w:pPr>
        <w:spacing w:after="0" w:line="29"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Mr. Dumas has more than 30 years of experience, primarily with Del Monte Fresh Produce and, most recently, serving as president of Courchesne Larose USA. At Del Monte, Mr. Dumas’ roles included Senior Vice President North American Sales, Marketing &amp; Product Management; Vice President Sales – Canada; and Vice President Operations Fresh (Europe &amp; Africa).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7" w:name="page88"/>
    <w:bookmarkEnd w:id="87"/>
    <w:p>
      <w:pPr>
        <w:ind w:left="40" w:right="119" w:firstLine="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Helen Kurtz </w:t>
      </w:r>
      <w:r>
        <w:rPr>
          <w:rFonts w:ascii="Times New Roman" w:cs="Times New Roman" w:eastAsia="Times New Roman" w:hAnsi="Times New Roman"/>
          <w:sz w:val="18"/>
          <w:szCs w:val="18"/>
          <w:color w:val="auto"/>
        </w:rPr>
        <w:t>has served as our Senior Vice President and General Manager of Calavo Prepared since August 2022.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Kurtz has more than 25 years of experience, primarily with General Mills Inc. and, most recently, serving as SVP, Chief Marketing Officer of Foster Farms. There, she led the poultry business and orchestrated its sale to private equity. At General Mills, Ms. Kurtz led a number of brands, including Betty Crocker, Chex Mix and Fruit Snacks and served as Vice President of Yoplait.</w:t>
      </w:r>
    </w:p>
    <w:p>
      <w:pPr>
        <w:spacing w:after="0" w:line="185" w:lineRule="exact"/>
        <w:rPr>
          <w:sz w:val="20"/>
          <w:szCs w:val="20"/>
          <w:color w:val="auto"/>
        </w:rPr>
      </w:pPr>
    </w:p>
    <w:p>
      <w:pPr>
        <w:ind w:left="40" w:right="59" w:firstLine="259"/>
        <w:spacing w:after="0" w:line="257" w:lineRule="auto"/>
        <w:rPr>
          <w:sz w:val="20"/>
          <w:szCs w:val="20"/>
          <w:color w:val="auto"/>
        </w:rPr>
      </w:pPr>
      <w:r>
        <w:rPr>
          <w:rFonts w:ascii="Times New Roman" w:cs="Times New Roman" w:eastAsia="Times New Roman" w:hAnsi="Times New Roman"/>
          <w:sz w:val="18"/>
          <w:szCs w:val="18"/>
          <w:color w:val="auto"/>
        </w:rPr>
        <w:t>The following information is included in our Notice of Annual Meeting of Shareholders and Proxy Statement to be filed within 120 days after our fiscal year end of October 31, 2021 (the Proxy Statement) and is incorporated herein by reference:</w:t>
      </w:r>
    </w:p>
    <w:p>
      <w:pPr>
        <w:spacing w:after="0" w:line="1" w:lineRule="exact"/>
        <w:rPr>
          <w:sz w:val="20"/>
          <w:szCs w:val="20"/>
          <w:color w:val="auto"/>
        </w:rPr>
      </w:pPr>
    </w:p>
    <w:p>
      <w:pPr>
        <w:ind w:left="1360" w:right="619" w:hanging="317"/>
        <w:spacing w:after="0" w:line="250" w:lineRule="auto"/>
        <w:tabs>
          <w:tab w:leader="none" w:pos="1360" w:val="left"/>
        </w:tabs>
        <w:numPr>
          <w:ilvl w:val="0"/>
          <w:numId w:val="4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directors who are standing for reelection and any persons nominated to become our directors is set forth under "Election of Directors."</w:t>
      </w:r>
    </w:p>
    <w:p>
      <w:pPr>
        <w:jc w:val="both"/>
        <w:ind w:left="1360" w:right="419" w:hanging="317"/>
        <w:spacing w:after="0" w:line="250" w:lineRule="auto"/>
        <w:tabs>
          <w:tab w:leader="none" w:pos="1360" w:val="left"/>
        </w:tabs>
        <w:numPr>
          <w:ilvl w:val="0"/>
          <w:numId w:val="4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our Audit Committee and designated "audit committee financial expert" is set forth under "Corporate Governance Principles and Board Matters—Board Structure and Committee Composition—Audit Committee."</w:t>
      </w:r>
    </w:p>
    <w:p>
      <w:pPr>
        <w:spacing w:after="0" w:line="1" w:lineRule="exact"/>
        <w:rPr>
          <w:rFonts w:ascii="Wingdings" w:cs="Wingdings" w:eastAsia="Wingdings" w:hAnsi="Wingdings"/>
          <w:sz w:val="18"/>
          <w:szCs w:val="18"/>
          <w:b w:val="1"/>
          <w:bCs w:val="1"/>
          <w:color w:val="auto"/>
        </w:rPr>
      </w:pPr>
    </w:p>
    <w:p>
      <w:pPr>
        <w:ind w:left="1360" w:right="659" w:hanging="317"/>
        <w:spacing w:after="0" w:line="260" w:lineRule="auto"/>
        <w:tabs>
          <w:tab w:leader="none" w:pos="1360" w:val="left"/>
        </w:tabs>
        <w:numPr>
          <w:ilvl w:val="0"/>
          <w:numId w:val="4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Information regarding Section 16(a) beneficial ownership reporting compliance is set forth under "Section 16(a) Beneficial Ownership Reporting Compliance."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93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“Executive Compensation” and “Directors’ Compensation” in the Proxy Statement.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the Proxy Statement.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Accountant’s Fees and Services</w:t>
      </w:r>
    </w:p>
    <w:p>
      <w:pPr>
        <w:spacing w:after="0" w:line="229" w:lineRule="exact"/>
        <w:rPr>
          <w:sz w:val="20"/>
          <w:szCs w:val="20"/>
          <w:color w:val="auto"/>
        </w:rPr>
      </w:pPr>
    </w:p>
    <w:p>
      <w:pPr>
        <w:ind w:left="40" w:right="459" w:firstLine="25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of the Proxy Statement entitled “Principal Accountant Fees and Services.”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300" w:hanging="256"/>
        <w:spacing w:after="0"/>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580" w:right="159"/>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as of October 31, 2022 and 2021 and for each of the three years in the period ended October 31, 2022 are included herewith:</w:t>
      </w:r>
    </w:p>
    <w:p>
      <w:pPr>
        <w:spacing w:after="0" w:line="162" w:lineRule="exact"/>
        <w:rPr>
          <w:sz w:val="20"/>
          <w:szCs w:val="20"/>
          <w:color w:val="auto"/>
        </w:rPr>
      </w:pPr>
    </w:p>
    <w:p>
      <w:pPr>
        <w:ind w:left="580" w:right="439"/>
        <w:spacing w:after="0" w:line="266" w:lineRule="auto"/>
        <w:rPr>
          <w:sz w:val="20"/>
          <w:szCs w:val="20"/>
          <w:color w:val="auto"/>
        </w:rPr>
      </w:pPr>
      <w:r>
        <w:rPr>
          <w:rFonts w:ascii="Times New Roman" w:cs="Times New Roman" w:eastAsia="Times New Roman" w:hAnsi="Times New Roman"/>
          <w:sz w:val="18"/>
          <w:szCs w:val="18"/>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 (PCAOB ID No. 34).</w:t>
      </w:r>
    </w:p>
    <w:p>
      <w:pPr>
        <w:spacing w:after="0" w:line="172" w:lineRule="exact"/>
        <w:rPr>
          <w:sz w:val="20"/>
          <w:szCs w:val="20"/>
          <w:color w:val="auto"/>
        </w:rPr>
      </w:pPr>
    </w:p>
    <w:p>
      <w:pPr>
        <w:ind w:left="580" w:hanging="280"/>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the “Exhibit Index” on pages 89 - 92 of this report.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subsection (a) (3) above.</w:t>
      </w:r>
    </w:p>
    <w:p>
      <w:pPr>
        <w:spacing w:after="0" w:line="221" w:lineRule="exact"/>
        <w:rPr>
          <w:sz w:val="20"/>
          <w:szCs w:val="20"/>
          <w:color w:val="auto"/>
        </w:rPr>
      </w:pPr>
    </w:p>
    <w:p>
      <w:pPr>
        <w:ind w:left="320" w:hanging="276"/>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subsection (a) (1) and (2) above.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89" w:name="page90"/>
    <w:bookmarkEnd w:id="89"/>
    <w:tbl>
      <w:tblPr>
        <w:tblLayout w:type="fixed"/>
        <w:tblInd w:w="4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gridSpan w:val="56"/>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gridSpan w:val="5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7840" w:type="dxa"/>
            <w:vAlign w:val="bottom"/>
            <w:tcBorders>
              <w:bottom w:val="single" w:sz="8" w:color="auto"/>
            </w:tcBorders>
            <w:gridSpan w:val="66"/>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800" w:type="dxa"/>
            <w:vAlign w:val="bottom"/>
            <w:tcBorders>
              <w:bottom w:val="single" w:sz="8" w:color="0000EE"/>
            </w:tcBorders>
            <w:gridSpan w:val="65"/>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Agreement and Plan of Merger and Reorganization dated as of February 20, 2001 between Calavo Growers,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80" w:type="dxa"/>
            <w:vAlign w:val="bottom"/>
            <w:gridSpan w:val="2"/>
          </w:tcPr>
          <w:p>
            <w:pPr>
              <w:spacing w:after="0"/>
              <w:rPr>
                <w:sz w:val="12"/>
                <w:szCs w:val="12"/>
                <w:color w:val="auto"/>
              </w:rPr>
            </w:pPr>
          </w:p>
        </w:tc>
        <w:tc>
          <w:tcPr>
            <w:tcW w:w="2800" w:type="dxa"/>
            <w:vAlign w:val="bottom"/>
            <w:gridSpan w:val="9"/>
            <w:vMerge w:val="restart"/>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Inc. and Calavo Growers of California.</w:t>
              </w:r>
            </w:hyperlink>
          </w:p>
        </w:tc>
        <w:tc>
          <w:tcPr>
            <w:tcW w:w="80" w:type="dxa"/>
            <w:vAlign w:val="bottom"/>
            <w:tcBorders>
              <w:bottom w:val="single" w:sz="8" w:color="0000EE"/>
            </w:tcBorders>
            <w:gridSpan w:val="2"/>
          </w:tcPr>
          <w:p>
            <w:pPr>
              <w:spacing w:after="0" w:line="129" w:lineRule="exact"/>
              <w:rPr>
                <w:rFonts w:ascii="Times New Roman" w:cs="Times New Roman" w:eastAsia="Times New Roman" w:hAnsi="Times New Roman"/>
                <w:sz w:val="13"/>
                <w:szCs w:val="13"/>
                <w:color w:val="0000EE"/>
                <w:w w:val="91"/>
              </w:rPr>
            </w:pPr>
            <w:hyperlink r:id="rId95">
              <w:r>
                <w:rPr>
                  <w:rFonts w:ascii="Times New Roman" w:cs="Times New Roman" w:eastAsia="Times New Roman" w:hAnsi="Times New Roman"/>
                  <w:sz w:val="13"/>
                  <w:szCs w:val="13"/>
                  <w:color w:val="0000EE"/>
                  <w:w w:val="91"/>
                </w:rPr>
                <w:t>1</w:t>
              </w:r>
            </w:hyperlink>
          </w:p>
        </w:tc>
        <w:tc>
          <w:tcPr>
            <w:tcW w:w="5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tcPr>
          <w:p>
            <w:pPr>
              <w:spacing w:after="0"/>
              <w:rPr>
                <w:sz w:val="2"/>
                <w:szCs w:val="2"/>
                <w:color w:val="auto"/>
              </w:rPr>
            </w:pPr>
          </w:p>
        </w:tc>
        <w:tc>
          <w:tcPr>
            <w:tcW w:w="2800" w:type="dxa"/>
            <w:vAlign w:val="bottom"/>
            <w:tcBorders>
              <w:bottom w:val="single" w:sz="8" w:color="0000EE"/>
            </w:tcBorders>
            <w:gridSpan w:val="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Agreement and Plan of Merger dated as of November 7, 2003 among Calavo Growers, Inc., Calavo</w:t>
              </w:r>
            </w:hyperlink>
          </w:p>
        </w:tc>
        <w:tc>
          <w:tcPr>
            <w:tcW w:w="0" w:type="dxa"/>
            <w:vAlign w:val="bottom"/>
          </w:tcPr>
          <w:p>
            <w:pPr>
              <w:spacing w:after="0"/>
              <w:rPr>
                <w:sz w:val="1"/>
                <w:szCs w:val="1"/>
                <w:color w:val="auto"/>
              </w:rPr>
            </w:pPr>
          </w:p>
        </w:tc>
      </w:tr>
      <w:tr>
        <w:trPr>
          <w:trHeight w:val="20"/>
        </w:trPr>
        <w:tc>
          <w:tcPr>
            <w:tcW w:w="8240" w:type="dxa"/>
            <w:vAlign w:val="bottom"/>
            <w:tcBorders>
              <w:right w:val="single" w:sz="8" w:color="0000EE"/>
            </w:tcBorders>
            <w:gridSpan w:val="47"/>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100" w:type="dxa"/>
            <w:vAlign w:val="bottom"/>
            <w:gridSpan w:val="5"/>
            <w:vMerge w:val="restart"/>
          </w:tcPr>
          <w:p>
            <w:pPr>
              <w:jc w:val="right"/>
              <w:spacing w:after="0" w:line="142" w:lineRule="exact"/>
              <w:rPr>
                <w:rFonts w:ascii="Times New Roman" w:cs="Times New Roman" w:eastAsia="Times New Roman" w:hAnsi="Times New Roman"/>
                <w:sz w:val="13"/>
                <w:szCs w:val="13"/>
                <w:color w:val="0000EE"/>
              </w:rPr>
            </w:pPr>
            <w:hyperlink r:id="rId96">
              <w:r>
                <w:rPr>
                  <w:rFonts w:ascii="Times New Roman" w:cs="Times New Roman" w:eastAsia="Times New Roman" w:hAnsi="Times New Roman"/>
                  <w:sz w:val="13"/>
                  <w:szCs w:val="13"/>
                  <w:color w:val="0000EE"/>
                </w:rPr>
                <w:t>2</w:t>
              </w:r>
            </w:hyperlink>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80" w:type="dxa"/>
            <w:vAlign w:val="bottom"/>
            <w:gridSpan w:val="59"/>
            <w:vMerge w:val="restart"/>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Acquisition Inc., Maui Fresh International, Inc. and Arthur J. Bruno, Robert J. Bruno and Javier J. Badillo.</w:t>
              </w:r>
            </w:hyperlink>
          </w:p>
        </w:tc>
        <w:tc>
          <w:tcPr>
            <w:tcW w:w="100" w:type="dxa"/>
            <w:vAlign w:val="bottom"/>
            <w:tcBorders>
              <w:bottom w:val="single" w:sz="8" w:color="0000EE"/>
            </w:tcBorders>
            <w:gridSpan w:val="5"/>
            <w:vMerge w:val="continue"/>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80" w:type="dxa"/>
            <w:vAlign w:val="bottom"/>
            <w:tcBorders>
              <w:bottom w:val="single" w:sz="8" w:color="0000EE"/>
            </w:tcBorders>
            <w:gridSpan w:val="59"/>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Stock Purchase Agreement dated as of June 1, 2005, between Limoneira Company and Calavo Growers,</w:t>
              </w:r>
            </w:hyperlink>
          </w:p>
        </w:tc>
        <w:tc>
          <w:tcPr>
            <w:tcW w:w="0" w:type="dxa"/>
            <w:vAlign w:val="bottom"/>
          </w:tcPr>
          <w:p>
            <w:pPr>
              <w:spacing w:after="0"/>
              <w:rPr>
                <w:sz w:val="1"/>
                <w:szCs w:val="1"/>
                <w:color w:val="auto"/>
              </w:rPr>
            </w:pPr>
          </w:p>
        </w:tc>
      </w:tr>
      <w:tr>
        <w:trPr>
          <w:trHeight w:val="142"/>
        </w:trPr>
        <w:tc>
          <w:tcPr>
            <w:tcW w:w="1080" w:type="dxa"/>
            <w:vAlign w:val="bottom"/>
            <w:gridSpan w:val="2"/>
          </w:tcPr>
          <w:p>
            <w:pPr>
              <w:spacing w:after="0"/>
              <w:rPr>
                <w:sz w:val="12"/>
                <w:szCs w:val="12"/>
                <w:color w:val="auto"/>
              </w:rPr>
            </w:pPr>
          </w:p>
        </w:tc>
        <w:tc>
          <w:tcPr>
            <w:tcW w:w="280" w:type="dxa"/>
            <w:vAlign w:val="bottom"/>
            <w:tcBorders>
              <w:top w:val="single" w:sz="8" w:color="0000EE"/>
              <w:bottom w:val="single" w:sz="8" w:color="0000EE"/>
            </w:tcBorders>
            <w:vMerge w:val="restart"/>
          </w:tcPr>
          <w:p>
            <w:pPr>
              <w:spacing w:after="0" w:line="196" w:lineRule="exact"/>
              <w:rPr>
                <w:rFonts w:ascii="Times New Roman" w:cs="Times New Roman" w:eastAsia="Times New Roman" w:hAnsi="Times New Roman"/>
                <w:sz w:val="18"/>
                <w:szCs w:val="18"/>
                <w:color w:val="0000EE"/>
                <w:w w:val="94"/>
              </w:rPr>
            </w:pPr>
            <w:hyperlink r:id="rId97">
              <w:r>
                <w:rPr>
                  <w:rFonts w:ascii="Times New Roman" w:cs="Times New Roman" w:eastAsia="Times New Roman" w:hAnsi="Times New Roman"/>
                  <w:sz w:val="18"/>
                  <w:szCs w:val="18"/>
                  <w:color w:val="0000EE"/>
                  <w:w w:val="94"/>
                </w:rPr>
                <w:t>Inc.</w:t>
              </w:r>
            </w:hyperlink>
          </w:p>
        </w:tc>
        <w:tc>
          <w:tcPr>
            <w:tcW w:w="100" w:type="dxa"/>
            <w:vAlign w:val="bottom"/>
            <w:tcBorders>
              <w:top w:val="single" w:sz="8" w:color="0000EE"/>
              <w:bottom w:val="single" w:sz="8" w:color="0000EE"/>
            </w:tcBorders>
            <w:gridSpan w:val="2"/>
          </w:tcPr>
          <w:p>
            <w:pPr>
              <w:jc w:val="right"/>
              <w:spacing w:after="0" w:line="129" w:lineRule="exact"/>
              <w:rPr>
                <w:rFonts w:ascii="Times New Roman" w:cs="Times New Roman" w:eastAsia="Times New Roman" w:hAnsi="Times New Roman"/>
                <w:sz w:val="13"/>
                <w:szCs w:val="13"/>
                <w:color w:val="0000EE"/>
              </w:rPr>
            </w:pPr>
            <w:hyperlink r:id="rId97">
              <w:r>
                <w:rPr>
                  <w:rFonts w:ascii="Times New Roman" w:cs="Times New Roman" w:eastAsia="Times New Roman" w:hAnsi="Times New Roman"/>
                  <w:sz w:val="13"/>
                  <w:szCs w:val="13"/>
                  <w:color w:val="0000EE"/>
                </w:rPr>
                <w:t>3</w:t>
              </w:r>
            </w:hyperlink>
          </w:p>
        </w:tc>
        <w:tc>
          <w:tcPr>
            <w:tcW w:w="8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3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820" w:type="dxa"/>
            <w:vAlign w:val="bottom"/>
            <w:tcBorders>
              <w:top w:val="single" w:sz="8" w:color="0000EE"/>
              <w:bottom w:val="single" w:sz="8" w:color="0000EE"/>
            </w:tcBorders>
            <w:vMerge w:val="restart"/>
          </w:tcPr>
          <w:p>
            <w:pPr>
              <w:spacing w:after="0"/>
              <w:rPr>
                <w:sz w:val="12"/>
                <w:szCs w:val="12"/>
                <w:color w:val="auto"/>
              </w:rPr>
            </w:pPr>
          </w:p>
        </w:tc>
        <w:tc>
          <w:tcPr>
            <w:tcW w:w="740" w:type="dxa"/>
            <w:vAlign w:val="bottom"/>
            <w:tcBorders>
              <w:top w:val="single" w:sz="8" w:color="0000EE"/>
              <w:bottom w:val="single" w:sz="8" w:color="0000EE"/>
            </w:tcBorders>
            <w:gridSpan w:val="4"/>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3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6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6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48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10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tcPr>
          <w:p>
            <w:pPr>
              <w:spacing w:after="0"/>
              <w:rPr>
                <w:sz w:val="2"/>
                <w:szCs w:val="2"/>
                <w:color w:val="auto"/>
              </w:rPr>
            </w:pPr>
          </w:p>
        </w:tc>
        <w:tc>
          <w:tcPr>
            <w:tcW w:w="28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746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Acquisition Agreement between Calavo Growers, Inc., a California corporation and Lecil E. Cole, Eric</w:t>
              </w:r>
            </w:hyperlink>
          </w:p>
        </w:tc>
        <w:tc>
          <w:tcPr>
            <w:tcW w:w="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Weinert, Suzanne Cole-Savard, Guy Cole, and Lecil E. Cole and Mary Jeanette Cole, acting jointly and</w:t>
              </w:r>
            </w:hyperlink>
          </w:p>
        </w:tc>
        <w:tc>
          <w:tcPr>
            <w:tcW w:w="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severally as trustees of the Lecil E. and Mary Jeanette Cole Revocable Trust dated October 19, 1993, also</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60" w:type="dxa"/>
            <w:vAlign w:val="bottom"/>
            <w:tcBorders>
              <w:top w:val="single" w:sz="8" w:color="0000EE"/>
              <w:bottom w:val="single" w:sz="8" w:color="0000EE"/>
            </w:tcBorders>
            <w:gridSpan w:val="37"/>
            <w:vMerge w:val="restart"/>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known as the Lecil E. and Mary Jeanette Cole Revocable 1993 Trust dated May 19, 2008</w:t>
              </w:r>
            </w:hyperlink>
          </w:p>
        </w:tc>
        <w:tc>
          <w:tcPr>
            <w:tcW w:w="80" w:type="dxa"/>
            <w:vAlign w:val="bottom"/>
            <w:tcBorders>
              <w:top w:val="single" w:sz="8" w:color="0000EE"/>
              <w:bottom w:val="single" w:sz="8" w:color="0000EE"/>
            </w:tcBorders>
          </w:tcPr>
          <w:p>
            <w:pPr>
              <w:jc w:val="right"/>
              <w:spacing w:after="0" w:line="129" w:lineRule="exact"/>
              <w:rPr>
                <w:rFonts w:ascii="Times New Roman" w:cs="Times New Roman" w:eastAsia="Times New Roman" w:hAnsi="Times New Roman"/>
                <w:sz w:val="13"/>
                <w:szCs w:val="13"/>
                <w:color w:val="0000EE"/>
                <w:w w:val="91"/>
              </w:rPr>
            </w:pPr>
            <w:hyperlink r:id="rId98">
              <w:r>
                <w:rPr>
                  <w:rFonts w:ascii="Times New Roman" w:cs="Times New Roman" w:eastAsia="Times New Roman" w:hAnsi="Times New Roman"/>
                  <w:sz w:val="13"/>
                  <w:szCs w:val="13"/>
                  <w:color w:val="0000EE"/>
                  <w:w w:val="91"/>
                </w:rPr>
                <w:t>4</w:t>
              </w:r>
            </w:hyperlink>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gridSpan w:val="2"/>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60" w:type="dxa"/>
            <w:vAlign w:val="bottom"/>
            <w:tcBorders>
              <w:bottom w:val="single" w:sz="8" w:color="0000EE"/>
            </w:tcBorders>
            <w:gridSpan w:val="37"/>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7720" w:type="dxa"/>
            <w:vAlign w:val="bottom"/>
            <w:tcBorders>
              <w:bottom w:val="single" w:sz="8" w:color="0000EE"/>
            </w:tcBorders>
            <w:gridSpan w:val="61"/>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Acquisition Agreement between Calavo Growers, Inc., Calavo Salsa Lisa, LLC, Lisa’s Salsa Company and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60" w:type="dxa"/>
            <w:vAlign w:val="bottom"/>
            <w:gridSpan w:val="25"/>
            <w:vMerge w:val="restart"/>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Elizabeth Nicholson and Eric Nicholson dated February 8, 2010</w:t>
              </w:r>
            </w:hyperlink>
          </w:p>
        </w:tc>
        <w:tc>
          <w:tcPr>
            <w:tcW w:w="120" w:type="dxa"/>
            <w:vAlign w:val="bottom"/>
            <w:tcBorders>
              <w:bottom w:val="single" w:sz="8" w:color="0000EE"/>
            </w:tcBorders>
          </w:tcPr>
          <w:p>
            <w:pPr>
              <w:jc w:val="right"/>
              <w:spacing w:after="0" w:line="129" w:lineRule="exact"/>
              <w:rPr>
                <w:rFonts w:ascii="Times New Roman" w:cs="Times New Roman" w:eastAsia="Times New Roman" w:hAnsi="Times New Roman"/>
                <w:sz w:val="13"/>
                <w:szCs w:val="13"/>
                <w:color w:val="0000EE"/>
                <w:w w:val="76"/>
              </w:rPr>
            </w:pPr>
            <w:hyperlink r:id="rId99">
              <w:r>
                <w:rPr>
                  <w:rFonts w:ascii="Times New Roman" w:cs="Times New Roman" w:eastAsia="Times New Roman" w:hAnsi="Times New Roman"/>
                  <w:sz w:val="13"/>
                  <w:szCs w:val="13"/>
                  <w:color w:val="0000EE"/>
                  <w:w w:val="76"/>
                </w:rPr>
                <w:t>13</w:t>
              </w:r>
            </w:hyperlink>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60" w:type="dxa"/>
            <w:vAlign w:val="bottom"/>
            <w:tcBorders>
              <w:bottom w:val="single" w:sz="8" w:color="0000EE"/>
            </w:tcBorders>
            <w:gridSpan w:val="25"/>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7700" w:type="dxa"/>
            <w:vAlign w:val="bottom"/>
            <w:tcBorders>
              <w:bottom w:val="single" w:sz="8" w:color="0000EE"/>
            </w:tcBorders>
            <w:gridSpan w:val="6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Amended and Restated Limited Liability Company Agreement for Calavo Salsa Lisa, LLC dated February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8, 2010 among Calavo Growers, Inc., Calavo Salsa Lisa LLC, Lisa’s Salsa Company, Elizabeth Nicholson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5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and Eric Nicholson. (Portions of this agreement have been deleted and filed separately with the Securities</w:t>
              </w:r>
            </w:hyperlink>
          </w:p>
        </w:tc>
        <w:tc>
          <w:tcPr>
            <w:tcW w:w="40" w:type="dxa"/>
            <w:vAlign w:val="bottom"/>
            <w:tcBorders>
              <w:top w:val="single" w:sz="8" w:color="0000EE"/>
            </w:tcBorders>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500" w:type="dxa"/>
            <w:vAlign w:val="bottom"/>
            <w:gridSpan w:val="29"/>
            <w:vMerge w:val="restart"/>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and Exchange Commission Pursuant to a request for confidential treatment.)</w:t>
              </w:r>
            </w:hyperlink>
          </w:p>
        </w:tc>
        <w:tc>
          <w:tcPr>
            <w:tcW w:w="180" w:type="dxa"/>
            <w:vAlign w:val="bottom"/>
            <w:tcBorders>
              <w:bottom w:val="single" w:sz="8" w:color="0000EE"/>
            </w:tcBorders>
            <w:gridSpan w:val="3"/>
          </w:tcPr>
          <w:p>
            <w:pPr>
              <w:jc w:val="right"/>
              <w:spacing w:after="0" w:line="129" w:lineRule="exact"/>
              <w:rPr>
                <w:rFonts w:ascii="Times New Roman" w:cs="Times New Roman" w:eastAsia="Times New Roman" w:hAnsi="Times New Roman"/>
                <w:sz w:val="13"/>
                <w:szCs w:val="13"/>
                <w:color w:val="0000EE"/>
              </w:rPr>
            </w:pPr>
            <w:hyperlink r:id="rId100">
              <w:r>
                <w:rPr>
                  <w:rFonts w:ascii="Times New Roman" w:cs="Times New Roman" w:eastAsia="Times New Roman" w:hAnsi="Times New Roman"/>
                  <w:sz w:val="13"/>
                  <w:szCs w:val="13"/>
                  <w:color w:val="0000EE"/>
                </w:rPr>
                <w:t>13</w:t>
              </w:r>
            </w:hyperlink>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500" w:type="dxa"/>
            <w:vAlign w:val="bottom"/>
            <w:tcBorders>
              <w:bottom w:val="single" w:sz="8" w:color="0000EE"/>
            </w:tcBorders>
            <w:gridSpan w:val="2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7440" w:type="dxa"/>
            <w:vAlign w:val="bottom"/>
            <w:tcBorders>
              <w:bottom w:val="single" w:sz="8" w:color="0000EE"/>
            </w:tcBorders>
            <w:gridSpan w:val="50"/>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Agreement and Plan of Merger dated May 25, 2011 among Calavo Growers, Inc., CG Mergersub LLC,</w:t>
              </w:r>
            </w:hyperlink>
          </w:p>
        </w:tc>
        <w:tc>
          <w:tcPr>
            <w:tcW w:w="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Catchot, James Gibson, Jose O. Castillo, Donald L. Johnson and RFG Nominee Trust</w:t>
              </w:r>
              <w:r>
                <w:rPr>
                  <w:rFonts w:ascii="Times New Roman" w:cs="Times New Roman" w:eastAsia="Times New Roman" w:hAnsi="Times New Roman"/>
                  <w:sz w:val="22"/>
                  <w:szCs w:val="22"/>
                  <w:u w:val="single" w:color="auto"/>
                  <w:color w:val="0000EE"/>
                  <w:vertAlign w:val="superscript"/>
                </w:rPr>
                <w:t>1</w:t>
              </w:r>
              <w:r>
                <w:rPr>
                  <w:rFonts w:ascii="Times New Roman" w:cs="Times New Roman" w:eastAsia="Times New Roman" w:hAnsi="Times New Roman"/>
                  <w:sz w:val="18"/>
                  <w:szCs w:val="18"/>
                  <w:color w:val="0000EE"/>
                </w:rPr>
                <w:t xml:space="preserve"> (Certain portions of</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6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the exhibit have been omitted based upon a request for confidential treatment filed by the Registrant with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62"/>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Securities and Exchange Commission. The omitted portions of the exhibit have been separately filed by the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40" w:type="dxa"/>
            <w:vAlign w:val="bottom"/>
            <w:gridSpan w:val="22"/>
            <w:vMerge w:val="restart"/>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Registrant with the Securities and Exchange Commission.)</w:t>
              </w:r>
            </w:hyperlink>
          </w:p>
        </w:tc>
        <w:tc>
          <w:tcPr>
            <w:tcW w:w="16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rPr>
            </w:pPr>
            <w:hyperlink r:id="rId101">
              <w:r>
                <w:rPr>
                  <w:rFonts w:ascii="Times New Roman" w:cs="Times New Roman" w:eastAsia="Times New Roman" w:hAnsi="Times New Roman"/>
                  <w:sz w:val="13"/>
                  <w:szCs w:val="13"/>
                  <w:color w:val="0000EE"/>
                </w:rPr>
                <w:t>15</w:t>
              </w:r>
            </w:hyperlink>
          </w:p>
        </w:tc>
        <w:tc>
          <w:tcPr>
            <w:tcW w:w="104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6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Borders>
              <w:bottom w:val="single" w:sz="8" w:color="0000EE"/>
            </w:tcBorders>
            <w:gridSpan w:val="2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742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Sale of LLC Interest Agreement dated October 31, 2013 between Calavo Growers, Inc. and San Rafael</w:t>
              </w:r>
            </w:hyperlink>
          </w:p>
        </w:tc>
        <w:tc>
          <w:tcPr>
            <w:tcW w:w="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vMerge w:val="restart"/>
          </w:tcPr>
          <w:p>
            <w:pPr>
              <w:spacing w:after="0" w:line="196" w:lineRule="exact"/>
              <w:rPr>
                <w:rFonts w:ascii="Times New Roman" w:cs="Times New Roman" w:eastAsia="Times New Roman" w:hAnsi="Times New Roman"/>
                <w:sz w:val="18"/>
                <w:szCs w:val="18"/>
                <w:color w:val="0000EE"/>
                <w:w w:val="97"/>
              </w:rPr>
            </w:pPr>
            <w:hyperlink r:id="rId102">
              <w:r>
                <w:rPr>
                  <w:rFonts w:ascii="Times New Roman" w:cs="Times New Roman" w:eastAsia="Times New Roman" w:hAnsi="Times New Roman"/>
                  <w:sz w:val="18"/>
                  <w:szCs w:val="18"/>
                  <w:color w:val="0000EE"/>
                  <w:w w:val="97"/>
                </w:rPr>
                <w:t>Distributing, Inc.</w:t>
              </w:r>
            </w:hyperlink>
          </w:p>
        </w:tc>
        <w:tc>
          <w:tcPr>
            <w:tcW w:w="140" w:type="dxa"/>
            <w:vAlign w:val="bottom"/>
            <w:tcBorders>
              <w:bottom w:val="single" w:sz="8" w:color="0000EE"/>
            </w:tcBorders>
          </w:tcPr>
          <w:p>
            <w:pPr>
              <w:jc w:val="right"/>
              <w:spacing w:after="0" w:line="129" w:lineRule="exact"/>
              <w:rPr>
                <w:rFonts w:ascii="Times New Roman" w:cs="Times New Roman" w:eastAsia="Times New Roman" w:hAnsi="Times New Roman"/>
                <w:sz w:val="13"/>
                <w:szCs w:val="13"/>
                <w:color w:val="0000EE"/>
                <w:w w:val="91"/>
              </w:rPr>
            </w:pPr>
            <w:hyperlink r:id="rId102">
              <w:r>
                <w:rPr>
                  <w:rFonts w:ascii="Times New Roman" w:cs="Times New Roman" w:eastAsia="Times New Roman" w:hAnsi="Times New Roman"/>
                  <w:sz w:val="13"/>
                  <w:szCs w:val="13"/>
                  <w:color w:val="0000EE"/>
                  <w:w w:val="91"/>
                </w:rPr>
                <w:t>16</w:t>
              </w:r>
            </w:hyperlink>
          </w:p>
        </w:tc>
        <w:tc>
          <w:tcPr>
            <w:tcW w:w="3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74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34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6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3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5"/>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Borders>
              <w:bottom w:val="single" w:sz="8" w:color="0000EE"/>
            </w:tcBorders>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34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7500" w:type="dxa"/>
            <w:vAlign w:val="bottom"/>
            <w:tcBorders>
              <w:bottom w:val="single" w:sz="8" w:color="0000EE"/>
            </w:tcBorders>
            <w:gridSpan w:val="5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Amendment No. 1 to Agreement and Plan of Merger, dated July 31, 2013, among Calavo Growers, Inc.,</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0" w:type="dxa"/>
            <w:vAlign w:val="bottom"/>
            <w:tcBorders>
              <w:top w:val="single" w:sz="8" w:color="0000EE"/>
              <w:bottom w:val="single" w:sz="8" w:color="0000EE"/>
            </w:tcBorders>
            <w:gridSpan w:val="34"/>
            <w:vMerge w:val="restart"/>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Catchot, James Gibson, Jose O. Castillo, Donald L. Johnson and RFG Nominee Trust.</w:t>
              </w:r>
            </w:hyperlink>
          </w:p>
        </w:tc>
        <w:tc>
          <w:tcPr>
            <w:tcW w:w="160" w:type="dxa"/>
            <w:vAlign w:val="bottom"/>
            <w:tcBorders>
              <w:top w:val="single" w:sz="8" w:color="0000EE"/>
              <w:bottom w:val="single" w:sz="8" w:color="0000EE"/>
            </w:tcBorders>
            <w:gridSpan w:val="2"/>
          </w:tcPr>
          <w:p>
            <w:pPr>
              <w:jc w:val="right"/>
              <w:spacing w:after="0" w:line="129" w:lineRule="exact"/>
              <w:rPr>
                <w:rFonts w:ascii="Times New Roman" w:cs="Times New Roman" w:eastAsia="Times New Roman" w:hAnsi="Times New Roman"/>
                <w:sz w:val="13"/>
                <w:szCs w:val="13"/>
                <w:color w:val="0000EE"/>
              </w:rPr>
            </w:pPr>
            <w:hyperlink r:id="rId103">
              <w:r>
                <w:rPr>
                  <w:rFonts w:ascii="Times New Roman" w:cs="Times New Roman" w:eastAsia="Times New Roman" w:hAnsi="Times New Roman"/>
                  <w:sz w:val="13"/>
                  <w:szCs w:val="13"/>
                  <w:color w:val="0000EE"/>
                </w:rPr>
                <w:t>17</w:t>
              </w:r>
            </w:hyperlink>
          </w:p>
        </w:tc>
        <w:tc>
          <w:tcPr>
            <w:tcW w:w="300" w:type="dxa"/>
            <w:vAlign w:val="bottom"/>
            <w:tcBorders>
              <w:top w:val="single" w:sz="8" w:color="0000EE"/>
              <w:bottom w:val="single" w:sz="8" w:color="0000EE"/>
            </w:tcBorders>
            <w:gridSpan w:val="3"/>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gridSpan w:val="4"/>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0" w:type="dxa"/>
            <w:vAlign w:val="bottom"/>
            <w:tcBorders>
              <w:bottom w:val="single" w:sz="8" w:color="0000EE"/>
            </w:tcBorders>
            <w:gridSpan w:val="34"/>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Limited Liability Company Agreement, dated August 16, 2013, by and among</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40" w:type="dxa"/>
            <w:vAlign w:val="bottom"/>
            <w:tcBorders>
              <w:top w:val="single" w:sz="8" w:color="0000EE"/>
              <w:bottom w:val="single" w:sz="8" w:color="0000EE"/>
            </w:tcBorders>
            <w:gridSpan w:val="27"/>
            <w:vMerge w:val="restart"/>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FreshRealm, LLC, a Delaware limited liability company, and the Members.</w:t>
              </w:r>
            </w:hyperlink>
          </w:p>
        </w:tc>
        <w:tc>
          <w:tcPr>
            <w:tcW w:w="160" w:type="dxa"/>
            <w:vAlign w:val="bottom"/>
            <w:tcBorders>
              <w:top w:val="single" w:sz="8" w:color="0000EE"/>
              <w:bottom w:val="single" w:sz="8" w:color="0000EE"/>
            </w:tcBorders>
            <w:gridSpan w:val="4"/>
          </w:tcPr>
          <w:p>
            <w:pPr>
              <w:jc w:val="right"/>
              <w:spacing w:after="0" w:line="129" w:lineRule="exact"/>
              <w:rPr>
                <w:rFonts w:ascii="Times New Roman" w:cs="Times New Roman" w:eastAsia="Times New Roman" w:hAnsi="Times New Roman"/>
                <w:sz w:val="13"/>
                <w:szCs w:val="13"/>
                <w:color w:val="0000EE"/>
              </w:rPr>
            </w:pPr>
            <w:hyperlink r:id="rId104">
              <w:r>
                <w:rPr>
                  <w:rFonts w:ascii="Times New Roman" w:cs="Times New Roman" w:eastAsia="Times New Roman" w:hAnsi="Times New Roman"/>
                  <w:sz w:val="13"/>
                  <w:szCs w:val="13"/>
                  <w:color w:val="0000EE"/>
                </w:rPr>
                <w:t>18</w:t>
              </w:r>
            </w:hyperlink>
          </w:p>
        </w:tc>
        <w:tc>
          <w:tcPr>
            <w:tcW w:w="1060" w:type="dxa"/>
            <w:vAlign w:val="bottom"/>
            <w:tcBorders>
              <w:top w:val="single" w:sz="8" w:color="0000EE"/>
              <w:bottom w:val="single" w:sz="8" w:color="0000EE"/>
            </w:tcBorders>
            <w:gridSpan w:val="8"/>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40" w:type="dxa"/>
            <w:vAlign w:val="bottom"/>
            <w:tcBorders>
              <w:bottom w:val="single" w:sz="8" w:color="0000EE"/>
            </w:tcBorders>
            <w:gridSpan w:val="2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gridSpan w:val="3"/>
          </w:tcPr>
          <w:p>
            <w:pPr>
              <w:spacing w:after="0"/>
              <w:rPr>
                <w:sz w:val="2"/>
                <w:szCs w:val="2"/>
                <w:color w:val="auto"/>
              </w:rPr>
            </w:pPr>
          </w:p>
        </w:tc>
        <w:tc>
          <w:tcPr>
            <w:tcW w:w="106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840" w:type="dxa"/>
            <w:vAlign w:val="bottom"/>
            <w:gridSpan w:val="66"/>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Amendment No. 2 to Agreement and Plan of Merger, dated as of October 1, 2013, among Calavo Growers,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tcBorders>
              <w:top w:val="single" w:sz="8" w:color="0000EE"/>
            </w:tcBorders>
            <w:gridSpan w:val="60"/>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 Renaissance Food Group, LLC and Liberty Fresh Foods, LLC, Kenneth J. Catchot, Cut Fruit, LLC,</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60" w:type="dxa"/>
            <w:vAlign w:val="bottom"/>
            <w:tcBorders>
              <w:top w:val="single" w:sz="8" w:color="0000EE"/>
              <w:bottom w:val="single" w:sz="8" w:color="0000EE"/>
            </w:tcBorders>
            <w:gridSpan w:val="45"/>
            <w:vMerge w:val="restart"/>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James S. Catchot, James Gibson, Jose O. Castillo, Donald L. Johnson and the RFG Nominee Trust.</w:t>
              </w:r>
            </w:hyperlink>
          </w:p>
        </w:tc>
        <w:tc>
          <w:tcPr>
            <w:tcW w:w="140" w:type="dxa"/>
            <w:vAlign w:val="bottom"/>
            <w:tcBorders>
              <w:top w:val="single" w:sz="8" w:color="0000EE"/>
              <w:bottom w:val="single" w:sz="8" w:color="0000EE"/>
            </w:tcBorders>
          </w:tcPr>
          <w:p>
            <w:pPr>
              <w:jc w:val="right"/>
              <w:spacing w:after="0" w:line="129" w:lineRule="exact"/>
              <w:rPr>
                <w:rFonts w:ascii="Times New Roman" w:cs="Times New Roman" w:eastAsia="Times New Roman" w:hAnsi="Times New Roman"/>
                <w:sz w:val="13"/>
                <w:szCs w:val="13"/>
                <w:color w:val="0000EE"/>
                <w:w w:val="91"/>
              </w:rPr>
            </w:pPr>
            <w:hyperlink r:id="rId105">
              <w:r>
                <w:rPr>
                  <w:rFonts w:ascii="Times New Roman" w:cs="Times New Roman" w:eastAsia="Times New Roman" w:hAnsi="Times New Roman"/>
                  <w:sz w:val="13"/>
                  <w:szCs w:val="13"/>
                  <w:color w:val="0000EE"/>
                  <w:w w:val="91"/>
                </w:rPr>
                <w:t>19</w:t>
              </w:r>
            </w:hyperlink>
          </w:p>
        </w:tc>
        <w:tc>
          <w:tcPr>
            <w:tcW w:w="100" w:type="dxa"/>
            <w:vAlign w:val="bottom"/>
            <w:tcBorders>
              <w:top w:val="single" w:sz="8" w:color="0000EE"/>
              <w:bottom w:val="single" w:sz="8" w:color="0000EE"/>
            </w:tcBorders>
            <w:gridSpan w:val="2"/>
            <w:vMerge w:val="restart"/>
          </w:tcPr>
          <w:p>
            <w:pPr>
              <w:spacing w:after="0"/>
              <w:rPr>
                <w:sz w:val="12"/>
                <w:szCs w:val="12"/>
                <w:color w:val="auto"/>
              </w:rPr>
            </w:pPr>
          </w:p>
        </w:tc>
        <w:tc>
          <w:tcPr>
            <w:tcW w:w="120" w:type="dxa"/>
            <w:vAlign w:val="bottom"/>
            <w:tcBorders>
              <w:top w:val="single" w:sz="8" w:color="0000EE"/>
              <w:bottom w:val="single" w:sz="8" w:color="0000EE"/>
            </w:tcBorders>
            <w:gridSpan w:val="6"/>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160" w:type="dxa"/>
            <w:vAlign w:val="bottom"/>
            <w:tcBorders>
              <w:bottom w:val="single" w:sz="8" w:color="0000EE"/>
            </w:tcBorders>
            <w:gridSpan w:val="45"/>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8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560" w:type="dxa"/>
            <w:vAlign w:val="bottom"/>
            <w:gridSpan w:val="15"/>
            <w:vMerge w:val="restart"/>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Articles of Incorporation of Calavo Growers, Inc.</w:t>
              </w:r>
            </w:hyperlink>
          </w:p>
        </w:tc>
        <w:tc>
          <w:tcPr>
            <w:tcW w:w="10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rPr>
            </w:pPr>
            <w:hyperlink r:id="rId106">
              <w:r>
                <w:rPr>
                  <w:rFonts w:ascii="Times New Roman" w:cs="Times New Roman" w:eastAsia="Times New Roman" w:hAnsi="Times New Roman"/>
                  <w:sz w:val="13"/>
                  <w:szCs w:val="13"/>
                  <w:color w:val="0000EE"/>
                </w:rPr>
                <w:t>1</w:t>
              </w:r>
            </w:hyperlink>
          </w:p>
        </w:tc>
        <w:tc>
          <w:tcPr>
            <w:tcW w:w="3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gridSpan w:val="1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3560" w:type="dxa"/>
            <w:vAlign w:val="bottom"/>
            <w:tcBorders>
              <w:bottom w:val="single" w:sz="8" w:color="0000EE"/>
            </w:tcBorders>
            <w:gridSpan w:val="15"/>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0000EE"/>
                <w:w w:val="91"/>
              </w:rPr>
              <w:t>5</w:t>
            </w:r>
          </w:p>
        </w:tc>
        <w:tc>
          <w:tcPr>
            <w:tcW w:w="2560" w:type="dxa"/>
            <w:vAlign w:val="bottom"/>
            <w:gridSpan w:val="1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020" w:type="dxa"/>
            <w:vAlign w:val="bottom"/>
            <w:gridSpan w:val="18"/>
            <w:vMerge w:val="restart"/>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Amended and Restated Bylaws of Calavo Growers, Inc.</w:t>
              </w:r>
            </w:hyperlink>
          </w:p>
        </w:tc>
        <w:tc>
          <w:tcPr>
            <w:tcW w:w="80" w:type="dxa"/>
            <w:vAlign w:val="bottom"/>
            <w:tcBorders>
              <w:bottom w:val="single" w:sz="8" w:color="0000EE"/>
            </w:tcBorders>
            <w:gridSpan w:val="3"/>
            <w:vMerge w:val="continue"/>
          </w:tcPr>
          <w:p>
            <w:pPr>
              <w:spacing w:after="0"/>
              <w:rPr>
                <w:sz w:val="12"/>
                <w:szCs w:val="12"/>
                <w:color w:val="auto"/>
              </w:rPr>
            </w:pPr>
          </w:p>
        </w:tc>
        <w:tc>
          <w:tcPr>
            <w:tcW w:w="2560" w:type="dxa"/>
            <w:vAlign w:val="bottom"/>
            <w:gridSpan w:val="18"/>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4020" w:type="dxa"/>
            <w:vAlign w:val="bottom"/>
            <w:tcBorders>
              <w:bottom w:val="single" w:sz="8" w:color="0000EE"/>
            </w:tcBorders>
            <w:gridSpan w:val="18"/>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60" w:type="dxa"/>
            <w:vAlign w:val="bottom"/>
            <w:gridSpan w:val="18"/>
            <w:vMerge w:val="continue"/>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EE"/>
              </w:rPr>
              <w:t>20</w:t>
            </w: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6660" w:type="dxa"/>
            <w:vAlign w:val="bottom"/>
            <w:gridSpan w:val="39"/>
            <w:vMerge w:val="restart"/>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Amended and Restated Bylaws of Calavo Growers, Inc., effective as of September 25, 2014.</w:t>
              </w:r>
            </w:hyperlink>
          </w:p>
        </w:tc>
        <w:tc>
          <w:tcPr>
            <w:tcW w:w="1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6660" w:type="dxa"/>
            <w:vAlign w:val="bottom"/>
            <w:tcBorders>
              <w:bottom w:val="single" w:sz="8" w:color="0000EE"/>
            </w:tcBorders>
            <w:gridSpan w:val="3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540" w:type="dxa"/>
            <w:vAlign w:val="bottom"/>
            <w:tcBorders>
              <w:bottom w:val="single" w:sz="8" w:color="0000EE"/>
            </w:tcBorders>
            <w:gridSpan w:val="55"/>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Description of the Securities of Calavo Growers, Inc. Registered Pursuant to Section 12 of the Securities</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6"/>
            <w:vMerge w:val="restart"/>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Exchange Act of 1934.</w:t>
              </w:r>
            </w:hyperlink>
          </w:p>
        </w:tc>
        <w:tc>
          <w:tcPr>
            <w:tcW w:w="140" w:type="dxa"/>
            <w:vAlign w:val="bottom"/>
            <w:tcBorders>
              <w:bottom w:val="single" w:sz="8" w:color="0000EE"/>
            </w:tcBorders>
          </w:tcPr>
          <w:p>
            <w:pPr>
              <w:jc w:val="right"/>
              <w:spacing w:after="0" w:line="129" w:lineRule="exact"/>
              <w:rPr>
                <w:rFonts w:ascii="Times New Roman" w:cs="Times New Roman" w:eastAsia="Times New Roman" w:hAnsi="Times New Roman"/>
                <w:sz w:val="13"/>
                <w:szCs w:val="13"/>
                <w:color w:val="0000EE"/>
                <w:w w:val="91"/>
              </w:rPr>
            </w:pPr>
            <w:hyperlink r:id="rId109">
              <w:r>
                <w:rPr>
                  <w:rFonts w:ascii="Times New Roman" w:cs="Times New Roman" w:eastAsia="Times New Roman" w:hAnsi="Times New Roman"/>
                  <w:sz w:val="13"/>
                  <w:szCs w:val="13"/>
                  <w:color w:val="0000EE"/>
                  <w:w w:val="91"/>
                </w:rPr>
                <w:t>33</w:t>
              </w:r>
            </w:hyperlink>
          </w:p>
        </w:tc>
        <w:tc>
          <w:tcPr>
            <w:tcW w:w="820" w:type="dxa"/>
            <w:vAlign w:val="bottom"/>
            <w:vMerge w:val="restart"/>
          </w:tcPr>
          <w:p>
            <w:pPr>
              <w:spacing w:after="0"/>
              <w:rPr>
                <w:sz w:val="12"/>
                <w:szCs w:val="12"/>
                <w:color w:val="auto"/>
              </w:rPr>
            </w:pPr>
          </w:p>
        </w:tc>
        <w:tc>
          <w:tcPr>
            <w:tcW w:w="740" w:type="dxa"/>
            <w:vAlign w:val="bottom"/>
            <w:gridSpan w:val="4"/>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560" w:type="dxa"/>
            <w:vAlign w:val="bottom"/>
            <w:gridSpan w:val="6"/>
            <w:vMerge w:val="restart"/>
          </w:tcPr>
          <w:p>
            <w:pPr>
              <w:spacing w:after="0"/>
              <w:rPr>
                <w:sz w:val="12"/>
                <w:szCs w:val="12"/>
                <w:color w:val="auto"/>
              </w:rPr>
            </w:pPr>
          </w:p>
        </w:tc>
        <w:tc>
          <w:tcPr>
            <w:tcW w:w="2920" w:type="dxa"/>
            <w:vAlign w:val="bottom"/>
            <w:gridSpan w:val="2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60" w:type="dxa"/>
            <w:vAlign w:val="bottom"/>
            <w:gridSpan w:val="4"/>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Borders>
              <w:bottom w:val="single" w:sz="8" w:color="0000EE"/>
            </w:tcBorders>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60" w:type="dxa"/>
            <w:vAlign w:val="bottom"/>
            <w:gridSpan w:val="6"/>
            <w:vMerge w:val="continue"/>
          </w:tcPr>
          <w:p>
            <w:pPr>
              <w:spacing w:after="0"/>
              <w:rPr>
                <w:sz w:val="2"/>
                <w:szCs w:val="2"/>
                <w:color w:val="auto"/>
              </w:rPr>
            </w:pPr>
          </w:p>
        </w:tc>
        <w:tc>
          <w:tcPr>
            <w:tcW w:w="2920" w:type="dxa"/>
            <w:vAlign w:val="bottom"/>
            <w:gridSpan w:val="2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840" w:type="dxa"/>
            <w:vAlign w:val="bottom"/>
            <w:gridSpan w:val="66"/>
          </w:tcPr>
          <w:p>
            <w:pPr>
              <w:spacing w:after="0" w:line="196"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Form of Marketing Agreement for Calavo Growers, Inc.</w:t>
              </w:r>
              <w:r>
                <w:rPr>
                  <w:rFonts w:ascii="Times New Roman" w:cs="Times New Roman" w:eastAsia="Times New Roman" w:hAnsi="Times New Roman"/>
                  <w:sz w:val="22"/>
                  <w:szCs w:val="22"/>
                  <w:u w:val="single" w:color="auto"/>
                  <w:color w:val="0000EE"/>
                  <w:vertAlign w:val="superscript"/>
                </w:rPr>
                <w:t>6</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92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400" w:type="dxa"/>
            <w:vAlign w:val="bottom"/>
            <w:tcBorders>
              <w:bottom w:val="single" w:sz="8" w:color="0000EE"/>
            </w:tcBorders>
            <w:gridSpan w:val="4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Marketing Agreement dated as of April 1, 1996 between Tropical Hawaiian Products, Inc., a Hawaiian</w:t>
              </w:r>
            </w:hyperlink>
          </w:p>
        </w:tc>
        <w:tc>
          <w:tcPr>
            <w:tcW w:w="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12"/>
            <w:vMerge w:val="restart"/>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corporation, and Calavo Growers of California.</w:t>
              </w:r>
            </w:hyperlink>
          </w:p>
        </w:tc>
        <w:tc>
          <w:tcPr>
            <w:tcW w:w="100" w:type="dxa"/>
            <w:vAlign w:val="bottom"/>
            <w:tcBorders>
              <w:bottom w:val="single" w:sz="8" w:color="0000EE"/>
            </w:tcBorders>
            <w:gridSpan w:val="2"/>
          </w:tcPr>
          <w:p>
            <w:pPr>
              <w:jc w:val="right"/>
              <w:spacing w:after="0" w:line="129" w:lineRule="exact"/>
              <w:rPr>
                <w:rFonts w:ascii="Times New Roman" w:cs="Times New Roman" w:eastAsia="Times New Roman" w:hAnsi="Times New Roman"/>
                <w:sz w:val="13"/>
                <w:szCs w:val="13"/>
                <w:color w:val="0000EE"/>
              </w:rPr>
            </w:pPr>
            <w:hyperlink r:id="rId111">
              <w:r>
                <w:rPr>
                  <w:rFonts w:ascii="Times New Roman" w:cs="Times New Roman" w:eastAsia="Times New Roman" w:hAnsi="Times New Roman"/>
                  <w:sz w:val="13"/>
                  <w:szCs w:val="13"/>
                  <w:color w:val="0000EE"/>
                </w:rPr>
                <w:t>1</w:t>
              </w:r>
            </w:hyperlink>
          </w:p>
        </w:tc>
        <w:tc>
          <w:tcPr>
            <w:tcW w:w="3480" w:type="dxa"/>
            <w:vAlign w:val="bottom"/>
            <w:gridSpan w:val="2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80" w:type="dxa"/>
            <w:vAlign w:val="bottom"/>
            <w:gridSpan w:val="10"/>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80" w:type="dxa"/>
            <w:vAlign w:val="bottom"/>
            <w:gridSpan w:val="4"/>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0" w:type="dxa"/>
            <w:vAlign w:val="bottom"/>
            <w:tcBorders>
              <w:bottom w:val="single" w:sz="8" w:color="0000EE"/>
            </w:tcBorders>
            <w:gridSpan w:val="1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gridSpan w:val="2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80" w:type="dxa"/>
            <w:vAlign w:val="bottom"/>
            <w:gridSpan w:val="10"/>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gridSpan w:val="3"/>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680" w:type="dxa"/>
            <w:vAlign w:val="bottom"/>
            <w:tcBorders>
              <w:bottom w:val="single" w:sz="8" w:color="0000EE"/>
            </w:tcBorders>
            <w:gridSpan w:val="59"/>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Lease Agreement dated as of November 21, 1997, between Tede S.A. de C.V., a Mexican corporation, and</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tcBorders>
              <w:bottom w:val="single" w:sz="8" w:color="0000EE"/>
            </w:tcBorders>
            <w:gridSpan w:val="6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Calavo de Mexico, S.A. de C.V., a Mexican corporation, including attached Guaranty of Calavo Growers of</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66"/>
          </w:tcPr>
          <w:p>
            <w:pPr>
              <w:spacing w:after="0" w:line="196"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California dated December 16, 1996.</w:t>
              </w:r>
              <w:r>
                <w:rPr>
                  <w:rFonts w:ascii="Times New Roman" w:cs="Times New Roman" w:eastAsia="Times New Roman" w:hAnsi="Times New Roman"/>
                  <w:sz w:val="22"/>
                  <w:szCs w:val="22"/>
                  <w:u w:val="single" w:color="auto"/>
                  <w:color w:val="0000EE"/>
                  <w:vertAlign w:val="superscript"/>
                </w:rPr>
                <w:t>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660" w:type="dxa"/>
            <w:vAlign w:val="bottom"/>
            <w:gridSpan w:val="8"/>
            <w:shd w:val="clear" w:color="auto" w:fill="0000EE"/>
          </w:tcPr>
          <w:p>
            <w:pPr>
              <w:spacing w:after="0" w:line="20" w:lineRule="exact"/>
              <w:rPr>
                <w:sz w:val="1"/>
                <w:szCs w:val="1"/>
                <w:color w:val="auto"/>
              </w:rPr>
            </w:pPr>
          </w:p>
        </w:tc>
        <w:tc>
          <w:tcPr>
            <w:tcW w:w="4320" w:type="dxa"/>
            <w:vAlign w:val="bottom"/>
            <w:gridSpan w:val="3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0" w:type="dxa"/>
            <w:vAlign w:val="bottom"/>
            <w:gridSpan w:val="2"/>
            <w:vMerge w:val="restart"/>
          </w:tcPr>
          <w:p>
            <w:pPr>
              <w:jc w:val="right"/>
              <w:spacing w:after="0"/>
              <w:rPr>
                <w:rFonts w:ascii="Times New Roman" w:cs="Times New Roman" w:eastAsia="Times New Roman" w:hAnsi="Times New Roman"/>
                <w:sz w:val="11"/>
                <w:szCs w:val="11"/>
                <w:color w:val="0000EE"/>
                <w:w w:val="71"/>
              </w:rPr>
            </w:pPr>
            <w:hyperlink r:id="rId113">
              <w:r>
                <w:rPr>
                  <w:rFonts w:ascii="Times New Roman" w:cs="Times New Roman" w:eastAsia="Times New Roman" w:hAnsi="Times New Roman"/>
                  <w:sz w:val="11"/>
                  <w:szCs w:val="11"/>
                  <w:color w:val="0000EE"/>
                  <w:w w:val="71"/>
                </w:rPr>
                <w:t>3</w:t>
              </w:r>
            </w:hyperlink>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08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520" w:type="dxa"/>
            <w:vAlign w:val="bottom"/>
            <w:gridSpan w:val="54"/>
            <w:vMerge w:val="restart"/>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Lease agreement dated as of February 15, 2005, between Limoneira Company and Calavo Growers, Inc.</w:t>
              </w:r>
            </w:hyperlink>
          </w:p>
        </w:tc>
        <w:tc>
          <w:tcPr>
            <w:tcW w:w="60" w:type="dxa"/>
            <w:vAlign w:val="bottom"/>
            <w:tcBorders>
              <w:bottom w:val="single" w:sz="8" w:color="0000EE"/>
            </w:tcBorders>
            <w:gridSpan w:val="2"/>
            <w:vMerge w:val="continue"/>
          </w:tcPr>
          <w:p>
            <w:pPr>
              <w:spacing w:after="0"/>
              <w:rPr>
                <w:sz w:val="12"/>
                <w:szCs w:val="12"/>
                <w:color w:val="auto"/>
              </w:rPr>
            </w:pPr>
          </w:p>
        </w:tc>
        <w:tc>
          <w:tcPr>
            <w:tcW w:w="26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80" w:type="dxa"/>
            <w:vAlign w:val="bottom"/>
            <w:gridSpan w:val="2"/>
            <w:vMerge w:val="continue"/>
          </w:tcPr>
          <w:p>
            <w:pPr>
              <w:spacing w:after="0"/>
              <w:rPr>
                <w:sz w:val="2"/>
                <w:szCs w:val="2"/>
                <w:color w:val="auto"/>
              </w:rPr>
            </w:pPr>
          </w:p>
        </w:tc>
        <w:tc>
          <w:tcPr>
            <w:tcW w:w="7520" w:type="dxa"/>
            <w:vAlign w:val="bottom"/>
            <w:tcBorders>
              <w:bottom w:val="single" w:sz="8" w:color="0000EE"/>
            </w:tcBorders>
            <w:gridSpan w:val="54"/>
            <w:vMerge w:val="continue"/>
          </w:tcPr>
          <w:p>
            <w:pPr>
              <w:spacing w:after="0"/>
              <w:rPr>
                <w:sz w:val="2"/>
                <w:szCs w:val="2"/>
                <w:color w:val="auto"/>
              </w:rPr>
            </w:pPr>
          </w:p>
        </w:tc>
        <w:tc>
          <w:tcPr>
            <w:tcW w:w="60" w:type="dxa"/>
            <w:vAlign w:val="bottom"/>
            <w:gridSpan w:val="2"/>
          </w:tcPr>
          <w:p>
            <w:pPr>
              <w:spacing w:after="0"/>
              <w:rPr>
                <w:sz w:val="2"/>
                <w:szCs w:val="2"/>
                <w:color w:val="auto"/>
              </w:rPr>
            </w:pPr>
          </w:p>
        </w:tc>
        <w:tc>
          <w:tcPr>
            <w:tcW w:w="260" w:type="dxa"/>
            <w:vAlign w:val="bottom"/>
            <w:gridSpan w:val="10"/>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8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980" w:type="dxa"/>
            <w:vAlign w:val="bottom"/>
            <w:gridSpan w:val="42"/>
            <w:vMerge w:val="restart"/>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Standstill agreement dated June 1, 2005, between Limoneira Company and Calavo Growers, Inc.</w:t>
              </w:r>
            </w:hyperlink>
          </w:p>
        </w:tc>
        <w:tc>
          <w:tcPr>
            <w:tcW w:w="60" w:type="dxa"/>
            <w:vAlign w:val="bottom"/>
            <w:tcBorders>
              <w:bottom w:val="single" w:sz="8" w:color="0000EE"/>
            </w:tcBorders>
            <w:gridSpan w:val="2"/>
          </w:tcPr>
          <w:p>
            <w:pPr>
              <w:jc w:val="right"/>
              <w:spacing w:after="0"/>
              <w:rPr>
                <w:rFonts w:ascii="Times New Roman" w:cs="Times New Roman" w:eastAsia="Times New Roman" w:hAnsi="Times New Roman"/>
                <w:sz w:val="11"/>
                <w:szCs w:val="11"/>
                <w:color w:val="0000EE"/>
                <w:w w:val="71"/>
              </w:rPr>
            </w:pPr>
            <w:hyperlink r:id="rId114">
              <w:r>
                <w:rPr>
                  <w:rFonts w:ascii="Times New Roman" w:cs="Times New Roman" w:eastAsia="Times New Roman" w:hAnsi="Times New Roman"/>
                  <w:sz w:val="11"/>
                  <w:szCs w:val="11"/>
                  <w:color w:val="0000EE"/>
                  <w:w w:val="71"/>
                </w:rPr>
                <w:t>3</w:t>
              </w:r>
            </w:hyperlink>
          </w:p>
        </w:tc>
        <w:tc>
          <w:tcPr>
            <w:tcW w:w="800" w:type="dxa"/>
            <w:vAlign w:val="bottom"/>
            <w:gridSpan w:val="2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gridSpan w:val="2"/>
            <w:vMerge w:val="continue"/>
          </w:tcPr>
          <w:p>
            <w:pPr>
              <w:spacing w:after="0"/>
              <w:rPr>
                <w:sz w:val="2"/>
                <w:szCs w:val="2"/>
                <w:color w:val="auto"/>
              </w:rPr>
            </w:pPr>
          </w:p>
        </w:tc>
        <w:tc>
          <w:tcPr>
            <w:tcW w:w="6980" w:type="dxa"/>
            <w:vAlign w:val="bottom"/>
            <w:tcBorders>
              <w:bottom w:val="single" w:sz="8" w:color="0000EE"/>
            </w:tcBorders>
            <w:gridSpan w:val="4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2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840" w:type="dxa"/>
            <w:vAlign w:val="bottom"/>
            <w:gridSpan w:val="66"/>
          </w:tcPr>
          <w:p>
            <w:pPr>
              <w:spacing w:after="0" w:line="196"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Standstill agreement dated June 1, 2005 between Calavo Growers, Inc. And Limoneira Company</w:t>
              </w:r>
              <w:r>
                <w:rPr>
                  <w:rFonts w:ascii="Times New Roman" w:cs="Times New Roman" w:eastAsia="Times New Roman" w:hAnsi="Times New Roman"/>
                  <w:sz w:val="22"/>
                  <w:szCs w:val="22"/>
                  <w:u w:val="single" w:color="auto"/>
                  <w:color w:val="0000EE"/>
                  <w:vertAlign w:val="superscript"/>
                </w:rPr>
                <w:t>3</w:t>
              </w:r>
            </w:hyperlink>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Borders>
              <w:top w:val="single" w:sz="8" w:color="0000EE"/>
            </w:tcBorders>
            <w:gridSpan w:val="14"/>
          </w:tcPr>
          <w:p>
            <w:pPr>
              <w:ind w:left="3300"/>
              <w:spacing w:after="0"/>
              <w:rPr>
                <w:sz w:val="20"/>
                <w:szCs w:val="20"/>
                <w:color w:val="auto"/>
              </w:rPr>
            </w:pPr>
            <w:r>
              <w:rPr>
                <w:rFonts w:ascii="Times New Roman" w:cs="Times New Roman" w:eastAsia="Times New Roman" w:hAnsi="Times New Roman"/>
                <w:sz w:val="18"/>
                <w:szCs w:val="18"/>
                <w:color w:val="auto"/>
                <w:w w:val="99"/>
              </w:rPr>
              <w:t>90</w:t>
            </w: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920" w:type="dxa"/>
            <w:vAlign w:val="bottom"/>
            <w:tcBorders>
              <w:bottom w:val="single" w:sz="8" w:color="auto"/>
            </w:tcBorders>
            <w:gridSpan w:val="68"/>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9" w:right="1440" w:bottom="1440" w:gutter="0" w:footer="0" w:header="0"/>
        </w:sectPr>
      </w:pPr>
    </w:p>
    <w:bookmarkStart w:id="90" w:name="page91"/>
    <w:bookmarkEnd w:id="90"/>
    <w:p>
      <w:pPr>
        <w:ind w:left="1120" w:right="219" w:hanging="597"/>
        <w:spacing w:after="0" w:line="21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10.7</w:t>
      </w:r>
      <w:r>
        <w:rPr>
          <w:sz w:val="20"/>
          <w:szCs w:val="20"/>
          <w:color w:val="auto"/>
        </w:rPr>
        <w:tab/>
      </w:r>
      <w:hyperlink r:id="rId116">
        <w:r>
          <w:rPr>
            <w:rFonts w:ascii="Times New Roman" w:cs="Times New Roman" w:eastAsia="Times New Roman" w:hAnsi="Times New Roman"/>
            <w:sz w:val="18"/>
            <w:szCs w:val="18"/>
            <w:u w:val="single" w:color="auto"/>
            <w:color w:val="0000EE"/>
          </w:rPr>
          <w:t>Calavo Supplemental Executive Retirement Agreement dated March 11, 1983 between Egidio Carbone, Jr.</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and Calavo Growers of California.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-59690</wp:posOffset>
            </wp:positionV>
            <wp:extent cx="641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459" w:hanging="59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10.8</w:t>
      </w:r>
      <w:r>
        <w:rPr>
          <w:sz w:val="20"/>
          <w:szCs w:val="20"/>
          <w:color w:val="auto"/>
        </w:rPr>
        <w:tab/>
      </w:r>
      <w:hyperlink r:id="rId118">
        <w:r>
          <w:rPr>
            <w:rFonts w:ascii="Times New Roman" w:cs="Times New Roman" w:eastAsia="Times New Roman" w:hAnsi="Times New Roman"/>
            <w:sz w:val="18"/>
            <w:szCs w:val="18"/>
            <w:u w:val="single" w:color="auto"/>
            <w:color w:val="0000EE"/>
          </w:rPr>
          <w:t>Amendment to the Calavo Growers of California Supplemental Executive Retirement Agreement dated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November 9, 1993 Between Egidio Carbone, Jr. and Calavo Growers of California.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-59055</wp:posOffset>
            </wp:positionV>
            <wp:extent cx="641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699" w:hanging="597"/>
        <w:spacing w:after="0" w:line="198"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10.9</w:t>
      </w:r>
      <w:r>
        <w:rPr>
          <w:sz w:val="20"/>
          <w:szCs w:val="20"/>
          <w:color w:val="auto"/>
        </w:rPr>
        <w:tab/>
      </w:r>
      <w:hyperlink r:id="rId120">
        <w:r>
          <w:rPr>
            <w:rFonts w:ascii="Times New Roman" w:cs="Times New Roman" w:eastAsia="Times New Roman" w:hAnsi="Times New Roman"/>
            <w:sz w:val="18"/>
            <w:szCs w:val="18"/>
            <w:u w:val="single" w:color="auto"/>
            <w:color w:val="0000EE"/>
          </w:rPr>
          <w:t>Line of Credit and Security Agreement, dated July 15, 2013 by and between Calavo Growers, Inc. a</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California Corporation, and FreshRealm, LLC, a Delaware limited liability company.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-51435</wp:posOffset>
            </wp:positionV>
            <wp:extent cx="1073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9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22">
        <w:r>
          <w:rPr>
            <w:rFonts w:ascii="Times New Roman" w:cs="Times New Roman" w:eastAsia="Times New Roman" w:hAnsi="Times New Roman"/>
            <w:sz w:val="17"/>
            <w:szCs w:val="17"/>
            <w:u w:val="single" w:color="auto"/>
            <w:color w:val="0000EE"/>
          </w:rPr>
          <w:t xml:space="preserve">2011 Management Incentive Plan of Calavo Growers, Inc. </w:t>
        </w:r>
        <w:r>
          <w:rPr>
            <w:rFonts w:ascii="Times New Roman" w:cs="Times New Roman" w:eastAsia="Times New Roman" w:hAnsi="Times New Roman"/>
            <w:sz w:val="25"/>
            <w:szCs w:val="25"/>
            <w:color w:val="0000EE"/>
            <w:vertAlign w:val="superscript"/>
          </w:rPr>
          <w:t>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-60325</wp:posOffset>
            </wp:positionV>
            <wp:extent cx="1073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439" w:hanging="680"/>
        <w:spacing w:after="0" w:line="204"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24">
        <w:r>
          <w:rPr>
            <w:rFonts w:ascii="Times New Roman" w:cs="Times New Roman" w:eastAsia="Times New Roman" w:hAnsi="Times New Roman"/>
            <w:sz w:val="18"/>
            <w:szCs w:val="18"/>
            <w:u w:val="single" w:color="auto"/>
            <w:color w:val="0000EE"/>
          </w:rPr>
          <w:t>Equity Secured Promissory Note dated October 31, 2013 between Calavo Growers, Inc. and San Rafael</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 xml:space="preserve">Distributing, Inc. </w:t>
        </w:r>
        <w:r>
          <w:rPr>
            <w:rFonts w:ascii="Times New Roman" w:cs="Times New Roman" w:eastAsia="Times New Roman" w:hAnsi="Times New Roman"/>
            <w:sz w:val="26"/>
            <w:szCs w:val="26"/>
            <w:u w:val="single" w:color="auto"/>
            <w:color w:val="0000EE"/>
            <w:vertAlign w:val="superscript"/>
          </w:rPr>
          <w:t>16</w:t>
        </w:r>
      </w:hyperlink>
    </w:p>
    <w:p>
      <w:pPr>
        <w:spacing w:after="0" w:line="2" w:lineRule="exact"/>
        <w:rPr>
          <w:sz w:val="20"/>
          <w:szCs w:val="20"/>
          <w:color w:val="auto"/>
        </w:rPr>
      </w:pPr>
    </w:p>
    <w:p>
      <w:pPr>
        <w:ind w:left="1120" w:right="239" w:hanging="687"/>
        <w:spacing w:after="0" w:line="204"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25">
        <w:r>
          <w:rPr>
            <w:rFonts w:ascii="Times New Roman" w:cs="Times New Roman" w:eastAsia="Times New Roman" w:hAnsi="Times New Roman"/>
            <w:sz w:val="18"/>
            <w:szCs w:val="18"/>
            <w:u w:val="single" w:color="auto"/>
            <w:color w:val="0000EE"/>
          </w:rPr>
          <w:t>Goodwill Secured Promissory Note dated October 31, 2013 between Calavo Growers, Inc. and San Rafael</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 xml:space="preserve">Distributing, Inc. </w:t>
        </w:r>
        <w:r>
          <w:rPr>
            <w:rFonts w:ascii="Times New Roman" w:cs="Times New Roman" w:eastAsia="Times New Roman" w:hAnsi="Times New Roman"/>
            <w:sz w:val="26"/>
            <w:szCs w:val="26"/>
            <w:u w:val="single" w:color="auto"/>
            <w:color w:val="0000EE"/>
            <w:vertAlign w:val="superscript"/>
          </w:rPr>
          <w:t>16</w:t>
        </w:r>
      </w:hyperlink>
    </w:p>
    <w:p>
      <w:pPr>
        <w:spacing w:after="0" w:line="2" w:lineRule="exact"/>
        <w:rPr>
          <w:sz w:val="20"/>
          <w:szCs w:val="20"/>
          <w:color w:val="auto"/>
        </w:rPr>
      </w:pPr>
    </w:p>
    <w:p>
      <w:pPr>
        <w:ind w:left="1120" w:right="519" w:hanging="687"/>
        <w:spacing w:after="0" w:line="198"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10.13</w:t>
      </w:r>
      <w:r>
        <w:rPr>
          <w:sz w:val="20"/>
          <w:szCs w:val="20"/>
          <w:color w:val="auto"/>
        </w:rPr>
        <w:tab/>
      </w:r>
      <w:hyperlink r:id="rId126">
        <w:r>
          <w:rPr>
            <w:rFonts w:ascii="Times New Roman" w:cs="Times New Roman" w:eastAsia="Times New Roman" w:hAnsi="Times New Roman"/>
            <w:sz w:val="18"/>
            <w:szCs w:val="18"/>
            <w:u w:val="single" w:color="auto"/>
            <w:color w:val="0000EE"/>
          </w:rPr>
          <w:t>Pledge and Security Agreement dated October 31, 2013 between Calavo Growers, Inc. and San Rafael</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Distributing,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-51435</wp:posOffset>
            </wp:positionV>
            <wp:extent cx="1073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28">
        <w:r>
          <w:rPr>
            <w:rFonts w:ascii="Times New Roman" w:cs="Times New Roman" w:eastAsia="Times New Roman" w:hAnsi="Times New Roman"/>
            <w:sz w:val="17"/>
            <w:szCs w:val="17"/>
            <w:u w:val="single" w:color="auto"/>
            <w:color w:val="0000EE"/>
          </w:rPr>
          <w:t xml:space="preserve">Personal Guaranty dated October 31, 2013 between Calavo Growers, Inc. and Francisco Clouthier. </w:t>
        </w:r>
        <w:r>
          <w:rPr>
            <w:rFonts w:ascii="Times New Roman" w:cs="Times New Roman" w:eastAsia="Times New Roman" w:hAnsi="Times New Roman"/>
            <w:sz w:val="25"/>
            <w:szCs w:val="25"/>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-50800</wp:posOffset>
            </wp:positionV>
            <wp:extent cx="1073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4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30">
        <w:r>
          <w:rPr>
            <w:rFonts w:ascii="Times New Roman" w:cs="Times New Roman" w:eastAsia="Times New Roman" w:hAnsi="Times New Roman"/>
            <w:sz w:val="17"/>
            <w:szCs w:val="17"/>
            <w:u w:val="single" w:color="auto"/>
            <w:color w:val="0000EE"/>
          </w:rPr>
          <w:t xml:space="preserve">Amendment to Goodwill Promissory Note </w:t>
        </w:r>
        <w:r>
          <w:rPr>
            <w:rFonts w:ascii="Times New Roman" w:cs="Times New Roman" w:eastAsia="Times New Roman" w:hAnsi="Times New Roman"/>
            <w:sz w:val="25"/>
            <w:szCs w:val="25"/>
            <w:color w:val="0000EE"/>
            <w:vertAlign w:val="superscript"/>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-51435</wp:posOffset>
            </wp:positionV>
            <wp:extent cx="1073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225"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32">
        <w:r>
          <w:rPr>
            <w:rFonts w:ascii="Times New Roman" w:cs="Times New Roman" w:eastAsia="Times New Roman" w:hAnsi="Times New Roman"/>
            <w:sz w:val="17"/>
            <w:szCs w:val="17"/>
            <w:u w:val="single" w:color="auto"/>
            <w:color w:val="0000EE"/>
          </w:rPr>
          <w:t xml:space="preserve">Employment Agreement dated July 21, 2015, between Calavo Growers, Inc. and B. John Lindeman. </w:t>
        </w:r>
        <w:r>
          <w:rPr>
            <w:rFonts w:ascii="Times New Roman" w:cs="Times New Roman" w:eastAsia="Times New Roman" w:hAnsi="Times New Roman"/>
            <w:sz w:val="25"/>
            <w:szCs w:val="25"/>
            <w:color w:val="0000EE"/>
            <w:vertAlign w:val="superscript"/>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5293360</wp:posOffset>
            </wp:positionH>
            <wp:positionV relativeFrom="paragraph">
              <wp:posOffset>-85725</wp:posOffset>
            </wp:positionV>
            <wp:extent cx="1073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10.17</w:t>
      </w:r>
      <w:r>
        <w:rPr>
          <w:sz w:val="20"/>
          <w:szCs w:val="20"/>
          <w:color w:val="auto"/>
        </w:rPr>
        <w:tab/>
      </w:r>
      <w:hyperlink r:id="rId134">
        <w:r>
          <w:rPr>
            <w:rFonts w:ascii="Times New Roman" w:cs="Times New Roman" w:eastAsia="Times New Roman" w:hAnsi="Times New Roman"/>
            <w:sz w:val="18"/>
            <w:szCs w:val="18"/>
            <w:u w:val="single" w:color="auto"/>
            <w:color w:val="0000EE"/>
          </w:rPr>
          <w:t>Amendment No. 7 to Business Loan Agreement, dated as of January 19, 2016 between Bank of America,</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N.A. 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-59055</wp:posOffset>
            </wp:positionV>
            <wp:extent cx="1073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10.18</w:t>
      </w:r>
      <w:r>
        <w:rPr>
          <w:sz w:val="20"/>
          <w:szCs w:val="20"/>
          <w:color w:val="auto"/>
        </w:rPr>
        <w:tab/>
      </w:r>
      <w:hyperlink r:id="rId136">
        <w:r>
          <w:rPr>
            <w:rFonts w:ascii="Times New Roman" w:cs="Times New Roman" w:eastAsia="Times New Roman" w:hAnsi="Times New Roman"/>
            <w:sz w:val="18"/>
            <w:szCs w:val="18"/>
            <w:u w:val="single" w:color="auto"/>
            <w:color w:val="0000EE"/>
          </w:rPr>
          <w:t>Letter Amendment to Revolving Credit Facility, dated January 19, 2016 between Farm Credit West, PCA</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10.19</w:t>
      </w:r>
      <w:r>
        <w:rPr>
          <w:sz w:val="20"/>
          <w:szCs w:val="20"/>
          <w:color w:val="auto"/>
        </w:rPr>
        <w:tab/>
      </w:r>
      <w:hyperlink r:id="rId138">
        <w:r>
          <w:rPr>
            <w:rFonts w:ascii="Times New Roman" w:cs="Times New Roman" w:eastAsia="Times New Roman" w:hAnsi="Times New Roman"/>
            <w:sz w:val="18"/>
            <w:szCs w:val="18"/>
            <w:u w:val="single" w:color="auto"/>
            <w:color w:val="0000EE"/>
          </w:rPr>
          <w:t>Letter Amendment to Revolving Credit Facility, dated January 26, 2016 between Farm Credit West, PCA</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120" w:right="31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10.20</w:t>
      </w:r>
      <w:r>
        <w:rPr>
          <w:sz w:val="20"/>
          <w:szCs w:val="20"/>
          <w:color w:val="auto"/>
        </w:rPr>
        <w:tab/>
      </w:r>
      <w:hyperlink r:id="rId140">
        <w:r>
          <w:rPr>
            <w:rFonts w:ascii="Times New Roman" w:cs="Times New Roman" w:eastAsia="Times New Roman" w:hAnsi="Times New Roman"/>
            <w:sz w:val="18"/>
            <w:szCs w:val="18"/>
            <w:u w:val="single" w:color="auto"/>
            <w:color w:val="0000EE"/>
          </w:rPr>
          <w:t>Amendment No. 8 to Business Loan Agreement, dated as of January 28, 2016 between Bank of America,</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N.A. 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-59055</wp:posOffset>
            </wp:positionV>
            <wp:extent cx="107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9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10.21</w:t>
      </w:r>
      <w:r>
        <w:rPr>
          <w:sz w:val="20"/>
          <w:szCs w:val="20"/>
          <w:color w:val="auto"/>
        </w:rPr>
        <w:tab/>
      </w:r>
      <w:hyperlink r:id="rId142">
        <w:r>
          <w:rPr>
            <w:rFonts w:ascii="Times New Roman" w:cs="Times New Roman" w:eastAsia="Times New Roman" w:hAnsi="Times New Roman"/>
            <w:sz w:val="18"/>
            <w:szCs w:val="18"/>
            <w:u w:val="single" w:color="auto"/>
            <w:color w:val="0000EE"/>
          </w:rPr>
          <w:t>Continuing and Unconditional Guaranty, dated as of January 28, 2016 between Bank of America, N.A. and</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-59055</wp:posOffset>
            </wp:positionV>
            <wp:extent cx="1073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5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10.22</w:t>
      </w:r>
      <w:r>
        <w:rPr>
          <w:sz w:val="20"/>
          <w:szCs w:val="20"/>
          <w:color w:val="auto"/>
        </w:rPr>
        <w:tab/>
      </w:r>
      <w:hyperlink r:id="rId144">
        <w:r>
          <w:rPr>
            <w:rFonts w:ascii="Times New Roman" w:cs="Times New Roman" w:eastAsia="Times New Roman" w:hAnsi="Times New Roman"/>
            <w:sz w:val="18"/>
            <w:szCs w:val="18"/>
            <w:u w:val="single" w:color="auto"/>
            <w:color w:val="0000EE"/>
          </w:rPr>
          <w:t>Amendment No. 9 to Business Loan Agreement, dated as of May 26, 2016 between Bank of America, N.A.</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23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10.23</w:t>
      </w:r>
      <w:r>
        <w:rPr>
          <w:sz w:val="20"/>
          <w:szCs w:val="20"/>
          <w:color w:val="auto"/>
        </w:rPr>
        <w:tab/>
      </w:r>
      <w:hyperlink r:id="rId146">
        <w:r>
          <w:rPr>
            <w:rFonts w:ascii="Times New Roman" w:cs="Times New Roman" w:eastAsia="Times New Roman" w:hAnsi="Times New Roman"/>
            <w:sz w:val="18"/>
            <w:szCs w:val="18"/>
            <w:u w:val="single" w:color="auto"/>
            <w:color w:val="0000EE"/>
          </w:rPr>
          <w:t>Letter Amendment to Revolving Credit Facility, dated May 20, 2016 between Farm Credit West, PCA and</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-59055</wp:posOffset>
            </wp:positionV>
            <wp:extent cx="1073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599" w:hanging="687"/>
        <w:spacing w:after="0" w:line="198"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10.24</w:t>
      </w:r>
      <w:r>
        <w:rPr>
          <w:sz w:val="20"/>
          <w:szCs w:val="20"/>
          <w:color w:val="auto"/>
        </w:rPr>
        <w:tab/>
      </w:r>
      <w:hyperlink r:id="rId148">
        <w:r>
          <w:rPr>
            <w:rFonts w:ascii="Times New Roman" w:cs="Times New Roman" w:eastAsia="Times New Roman" w:hAnsi="Times New Roman"/>
            <w:sz w:val="18"/>
            <w:szCs w:val="18"/>
            <w:u w:val="single" w:color="auto"/>
            <w:color w:val="0000EE"/>
          </w:rPr>
          <w:t>Credit Agreement, dated as of June 14, 2016, by and among Calavo Growers, Inc., and the subsidiary</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guarantor identified therein and the lenders and agents names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-51435</wp:posOffset>
            </wp:positionV>
            <wp:extent cx="1073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50">
        <w:r>
          <w:rPr>
            <w:rFonts w:ascii="Times New Roman" w:cs="Times New Roman" w:eastAsia="Times New Roman" w:hAnsi="Times New Roman"/>
            <w:sz w:val="17"/>
            <w:szCs w:val="17"/>
            <w:u w:val="single" w:color="auto"/>
            <w:color w:val="0000EE"/>
          </w:rPr>
          <w:t>Revolving Credit Note, dated as of June 14, 2016, by and among Calavo Growers, Inc., and FCW.</w:t>
        </w:r>
        <w:r>
          <w:rPr>
            <w:rFonts w:ascii="Times New Roman" w:cs="Times New Roman" w:eastAsia="Times New Roman" w:hAnsi="Times New Roman"/>
            <w:sz w:val="25"/>
            <w:szCs w:val="25"/>
            <w:u w:val="single" w:color="auto"/>
            <w:color w:val="0000EE"/>
            <w:vertAlign w:val="superscript"/>
          </w:rPr>
          <w:t>26</w:t>
        </w:r>
      </w:hyperlink>
    </w:p>
    <w:p>
      <w:pPr>
        <w:ind w:left="420"/>
        <w:spacing w:after="0" w:line="19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51">
        <w:r>
          <w:rPr>
            <w:rFonts w:ascii="Times New Roman" w:cs="Times New Roman" w:eastAsia="Times New Roman" w:hAnsi="Times New Roman"/>
            <w:sz w:val="17"/>
            <w:szCs w:val="17"/>
            <w:u w:val="single" w:color="auto"/>
            <w:color w:val="0000EE"/>
          </w:rPr>
          <w:t xml:space="preserve">First Amendment to Credit Agreement dated August 29, 2016. </w:t>
        </w:r>
        <w:r>
          <w:rPr>
            <w:rFonts w:ascii="Times New Roman" w:cs="Times New Roman" w:eastAsia="Times New Roman" w:hAnsi="Times New Roman"/>
            <w:sz w:val="25"/>
            <w:szCs w:val="25"/>
            <w:color w:val="0000EE"/>
            <w:vertAlign w:val="superscript"/>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-59690</wp:posOffset>
            </wp:positionV>
            <wp:extent cx="1073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619" w:hanging="687"/>
        <w:spacing w:after="0" w:line="204"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10.27</w:t>
      </w:r>
      <w:r>
        <w:rPr>
          <w:sz w:val="20"/>
          <w:szCs w:val="20"/>
          <w:color w:val="auto"/>
        </w:rPr>
        <w:tab/>
      </w:r>
      <w:hyperlink r:id="rId153">
        <w:r>
          <w:rPr>
            <w:rFonts w:ascii="Times New Roman" w:cs="Times New Roman" w:eastAsia="Times New Roman" w:hAnsi="Times New Roman"/>
            <w:sz w:val="18"/>
            <w:szCs w:val="18"/>
            <w:u w:val="single" w:color="auto"/>
            <w:color w:val="0000EE"/>
          </w:rPr>
          <w:t>Agreement to Sell and Purchase and Escrow Instructions with Fresh Foods, LLC, a Delaware limited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liability company dated July 25, 2016.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-59055</wp:posOffset>
            </wp:positionV>
            <wp:extent cx="107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19" w:hanging="687"/>
        <w:spacing w:after="0" w:line="198"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10.28</w:t>
      </w:r>
      <w:r>
        <w:rPr>
          <w:sz w:val="20"/>
          <w:szCs w:val="20"/>
          <w:color w:val="auto"/>
        </w:rPr>
        <w:tab/>
      </w:r>
      <w:hyperlink r:id="rId155">
        <w:r>
          <w:rPr>
            <w:rFonts w:ascii="Times New Roman" w:cs="Times New Roman" w:eastAsia="Times New Roman" w:hAnsi="Times New Roman"/>
            <w:sz w:val="18"/>
            <w:szCs w:val="18"/>
            <w:u w:val="single" w:color="auto"/>
            <w:color w:val="0000EE"/>
          </w:rPr>
          <w:t>First Amendment Agreement to Sell and Purchase and Escrow Instructions, by and among Calavo Growers,</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Inc., and Fresh Foods, LLC.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-51435</wp:posOffset>
            </wp:positionV>
            <wp:extent cx="1073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9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57">
        <w:r>
          <w:rPr>
            <w:rFonts w:ascii="Times New Roman" w:cs="Times New Roman" w:eastAsia="Times New Roman" w:hAnsi="Times New Roman"/>
            <w:sz w:val="17"/>
            <w:szCs w:val="17"/>
            <w:u w:val="single" w:color="auto"/>
            <w:color w:val="0000EE"/>
          </w:rPr>
          <w:t xml:space="preserve">FreshRealm, LLC, Sixth Amended and Restated Limited Liability Company Agreement. </w:t>
        </w:r>
        <w:r>
          <w:rPr>
            <w:rFonts w:ascii="Times New Roman" w:cs="Times New Roman" w:eastAsia="Times New Roman" w:hAnsi="Times New Roman"/>
            <w:sz w:val="25"/>
            <w:szCs w:val="25"/>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-60325</wp:posOffset>
            </wp:positionV>
            <wp:extent cx="1073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899" w:hanging="687"/>
        <w:spacing w:after="0" w:line="198" w:lineRule="auto"/>
        <w:tabs>
          <w:tab w:leader="none" w:pos="11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10.30</w:t>
      </w:r>
      <w:r>
        <w:rPr>
          <w:sz w:val="20"/>
          <w:szCs w:val="20"/>
          <w:color w:val="auto"/>
        </w:rPr>
        <w:tab/>
      </w:r>
      <w:hyperlink r:id="rId159">
        <w:r>
          <w:rPr>
            <w:rFonts w:ascii="Times New Roman" w:cs="Times New Roman" w:eastAsia="Times New Roman" w:hAnsi="Times New Roman"/>
            <w:sz w:val="18"/>
            <w:szCs w:val="18"/>
            <w:u w:val="single" w:color="auto"/>
            <w:color w:val="0000EE"/>
          </w:rPr>
          <w:t>First Amendment to FreshRealm, LLC, Sixth Amended and Restated Limited Liability Company</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Agreement.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-51435</wp:posOffset>
            </wp:positionV>
            <wp:extent cx="1073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61">
        <w:r>
          <w:rPr>
            <w:rFonts w:ascii="Times New Roman" w:cs="Times New Roman" w:eastAsia="Times New Roman" w:hAnsi="Times New Roman"/>
            <w:sz w:val="17"/>
            <w:szCs w:val="17"/>
            <w:u w:val="single" w:color="auto"/>
            <w:color w:val="0000EE"/>
          </w:rPr>
          <w:t xml:space="preserve">Amended and restated Promissory Note </w:t>
        </w:r>
        <w:r>
          <w:rPr>
            <w:rFonts w:ascii="Times New Roman" w:cs="Times New Roman" w:eastAsia="Times New Roman" w:hAnsi="Times New Roman"/>
            <w:sz w:val="25"/>
            <w:szCs w:val="25"/>
            <w:u w:val="single" w:color="auto"/>
            <w:color w:val="0000EE"/>
            <w:vertAlign w:val="superscript"/>
          </w:rPr>
          <w:t>31</w:t>
        </w:r>
      </w:hyperlink>
    </w:p>
    <w:p>
      <w:pPr>
        <w:ind w:left="4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62">
        <w:r>
          <w:rPr>
            <w:rFonts w:ascii="Times New Roman" w:cs="Times New Roman" w:eastAsia="Times New Roman" w:hAnsi="Times New Roman"/>
            <w:sz w:val="17"/>
            <w:szCs w:val="17"/>
            <w:u w:val="single" w:color="auto"/>
            <w:color w:val="0000EE"/>
          </w:rPr>
          <w:t xml:space="preserve">Fourth Amendment to Senior Promoissory Note and Note and Membership Unit Purchase Agreement </w:t>
        </w:r>
        <w:r>
          <w:rPr>
            <w:rFonts w:ascii="Times New Roman" w:cs="Times New Roman" w:eastAsia="Times New Roman" w:hAnsi="Times New Roman"/>
            <w:sz w:val="25"/>
            <w:szCs w:val="25"/>
            <w:u w:val="single" w:color="auto"/>
            <w:color w:val="0000EE"/>
            <w:vertAlign w:val="superscript"/>
          </w:rPr>
          <w:t>31</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63">
        <w:r>
          <w:rPr>
            <w:rFonts w:ascii="Times New Roman" w:cs="Times New Roman" w:eastAsia="Times New Roman" w:hAnsi="Times New Roman"/>
            <w:sz w:val="17"/>
            <w:szCs w:val="17"/>
            <w:u w:val="single" w:color="auto"/>
            <w:color w:val="0000EE"/>
          </w:rPr>
          <w:t xml:space="preserve">FreshRealm Promissory Note </w:t>
        </w:r>
        <w:r>
          <w:rPr>
            <w:rFonts w:ascii="Times New Roman" w:cs="Times New Roman" w:eastAsia="Times New Roman" w:hAnsi="Times New Roman"/>
            <w:sz w:val="25"/>
            <w:szCs w:val="25"/>
            <w:u w:val="single" w:color="auto"/>
            <w:color w:val="0000EE"/>
            <w:vertAlign w:val="superscript"/>
          </w:rPr>
          <w:t>31</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64">
        <w:r>
          <w:rPr>
            <w:rFonts w:ascii="Times New Roman" w:cs="Times New Roman" w:eastAsia="Times New Roman" w:hAnsi="Times New Roman"/>
            <w:sz w:val="17"/>
            <w:szCs w:val="17"/>
            <w:u w:val="single" w:color="auto"/>
            <w:color w:val="0000EE"/>
          </w:rPr>
          <w:t xml:space="preserve">Second Amendment to Credit Agreement </w:t>
        </w:r>
        <w:r>
          <w:rPr>
            <w:rFonts w:ascii="Times New Roman" w:cs="Times New Roman" w:eastAsia="Times New Roman" w:hAnsi="Times New Roman"/>
            <w:sz w:val="25"/>
            <w:szCs w:val="25"/>
            <w:u w:val="single" w:color="auto"/>
            <w:color w:val="0000EE"/>
            <w:vertAlign w:val="superscript"/>
          </w:rPr>
          <w:t>31</w:t>
        </w:r>
      </w:hyperlink>
    </w:p>
    <w:p>
      <w:pPr>
        <w:ind w:left="4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65">
        <w:r>
          <w:rPr>
            <w:rFonts w:ascii="Times New Roman" w:cs="Times New Roman" w:eastAsia="Times New Roman" w:hAnsi="Times New Roman"/>
            <w:sz w:val="17"/>
            <w:szCs w:val="17"/>
            <w:u w:val="single" w:color="auto"/>
            <w:color w:val="0000EE"/>
          </w:rPr>
          <w:t xml:space="preserve">FreshRealm Seventh and Restated LLC Agreement </w:t>
        </w:r>
        <w:r>
          <w:rPr>
            <w:rFonts w:ascii="Times New Roman" w:cs="Times New Roman" w:eastAsia="Times New Roman" w:hAnsi="Times New Roman"/>
            <w:sz w:val="25"/>
            <w:szCs w:val="25"/>
            <w:u w:val="single" w:color="auto"/>
            <w:color w:val="0000EE"/>
            <w:vertAlign w:val="superscript"/>
          </w:rPr>
          <w:t>31</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66">
        <w:r>
          <w:rPr>
            <w:rFonts w:ascii="Times New Roman" w:cs="Times New Roman" w:eastAsia="Times New Roman" w:hAnsi="Times New Roman"/>
            <w:sz w:val="17"/>
            <w:szCs w:val="17"/>
            <w:u w:val="single" w:color="auto"/>
            <w:color w:val="0000EE"/>
          </w:rPr>
          <w:t xml:space="preserve">FreshRealm Eight Amendment to Senior Promissory Note </w:t>
        </w:r>
        <w:r>
          <w:rPr>
            <w:rFonts w:ascii="Times New Roman" w:cs="Times New Roman" w:eastAsia="Times New Roman" w:hAnsi="Times New Roman"/>
            <w:sz w:val="25"/>
            <w:szCs w:val="25"/>
            <w:u w:val="single" w:color="auto"/>
            <w:color w:val="0000EE"/>
            <w:vertAlign w:val="superscript"/>
          </w:rPr>
          <w:t>32</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67">
        <w:r>
          <w:rPr>
            <w:rFonts w:ascii="Times New Roman" w:cs="Times New Roman" w:eastAsia="Times New Roman" w:hAnsi="Times New Roman"/>
            <w:sz w:val="17"/>
            <w:szCs w:val="17"/>
            <w:u w:val="single" w:color="auto"/>
            <w:color w:val="0000EE"/>
          </w:rPr>
          <w:t xml:space="preserve">FreshRealm Ninth Amendment to Senior Promissory Note </w:t>
        </w:r>
        <w:r>
          <w:rPr>
            <w:rFonts w:ascii="Times New Roman" w:cs="Times New Roman" w:eastAsia="Times New Roman" w:hAnsi="Times New Roman"/>
            <w:sz w:val="25"/>
            <w:szCs w:val="25"/>
            <w:u w:val="single" w:color="auto"/>
            <w:color w:val="0000EE"/>
            <w:vertAlign w:val="superscript"/>
          </w:rPr>
          <w:t>32</w:t>
        </w:r>
      </w:hyperlink>
    </w:p>
    <w:p>
      <w:pPr>
        <w:ind w:left="4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68">
        <w:r>
          <w:rPr>
            <w:rFonts w:ascii="Times New Roman" w:cs="Times New Roman" w:eastAsia="Times New Roman" w:hAnsi="Times New Roman"/>
            <w:sz w:val="17"/>
            <w:szCs w:val="17"/>
            <w:u w:val="single" w:color="auto"/>
            <w:color w:val="0000EE"/>
          </w:rPr>
          <w:t xml:space="preserve">FreshRealm Tenth Amendment to Senior Promissory Note </w:t>
        </w:r>
        <w:r>
          <w:rPr>
            <w:rFonts w:ascii="Times New Roman" w:cs="Times New Roman" w:eastAsia="Times New Roman" w:hAnsi="Times New Roman"/>
            <w:sz w:val="25"/>
            <w:szCs w:val="25"/>
            <w:u w:val="single" w:color="auto"/>
            <w:color w:val="0000EE"/>
            <w:vertAlign w:val="superscript"/>
          </w:rPr>
          <w:t>32</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69">
        <w:r>
          <w:rPr>
            <w:rFonts w:ascii="Times New Roman" w:cs="Times New Roman" w:eastAsia="Times New Roman" w:hAnsi="Times New Roman"/>
            <w:sz w:val="17"/>
            <w:szCs w:val="17"/>
            <w:u w:val="single" w:color="auto"/>
            <w:color w:val="0000EE"/>
          </w:rPr>
          <w:t xml:space="preserve">FreshRealm Eleventh Amendment to Senior Promissory Note </w:t>
        </w:r>
        <w:r>
          <w:rPr>
            <w:rFonts w:ascii="Times New Roman" w:cs="Times New Roman" w:eastAsia="Times New Roman" w:hAnsi="Times New Roman"/>
            <w:sz w:val="25"/>
            <w:szCs w:val="25"/>
            <w:u w:val="single" w:color="auto"/>
            <w:color w:val="0000EE"/>
            <w:vertAlign w:val="superscript"/>
          </w:rPr>
          <w:t>32</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70">
        <w:r>
          <w:rPr>
            <w:rFonts w:ascii="Times New Roman" w:cs="Times New Roman" w:eastAsia="Times New Roman" w:hAnsi="Times New Roman"/>
            <w:sz w:val="17"/>
            <w:szCs w:val="17"/>
            <w:u w:val="single" w:color="auto"/>
            <w:color w:val="0000EE"/>
          </w:rPr>
          <w:t xml:space="preserve">2020 Equity Incentive Plan </w:t>
        </w:r>
        <w:r>
          <w:rPr>
            <w:rFonts w:ascii="Times New Roman" w:cs="Times New Roman" w:eastAsia="Times New Roman" w:hAnsi="Times New Roman"/>
            <w:sz w:val="25"/>
            <w:szCs w:val="25"/>
            <w:u w:val="single" w:color="auto"/>
            <w:color w:val="0000EE"/>
            <w:vertAlign w:val="superscript"/>
          </w:rPr>
          <w:t>34</w:t>
        </w:r>
      </w:hyperlink>
    </w:p>
    <w:p>
      <w:pPr>
        <w:ind w:left="4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171">
        <w:r>
          <w:rPr>
            <w:rFonts w:ascii="Times New Roman" w:cs="Times New Roman" w:eastAsia="Times New Roman" w:hAnsi="Times New Roman"/>
            <w:sz w:val="17"/>
            <w:szCs w:val="17"/>
            <w:u w:val="single" w:color="auto"/>
            <w:color w:val="0000EE"/>
          </w:rPr>
          <w:t xml:space="preserve">Fourth Amendment to Credit Agreement </w:t>
        </w:r>
        <w:r>
          <w:rPr>
            <w:rFonts w:ascii="Times New Roman" w:cs="Times New Roman" w:eastAsia="Times New Roman" w:hAnsi="Times New Roman"/>
            <w:sz w:val="25"/>
            <w:szCs w:val="25"/>
            <w:u w:val="single" w:color="auto"/>
            <w:color w:val="0000EE"/>
            <w:vertAlign w:val="superscript"/>
          </w:rPr>
          <w:t>35</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172">
        <w:r>
          <w:rPr>
            <w:rFonts w:ascii="Times New Roman" w:cs="Times New Roman" w:eastAsia="Times New Roman" w:hAnsi="Times New Roman"/>
            <w:sz w:val="17"/>
            <w:szCs w:val="17"/>
            <w:u w:val="single" w:color="auto"/>
            <w:color w:val="0000EE"/>
          </w:rPr>
          <w:t xml:space="preserve">Fifth Amendment to Credit Agreement </w:t>
        </w:r>
        <w:r>
          <w:rPr>
            <w:rFonts w:ascii="Times New Roman" w:cs="Times New Roman" w:eastAsia="Times New Roman" w:hAnsi="Times New Roman"/>
            <w:sz w:val="25"/>
            <w:szCs w:val="25"/>
            <w:u w:val="single" w:color="auto"/>
            <w:color w:val="0000EE"/>
            <w:vertAlign w:val="superscript"/>
          </w:rPr>
          <w:t>35</w:t>
        </w:r>
      </w:hyperlink>
    </w:p>
    <w:p>
      <w:pPr>
        <w:ind w:left="4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173">
        <w:r>
          <w:rPr>
            <w:rFonts w:ascii="Times New Roman" w:cs="Times New Roman" w:eastAsia="Times New Roman" w:hAnsi="Times New Roman"/>
            <w:sz w:val="17"/>
            <w:szCs w:val="17"/>
            <w:u w:val="single" w:color="auto"/>
            <w:color w:val="0000EE"/>
          </w:rPr>
          <w:t xml:space="preserve">Form of Notice of Restricted Stock Award </w:t>
        </w:r>
      </w:hyperlink>
      <w:r>
        <w:rPr>
          <w:rFonts w:ascii="Times New Roman" w:cs="Times New Roman" w:eastAsia="Times New Roman" w:hAnsi="Times New Roman"/>
          <w:sz w:val="25"/>
          <w:szCs w:val="25"/>
          <w:u w:val="single" w:color="auto"/>
          <w:color w:val="0000EE"/>
          <w:vertAlign w:val="superscript"/>
        </w:rPr>
        <w:t>35</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1" w:name="page92"/>
    <w:bookmarkEnd w:id="91"/>
    <w:p>
      <w:pPr>
        <w:ind w:left="42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175">
        <w:r>
          <w:rPr>
            <w:rFonts w:ascii="Times New Roman" w:cs="Times New Roman" w:eastAsia="Times New Roman" w:hAnsi="Times New Roman"/>
            <w:sz w:val="17"/>
            <w:szCs w:val="17"/>
            <w:u w:val="single" w:color="auto"/>
            <w:color w:val="0000EE"/>
          </w:rPr>
          <w:t xml:space="preserve">Form of Notice of Stock Option Award </w:t>
        </w:r>
        <w:r>
          <w:rPr>
            <w:rFonts w:ascii="Times New Roman" w:cs="Times New Roman" w:eastAsia="Times New Roman" w:hAnsi="Times New Roman"/>
            <w:sz w:val="25"/>
            <w:szCs w:val="25"/>
            <w:u w:val="single" w:color="auto"/>
            <w:color w:val="0000EE"/>
            <w:vertAlign w:val="superscript"/>
          </w:rPr>
          <w:t>35</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176">
        <w:r>
          <w:rPr>
            <w:rFonts w:ascii="Times New Roman" w:cs="Times New Roman" w:eastAsia="Times New Roman" w:hAnsi="Times New Roman"/>
            <w:sz w:val="17"/>
            <w:szCs w:val="17"/>
            <w:u w:val="single" w:color="auto"/>
            <w:color w:val="0000EE"/>
          </w:rPr>
          <w:t xml:space="preserve">Sixth Amendment to Credit Agreement </w:t>
        </w:r>
        <w:r>
          <w:rPr>
            <w:rFonts w:ascii="Times New Roman" w:cs="Times New Roman" w:eastAsia="Times New Roman" w:hAnsi="Times New Roman"/>
            <w:sz w:val="25"/>
            <w:szCs w:val="25"/>
            <w:u w:val="single" w:color="auto"/>
            <w:color w:val="0000EE"/>
            <w:vertAlign w:val="superscript"/>
          </w:rPr>
          <w:t>36</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177">
        <w:r>
          <w:rPr>
            <w:rFonts w:ascii="Times New Roman" w:cs="Times New Roman" w:eastAsia="Times New Roman" w:hAnsi="Times New Roman"/>
            <w:sz w:val="17"/>
            <w:szCs w:val="17"/>
            <w:u w:val="single" w:color="auto"/>
            <w:color w:val="0000EE"/>
          </w:rPr>
          <w:t xml:space="preserve">Form of Indemnification Agreement between with each of its directors and executive officers </w:t>
        </w:r>
        <w:r>
          <w:rPr>
            <w:rFonts w:ascii="Times New Roman" w:cs="Times New Roman" w:eastAsia="Times New Roman" w:hAnsi="Times New Roman"/>
            <w:sz w:val="25"/>
            <w:szCs w:val="25"/>
            <w:u w:val="single" w:color="auto"/>
            <w:color w:val="0000EE"/>
            <w:vertAlign w:val="superscript"/>
          </w:rPr>
          <w:t>37</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10.47</w:t>
      </w:r>
      <w:r>
        <w:rPr>
          <w:sz w:val="20"/>
          <w:szCs w:val="20"/>
          <w:color w:val="auto"/>
        </w:rPr>
        <w:tab/>
      </w:r>
      <w:hyperlink r:id="rId178">
        <w:r>
          <w:rPr>
            <w:rFonts w:ascii="Times New Roman" w:cs="Times New Roman" w:eastAsia="Times New Roman" w:hAnsi="Times New Roman"/>
            <w:sz w:val="17"/>
            <w:szCs w:val="17"/>
            <w:u w:val="single" w:color="auto"/>
            <w:color w:val="0000EE"/>
          </w:rPr>
          <w:t xml:space="preserve">Seventh Amendment to Credit Agreement </w:t>
        </w:r>
        <w:r>
          <w:rPr>
            <w:rFonts w:ascii="Times New Roman" w:cs="Times New Roman" w:eastAsia="Times New Roman" w:hAnsi="Times New Roman"/>
            <w:sz w:val="25"/>
            <w:szCs w:val="25"/>
            <w:u w:val="single" w:color="auto"/>
            <w:color w:val="0000EE"/>
            <w:vertAlign w:val="superscript"/>
          </w:rPr>
          <w:t>38</w:t>
        </w:r>
      </w:hyperlink>
    </w:p>
    <w:p>
      <w:pPr>
        <w:ind w:left="4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10.48</w:t>
      </w:r>
      <w:r>
        <w:rPr>
          <w:sz w:val="20"/>
          <w:szCs w:val="20"/>
          <w:color w:val="auto"/>
        </w:rPr>
        <w:tab/>
      </w:r>
      <w:hyperlink r:id="rId179">
        <w:r>
          <w:rPr>
            <w:rFonts w:ascii="Times New Roman" w:cs="Times New Roman" w:eastAsia="Times New Roman" w:hAnsi="Times New Roman"/>
            <w:sz w:val="17"/>
            <w:szCs w:val="17"/>
            <w:u w:val="single" w:color="auto"/>
            <w:color w:val="0000EE"/>
          </w:rPr>
          <w:t xml:space="preserve">Limited Liability Company Member Member Separation and Release Agreement </w:t>
        </w:r>
        <w:r>
          <w:rPr>
            <w:rFonts w:ascii="Times New Roman" w:cs="Times New Roman" w:eastAsia="Times New Roman" w:hAnsi="Times New Roman"/>
            <w:sz w:val="25"/>
            <w:szCs w:val="25"/>
            <w:u w:val="single" w:color="auto"/>
            <w:color w:val="0000EE"/>
            <w:vertAlign w:val="superscript"/>
          </w:rPr>
          <w:t>39</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10.49</w:t>
      </w:r>
      <w:r>
        <w:rPr>
          <w:sz w:val="20"/>
          <w:szCs w:val="20"/>
          <w:color w:val="auto"/>
        </w:rPr>
        <w:tab/>
      </w:r>
      <w:hyperlink r:id="rId180">
        <w:r>
          <w:rPr>
            <w:rFonts w:ascii="Times New Roman" w:cs="Times New Roman" w:eastAsia="Times New Roman" w:hAnsi="Times New Roman"/>
            <w:sz w:val="17"/>
            <w:szCs w:val="17"/>
            <w:u w:val="single" w:color="auto"/>
            <w:color w:val="0000EE"/>
          </w:rPr>
          <w:t xml:space="preserve">Employment Agreement dated June 9, 2022 </w:t>
        </w:r>
        <w:r>
          <w:rPr>
            <w:rFonts w:ascii="Times New Roman" w:cs="Times New Roman" w:eastAsia="Times New Roman" w:hAnsi="Times New Roman"/>
            <w:sz w:val="25"/>
            <w:szCs w:val="25"/>
            <w:u w:val="single" w:color="auto"/>
            <w:color w:val="0000EE"/>
            <w:vertAlign w:val="superscript"/>
          </w:rPr>
          <w:t>40</w:t>
        </w:r>
      </w:hyperlink>
    </w:p>
    <w:p>
      <w:pPr>
        <w:ind w:left="420"/>
        <w:spacing w:after="0" w:line="180"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10.50</w:t>
      </w:r>
      <w:r>
        <w:rPr>
          <w:sz w:val="20"/>
          <w:szCs w:val="20"/>
          <w:color w:val="auto"/>
        </w:rPr>
        <w:tab/>
      </w:r>
      <w:hyperlink r:id="rId181">
        <w:r>
          <w:rPr>
            <w:rFonts w:ascii="Times New Roman" w:cs="Times New Roman" w:eastAsia="Times New Roman" w:hAnsi="Times New Roman"/>
            <w:sz w:val="17"/>
            <w:szCs w:val="17"/>
            <w:u w:val="single" w:color="auto"/>
            <w:color w:val="0000EE"/>
          </w:rPr>
          <w:t xml:space="preserve">Employment Agreement dated December 20, 2021 </w:t>
        </w:r>
        <w:r>
          <w:rPr>
            <w:rFonts w:ascii="Times New Roman" w:cs="Times New Roman" w:eastAsia="Times New Roman" w:hAnsi="Times New Roman"/>
            <w:sz w:val="25"/>
            <w:szCs w:val="25"/>
            <w:u w:val="single" w:color="auto"/>
            <w:color w:val="0000EE"/>
            <w:vertAlign w:val="superscript"/>
          </w:rPr>
          <w:t>41</w:t>
        </w:r>
      </w:hyperlink>
    </w:p>
    <w:p>
      <w:pPr>
        <w:ind w:left="520"/>
        <w:spacing w:after="0" w:line="181"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82">
        <w:r>
          <w:rPr>
            <w:rFonts w:ascii="Times New Roman" w:cs="Times New Roman" w:eastAsia="Times New Roman" w:hAnsi="Times New Roman"/>
            <w:sz w:val="17"/>
            <w:szCs w:val="17"/>
            <w:u w:val="single" w:color="auto"/>
            <w:color w:val="0000EE"/>
          </w:rPr>
          <w:t xml:space="preserve">Subsidiaries of Calavo Growers, Inc. </w:t>
        </w:r>
        <w:r>
          <w:rPr>
            <w:rFonts w:ascii="Times New Roman" w:cs="Times New Roman" w:eastAsia="Times New Roman" w:hAnsi="Times New Roman"/>
            <w:sz w:val="25"/>
            <w:szCs w:val="25"/>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-51435</wp:posOffset>
            </wp:positionV>
            <wp:extent cx="641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3">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520"/>
        <w:spacing w:after="0" w:line="192" w:lineRule="auto"/>
        <w:tabs>
          <w:tab w:leader="none" w:pos="11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 xml:space="preserve">Consent of Deloitte &amp; Touche LLP. </w:t>
      </w:r>
      <w:r>
        <w:rPr>
          <w:rFonts w:ascii="Times New Roman" w:cs="Times New Roman" w:eastAsia="Times New Roman" w:hAnsi="Times New Roman"/>
          <w:sz w:val="25"/>
          <w:szCs w:val="25"/>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-60325</wp:posOffset>
            </wp:positionV>
            <wp:extent cx="641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4">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Rule 13a-15(e)</w:t>
      </w:r>
    </w:p>
    <w:p>
      <w:pPr>
        <w:ind w:left="1120"/>
        <w:spacing w:after="0" w:line="180" w:lineRule="auto"/>
        <w:rPr>
          <w:sz w:val="20"/>
          <w:szCs w:val="20"/>
          <w:color w:val="auto"/>
        </w:rPr>
      </w:pPr>
      <w:r>
        <w:rPr>
          <w:rFonts w:ascii="Times New Roman" w:cs="Times New Roman" w:eastAsia="Times New Roman" w:hAnsi="Times New Roman"/>
          <w:sz w:val="18"/>
          <w:szCs w:val="18"/>
          <w:u w:val="single" w:color="auto"/>
          <w:color w:val="0000EE"/>
        </w:rPr>
        <w:t>or Rule 15d-15(e)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-59690</wp:posOffset>
            </wp:positionV>
            <wp:extent cx="641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5">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520"/>
        <w:spacing w:after="0"/>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Rule 13a-15(e)</w:t>
      </w:r>
    </w:p>
    <w:p>
      <w:pPr>
        <w:ind w:left="1120"/>
        <w:spacing w:after="0" w:line="180" w:lineRule="auto"/>
        <w:rPr>
          <w:sz w:val="20"/>
          <w:szCs w:val="20"/>
          <w:color w:val="auto"/>
        </w:rPr>
      </w:pPr>
      <w:r>
        <w:rPr>
          <w:rFonts w:ascii="Times New Roman" w:cs="Times New Roman" w:eastAsia="Times New Roman" w:hAnsi="Times New Roman"/>
          <w:sz w:val="18"/>
          <w:szCs w:val="18"/>
          <w:u w:val="single" w:color="auto"/>
          <w:color w:val="0000EE"/>
        </w:rPr>
        <w:t>or Rule 15d-15(e)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6"/>
          <w:szCs w:val="26"/>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-59690</wp:posOffset>
            </wp:positionV>
            <wp:extent cx="641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6">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539" w:hanging="468"/>
        <w:spacing w:after="0" w:line="204"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Certification of Chief Executive Officer and Chief Financial Officer of Periodic Report Pursuant to 18 U.S.C. Section 1350 </w:t>
      </w:r>
      <w:r>
        <w:rPr>
          <w:rFonts w:ascii="Times New Roman" w:cs="Times New Roman" w:eastAsia="Times New Roman" w:hAnsi="Times New Roman"/>
          <w:sz w:val="26"/>
          <w:szCs w:val="26"/>
          <w:u w:val="single" w:color="auto"/>
          <w:color w:val="0000EE"/>
          <w:vertAlign w:val="superscript"/>
        </w:rPr>
        <w:t>*</w:t>
      </w:r>
    </w:p>
    <w:p>
      <w:pPr>
        <w:spacing w:after="0" w:line="2" w:lineRule="exact"/>
        <w:rPr>
          <w:sz w:val="20"/>
          <w:szCs w:val="20"/>
          <w:color w:val="auto"/>
        </w:rPr>
      </w:pPr>
    </w:p>
    <w:p>
      <w:pPr>
        <w:ind w:left="1120" w:right="159" w:hanging="559"/>
        <w:spacing w:after="0" w:line="250" w:lineRule="auto"/>
        <w:tabs>
          <w:tab w:leader="none" w:pos="11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The following financial information from the Annual Report on Form 10-K of Calavo Growers, Inc. for the year ended October 31, 2022, formatted in Inline XBRL (eXtensible Business Reporting Language): (1) Consolidated Balance Sheets as of October 31, 2022 and 2021; (2) Consolidated Statements of Operations for the years ended October 31, 2022, 2021 and 2020; (3) Consolidated Statements of Shareholders’ Equity for the years ended October 31, 2022, 2021, and 2020; (4) Consolidated Statements of Cash Flows for the years ended October 31, 2022, 2021 and 2020; and (5) Notes to Financial Statements. </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120" w:hanging="558"/>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197"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-167640</wp:posOffset>
            </wp:positionV>
            <wp:extent cx="14141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440" w:right="239" w:hanging="396"/>
        <w:spacing w:after="0" w:line="280" w:lineRule="auto"/>
        <w:tabs>
          <w:tab w:leader="none" w:pos="4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April 24, 2001 as an exhibit to the Registrant’s Registration Statement on Form S-4, File No. 333-59418, and incorporated herein by reference.</w:t>
      </w:r>
    </w:p>
    <w:p>
      <w:pPr>
        <w:spacing w:after="0" w:line="151" w:lineRule="exact"/>
        <w:rPr>
          <w:sz w:val="20"/>
          <w:szCs w:val="20"/>
          <w:color w:val="auto"/>
        </w:rPr>
      </w:pPr>
    </w:p>
    <w:p>
      <w:pPr>
        <w:ind w:left="440" w:hanging="396"/>
        <w:spacing w:after="0"/>
        <w:tabs>
          <w:tab w:leader="none" w:pos="4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23, 2004 as an exhibit to the Registrant’s Report on Form 10-K and incorporated herein by reference.</w:t>
      </w:r>
    </w:p>
    <w:p>
      <w:pPr>
        <w:spacing w:after="0" w:line="207"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3Previously filed on June 9, 2005 as an exhibit to the Registrant’s Report on Form 10-Q and incorporated herein by reference.</w:t>
      </w:r>
    </w:p>
    <w:p>
      <w:pPr>
        <w:spacing w:after="0" w:line="194"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4Previously filed on May 29, 2008 as an exhibit to the Registrant’s Report on Form 8-K and incorporated herein by reference.</w:t>
      </w:r>
    </w:p>
    <w:p>
      <w:pPr>
        <w:spacing w:after="0" w:line="194" w:lineRule="exact"/>
        <w:rPr>
          <w:rFonts w:ascii="Times New Roman" w:cs="Times New Roman" w:eastAsia="Times New Roman" w:hAnsi="Times New Roman"/>
          <w:sz w:val="16"/>
          <w:szCs w:val="16"/>
          <w:color w:val="auto"/>
        </w:rPr>
      </w:pPr>
    </w:p>
    <w:p>
      <w:pPr>
        <w:ind w:left="40" w:right="79"/>
        <w:spacing w:after="0" w:line="5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Previously filed on December 19, 2002 as an exhibit to the Registrant’s Report on Form 8-K, and incorporated herein by reference. 6 Previously filed on January 28, 2003 as an exhibit to the Registrant’s Report on Form 10-K and incorporated herein by reference.</w:t>
      </w:r>
    </w:p>
    <w:p>
      <w:pPr>
        <w:spacing w:after="0" w:line="1" w:lineRule="exact"/>
        <w:rPr>
          <w:sz w:val="20"/>
          <w:szCs w:val="20"/>
          <w:color w:val="auto"/>
        </w:rPr>
      </w:pPr>
    </w:p>
    <w:p>
      <w:pPr>
        <w:ind w:left="440" w:right="899" w:hanging="396"/>
        <w:spacing w:after="0" w:line="280" w:lineRule="auto"/>
        <w:tabs>
          <w:tab w:leader="none" w:pos="4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21, 2005 as an exhibit to the Registrant’s Definitive Proxy Statement on Form DEF14A and incorporated herein by reference.</w:t>
      </w:r>
    </w:p>
    <w:p>
      <w:pPr>
        <w:spacing w:after="0" w:line="151" w:lineRule="exact"/>
        <w:rPr>
          <w:sz w:val="20"/>
          <w:szCs w:val="20"/>
          <w:color w:val="auto"/>
        </w:rPr>
      </w:pPr>
    </w:p>
    <w:p>
      <w:pPr>
        <w:ind w:left="440" w:hanging="396"/>
        <w:spacing w:after="0"/>
        <w:tabs>
          <w:tab w:leader="none" w:pos="4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October 19, 2007 as an exhibit to the Registrant’s Report on Form 8-K and incorporated herein by reference.</w:t>
      </w:r>
    </w:p>
    <w:p>
      <w:pPr>
        <w:spacing w:after="0" w:line="194" w:lineRule="exact"/>
        <w:rPr>
          <w:sz w:val="20"/>
          <w:szCs w:val="20"/>
          <w:color w:val="auto"/>
        </w:rPr>
      </w:pPr>
    </w:p>
    <w:p>
      <w:pPr>
        <w:ind w:left="440" w:right="719" w:hanging="396"/>
        <w:spacing w:after="0" w:line="280" w:lineRule="auto"/>
        <w:tabs>
          <w:tab w:leader="none" w:pos="4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27, 2009 as an exhibit to the Registrant’s Report on Form 10-K/A and incorporated herein by reference.</w:t>
      </w:r>
    </w:p>
    <w:p>
      <w:pPr>
        <w:spacing w:after="0" w:line="151" w:lineRule="exact"/>
        <w:rPr>
          <w:sz w:val="20"/>
          <w:szCs w:val="20"/>
          <w:color w:val="auto"/>
        </w:rPr>
      </w:pPr>
    </w:p>
    <w:p>
      <w:pPr>
        <w:ind w:left="440" w:right="699" w:hanging="396"/>
        <w:spacing w:after="0" w:line="298" w:lineRule="auto"/>
        <w:tabs>
          <w:tab w:leader="none" w:pos="4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11, 2006 as an exhibit to the Registrant’s Report on Form 10-Q and incorporated herein by reference.</w:t>
      </w:r>
    </w:p>
    <w:p>
      <w:pPr>
        <w:spacing w:after="0" w:line="137"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August 6, 2009 as an exhibit to the Registrant’s Report on Form 8-K and incorporated herein by reference.</w:t>
      </w:r>
    </w:p>
    <w:p>
      <w:pPr>
        <w:spacing w:after="0" w:line="194"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11, 2010 as an exhibit to the Registrant’s Report on Form 10-K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58" w:right="1440" w:bottom="1440" w:gutter="0" w:footer="0" w:header="0"/>
        </w:sectPr>
      </w:pPr>
    </w:p>
    <w:bookmarkStart w:id="92" w:name="page93"/>
    <w:bookmarkEnd w:id="92"/>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11, 2010 as an exhibit to the Registrant’s Report on Form 10-Q and incorporated herein by reference.</w:t>
      </w:r>
    </w:p>
    <w:p>
      <w:pPr>
        <w:spacing w:after="0" w:line="207"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14, 2011 as an exhibit to the Registrant’s Report on Form 10-K and incorporated herein by reference.</w:t>
      </w:r>
    </w:p>
    <w:p>
      <w:pPr>
        <w:spacing w:after="0" w:line="194"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10, 2012 as an exhibit to the Registrant’s Report on Form 8-K/A and incorporated herein by reference.</w:t>
      </w:r>
    </w:p>
    <w:p>
      <w:pPr>
        <w:spacing w:after="0" w:line="194"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November 6, 2013 as an exhibit to the Registrant’s Report on Form 8-K and incorporated herein by reference.</w:t>
      </w:r>
    </w:p>
    <w:p>
      <w:pPr>
        <w:spacing w:after="0" w:line="207"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4, 2013 as an exhibit to the Registrant’s Report on Form 8-K and incorporated herein by reference.</w:t>
      </w:r>
    </w:p>
    <w:p>
      <w:pPr>
        <w:spacing w:after="0" w:line="194"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9, 2013 as an exhibit to the Registrant’s Report on Form 10-Q and incorporated herein by reference.</w:t>
      </w:r>
    </w:p>
    <w:p>
      <w:pPr>
        <w:spacing w:after="0" w:line="194"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November 26, 2013 as an exhibit to the Registrant’s Report on Form 8-K and incorporated herein by reference.</w:t>
      </w:r>
    </w:p>
    <w:p>
      <w:pPr>
        <w:spacing w:after="0" w:line="194"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30, 2014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July 27, 2015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25,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February 1,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May 27,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June 20,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1,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8, 2016 as an exhibit to the Registrant’s Report on Form 10-Q and incorporated herein by reference.</w:t>
      </w:r>
    </w:p>
    <w:p>
      <w:pPr>
        <w:spacing w:after="0" w:line="207"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November 7,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440" w:right="719" w:hanging="396"/>
        <w:spacing w:after="0" w:line="280" w:lineRule="auto"/>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December 23, 2016 as an exhibit to the Registrant’s Report on Form 10-K and incorporated herein by reference.</w:t>
      </w:r>
    </w:p>
    <w:p>
      <w:pPr>
        <w:spacing w:after="0" w:line="178"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4, 2018 as an exhibit to the Registrant’s Report on Form 10-Q and incorporated herein by reference.</w:t>
      </w:r>
    </w:p>
    <w:p>
      <w:pPr>
        <w:spacing w:after="0" w:line="221"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7, 2019 as an exhibit to the Registrant’s Report on Form 10-Q and incorporated herein by reference.</w:t>
      </w:r>
    </w:p>
    <w:p>
      <w:pPr>
        <w:spacing w:after="0" w:line="207" w:lineRule="exact"/>
        <w:rPr>
          <w:rFonts w:ascii="Times New Roman" w:cs="Times New Roman" w:eastAsia="Times New Roman" w:hAnsi="Times New Roman"/>
          <w:sz w:val="16"/>
          <w:szCs w:val="16"/>
          <w:color w:val="auto"/>
        </w:rPr>
      </w:pPr>
    </w:p>
    <w:p>
      <w:pPr>
        <w:ind w:left="440" w:hanging="396"/>
        <w:spacing w:after="0"/>
        <w:tabs>
          <w:tab w:leader="none" w:pos="4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June 9, 2020 as an exhibit to the Registrant’s Report on Form 10-Q and incorporated herein by reference.</w:t>
      </w:r>
    </w:p>
    <w:p>
      <w:pPr>
        <w:spacing w:after="0" w:line="194"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30, 2020 as an exhibit to the Registrant’s Report on Form 10-K/A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June 10, 2021 as an exhibit to the Registrant’s Report on Form S-8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14, 2022 as an exhibit to the Registrant’s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8" w:right="1440" w:bottom="1440" w:gutter="0" w:footer="0" w:header="0"/>
        </w:sectPr>
      </w:pPr>
    </w:p>
    <w:bookmarkStart w:id="93" w:name="page94"/>
    <w:bookmarkEnd w:id="93"/>
    <w:p>
      <w:pPr>
        <w:ind w:left="360" w:hanging="316"/>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June 2, 2022 as an exhibit to the Registrant’s Report on Form 10-Q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1, 2022 as an exhibit to the Registrant’s Report on Form 10-Q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November 1, 2022 as an exhibit to the Registrant’s Report on Form 8-K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February 9, 2021 as an exhibit to the Registrant’s Report on Form 8-K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June 10, 2022 as an exhibit to the Registrant’s Report on Form 8-K and incorporated herein by reference.</w:t>
      </w:r>
    </w:p>
    <w:p>
      <w:pPr>
        <w:spacing w:after="0" w:line="20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December 21, 2021 as an exhibit to the Registrant’s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8"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left="40" w:right="479" w:firstLine="243"/>
        <w:spacing w:after="0" w:line="290"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December 20, 2022.</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3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Kocher</w:t>
            </w:r>
          </w:p>
        </w:tc>
      </w:tr>
      <w:tr>
        <w:trPr>
          <w:trHeight w:val="189"/>
        </w:trPr>
        <w:tc>
          <w:tcPr>
            <w:tcW w:w="280" w:type="dxa"/>
            <w:vAlign w:val="bottom"/>
          </w:tcPr>
          <w:p>
            <w:pPr>
              <w:spacing w:after="0"/>
              <w:rPr>
                <w:sz w:val="16"/>
                <w:szCs w:val="16"/>
                <w:color w:val="auto"/>
              </w:rPr>
            </w:pPr>
          </w:p>
        </w:tc>
        <w:tc>
          <w:tcPr>
            <w:tcW w:w="4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Brian Kocher</w:t>
            </w:r>
          </w:p>
        </w:tc>
      </w:tr>
      <w:tr>
        <w:trPr>
          <w:trHeight w:val="236"/>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8"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December 20, 2022 by the following persons on behalf of the registrant and in the capacities indicated: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28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Brian Kocher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Brian Kocher</w:t>
            </w:r>
          </w:p>
        </w:tc>
        <w:tc>
          <w:tcPr>
            <w:tcW w:w="20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Shawn Munsell</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Shawn Munsell</w:t>
            </w:r>
          </w:p>
        </w:tc>
        <w:tc>
          <w:tcPr>
            <w:tcW w:w="20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381"/>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W. Hollister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Steven W. Hollister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Marc L. Brown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 L. Brown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M. Hunt</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M. Hunt</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Adriana Mendizabal</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Adriana Mendizabal</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A. DiGregorio</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A. DiGregorio</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Donald M. Sanders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Donald M. Sanders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James Helin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James Helin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Farha Aslam</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Farha Aslam</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 Link Leavens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 Link Leavens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Kathleen M. Holmgren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Kathleen M. Holmgren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95" w:name="page96"/>
    <w:bookmarkEnd w:id="9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333-191702 and 333-199754 on Form S-3 and Registration Statement Nos. 333-179101 and 333-256980 on Form S-8 of our reports dated December 20, 2022, relating to the financial statements of Calavo Growers, Inc. and subsidiaries (the “Company”) and the effectiveness of the Company’s internal control over financial reporting appearing in this Annual Report on Form 10-K for the year ended October 31, 2022.</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6" w:name="page97"/>
    <w:bookmarkEnd w:id="9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Brian Kocher, certify that:</w:t>
      </w:r>
    </w:p>
    <w:p>
      <w:pPr>
        <w:spacing w:after="0" w:line="225" w:lineRule="exact"/>
        <w:rPr>
          <w:sz w:val="20"/>
          <w:szCs w:val="20"/>
          <w:color w:val="auto"/>
        </w:rPr>
      </w:pPr>
    </w:p>
    <w:p>
      <w:pPr>
        <w:ind w:left="700" w:hanging="65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ind w:left="1340" w:right="179" w:hanging="648"/>
        <w:spacing w:after="0" w:line="261" w:lineRule="auto"/>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39" w:hanging="656"/>
        <w:spacing w:after="0" w:line="266"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2022</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Kocher</w:t>
            </w:r>
          </w:p>
        </w:tc>
      </w:tr>
      <w:tr>
        <w:trPr>
          <w:trHeight w:val="191"/>
        </w:trPr>
        <w:tc>
          <w:tcPr>
            <w:tcW w:w="444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Kocher</w:t>
            </w:r>
          </w:p>
        </w:tc>
      </w:tr>
      <w:tr>
        <w:trPr>
          <w:trHeight w:val="234"/>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3"/>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7" w:name="page98"/>
    <w:bookmarkEnd w:id="9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Shawn Munsell, certify that:</w:t>
      </w:r>
    </w:p>
    <w:p>
      <w:pPr>
        <w:spacing w:after="0" w:line="225" w:lineRule="exact"/>
        <w:rPr>
          <w:sz w:val="20"/>
          <w:szCs w:val="20"/>
          <w:color w:val="auto"/>
        </w:rPr>
      </w:pPr>
    </w:p>
    <w:p>
      <w:pPr>
        <w:ind w:left="700" w:hanging="656"/>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656"/>
        <w:spacing w:after="0" w:line="258"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340" w:right="79" w:hanging="648"/>
        <w:spacing w:after="0" w:line="255" w:lineRule="auto"/>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ind w:left="1340" w:right="179" w:hanging="648"/>
        <w:spacing w:after="0" w:line="261" w:lineRule="auto"/>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40" w:right="119" w:hanging="648"/>
        <w:spacing w:after="0" w:line="261" w:lineRule="auto"/>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39" w:hanging="656"/>
        <w:spacing w:after="0" w:line="266"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2022</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Munsell</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3" w:lineRule="exact"/>
        <w:rPr>
          <w:sz w:val="20"/>
          <w:szCs w:val="20"/>
          <w:color w:val="auto"/>
        </w:rPr>
      </w:pPr>
    </w:p>
    <w:p>
      <w:pPr>
        <w:ind w:left="40" w:right="379" w:firstLine="648"/>
        <w:spacing w:after="0" w:line="276" w:lineRule="auto"/>
        <w:rPr>
          <w:sz w:val="20"/>
          <w:szCs w:val="20"/>
          <w:color w:val="auto"/>
        </w:rPr>
      </w:pPr>
      <w:r>
        <w:rPr>
          <w:rFonts w:ascii="Times New Roman" w:cs="Times New Roman" w:eastAsia="Times New Roman" w:hAnsi="Times New Roman"/>
          <w:sz w:val="17"/>
          <w:szCs w:val="17"/>
          <w:color w:val="auto"/>
        </w:rPr>
        <w:t>Each of the undersigned, the Chairman of the Board and Chief Executive Officer and Chief Operating Officer, Chief Financial Officer, and Corporate Secretary of Calavo Growers, Inc. (the Company), hereby certifies, pursuant to</w:t>
      </w:r>
    </w:p>
    <w:p>
      <w:pPr>
        <w:spacing w:after="0" w:line="1"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his knowledge, the Company’s Annual Report on Form 10-K for the year ended October 31, 2022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December 20, 2022</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Kocher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lowerRoman"/>
      <w:start w:val="2"/>
    </w:lvl>
  </w:abstractNum>
  <w:abstractNum w:abstractNumId="16">
    <w:nsid w:val="3804823E"/>
    <w:multiLevelType w:val="hybridMultilevel"/>
    <w:lvl w:ilvl="0">
      <w:lvlJc w:val="left"/>
      <w:lvlText w:val="(%1)"/>
      <w:numFmt w:val="decimal"/>
      <w:start w:val="2"/>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6"/>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7"/>
    </w:lvl>
  </w:abstractNum>
  <w:abstractNum w:abstractNumId="27">
    <w:nsid w:val="70A64E2A"/>
    <w:multiLevelType w:val="hybridMultilevel"/>
    <w:lvl w:ilvl="0">
      <w:lvlJc w:val="left"/>
      <w:lvlText w:val="o"/>
      <w:numFmt w:val="bullet"/>
      <w:start w:val="1"/>
    </w:lvl>
  </w:abstractNum>
  <w:abstractNum w:abstractNumId="28">
    <w:nsid w:val="6A2342EC"/>
    <w:multiLevelType w:val="hybridMultilevel"/>
    <w:lvl w:ilvl="0">
      <w:lvlJc w:val="left"/>
      <w:lvlText w:val="%1."/>
      <w:numFmt w:val="decimal"/>
      <w:start w:val="8"/>
    </w:lvl>
  </w:abstractNum>
  <w:abstractNum w:abstractNumId="29">
    <w:nsid w:val="2A487CB0"/>
    <w:multiLevelType w:val="hybridMultilevel"/>
    <w:lvl w:ilvl="0">
      <w:lvlJc w:val="left"/>
      <w:lvlText w:val="%1."/>
      <w:numFmt w:val="decimal"/>
      <w:start w:val="9"/>
    </w:lvl>
  </w:abstractNum>
  <w:abstractNum w:abstractNumId="30">
    <w:nsid w:val="1D4ED43B"/>
    <w:multiLevelType w:val="hybridMultilevel"/>
    <w:lvl w:ilvl="0">
      <w:lvlJc w:val="left"/>
      <w:lvlText w:val="%1."/>
      <w:numFmt w:val="decimal"/>
      <w:start w:val="10"/>
    </w:lvl>
  </w:abstractNum>
  <w:abstractNum w:abstractNumId="31">
    <w:nsid w:val="725A06FB"/>
    <w:multiLevelType w:val="hybridMultilevel"/>
    <w:lvl w:ilvl="0">
      <w:lvlJc w:val="left"/>
      <w:lvlText w:val="%1."/>
      <w:numFmt w:val="decimal"/>
      <w:start w:val="13"/>
    </w:lvl>
  </w:abstractNum>
  <w:abstractNum w:abstractNumId="32">
    <w:nsid w:val="2CD89A32"/>
    <w:multiLevelType w:val="hybridMultilevel"/>
    <w:lvl w:ilvl="0">
      <w:lvlJc w:val="left"/>
      <w:lvlText w:val="%1."/>
      <w:numFmt w:val="decimal"/>
      <w:start w:val="14"/>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lowerRoman"/>
      <w:start w:val="3"/>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Ø"/>
      <w:numFmt w:val="bullet"/>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lowerLetter"/>
      <w:start w:val="3"/>
    </w:lvl>
  </w:abstractNum>
  <w:abstractNum w:abstractNumId="44">
    <w:nsid w:val="3DC240FB"/>
    <w:multiLevelType w:val="hybridMultilevel"/>
    <w:lvl w:ilvl="0">
      <w:lvlJc w:val="left"/>
      <w:lvlText w:val="%1"/>
      <w:numFmt w:val="decimal"/>
      <w:start w:val="32"/>
    </w:lvl>
  </w:abstractNum>
  <w:abstractNum w:abstractNumId="45">
    <w:nsid w:val="1BA026FA"/>
    <w:multiLevelType w:val="hybridMultilevel"/>
    <w:lvl w:ilvl="0">
      <w:lvlJc w:val="left"/>
      <w:lvlText w:val="*"/>
      <w:numFmt w:val="bullet"/>
      <w:start w:val="1"/>
    </w:lvl>
    <w:lvl w:ilvl="1">
      <w:lvlJc w:val="left"/>
      <w:lvlText w:val="%2"/>
      <w:numFmt w:val="decimal"/>
      <w:start w:val="104"/>
    </w:lvl>
  </w:abstractNum>
  <w:abstractNum w:abstractNumId="46">
    <w:nsid w:val="79A1DEAA"/>
    <w:multiLevelType w:val="hybridMultilevel"/>
    <w:lvl w:ilvl="0">
      <w:lvlJc w:val="left"/>
      <w:lvlText w:val="1"/>
      <w:numFmt w:val="bullet"/>
      <w:start w:val="1"/>
    </w:lvl>
  </w:abstractNum>
  <w:abstractNum w:abstractNumId="47">
    <w:nsid w:val="75C6C33A"/>
    <w:multiLevelType w:val="hybridMultilevel"/>
    <w:lvl w:ilvl="0">
      <w:lvlJc w:val="left"/>
      <w:lvlText w:val="2"/>
      <w:numFmt w:val="bullet"/>
      <w:start w:val="1"/>
    </w:lvl>
  </w:abstractNum>
  <w:abstractNum w:abstractNumId="48">
    <w:nsid w:val="12E685FB"/>
    <w:multiLevelType w:val="hybridMultilevel"/>
    <w:lvl w:ilvl="0">
      <w:lvlJc w:val="left"/>
      <w:lvlText w:val="7"/>
      <w:numFmt w:val="bullet"/>
      <w:start w:val="1"/>
    </w:lvl>
  </w:abstractNum>
  <w:abstractNum w:abstractNumId="49">
    <w:nsid w:val="70C6A529"/>
    <w:multiLevelType w:val="hybridMultilevel"/>
    <w:lvl w:ilvl="0">
      <w:lvlJc w:val="left"/>
      <w:lvlText w:val="8"/>
      <w:numFmt w:val="bullet"/>
      <w:start w:val="1"/>
    </w:lvl>
  </w:abstractNum>
  <w:abstractNum w:abstractNumId="50">
    <w:nsid w:val="520EEDD1"/>
    <w:multiLevelType w:val="hybridMultilevel"/>
    <w:lvl w:ilvl="0">
      <w:lvlJc w:val="left"/>
      <w:lvlText w:val="9"/>
      <w:numFmt w:val="bullet"/>
      <w:start w:val="1"/>
    </w:lvl>
  </w:abstractNum>
  <w:abstractNum w:abstractNumId="51">
    <w:nsid w:val="374A3FE6"/>
    <w:multiLevelType w:val="hybridMultilevel"/>
    <w:lvl w:ilvl="0">
      <w:lvlJc w:val="left"/>
      <w:lvlText w:val="%1"/>
      <w:numFmt w:val="decimal"/>
      <w:start w:val="10"/>
    </w:lvl>
  </w:abstractNum>
  <w:abstractNum w:abstractNumId="52">
    <w:nsid w:val="4F4EF005"/>
    <w:multiLevelType w:val="hybridMultilevel"/>
    <w:lvl w:ilvl="0">
      <w:lvlJc w:val="left"/>
      <w:lvlText w:val="%1"/>
      <w:numFmt w:val="decimal"/>
      <w:start w:val="13"/>
    </w:lvl>
  </w:abstractNum>
  <w:abstractNum w:abstractNumId="53">
    <w:nsid w:val="23F9C13C"/>
    <w:multiLevelType w:val="hybridMultilevel"/>
    <w:lvl w:ilvl="0">
      <w:lvlJc w:val="left"/>
      <w:lvlText w:val="%1"/>
      <w:numFmt w:val="decimal"/>
      <w:start w:val="36"/>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7" Type="http://schemas.openxmlformats.org/officeDocument/2006/relationships/image" Target="media/image88.png"/><Relationship Id="rId119" Type="http://schemas.openxmlformats.org/officeDocument/2006/relationships/image" Target="media/image89.png"/><Relationship Id="rId121" Type="http://schemas.openxmlformats.org/officeDocument/2006/relationships/image" Target="media/image90.png"/><Relationship Id="rId123" Type="http://schemas.openxmlformats.org/officeDocument/2006/relationships/image" Target="media/image91.png"/><Relationship Id="rId127" Type="http://schemas.openxmlformats.org/officeDocument/2006/relationships/image" Target="media/image92.png"/><Relationship Id="rId129" Type="http://schemas.openxmlformats.org/officeDocument/2006/relationships/image" Target="media/image93.png"/><Relationship Id="rId131" Type="http://schemas.openxmlformats.org/officeDocument/2006/relationships/image" Target="media/image94.png"/><Relationship Id="rId133" Type="http://schemas.openxmlformats.org/officeDocument/2006/relationships/image" Target="media/image95.png"/><Relationship Id="rId135" Type="http://schemas.openxmlformats.org/officeDocument/2006/relationships/image" Target="media/image96.png"/><Relationship Id="rId137" Type="http://schemas.openxmlformats.org/officeDocument/2006/relationships/image" Target="media/image97.png"/><Relationship Id="rId139" Type="http://schemas.openxmlformats.org/officeDocument/2006/relationships/image" Target="media/image98.png"/><Relationship Id="rId141" Type="http://schemas.openxmlformats.org/officeDocument/2006/relationships/image" Target="media/image99.png"/><Relationship Id="rId143" Type="http://schemas.openxmlformats.org/officeDocument/2006/relationships/image" Target="media/image100.png"/><Relationship Id="rId145" Type="http://schemas.openxmlformats.org/officeDocument/2006/relationships/image" Target="media/image101.png"/><Relationship Id="rId147" Type="http://schemas.openxmlformats.org/officeDocument/2006/relationships/image" Target="media/image102.png"/><Relationship Id="rId149" Type="http://schemas.openxmlformats.org/officeDocument/2006/relationships/image" Target="media/image103.png"/><Relationship Id="rId152" Type="http://schemas.openxmlformats.org/officeDocument/2006/relationships/image" Target="media/image104.png"/><Relationship Id="rId154" Type="http://schemas.openxmlformats.org/officeDocument/2006/relationships/image" Target="media/image105.png"/><Relationship Id="rId156" Type="http://schemas.openxmlformats.org/officeDocument/2006/relationships/image" Target="media/image106.png"/><Relationship Id="rId158" Type="http://schemas.openxmlformats.org/officeDocument/2006/relationships/image" Target="media/image107.png"/><Relationship Id="rId160" Type="http://schemas.openxmlformats.org/officeDocument/2006/relationships/image" Target="media/image108.png"/><Relationship Id="rId174" Type="http://schemas.openxmlformats.org/officeDocument/2006/relationships/image" Target="media/image109.png"/><Relationship Id="rId183" Type="http://schemas.openxmlformats.org/officeDocument/2006/relationships/image" Target="media/image110.png"/><Relationship Id="rId184" Type="http://schemas.openxmlformats.org/officeDocument/2006/relationships/image" Target="media/image111.png"/><Relationship Id="rId185" Type="http://schemas.openxmlformats.org/officeDocument/2006/relationships/image" Target="media/image112.png"/><Relationship Id="rId186" Type="http://schemas.openxmlformats.org/officeDocument/2006/relationships/image" Target="media/image113.png"/><Relationship Id="rId187" Type="http://schemas.openxmlformats.org/officeDocument/2006/relationships/image" Target="media/image114.png"/><Relationship Id="rId188" Type="http://schemas.openxmlformats.org/officeDocument/2006/relationships/image" Target="media/image115.png"/><Relationship Id="rId189" Type="http://schemas.openxmlformats.org/officeDocument/2006/relationships/image" Target="media/image116.png"/><Relationship Id="rId190" Type="http://schemas.openxmlformats.org/officeDocument/2006/relationships/image" Target="media/image117.png"/><Relationship Id="rId191" Type="http://schemas.openxmlformats.org/officeDocument/2006/relationships/image" Target="media/image118.png"/><Relationship Id="rId192" Type="http://schemas.openxmlformats.org/officeDocument/2006/relationships/image" Target="media/image119.png"/><Relationship Id="rId193" Type="http://schemas.openxmlformats.org/officeDocument/2006/relationships/image" Target="media/image120.png"/><Relationship Id="rId194" Type="http://schemas.openxmlformats.org/officeDocument/2006/relationships/image" Target="media/image121.png"/><Relationship Id="rId195" Type="http://schemas.openxmlformats.org/officeDocument/2006/relationships/image" Target="media/image122.png"/><Relationship Id="rId95" Type="http://schemas.openxmlformats.org/officeDocument/2006/relationships/hyperlink" Target="http://www.sec.gov/Archives/edgar/data/1133470/000095014801500411/v70569ex2-1.txt" TargetMode="External"/><Relationship Id="rId96" Type="http://schemas.openxmlformats.org/officeDocument/2006/relationships/hyperlink" Target="http://www.sec.gov/Archives/edgar/data/1133470/000095014804000129/v95808exv2w2.txt" TargetMode="External"/><Relationship Id="rId97" Type="http://schemas.openxmlformats.org/officeDocument/2006/relationships/hyperlink" Target="http://www.sec.gov/Archives/edgar/data/1133470/000095012905006084/v09841exv10w1.htm" TargetMode="External"/><Relationship Id="rId98" Type="http://schemas.openxmlformats.org/officeDocument/2006/relationships/hyperlink" Target="http://www.sec.gov/Archives/edgar/data/1133470/000095012408002518/v41085exv2w1.htm" TargetMode="External"/><Relationship Id="rId99" Type="http://schemas.openxmlformats.org/officeDocument/2006/relationships/hyperlink" Target="http://www.sec.gov/Archives/edgar/data/1133470/000095012310023590/v55403exv2w1.htm" TargetMode="External"/><Relationship Id="rId100" Type="http://schemas.openxmlformats.org/officeDocument/2006/relationships/hyperlink" Target="http://www.sec.gov/Archives/edgar/data/1133470/000095012310023590/v55403exv10w3.htm" TargetMode="External"/><Relationship Id="rId101" Type="http://schemas.openxmlformats.org/officeDocument/2006/relationships/hyperlink" Target="http://www.sec.gov/Archives/edgar/data/1133470/000119312512008063/d280367dex21.htm" TargetMode="External"/><Relationship Id="rId102" Type="http://schemas.openxmlformats.org/officeDocument/2006/relationships/hyperlink" Target="http://www.sec.gov/Archives/edgar/data/1133470/000119312512454567/d435941dex101.htm" TargetMode="External"/><Relationship Id="rId103" Type="http://schemas.openxmlformats.org/officeDocument/2006/relationships/hyperlink" Target="http://www.sec.gov/Archives/edgar/data/1133470/000119312513357144/d592266dex101.htm" TargetMode="External"/><Relationship Id="rId104" Type="http://schemas.openxmlformats.org/officeDocument/2006/relationships/hyperlink" Target="http://www.sec.gov/Archives/edgar/data/1133470/000119312513360154/d576441dex102.htm" TargetMode="External"/><Relationship Id="rId105" Type="http://schemas.openxmlformats.org/officeDocument/2006/relationships/hyperlink" Target="http://www.sec.gov/Archives/edgar/data/1133470/000119312513455104/d636762dex101.htm" TargetMode="External"/><Relationship Id="rId106" Type="http://schemas.openxmlformats.org/officeDocument/2006/relationships/hyperlink" Target="http://www.sec.gov/Archives/edgar/data/1133470/000095014801500411/v70569ex3-1.txt" TargetMode="External"/><Relationship Id="rId107" Type="http://schemas.openxmlformats.org/officeDocument/2006/relationships/hyperlink" Target="http://www.sec.gov/Archives/edgar/data/1133470/000095014802002970/v86640exv99w1.htm" TargetMode="External"/><Relationship Id="rId108" Type="http://schemas.openxmlformats.org/officeDocument/2006/relationships/hyperlink" Target="http://www.sec.gov/Archives/edgar/data/1133470/000119312514358632/d795671dex34.htm" TargetMode="External"/><Relationship Id="rId109" Type="http://schemas.openxmlformats.org/officeDocument/2006/relationships/hyperlink" Target="https://www.sec.gov/Archives/edgar/data/1133470/000155837020003374/ex-4d1.htm" TargetMode="External"/><Relationship Id="rId110" Type="http://schemas.openxmlformats.org/officeDocument/2006/relationships/hyperlink" Target="http://www.sec.gov/Archives/edgar/data/1133470/000095014803000098/v87183exv10w1.htm" TargetMode="External"/><Relationship Id="rId111" Type="http://schemas.openxmlformats.org/officeDocument/2006/relationships/hyperlink" Target="http://www.sec.gov/Archives/edgar/data/1133470/000095014801500411/v70569ex10-2.txt" TargetMode="External"/><Relationship Id="rId112" Type="http://schemas.openxmlformats.org/officeDocument/2006/relationships/hyperlink" Target="http://www.sec.gov/Archives/edgar/data/1133470/000095014801500411/v70569ex10-4.txt" TargetMode="External"/><Relationship Id="rId113" Type="http://schemas.openxmlformats.org/officeDocument/2006/relationships/hyperlink" Target="http://www.sec.gov/Archives/edgar/data/1133470/000095012905006084/v09841exv10w2.htm" TargetMode="External"/><Relationship Id="rId114" Type="http://schemas.openxmlformats.org/officeDocument/2006/relationships/hyperlink" Target="http://www.sec.gov/Archives/edgar/data/1133470/000095012905006084/v09841exv10w4.htm" TargetMode="External"/><Relationship Id="rId115" Type="http://schemas.openxmlformats.org/officeDocument/2006/relationships/hyperlink" Target="http://www.sec.gov/Archives/edgar/data/1133470/000095012905006084/v09841exv10w3.htm" TargetMode="External"/><Relationship Id="rId116" Type="http://schemas.openxmlformats.org/officeDocument/2006/relationships/hyperlink" Target="http://www.sec.gov/Archives/edgar/data/1133470/000095014801500411/v70569ex10-13.txt" TargetMode="External"/><Relationship Id="rId118" Type="http://schemas.openxmlformats.org/officeDocument/2006/relationships/hyperlink" Target="http://www.sec.gov/Archives/edgar/data/1133470/000095014801500411/v70569ex10-14.txt" TargetMode="External"/><Relationship Id="rId120" Type="http://schemas.openxmlformats.org/officeDocument/2006/relationships/hyperlink" Target="http://www.sec.gov/Archives/edgar/data/1133470/000119312513360154/d576441dex103.htm" TargetMode="External"/><Relationship Id="rId122" Type="http://schemas.openxmlformats.org/officeDocument/2006/relationships/hyperlink" Target="http://www.sec.gov/Archives/edgar/data/1133470/000095012311002615/v58339exv10w18.htm" TargetMode="External"/><Relationship Id="rId124" Type="http://schemas.openxmlformats.org/officeDocument/2006/relationships/hyperlink" Target="http://www.sec.gov/Archives/edgar/data/1133470/000119312512454567/d435941dex102.htm" TargetMode="External"/><Relationship Id="rId125" Type="http://schemas.openxmlformats.org/officeDocument/2006/relationships/hyperlink" Target="http://www.sec.gov/Archives/edgar/data/1133470/000119312512454567/d435941dex103.htm" TargetMode="External"/><Relationship Id="rId126" Type="http://schemas.openxmlformats.org/officeDocument/2006/relationships/hyperlink" Target="http://www.sec.gov/Archives/edgar/data/1133470/000119312512454567/d435941dex104.htm" TargetMode="External"/><Relationship Id="rId128" Type="http://schemas.openxmlformats.org/officeDocument/2006/relationships/hyperlink" Target="http://www.sec.gov/Archives/edgar/data/1133470/000119312512454567/d435941dex105.htm" TargetMode="External"/><Relationship Id="rId130" Type="http://schemas.openxmlformats.org/officeDocument/2006/relationships/hyperlink" Target="http://www.sec.gov/Archives/edgar/data/1133470/000155837016010634/cvgw-20161031ex10351237a.htm" TargetMode="External"/><Relationship Id="rId132" Type="http://schemas.openxmlformats.org/officeDocument/2006/relationships/hyperlink" Target="http://www.sec.gov/Archives/edgar/data/1133470/000119312515264163/d40593dex101.htm" TargetMode="External"/><Relationship Id="rId134" Type="http://schemas.openxmlformats.org/officeDocument/2006/relationships/hyperlink" Target="http://www.sec.gov/Archives/edgar/data/1133470/000119312516436927/d273047dex101.htm" TargetMode="External"/><Relationship Id="rId136" Type="http://schemas.openxmlformats.org/officeDocument/2006/relationships/hyperlink" Target="http://www.sec.gov/Archives/edgar/data/1133470/000119312516436927/d273047dex102.htm" TargetMode="External"/><Relationship Id="rId138" Type="http://schemas.openxmlformats.org/officeDocument/2006/relationships/hyperlink" Target="http://www.sec.gov/Archives/edgar/data/1133470/000119312516446268/d21889dex101.htm" TargetMode="External"/><Relationship Id="rId140" Type="http://schemas.openxmlformats.org/officeDocument/2006/relationships/hyperlink" Target="http://www.sec.gov/Archives/edgar/data/1133470/000119312516446268/d21889dex102.htm" TargetMode="External"/><Relationship Id="rId142" Type="http://schemas.openxmlformats.org/officeDocument/2006/relationships/hyperlink" Target="http://www.sec.gov/Archives/edgar/data/1133470/000119312516446268/d21889dex103.htm" TargetMode="External"/><Relationship Id="rId144" Type="http://schemas.openxmlformats.org/officeDocument/2006/relationships/hyperlink" Target="http://www.sec.gov/Archives/edgar/data/1133470/000119312516606560/d189178dex101.htm" TargetMode="External"/><Relationship Id="rId146" Type="http://schemas.openxmlformats.org/officeDocument/2006/relationships/hyperlink" Target="http://www.sec.gov/Archives/edgar/data/1133470/000119312516606560/d189178dex102.htm" TargetMode="External"/><Relationship Id="rId148" Type="http://schemas.openxmlformats.org/officeDocument/2006/relationships/hyperlink" Target="http://www.sec.gov/Archives/edgar/data/1133470/000119312516626473/d196963dex101.htm" TargetMode="External"/><Relationship Id="rId150" Type="http://schemas.openxmlformats.org/officeDocument/2006/relationships/hyperlink" Target="http://www.sec.gov/Archives/edgar/data/1133470/000119312516626473/d196963dex102.htm" TargetMode="External"/><Relationship Id="rId151" Type="http://schemas.openxmlformats.org/officeDocument/2006/relationships/hyperlink" Target="http://www.sec.gov/Archives/edgar/data/1133470/000119312516699606/d245542dex101.htm" TargetMode="External"/><Relationship Id="rId153" Type="http://schemas.openxmlformats.org/officeDocument/2006/relationships/hyperlink" Target="http://www.sec.gov/Archives/edgar/data/1133470/000155837016008260/cvgw-20160731ex10123fd08.htm" TargetMode="External"/><Relationship Id="rId155" Type="http://schemas.openxmlformats.org/officeDocument/2006/relationships/hyperlink" Target="http://www.sec.gov/Archives/edgar/data/1133470/000119312516760447/d287729dex101.htm" TargetMode="External"/><Relationship Id="rId157" Type="http://schemas.openxmlformats.org/officeDocument/2006/relationships/hyperlink" Target="http://www.sec.gov/Archives/edgar/data/1133470/000155837018007357/cvgw-20180731ex101007717.htm" TargetMode="External"/><Relationship Id="rId159" Type="http://schemas.openxmlformats.org/officeDocument/2006/relationships/hyperlink" Target="http://www.sec.gov/Archives/edgar/data/1133470/000155837018007357/cvgw-20180731ex102cafedd.htm" TargetMode="External"/><Relationship Id="rId161" Type="http://schemas.openxmlformats.org/officeDocument/2006/relationships/hyperlink" Target="http://www.sec.gov/Archives/edgar/data/1133470/000155837019001638/cvgw-20190131ex1014d6d57.htm" TargetMode="External"/><Relationship Id="rId162" Type="http://schemas.openxmlformats.org/officeDocument/2006/relationships/hyperlink" Target="http://www.sec.gov/Archives/edgar/data/1133470/000155837019001638/cvgw-20190131ex10270a9dd.htm" TargetMode="External"/><Relationship Id="rId163" Type="http://schemas.openxmlformats.org/officeDocument/2006/relationships/hyperlink" Target="http://www.sec.gov/Archives/edgar/data/1133470/000155837019001638/cvgw-20190131ex103d2fb83.htm" TargetMode="External"/><Relationship Id="rId164" Type="http://schemas.openxmlformats.org/officeDocument/2006/relationships/hyperlink" Target="http://www.sec.gov/Archives/edgar/data/1133470/000155837019001638/cvgw-20190131ex104edc256.htm" TargetMode="External"/><Relationship Id="rId165" Type="http://schemas.openxmlformats.org/officeDocument/2006/relationships/hyperlink" Target="http://www.sec.gov/Archives/edgar/data/1133470/000155837019001638/cvgw-20190131ex105b9cbef.htm" TargetMode="External"/><Relationship Id="rId166" Type="http://schemas.openxmlformats.org/officeDocument/2006/relationships/hyperlink" Target="https://www.sec.gov/Archives/edgar/data/1133470/000155837020007369/cvgw-20200430xex10d4.htm" TargetMode="External"/><Relationship Id="rId167" Type="http://schemas.openxmlformats.org/officeDocument/2006/relationships/hyperlink" Target="https://www.sec.gov/Archives/edgar/data/1133470/000155837020007369/cvgw-20200430xex10d5.htm" TargetMode="External"/><Relationship Id="rId168" Type="http://schemas.openxmlformats.org/officeDocument/2006/relationships/hyperlink" Target="https://www.sec.gov/Archives/edgar/data/1133470/000155837020007369/cvgw-20200430xex10d6.htm" TargetMode="External"/><Relationship Id="rId169" Type="http://schemas.openxmlformats.org/officeDocument/2006/relationships/hyperlink" Target="https://www.sec.gov/Archives/edgar/data/1133470/000155837020007369/cvgw-20200430xex10d7.htm" TargetMode="External"/><Relationship Id="rId170" Type="http://schemas.openxmlformats.org/officeDocument/2006/relationships/hyperlink" Target="https://www.sec.gov/Archives/edgar/data/1133470/000155837021008126/cvgw-20210430xex10d1.htm" TargetMode="External"/><Relationship Id="rId171" Type="http://schemas.openxmlformats.org/officeDocument/2006/relationships/hyperlink" Target="https://www.sec.gov/Archives/edgar/data/1133470/000155837021016557/cvgw-20211201xex10d1.htm" TargetMode="External"/><Relationship Id="rId172" Type="http://schemas.openxmlformats.org/officeDocument/2006/relationships/hyperlink" Target="https://www.sec.gov/Archives/edgar/data/1133470/000155837021016557/cvgw-20211201xex10d2.htm" TargetMode="External"/><Relationship Id="rId173" Type="http://schemas.openxmlformats.org/officeDocument/2006/relationships/hyperlink" Target="https://www.sec.gov/Archives/edgar/data/1133470/000155837022003566/cvgw-20220131xex10d1.htm" TargetMode="External"/><Relationship Id="rId175" Type="http://schemas.openxmlformats.org/officeDocument/2006/relationships/hyperlink" Target="https://www.sec.gov/Archives/edgar/data/1133470/000155837022003566/cvgw-20220131xex10d2.htm" TargetMode="External"/><Relationship Id="rId176" Type="http://schemas.openxmlformats.org/officeDocument/2006/relationships/hyperlink" Target="https://www.sec.gov/Archives/edgar/data/1133470/000155837022009683/cvgw-20220430xex10d1.htm" TargetMode="External"/><Relationship Id="rId177" Type="http://schemas.openxmlformats.org/officeDocument/2006/relationships/hyperlink" Target="https://www.sec.gov/Archives/edgar/data/1133470/000155837022009683/cvgw-20220430xex10d2.htm" TargetMode="External"/><Relationship Id="rId178" Type="http://schemas.openxmlformats.org/officeDocument/2006/relationships/hyperlink" Target="https://www.sec.gov/Archives/edgar/data/1133470/000155837022015916/cvgw-20221101xex10d1.htm" TargetMode="External"/><Relationship Id="rId179" Type="http://schemas.openxmlformats.org/officeDocument/2006/relationships/hyperlink" Target="https://www.sec.gov/Archives/edgar/data/1133470/000155837021000828/cvgw-20210203xex10d1.htm" TargetMode="External"/><Relationship Id="rId180" Type="http://schemas.openxmlformats.org/officeDocument/2006/relationships/hyperlink" Target="https://www.sec.gov/Archives/edgar/data/1133470/000155837022009945/cvgw-20220609xex99d2.htm" TargetMode="External"/><Relationship Id="rId181" Type="http://schemas.openxmlformats.org/officeDocument/2006/relationships/hyperlink" Target="https://www.sec.gov/Archives/edgar/data/1133470/000155837021017004/cvgw-20211220xex99d2.htm" TargetMode="External"/><Relationship Id="rId182" Type="http://schemas.openxmlformats.org/officeDocument/2006/relationships/hyperlink" Target="http://www.sec.gov/Archives/edgar/data/1133470/000095014801500411/v70569ex21-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2022-12-20T16:28:58Z</dcterms:created>
  <dcterms:modified xsi:type="dcterms:W3CDTF">2022-12-20T16:28:58Z</dcterms:modified>
</cp:coreProperties>
</file>