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286385</wp:posOffset>
            </wp:positionH>
            <wp:positionV relativeFrom="page">
              <wp:posOffset>174625</wp:posOffset>
            </wp:positionV>
            <wp:extent cx="699770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7700" cy="17145"/>
                    </a:xfrm>
                    <a:prstGeom prst="rect">
                      <a:avLst/>
                    </a:prstGeom>
                    <a:noFill/>
                  </pic:spPr>
                </pic:pic>
              </a:graphicData>
            </a:graphic>
          </wp:anchor>
        </w:drawing>
        <w:t>UNITED STATES</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36"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CURRENT REPORT PURSUANT</w:t>
      </w:r>
    </w:p>
    <w:p>
      <w:pPr>
        <w:spacing w:after="0" w:line="27"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TO SECTION 13 OR 15(d) OF THE</w:t>
      </w:r>
    </w:p>
    <w:p>
      <w:pPr>
        <w:spacing w:after="0" w:line="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Date of report (Date of earliest event reported): </w:t>
      </w:r>
      <w:r>
        <w:rPr>
          <w:rFonts w:ascii="Times New Roman" w:cs="Times New Roman" w:eastAsia="Times New Roman" w:hAnsi="Times New Roman"/>
          <w:sz w:val="18"/>
          <w:szCs w:val="18"/>
          <w:b w:val="1"/>
          <w:bCs w:val="1"/>
          <w:color w:val="auto"/>
        </w:rPr>
        <w:t>October 2, 2018</w:t>
      </w:r>
    </w:p>
    <w:p>
      <w:pPr>
        <w:spacing w:after="0" w:line="20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29"/>
          <w:szCs w:val="29"/>
          <w:b w:val="1"/>
          <w:bCs w:val="1"/>
          <w:color w:val="auto"/>
        </w:rPr>
        <w:t>CALAVO GROWERS, INC.</w:t>
      </w:r>
    </w:p>
    <w:p>
      <w:pPr>
        <w:spacing w:after="0" w:line="4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28" w:lineRule="exact"/>
        <w:rPr>
          <w:sz w:val="24"/>
          <w:szCs w:val="24"/>
          <w:color w:val="auto"/>
        </w:rPr>
      </w:pPr>
    </w:p>
    <w:tbl>
      <w:tblPr>
        <w:tblLayout w:type="fixed"/>
        <w:tblInd w:w="1380" w:type="dxa"/>
        <w:tblCellMar>
          <w:top w:w="0" w:type="dxa"/>
          <w:left w:w="0" w:type="dxa"/>
          <w:bottom w:w="0" w:type="dxa"/>
          <w:right w:w="0" w:type="dxa"/>
        </w:tblCellMar>
      </w:tblPr>
      <w:tr>
        <w:trPr>
          <w:trHeight w:val="238"/>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California</w:t>
            </w:r>
          </w:p>
        </w:tc>
        <w:tc>
          <w:tcPr>
            <w:tcW w:w="286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w w:val="99"/>
              </w:rPr>
              <w:t>000-33385</w:t>
            </w:r>
          </w:p>
        </w:tc>
        <w:tc>
          <w:tcPr>
            <w:tcW w:w="2800" w:type="dxa"/>
            <w:vAlign w:val="bottom"/>
            <w:gridSpan w:val="2"/>
          </w:tcPr>
          <w:p>
            <w:pPr>
              <w:jc w:val="center"/>
              <w:ind w:left="150"/>
              <w:spacing w:after="0"/>
              <w:rPr>
                <w:sz w:val="20"/>
                <w:szCs w:val="20"/>
                <w:color w:val="auto"/>
              </w:rPr>
            </w:pPr>
            <w:r>
              <w:rPr>
                <w:rFonts w:ascii="Times New Roman" w:cs="Times New Roman" w:eastAsia="Times New Roman" w:hAnsi="Times New Roman"/>
                <w:sz w:val="18"/>
                <w:szCs w:val="18"/>
                <w:b w:val="1"/>
                <w:bCs w:val="1"/>
                <w:color w:val="auto"/>
              </w:rPr>
              <w:t>33-0945304</w:t>
            </w:r>
          </w:p>
        </w:tc>
      </w:tr>
      <w:tr>
        <w:trPr>
          <w:trHeight w:val="108"/>
        </w:trPr>
        <w:tc>
          <w:tcPr>
            <w:tcW w:w="262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600" w:type="dxa"/>
            <w:vAlign w:val="bottom"/>
            <w:tcBorders>
              <w:bottom w:val="single" w:sz="8" w:color="auto"/>
            </w:tcBorders>
          </w:tcPr>
          <w:p>
            <w:pPr>
              <w:spacing w:after="0"/>
              <w:rPr>
                <w:sz w:val="9"/>
                <w:szCs w:val="9"/>
                <w:color w:val="auto"/>
              </w:rPr>
            </w:pPr>
          </w:p>
        </w:tc>
        <w:tc>
          <w:tcPr>
            <w:tcW w:w="260" w:type="dxa"/>
            <w:vAlign w:val="bottom"/>
          </w:tcPr>
          <w:p>
            <w:pPr>
              <w:spacing w:after="0"/>
              <w:rPr>
                <w:sz w:val="9"/>
                <w:szCs w:val="9"/>
                <w:color w:val="auto"/>
              </w:rPr>
            </w:pPr>
          </w:p>
        </w:tc>
        <w:tc>
          <w:tcPr>
            <w:tcW w:w="2540" w:type="dxa"/>
            <w:vAlign w:val="bottom"/>
            <w:tcBorders>
              <w:bottom w:val="single" w:sz="8" w:color="auto"/>
            </w:tcBorders>
          </w:tcPr>
          <w:p>
            <w:pPr>
              <w:spacing w:after="0"/>
              <w:rPr>
                <w:sz w:val="9"/>
                <w:szCs w:val="9"/>
                <w:color w:val="auto"/>
              </w:rPr>
            </w:pPr>
          </w:p>
        </w:tc>
      </w:tr>
      <w:tr>
        <w:trPr>
          <w:trHeight w:val="205"/>
        </w:trPr>
        <w:tc>
          <w:tcPr>
            <w:tcW w:w="262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w w:val="99"/>
              </w:rPr>
              <w:t>(State or Other</w:t>
            </w:r>
          </w:p>
        </w:tc>
        <w:tc>
          <w:tcPr>
            <w:tcW w:w="260" w:type="dxa"/>
            <w:vAlign w:val="bottom"/>
          </w:tcPr>
          <w:p>
            <w:pPr>
              <w:spacing w:after="0"/>
              <w:rPr>
                <w:sz w:val="17"/>
                <w:szCs w:val="17"/>
                <w:color w:val="auto"/>
              </w:rPr>
            </w:pPr>
          </w:p>
        </w:tc>
        <w:tc>
          <w:tcPr>
            <w:tcW w:w="260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(Commission File</w:t>
            </w:r>
          </w:p>
        </w:tc>
        <w:tc>
          <w:tcPr>
            <w:tcW w:w="260" w:type="dxa"/>
            <w:vAlign w:val="bottom"/>
          </w:tcPr>
          <w:p>
            <w:pPr>
              <w:spacing w:after="0"/>
              <w:rPr>
                <w:sz w:val="17"/>
                <w:szCs w:val="17"/>
                <w:color w:val="auto"/>
              </w:rPr>
            </w:pPr>
          </w:p>
        </w:tc>
        <w:tc>
          <w:tcPr>
            <w:tcW w:w="2540" w:type="dxa"/>
            <w:vAlign w:val="bottom"/>
          </w:tcPr>
          <w:p>
            <w:pPr>
              <w:jc w:val="center"/>
              <w:spacing w:after="0" w:line="205" w:lineRule="exact"/>
              <w:rPr>
                <w:sz w:val="20"/>
                <w:szCs w:val="20"/>
                <w:color w:val="auto"/>
              </w:rPr>
            </w:pPr>
            <w:r>
              <w:rPr>
                <w:rFonts w:ascii="Times New Roman" w:cs="Times New Roman" w:eastAsia="Times New Roman" w:hAnsi="Times New Roman"/>
                <w:sz w:val="18"/>
                <w:szCs w:val="18"/>
                <w:color w:val="auto"/>
              </w:rPr>
              <w:t>(IRS Employer</w:t>
            </w:r>
          </w:p>
        </w:tc>
      </w:tr>
      <w:tr>
        <w:trPr>
          <w:trHeight w:val="216"/>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Jurisdiction of</w:t>
            </w:r>
          </w:p>
        </w:tc>
        <w:tc>
          <w:tcPr>
            <w:tcW w:w="260" w:type="dxa"/>
            <w:vAlign w:val="bottom"/>
          </w:tcPr>
          <w:p>
            <w:pPr>
              <w:spacing w:after="0"/>
              <w:rPr>
                <w:sz w:val="18"/>
                <w:szCs w:val="18"/>
                <w:color w:val="auto"/>
              </w:rPr>
            </w:pPr>
          </w:p>
        </w:tc>
        <w:tc>
          <w:tcPr>
            <w:tcW w:w="26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Number)</w:t>
            </w:r>
          </w:p>
        </w:tc>
        <w:tc>
          <w:tcPr>
            <w:tcW w:w="260" w:type="dxa"/>
            <w:vAlign w:val="bottom"/>
          </w:tcPr>
          <w:p>
            <w:pPr>
              <w:spacing w:after="0"/>
              <w:rPr>
                <w:sz w:val="18"/>
                <w:szCs w:val="18"/>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234"/>
        </w:trPr>
        <w:tc>
          <w:tcPr>
            <w:tcW w:w="2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Incorporation)</w:t>
            </w:r>
          </w:p>
        </w:tc>
        <w:tc>
          <w:tcPr>
            <w:tcW w:w="26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40" w:type="dxa"/>
            <w:vAlign w:val="bottom"/>
          </w:tcPr>
          <w:p>
            <w:pPr>
              <w:spacing w:after="0"/>
              <w:rPr>
                <w:sz w:val="20"/>
                <w:szCs w:val="20"/>
                <w:color w:val="auto"/>
              </w:rPr>
            </w:pPr>
          </w:p>
        </w:tc>
      </w:tr>
    </w:tbl>
    <w:p>
      <w:pPr>
        <w:spacing w:after="0" w:line="23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1141-A Cummings Road, Santa Paula, California 93060</w:t>
      </w:r>
    </w:p>
    <w:p>
      <w:pPr>
        <w:spacing w:after="0" w:line="22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p>
      <w:pPr>
        <w:spacing w:after="0" w:line="33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206375</wp:posOffset>
            </wp:positionV>
            <wp:extent cx="699770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00" w:lineRule="exact"/>
        <w:rPr>
          <w:sz w:val="24"/>
          <w:szCs w:val="24"/>
          <w:color w:val="auto"/>
        </w:rPr>
      </w:pPr>
    </w:p>
    <w:p>
      <w:pPr>
        <w:spacing w:after="0" w:line="312"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 xml:space="preserve">Registrant’s telephone number, including area code: </w:t>
      </w:r>
      <w:r>
        <w:rPr>
          <w:rFonts w:ascii="Times New Roman" w:cs="Times New Roman" w:eastAsia="Times New Roman" w:hAnsi="Times New Roman"/>
          <w:sz w:val="18"/>
          <w:szCs w:val="18"/>
          <w:b w:val="1"/>
          <w:bCs w:val="1"/>
          <w:color w:val="auto"/>
        </w:rPr>
        <w:t>(805) 525-1245</w:t>
      </w:r>
    </w:p>
    <w:p>
      <w:pPr>
        <w:spacing w:after="0" w:line="229" w:lineRule="exact"/>
        <w:rPr>
          <w:sz w:val="24"/>
          <w:szCs w:val="24"/>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89" w:lineRule="exact"/>
        <w:rPr>
          <w:sz w:val="24"/>
          <w:szCs w:val="24"/>
          <w:color w:val="auto"/>
        </w:rPr>
      </w:pPr>
    </w:p>
    <w:p>
      <w:pPr>
        <w:ind w:left="440" w:hanging="22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440" w:hanging="22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52" w:lineRule="exact"/>
        <w:rPr>
          <w:rFonts w:ascii="MS PGothic" w:cs="MS PGothic" w:eastAsia="MS PGothic" w:hAnsi="MS PGothic"/>
          <w:sz w:val="18"/>
          <w:szCs w:val="18"/>
          <w:color w:val="auto"/>
        </w:rPr>
      </w:pPr>
    </w:p>
    <w:p>
      <w:pPr>
        <w:ind w:left="440" w:hanging="22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440" w:hanging="220"/>
        <w:spacing w:after="0"/>
        <w:tabs>
          <w:tab w:leader="none" w:pos="4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5" w:lineRule="exact"/>
        <w:rPr>
          <w:sz w:val="24"/>
          <w:szCs w:val="24"/>
          <w:color w:val="auto"/>
        </w:rPr>
      </w:pPr>
    </w:p>
    <w:p>
      <w:pPr>
        <w:ind w:firstLine="441"/>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as defined in Rule 405 of the Securities Act of 1933 (§230.405 of this chapter) or Rule 12b-2 of the Securities Exchange Act of 1934 (§240.12b-2 of this chapter).</w:t>
      </w:r>
    </w:p>
    <w:p>
      <w:pPr>
        <w:spacing w:after="0" w:line="25" w:lineRule="exact"/>
        <w:rPr>
          <w:sz w:val="24"/>
          <w:szCs w:val="24"/>
          <w:color w:val="auto"/>
        </w:rPr>
      </w:pPr>
    </w:p>
    <w:p>
      <w:pPr>
        <w:ind w:left="88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54" w:lineRule="exact"/>
        <w:rPr>
          <w:sz w:val="24"/>
          <w:szCs w:val="24"/>
          <w:color w:val="auto"/>
        </w:rPr>
      </w:pPr>
    </w:p>
    <w:p>
      <w:pPr>
        <w:ind w:firstLine="441"/>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107950</wp:posOffset>
            </wp:positionV>
            <wp:extent cx="699770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7700" cy="17145"/>
                    </a:xfrm>
                    <a:prstGeom prst="rect">
                      <a:avLst/>
                    </a:prstGeom>
                    <a:noFill/>
                  </pic:spPr>
                </pic:pic>
              </a:graphicData>
            </a:graphic>
          </wp:anchor>
        </w:drawing>
      </w:r>
    </w:p>
    <w:p>
      <w:pPr>
        <w:sectPr>
          <w:pgSz w:w="11900" w:h="16838" w:orient="portrait"/>
          <w:cols w:equalWidth="0" w:num="1">
            <w:col w:w="10860"/>
          </w:cols>
          <w:pgMar w:left="440" w:top="387" w:right="5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7.01 Regulation FD Disclosure</w:t>
      </w:r>
    </w:p>
    <w:p>
      <w:pPr>
        <w:spacing w:after="0" w:line="22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0"/>
          <w:szCs w:val="20"/>
          <w:color w:val="auto"/>
        </w:rPr>
        <w:t>Calavo Growers, Inc. is hereby furnishing the following information under Regulation FD.</w:t>
      </w:r>
    </w:p>
    <w:p>
      <w:pPr>
        <w:spacing w:after="0" w:line="216" w:lineRule="exact"/>
        <w:rPr>
          <w:sz w:val="20"/>
          <w:szCs w:val="20"/>
          <w:color w:val="auto"/>
        </w:rPr>
      </w:pPr>
    </w:p>
    <w:p>
      <w:pPr>
        <w:jc w:val="both"/>
        <w:ind w:left="440" w:firstLine="423"/>
        <w:spacing w:after="0" w:line="254" w:lineRule="auto"/>
        <w:rPr>
          <w:sz w:val="20"/>
          <w:szCs w:val="20"/>
          <w:color w:val="auto"/>
        </w:rPr>
      </w:pPr>
      <w:r>
        <w:rPr>
          <w:rFonts w:ascii="Times New Roman" w:cs="Times New Roman" w:eastAsia="Times New Roman" w:hAnsi="Times New Roman"/>
          <w:sz w:val="20"/>
          <w:szCs w:val="20"/>
          <w:color w:val="auto"/>
        </w:rPr>
        <w:t>On October 2, 2018, Calavo Growers, Inc. issued a press release, a copy of which is attached hereto as Exhibit 99.1 and incorporated by reference herein, announcing that its board of directors has declared an annual dividend of $1.00 per share of common stock, payable December 7, 2018, to shareholders of record on November 16,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b w:val="1"/>
          <w:bCs w:val="1"/>
          <w:color w:val="auto"/>
        </w:rPr>
        <w:t>Item 9.01. Financial Statements and Exhibits.</w:t>
      </w:r>
    </w:p>
    <w:p>
      <w:pPr>
        <w:spacing w:after="0" w:line="247" w:lineRule="exact"/>
        <w:rPr>
          <w:sz w:val="20"/>
          <w:szCs w:val="20"/>
          <w:color w:val="auto"/>
        </w:rPr>
      </w:pPr>
    </w:p>
    <w:p>
      <w:pPr>
        <w:spacing w:after="0"/>
        <w:tabs>
          <w:tab w:leader="none" w:pos="1620" w:val="left"/>
        </w:tabs>
        <w:rPr>
          <w:sz w:val="20"/>
          <w:szCs w:val="20"/>
          <w:color w:val="auto"/>
        </w:rPr>
      </w:pPr>
      <w:r>
        <w:rPr>
          <w:rFonts w:ascii="Times New Roman" w:cs="Times New Roman" w:eastAsia="Times New Roman" w:hAnsi="Times New Roman"/>
          <w:sz w:val="20"/>
          <w:szCs w:val="20"/>
          <w:color w:val="auto"/>
        </w:rPr>
        <w:t>(d)</w:t>
      </w:r>
      <w:r>
        <w:rPr>
          <w:sz w:val="20"/>
          <w:szCs w:val="20"/>
          <w:color w:val="auto"/>
        </w:rPr>
        <w:tab/>
      </w:r>
      <w:r>
        <w:rPr>
          <w:rFonts w:ascii="Times New Roman" w:cs="Times New Roman" w:eastAsia="Times New Roman" w:hAnsi="Times New Roman"/>
          <w:sz w:val="20"/>
          <w:szCs w:val="20"/>
          <w:color w:val="auto"/>
        </w:rPr>
        <w:t>Exhibits</w:t>
      </w:r>
    </w:p>
    <w:p>
      <w:pPr>
        <w:spacing w:after="0" w:line="243" w:lineRule="exact"/>
        <w:rPr>
          <w:sz w:val="20"/>
          <w:szCs w:val="20"/>
          <w:color w:val="auto"/>
        </w:rPr>
      </w:pPr>
    </w:p>
    <w:p>
      <w:pPr>
        <w:ind w:left="1660"/>
        <w:spacing w:after="0"/>
        <w:tabs>
          <w:tab w:leader="none" w:pos="2280" w:val="left"/>
        </w:tabs>
        <w:rPr>
          <w:rFonts w:ascii="Times New Roman" w:cs="Times New Roman" w:eastAsia="Times New Roman" w:hAnsi="Times New Roman"/>
          <w:sz w:val="19"/>
          <w:szCs w:val="19"/>
          <w:u w:val="single" w:color="auto"/>
          <w:color w:val="0000EE"/>
        </w:rPr>
      </w:pPr>
      <w:r>
        <w:rPr>
          <w:rFonts w:ascii="Times New Roman" w:cs="Times New Roman" w:eastAsia="Times New Roman" w:hAnsi="Times New Roman"/>
          <w:sz w:val="20"/>
          <w:szCs w:val="20"/>
          <w:color w:val="auto"/>
        </w:rPr>
        <w:t>99.1</w:t>
      </w:r>
      <w:r>
        <w:rPr>
          <w:sz w:val="20"/>
          <w:szCs w:val="20"/>
          <w:color w:val="auto"/>
        </w:rPr>
        <w:tab/>
      </w:r>
      <w:hyperlink w:anchor="page4">
        <w:r>
          <w:rPr>
            <w:rFonts w:ascii="Times New Roman" w:cs="Times New Roman" w:eastAsia="Times New Roman" w:hAnsi="Times New Roman"/>
            <w:sz w:val="19"/>
            <w:szCs w:val="19"/>
            <w:u w:val="single" w:color="auto"/>
            <w:color w:val="0000EE"/>
          </w:rPr>
          <w:t>Press release dated October 2, 2018 of the Registrant.</w:t>
        </w:r>
      </w:hyperlink>
    </w:p>
    <w:p>
      <w:pPr>
        <w:spacing w:after="0" w:line="153"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360"/>
          </w:cols>
          <w:pgMar w:left="440" w:top="261" w:right="1099" w:bottom="1440" w:gutter="0" w:footer="0" w:header="0"/>
        </w:sectPr>
      </w:pPr>
    </w:p>
    <w:bookmarkStart w:id="2" w:name="page3"/>
    <w:bookmarkEnd w:id="2"/>
    <w:p>
      <w:pPr>
        <w:jc w:val="center"/>
        <w:ind w:right="-299"/>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0" w:lineRule="exact"/>
        <w:rPr>
          <w:sz w:val="20"/>
          <w:szCs w:val="20"/>
          <w:color w:val="auto"/>
        </w:rPr>
      </w:pPr>
    </w:p>
    <w:p>
      <w:pPr>
        <w:ind w:firstLine="441"/>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Calavo Growers, Inc.</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October 2, 2018</w:t>
      </w:r>
    </w:p>
    <w:p>
      <w:pPr>
        <w:ind w:left="4520"/>
        <w:spacing w:after="0" w:line="233" w:lineRule="auto"/>
        <w:rPr>
          <w:sz w:val="20"/>
          <w:szCs w:val="20"/>
          <w:color w:val="auto"/>
        </w:rPr>
      </w:pPr>
      <w:r>
        <w:rPr>
          <w:rFonts w:ascii="Times New Roman" w:cs="Times New Roman" w:eastAsia="Times New Roman" w:hAnsi="Times New Roman"/>
          <w:sz w:val="22"/>
          <w:szCs w:val="22"/>
          <w:color w:val="auto"/>
        </w:rPr>
        <w:t>By: /s/ Lecil E. Cole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-24765</wp:posOffset>
            </wp:positionV>
            <wp:extent cx="1062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062990" cy="8890"/>
                    </a:xfrm>
                    <a:prstGeom prst="rect">
                      <a:avLst/>
                    </a:prstGeom>
                    <a:noFill/>
                  </pic:spPr>
                </pic:pic>
              </a:graphicData>
            </a:graphic>
          </wp:anchor>
        </w:drawing>
      </w:r>
    </w:p>
    <w:p>
      <w:pPr>
        <w:ind w:left="4520"/>
        <w:spacing w:after="0"/>
        <w:rPr>
          <w:sz w:val="20"/>
          <w:szCs w:val="20"/>
          <w:color w:val="auto"/>
        </w:rPr>
      </w:pPr>
      <w:r>
        <w:rPr>
          <w:rFonts w:ascii="Times New Roman" w:cs="Times New Roman" w:eastAsia="Times New Roman" w:hAnsi="Times New Roman"/>
          <w:sz w:val="20"/>
          <w:szCs w:val="20"/>
          <w:color w:val="auto"/>
        </w:rPr>
        <w:t>Lecil E. Cole</w:t>
      </w:r>
    </w:p>
    <w:p>
      <w:pPr>
        <w:ind w:left="4520"/>
        <w:spacing w:after="0"/>
        <w:rPr>
          <w:sz w:val="20"/>
          <w:szCs w:val="20"/>
          <w:color w:val="auto"/>
        </w:rPr>
      </w:pPr>
      <w:r>
        <w:rPr>
          <w:rFonts w:ascii="Times New Roman" w:cs="Times New Roman" w:eastAsia="Times New Roman" w:hAnsi="Times New Roman"/>
          <w:sz w:val="20"/>
          <w:szCs w:val="20"/>
          <w:color w:val="auto"/>
        </w:rPr>
        <w:t>Chairman of the Board of Directors, Chief Executive Officer and</w:t>
      </w:r>
    </w:p>
    <w:p>
      <w:pPr>
        <w:ind w:left="4520"/>
        <w:spacing w:after="0"/>
        <w:rPr>
          <w:sz w:val="20"/>
          <w:szCs w:val="20"/>
          <w:color w:val="auto"/>
        </w:rPr>
      </w:pPr>
      <w:r>
        <w:rPr>
          <w:rFonts w:ascii="Times New Roman" w:cs="Times New Roman" w:eastAsia="Times New Roman" w:hAnsi="Times New Roman"/>
          <w:sz w:val="20"/>
          <w:szCs w:val="20"/>
          <w:color w:val="auto"/>
        </w:rPr>
        <w:t>President</w:t>
      </w:r>
    </w:p>
    <w:p>
      <w:pPr>
        <w:spacing w:after="0" w:line="6"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0"/>
          <w:szCs w:val="20"/>
          <w:color w:val="auto"/>
        </w:rPr>
        <w:t>(Principal Executive Officer)</w:t>
      </w:r>
    </w:p>
    <w:p>
      <w:pPr>
        <w:spacing w:after="0" w:line="13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720"/>
          </w:cols>
          <w:pgMar w:left="440" w:top="261" w:right="739" w:bottom="1440" w:gutter="0" w:footer="0" w:header="0"/>
        </w:sectPr>
      </w:pPr>
    </w:p>
    <w:bookmarkStart w:id="3" w:name="page4"/>
    <w:bookmarkEnd w:id="3"/>
    <w:p>
      <w:pPr>
        <w:jc w:val="right"/>
        <w:spacing w:after="0"/>
        <w:rPr>
          <w:sz w:val="20"/>
          <w:szCs w:val="20"/>
          <w:color w:val="auto"/>
        </w:rPr>
      </w:pPr>
      <w:r>
        <w:rPr>
          <w:rFonts w:ascii="Georgia" w:cs="Georgia" w:eastAsia="Georgia" w:hAnsi="Georgia"/>
          <w:sz w:val="18"/>
          <w:szCs w:val="18"/>
          <w:b w:val="1"/>
          <w:bCs w:val="1"/>
          <w:color w:val="auto"/>
        </w:rPr>
        <w:t>Exhibit 99.1</w:t>
      </w:r>
    </w:p>
    <w:p>
      <w:pPr>
        <w:sectPr>
          <w:pgSz w:w="11900" w:h="16838" w:orient="portrait"/>
          <w:cols w:equalWidth="0" w:num="1">
            <w:col w:w="11020"/>
          </w:cols>
          <w:pgMar w:left="440" w:top="135" w:right="439" w:bottom="1440" w:gutter="0" w:footer="0" w:header="0"/>
        </w:sectPr>
      </w:pPr>
    </w:p>
    <w:p>
      <w:pPr>
        <w:spacing w:after="0" w:line="249" w:lineRule="exact"/>
        <w:rPr>
          <w:sz w:val="20"/>
          <w:szCs w:val="20"/>
          <w:color w:val="auto"/>
        </w:rPr>
      </w:pPr>
    </w:p>
    <w:p>
      <w:pPr>
        <w:spacing w:after="0"/>
        <w:rPr>
          <w:sz w:val="20"/>
          <w:szCs w:val="20"/>
          <w:color w:val="auto"/>
        </w:rPr>
      </w:pPr>
      <w:r>
        <w:rPr>
          <w:rFonts w:ascii="Georgia" w:cs="Georgia" w:eastAsia="Georgia" w:hAnsi="Georgia"/>
          <w:sz w:val="20"/>
          <w:szCs w:val="20"/>
          <w:color w:val="auto"/>
        </w:rPr>
        <w:t>For:</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rPr>
          <w:sz w:val="20"/>
          <w:szCs w:val="20"/>
          <w:color w:val="auto"/>
        </w:rPr>
      </w:pPr>
      <w:r>
        <w:rPr>
          <w:rFonts w:ascii="Georgia" w:cs="Georgia" w:eastAsia="Georgia" w:hAnsi="Georgia"/>
          <w:sz w:val="19"/>
          <w:szCs w:val="19"/>
          <w:color w:val="auto"/>
        </w:rPr>
        <w:t>Calavo Growers, Inc. (Nasdaq-GS: CVGW)</w:t>
      </w:r>
    </w:p>
    <w:p>
      <w:pPr>
        <w:spacing w:after="0" w:line="207" w:lineRule="exact"/>
        <w:rPr>
          <w:sz w:val="20"/>
          <w:szCs w:val="20"/>
          <w:color w:val="auto"/>
        </w:rPr>
      </w:pPr>
    </w:p>
    <w:p>
      <w:pPr>
        <w:sectPr>
          <w:pgSz w:w="11900" w:h="16838" w:orient="portrait"/>
          <w:cols w:equalWidth="0" w:num="2">
            <w:col w:w="940" w:space="720"/>
            <w:col w:w="9360"/>
          </w:cols>
          <w:pgMar w:left="440" w:top="135" w:right="439" w:bottom="1440" w:gutter="0" w:footer="0" w:header="0"/>
          <w:type w:val="continuous"/>
        </w:sectPr>
      </w:pPr>
    </w:p>
    <w:p>
      <w:pPr>
        <w:spacing w:after="0" w:line="22" w:lineRule="exact"/>
        <w:rPr>
          <w:sz w:val="20"/>
          <w:szCs w:val="20"/>
          <w:color w:val="auto"/>
        </w:rPr>
      </w:pPr>
    </w:p>
    <w:p>
      <w:pPr>
        <w:spacing w:after="0"/>
        <w:rPr>
          <w:sz w:val="20"/>
          <w:szCs w:val="20"/>
          <w:color w:val="auto"/>
        </w:rPr>
      </w:pPr>
      <w:r>
        <w:rPr>
          <w:rFonts w:ascii="Georgia" w:cs="Georgia" w:eastAsia="Georgia" w:hAnsi="Georgia"/>
          <w:sz w:val="19"/>
          <w:szCs w:val="19"/>
          <w:color w:val="auto"/>
        </w:rPr>
        <w:t>Contact:</w:t>
      </w:r>
    </w:p>
    <w:p>
      <w:pPr>
        <w:spacing w:after="0" w:line="20" w:lineRule="exact"/>
        <w:rPr>
          <w:sz w:val="20"/>
          <w:szCs w:val="20"/>
          <w:color w:val="auto"/>
        </w:rPr>
      </w:pPr>
      <w:r>
        <w:rPr>
          <w:sz w:val="20"/>
          <w:szCs w:val="20"/>
          <w:color w:val="auto"/>
        </w:rPr>
        <w:br w:type="column"/>
      </w:r>
    </w:p>
    <w:p>
      <w:pPr>
        <w:spacing w:after="0" w:line="2" w:lineRule="exact"/>
        <w:rPr>
          <w:sz w:val="20"/>
          <w:szCs w:val="20"/>
          <w:color w:val="auto"/>
        </w:rPr>
      </w:pPr>
    </w:p>
    <w:p>
      <w:pPr>
        <w:spacing w:after="0"/>
        <w:rPr>
          <w:sz w:val="20"/>
          <w:szCs w:val="20"/>
          <w:color w:val="auto"/>
        </w:rPr>
      </w:pPr>
      <w:r>
        <w:rPr>
          <w:rFonts w:ascii="Georgia" w:cs="Georgia" w:eastAsia="Georgia" w:hAnsi="Georgia"/>
          <w:sz w:val="19"/>
          <w:szCs w:val="19"/>
          <w:color w:val="auto"/>
        </w:rPr>
        <w:t>Lee Cole, Chairman, President and Chief Executive Officer</w:t>
      </w:r>
    </w:p>
    <w:p>
      <w:pPr>
        <w:spacing w:after="0" w:line="10" w:lineRule="exact"/>
        <w:rPr>
          <w:sz w:val="20"/>
          <w:szCs w:val="20"/>
          <w:color w:val="auto"/>
        </w:rPr>
      </w:pPr>
    </w:p>
    <w:p>
      <w:pPr>
        <w:spacing w:after="0"/>
        <w:rPr>
          <w:sz w:val="20"/>
          <w:szCs w:val="20"/>
          <w:color w:val="auto"/>
        </w:rPr>
      </w:pPr>
      <w:r>
        <w:rPr>
          <w:rFonts w:ascii="Georgia" w:cs="Georgia" w:eastAsia="Georgia" w:hAnsi="Georgia"/>
          <w:sz w:val="20"/>
          <w:szCs w:val="20"/>
          <w:color w:val="auto"/>
        </w:rPr>
        <w:t>Calavo Growers, Inc., (805) 525-1245</w:t>
      </w:r>
    </w:p>
    <w:p>
      <w:pPr>
        <w:spacing w:after="0" w:line="200" w:lineRule="exact"/>
        <w:rPr>
          <w:sz w:val="20"/>
          <w:szCs w:val="20"/>
          <w:color w:val="auto"/>
        </w:rPr>
      </w:pPr>
    </w:p>
    <w:p>
      <w:pPr>
        <w:sectPr>
          <w:pgSz w:w="11900" w:h="16838" w:orient="portrait"/>
          <w:cols w:equalWidth="0" w:num="2">
            <w:col w:w="940" w:space="720"/>
            <w:col w:w="9360"/>
          </w:cols>
          <w:pgMar w:left="440" w:top="135" w:right="439" w:bottom="1440" w:gutter="0" w:footer="0" w:header="0"/>
          <w:type w:val="continuous"/>
        </w:sectPr>
      </w:pPr>
    </w:p>
    <w:p>
      <w:pPr>
        <w:spacing w:after="0" w:line="229"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color w:val="auto"/>
        </w:rPr>
        <w:t>CALAVO GROWERS, INC. DECLARES $1.00 PER SHARE</w:t>
      </w:r>
    </w:p>
    <w:p>
      <w:pPr>
        <w:spacing w:after="0" w:line="7" w:lineRule="exact"/>
        <w:rPr>
          <w:sz w:val="20"/>
          <w:szCs w:val="20"/>
          <w:color w:val="auto"/>
        </w:rPr>
      </w:pPr>
    </w:p>
    <w:p>
      <w:pPr>
        <w:jc w:val="center"/>
        <w:spacing w:after="0"/>
        <w:rPr>
          <w:sz w:val="20"/>
          <w:szCs w:val="20"/>
          <w:color w:val="auto"/>
        </w:rPr>
      </w:pPr>
      <w:r>
        <w:rPr>
          <w:rFonts w:ascii="Georgia" w:cs="Georgia" w:eastAsia="Georgia" w:hAnsi="Georgia"/>
          <w:sz w:val="22"/>
          <w:szCs w:val="22"/>
          <w:b w:val="1"/>
          <w:bCs w:val="1"/>
          <w:color w:val="auto"/>
        </w:rPr>
        <w:t>ANNUAL CASH DIVIDEND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2767965</wp:posOffset>
            </wp:positionH>
            <wp:positionV relativeFrom="paragraph">
              <wp:posOffset>73660</wp:posOffset>
            </wp:positionV>
            <wp:extent cx="146621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155" w:lineRule="exact"/>
        <w:rPr>
          <w:sz w:val="20"/>
          <w:szCs w:val="20"/>
          <w:color w:val="auto"/>
        </w:rPr>
      </w:pPr>
    </w:p>
    <w:p>
      <w:pPr>
        <w:jc w:val="center"/>
        <w:ind w:left="480" w:right="2240"/>
        <w:spacing w:after="0" w:line="243" w:lineRule="auto"/>
        <w:rPr>
          <w:sz w:val="20"/>
          <w:szCs w:val="20"/>
          <w:color w:val="auto"/>
        </w:rPr>
      </w:pPr>
      <w:r>
        <w:rPr>
          <w:rFonts w:ascii="Georgia" w:cs="Georgia" w:eastAsia="Georgia" w:hAnsi="Georgia"/>
          <w:sz w:val="22"/>
          <w:szCs w:val="22"/>
          <w:b w:val="1"/>
          <w:bCs w:val="1"/>
          <w:color w:val="auto"/>
        </w:rPr>
        <w:t>Five Cents Per Share Increase from Last Year Reflects Company’s Growing Profitability, Continued Commitment to Delivering Shareholder Returns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38100</wp:posOffset>
            </wp:positionV>
            <wp:extent cx="6997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7700" cy="8890"/>
                    </a:xfrm>
                    <a:prstGeom prst="rect">
                      <a:avLst/>
                    </a:prstGeom>
                    <a:noFill/>
                  </pic:spPr>
                </pic:pic>
              </a:graphicData>
            </a:graphic>
          </wp:anchor>
        </w:drawing>
      </w:r>
    </w:p>
    <w:p>
      <w:pPr>
        <w:spacing w:after="0" w:line="274" w:lineRule="exact"/>
        <w:rPr>
          <w:sz w:val="20"/>
          <w:szCs w:val="20"/>
          <w:color w:val="auto"/>
        </w:rPr>
      </w:pPr>
    </w:p>
    <w:p>
      <w:pPr>
        <w:ind w:right="40"/>
        <w:spacing w:after="0" w:line="243" w:lineRule="auto"/>
        <w:rPr>
          <w:sz w:val="20"/>
          <w:szCs w:val="20"/>
          <w:color w:val="auto"/>
        </w:rPr>
      </w:pPr>
      <w:r>
        <w:rPr>
          <w:rFonts w:ascii="Georgia" w:cs="Georgia" w:eastAsia="Georgia" w:hAnsi="Georgia"/>
          <w:sz w:val="22"/>
          <w:szCs w:val="22"/>
          <w:color w:val="auto"/>
        </w:rPr>
        <w:t>SANTA PAULA, Calif. (Oct. 2, 2018)–Calavo Growers, Inc. (Nasdaq-GS: CVGW), a global avocado-industry leader and expanding provider of value-added fresh food, today announced that its board of directors declared a $1.00 per share annual cash dividend on its common stock.</w:t>
      </w:r>
    </w:p>
    <w:p>
      <w:pPr>
        <w:spacing w:after="0" w:line="72" w:lineRule="exact"/>
        <w:rPr>
          <w:sz w:val="20"/>
          <w:szCs w:val="20"/>
          <w:color w:val="auto"/>
        </w:rPr>
      </w:pPr>
    </w:p>
    <w:p>
      <w:pPr>
        <w:ind w:left="560"/>
        <w:spacing w:after="0"/>
        <w:rPr>
          <w:sz w:val="20"/>
          <w:szCs w:val="20"/>
          <w:color w:val="auto"/>
        </w:rPr>
      </w:pPr>
      <w:r>
        <w:rPr>
          <w:rFonts w:ascii="Georgia" w:cs="Georgia" w:eastAsia="Georgia" w:hAnsi="Georgia"/>
          <w:sz w:val="22"/>
          <w:szCs w:val="22"/>
          <w:color w:val="auto"/>
        </w:rPr>
        <w:t>The board set Dec. 7, 2018 as the payment date to all shareholders of record as of Nov. 16, 2018.</w:t>
      </w:r>
    </w:p>
    <w:p>
      <w:pPr>
        <w:spacing w:after="0" w:line="93" w:lineRule="exact"/>
        <w:rPr>
          <w:sz w:val="20"/>
          <w:szCs w:val="20"/>
          <w:color w:val="auto"/>
        </w:rPr>
      </w:pPr>
    </w:p>
    <w:p>
      <w:pPr>
        <w:ind w:right="160" w:firstLine="551"/>
        <w:spacing w:after="0" w:line="244" w:lineRule="auto"/>
        <w:rPr>
          <w:sz w:val="20"/>
          <w:szCs w:val="20"/>
          <w:color w:val="auto"/>
        </w:rPr>
      </w:pPr>
      <w:r>
        <w:rPr>
          <w:rFonts w:ascii="Georgia" w:cs="Georgia" w:eastAsia="Georgia" w:hAnsi="Georgia"/>
          <w:sz w:val="22"/>
          <w:szCs w:val="22"/>
          <w:color w:val="auto"/>
        </w:rPr>
        <w:t>The announced distribution is the company’s seventh consecutive annual cash dividend increase and represents a 5.3 percent increase from $0.95 awarded last year. This is also the 17th consecutive annual payout by Calavo since 2002, when its shares became publicly traded on the Nasdaq Market, during which time the dividend has increased 400 percent.</w:t>
      </w:r>
    </w:p>
    <w:p>
      <w:pPr>
        <w:spacing w:after="0" w:line="77" w:lineRule="exact"/>
        <w:rPr>
          <w:sz w:val="20"/>
          <w:szCs w:val="20"/>
          <w:color w:val="auto"/>
        </w:rPr>
      </w:pPr>
    </w:p>
    <w:p>
      <w:pPr>
        <w:ind w:right="120" w:firstLine="551"/>
        <w:spacing w:after="0" w:line="244" w:lineRule="auto"/>
        <w:rPr>
          <w:sz w:val="20"/>
          <w:szCs w:val="20"/>
          <w:color w:val="auto"/>
        </w:rPr>
      </w:pPr>
      <w:r>
        <w:rPr>
          <w:rFonts w:ascii="Georgia" w:cs="Georgia" w:eastAsia="Georgia" w:hAnsi="Georgia"/>
          <w:sz w:val="22"/>
          <w:szCs w:val="22"/>
          <w:color w:val="auto"/>
        </w:rPr>
        <w:t>Chairman, President and Chief Executive Officer Lee E. Cole stated: “As has long been established practice, we remain focused on rewarding our shareowners by balancing dual objectives of delivering annual cash dividends while also reinvesting profits to fund the expansion of our business. Disciplined execution of the company’s long-term growth strategy is driving our operating results higher and making these sustained dividend increases possible.”</w:t>
      </w:r>
    </w:p>
    <w:p>
      <w:pPr>
        <w:spacing w:after="0" w:line="223" w:lineRule="exact"/>
        <w:rPr>
          <w:sz w:val="20"/>
          <w:szCs w:val="20"/>
          <w:color w:val="auto"/>
        </w:rPr>
      </w:pPr>
    </w:p>
    <w:p>
      <w:pPr>
        <w:jc w:val="center"/>
        <w:spacing w:after="0"/>
        <w:rPr>
          <w:sz w:val="20"/>
          <w:szCs w:val="20"/>
          <w:color w:val="auto"/>
        </w:rPr>
      </w:pPr>
      <w:r>
        <w:rPr>
          <w:rFonts w:ascii="Georgia" w:cs="Georgia" w:eastAsia="Georgia" w:hAnsi="Georgia"/>
          <w:sz w:val="22"/>
          <w:szCs w:val="22"/>
          <w:color w:val="auto"/>
        </w:rPr>
        <w:t>-more-</w:t>
      </w:r>
    </w:p>
    <w:p>
      <w:pPr>
        <w:sectPr>
          <w:pgSz w:w="11900" w:h="16838" w:orient="portrait"/>
          <w:cols w:equalWidth="0" w:num="1">
            <w:col w:w="11020"/>
          </w:cols>
          <w:pgMar w:left="440" w:top="135" w:right="439" w:bottom="1440" w:gutter="0" w:footer="0" w:header="0"/>
          <w:type w:val="continuous"/>
        </w:sectPr>
      </w:pPr>
    </w:p>
    <w:bookmarkStart w:id="4" w:name="page5"/>
    <w:bookmarkEnd w:id="4"/>
    <w:p>
      <w:pPr>
        <w:spacing w:after="0"/>
        <w:rPr>
          <w:sz w:val="20"/>
          <w:szCs w:val="20"/>
          <w:color w:val="auto"/>
        </w:rPr>
      </w:pPr>
      <w:r>
        <w:rPr>
          <w:rFonts w:ascii="Georgia" w:cs="Georgia" w:eastAsia="Georgia" w:hAnsi="Georgia"/>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Calavo Growers, Inc. Declares $1.00 Annual Cash Dividend/2-2-2-2</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auto"/>
        </w:rPr>
        <w:t>About Calavo Growers, Inc.</w:t>
      </w:r>
    </w:p>
    <w:p>
      <w:pPr>
        <w:spacing w:after="0" w:line="80" w:lineRule="exact"/>
        <w:rPr>
          <w:sz w:val="20"/>
          <w:szCs w:val="20"/>
          <w:color w:val="auto"/>
        </w:rPr>
      </w:pPr>
    </w:p>
    <w:p>
      <w:pPr>
        <w:ind w:right="100"/>
        <w:spacing w:after="0" w:line="245" w:lineRule="auto"/>
        <w:rPr>
          <w:sz w:val="20"/>
          <w:szCs w:val="20"/>
          <w:color w:val="auto"/>
        </w:rPr>
      </w:pPr>
      <w:r>
        <w:rPr>
          <w:rFonts w:ascii="Georgia" w:cs="Georgia" w:eastAsia="Georgia" w:hAnsi="Georgia"/>
          <w:sz w:val="22"/>
          <w:szCs w:val="22"/>
          <w:color w:val="auto"/>
        </w:rPr>
        <w:t>Calavo Growers, Inc. is a global avocado-industry leader and an expanding provider of value-added fresh food serving retail grocery, foodservice, club stores, mass merchandisers, food distributors and wholesalers worldwide. The Company’s Fresh segment procures and markets fresh avocados and select other fresh produce, including tomatoes and papayas. The Renaissance Food Group (RFG) segment creates, markets and distributes a portfolio of healthy, fresh foods, including fresh-cut fruit, fresh-cut vegetables and prepared foods. The Foods segment manufactures and distributes guacamole and salsa. Founded in 1924, Calavo’s fresh food products are sold under the respected Calavo brand name as well as Garden Highway, Chef Essentials and a variety of private label and store brands.</w:t>
      </w: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Georgia" w:cs="Georgia" w:eastAsia="Georgia" w:hAnsi="Georgia"/>
          <w:sz w:val="22"/>
          <w:szCs w:val="22"/>
          <w:b w:val="1"/>
          <w:bCs w:val="1"/>
          <w:color w:val="auto"/>
        </w:rPr>
        <w:t>Safe Harbor Statement</w:t>
      </w:r>
    </w:p>
    <w:p>
      <w:pPr>
        <w:spacing w:after="0" w:line="93" w:lineRule="exact"/>
        <w:rPr>
          <w:sz w:val="20"/>
          <w:szCs w:val="20"/>
          <w:color w:val="auto"/>
        </w:rPr>
      </w:pPr>
    </w:p>
    <w:p>
      <w:pPr>
        <w:spacing w:after="0" w:line="245" w:lineRule="auto"/>
        <w:rPr>
          <w:sz w:val="20"/>
          <w:szCs w:val="20"/>
          <w:color w:val="auto"/>
        </w:rPr>
      </w:pPr>
      <w:r>
        <w:rPr>
          <w:rFonts w:ascii="Georgia" w:cs="Georgia" w:eastAsia="Georgia" w:hAnsi="Georgia"/>
          <w:sz w:val="22"/>
          <w:szCs w:val="22"/>
          <w:color w:val="auto"/>
        </w:rPr>
        <w:t>This news release contains statements relating to future events and results of Calavo (including certain projections and business trends) that are “forward-looking statements,” as defined in the Private Securities Litigation and Reform Act of 1995, that involve risks, uncertainties and assumptions. If any of the risks or uncertainties ever materialize or the assumptions prove incorrect, the results of Calavo may differ materially from those expressed or implied by such forward-looking statements and assumptions. All statements, other than statements of historical fact, are statements that could be deemed forward-looking statements, including, but not limited to, any projections of revenue, gross profit, expenses, income (loss) from unconsolidated entities, earnings, earnings per share, tax provisions, cash flows, currency exchange rates, the impact of acquisitions or other financial items; any statements of the plans, strategies and objectives of management for future operations, including execution of restructuring and integration (including information technology systems integration) plans; any statements regarding current or future macroeconomic trends or events and the impact of those trends and events on Calavo and its financial performance,</w:t>
      </w:r>
    </w:p>
    <w:p>
      <w:pPr>
        <w:sectPr>
          <w:pgSz w:w="11900" w:h="16838" w:orient="portrait"/>
          <w:cols w:equalWidth="0" w:num="1">
            <w:col w:w="11020"/>
          </w:cols>
          <w:pgMar w:left="440" w:top="287" w:right="439" w:bottom="1440" w:gutter="0" w:footer="0" w:header="0"/>
        </w:sectPr>
      </w:pPr>
    </w:p>
    <w:bookmarkStart w:id="5" w:name="page6"/>
    <w:bookmarkEnd w:id="5"/>
    <w:p>
      <w:pPr>
        <w:spacing w:after="0" w:line="258" w:lineRule="auto"/>
        <w:rPr>
          <w:sz w:val="20"/>
          <w:szCs w:val="20"/>
          <w:color w:val="auto"/>
        </w:rPr>
      </w:pPr>
      <w:r>
        <w:rPr>
          <w:rFonts w:ascii="Georgia" w:cs="Georgia" w:eastAsia="Georgia" w:hAnsi="Georgia"/>
          <w:sz w:val="21"/>
          <w:szCs w:val="2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whether attributable to Calavo or any of its unconsolidated entities; any statements regarding pending investigations, legal claims or tax disputes; any statements of expectation or belief; and any statements of assumptions underlying any of the foregoing. Risks, uncertainties and assumptions include the impact of macroeconomic trends and events; the competitive pressures faced by Calavo’s businesses; the development and transition of new products and services (and the enhancement of existing products and services) to meet customer needs; integration and other risks associated with business combinations; the hiring and retention of key employees; the resolution of pending investigations, legal claims and tax disputes; and other risks, including, without limitation, those items discussed in Calavo’s latest filed Annual Report on Form 10-K and those detailed from time to time in our other filings with the Securities and Exchange Commission. These forward-looking statements are made only as of the date hereof, and the company undertakes no obligation to update or revise the forward-looking statements, whether as a result of new information, future events or otherwise.</w:t>
      </w:r>
    </w:p>
    <w:p>
      <w:pPr>
        <w:spacing w:after="0" w:line="211" w:lineRule="exact"/>
        <w:rPr>
          <w:sz w:val="20"/>
          <w:szCs w:val="20"/>
          <w:color w:val="auto"/>
        </w:rPr>
      </w:pPr>
    </w:p>
    <w:p>
      <w:pPr>
        <w:jc w:val="center"/>
        <w:ind w:right="-159"/>
        <w:spacing w:after="0"/>
        <w:rPr>
          <w:sz w:val="20"/>
          <w:szCs w:val="20"/>
          <w:color w:val="auto"/>
        </w:rPr>
      </w:pPr>
      <w:r>
        <w:rPr>
          <w:rFonts w:ascii="Georgia" w:cs="Georgia" w:eastAsia="Georgia" w:hAnsi="Georgia"/>
          <w:sz w:val="22"/>
          <w:szCs w:val="22"/>
          <w:color w:val="auto"/>
        </w:rPr>
        <w:t># # #</w:t>
      </w: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Georgia" w:cs="Georgia" w:eastAsia="Georgia" w:hAnsi="Georgia"/>
          <w:sz w:val="22"/>
          <w:szCs w:val="22"/>
          <w:color w:val="auto"/>
        </w:rPr>
        <w:t>Source: Calavo Growers, Inc.</w:t>
      </w:r>
    </w:p>
    <w:sectPr>
      <w:pgSz w:w="11900" w:h="16838" w:orient="portrait"/>
      <w:cols w:equalWidth="0" w:num="1">
        <w:col w:w="10880"/>
      </w:cols>
      <w:pgMar w:left="440" w:top="292" w:right="5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Georgia">
    <w:panose1 w:val="02040502050405020303"/>
    <w:charset w:val="00"/>
    <w:family w:val="roman"/>
    <w:pitch w:val="variable"/>
    <w:sig w:usb0="00000287" w:usb1="00000000" w:usb2="00000000" w:usb3="00000000" w:csb0="200000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2020-01-11T19:49:09Z</dcterms:created>
  <dcterms:modified xsi:type="dcterms:W3CDTF">2020-01-11T19:49:09Z</dcterms:modified>
</cp:coreProperties>
</file>