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6497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146050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55880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10-K/A</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(Amendment No. 1)</w:t>
      </w:r>
    </w:p>
    <w:p>
      <w:pPr>
        <w:spacing w:after="0" w:line="83" w:lineRule="exact"/>
        <w:rPr>
          <w:sz w:val="24"/>
          <w:szCs w:val="24"/>
          <w:color w:val="auto"/>
        </w:rPr>
      </w:pPr>
    </w:p>
    <w:p>
      <w:pPr>
        <w:ind w:left="3660" w:right="1980" w:hanging="3650"/>
        <w:spacing w:after="0" w:line="369" w:lineRule="auto"/>
        <w:tabs>
          <w:tab w:leader="none" w:pos="332"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October 31, 2025</w:t>
      </w:r>
    </w:p>
    <w:p>
      <w:pPr>
        <w:spacing w:after="0" w:line="1" w:lineRule="exact"/>
        <w:rPr>
          <w:rFonts w:ascii="MS PGothic" w:cs="MS PGothic" w:eastAsia="MS PGothic" w:hAnsi="MS PGothic"/>
          <w:sz w:val="16"/>
          <w:szCs w:val="16"/>
          <w:color w:val="auto"/>
          <w:highlight w:val="black"/>
        </w:rPr>
      </w:pPr>
    </w:p>
    <w:p>
      <w:pPr>
        <w:ind w:left="504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100" w:lineRule="exact"/>
        <w:rPr>
          <w:sz w:val="24"/>
          <w:szCs w:val="24"/>
          <w:color w:val="auto"/>
        </w:rPr>
      </w:pPr>
    </w:p>
    <w:p>
      <w:pPr>
        <w:ind w:left="3980" w:right="1640" w:hanging="3970"/>
        <w:spacing w:after="0" w:line="283" w:lineRule="auto"/>
        <w:tabs>
          <w:tab w:leader="none" w:pos="324"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to</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000-33385</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CALAVO GROWERS, INC.</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6"/>
          </w:tcPr>
          <w:p>
            <w:pPr>
              <w:jc w:val="center"/>
              <w:ind w:left="3564"/>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600" w:type="dxa"/>
            <w:vAlign w:val="bottom"/>
          </w:tcPr>
          <w:p>
            <w:pPr>
              <w:spacing w:after="0"/>
              <w:rPr>
                <w:sz w:val="13"/>
                <w:szCs w:val="13"/>
                <w:color w:val="auto"/>
              </w:rPr>
            </w:pPr>
          </w:p>
        </w:tc>
      </w:tr>
      <w:tr>
        <w:trPr>
          <w:trHeight w:val="196"/>
        </w:trPr>
        <w:tc>
          <w:tcPr>
            <w:tcW w:w="4400" w:type="dxa"/>
            <w:vAlign w:val="bottom"/>
            <w:gridSpan w:val="3"/>
          </w:tcPr>
          <w:p>
            <w:pPr>
              <w:jc w:val="center"/>
              <w:ind w:left="664"/>
              <w:spacing w:after="0"/>
              <w:rPr>
                <w:sz w:val="20"/>
                <w:szCs w:val="20"/>
                <w:color w:val="auto"/>
              </w:rPr>
            </w:pPr>
            <w:r>
              <w:rPr>
                <w:rFonts w:ascii="Times New Roman" w:cs="Times New Roman" w:eastAsia="Times New Roman" w:hAnsi="Times New Roman"/>
                <w:sz w:val="16"/>
                <w:szCs w:val="16"/>
                <w:b w:val="1"/>
                <w:bCs w:val="1"/>
                <w:color w:val="auto"/>
                <w:w w:val="99"/>
              </w:rPr>
              <w:t>California</w:t>
            </w: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tcPr>
          <w:p>
            <w:pPr>
              <w:jc w:val="right"/>
              <w:ind w:right="2082"/>
              <w:spacing w:after="0"/>
              <w:rPr>
                <w:sz w:val="20"/>
                <w:szCs w:val="20"/>
                <w:color w:val="auto"/>
              </w:rPr>
            </w:pPr>
            <w:r>
              <w:rPr>
                <w:rFonts w:ascii="Times New Roman" w:cs="Times New Roman" w:eastAsia="Times New Roman" w:hAnsi="Times New Roman"/>
                <w:sz w:val="16"/>
                <w:szCs w:val="16"/>
                <w:b w:val="1"/>
                <w:bCs w:val="1"/>
                <w:color w:val="auto"/>
              </w:rPr>
              <w:t>33-0945304</w:t>
            </w:r>
          </w:p>
        </w:tc>
      </w:tr>
      <w:tr>
        <w:trPr>
          <w:trHeight w:val="188"/>
        </w:trPr>
        <w:tc>
          <w:tcPr>
            <w:tcW w:w="4400" w:type="dxa"/>
            <w:vAlign w:val="bottom"/>
            <w:gridSpan w:val="3"/>
          </w:tcPr>
          <w:p>
            <w:pPr>
              <w:jc w:val="center"/>
              <w:ind w:left="644"/>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0" w:type="dxa"/>
            <w:vAlign w:val="bottom"/>
          </w:tcPr>
          <w:p>
            <w:pPr>
              <w:jc w:val="center"/>
              <w:ind w:right="1402"/>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84"/>
        </w:trPr>
        <w:tc>
          <w:tcPr>
            <w:tcW w:w="4400" w:type="dxa"/>
            <w:vAlign w:val="bottom"/>
            <w:gridSpan w:val="3"/>
          </w:tcPr>
          <w:p>
            <w:pPr>
              <w:jc w:val="center"/>
              <w:ind w:left="644"/>
              <w:spacing w:after="0"/>
              <w:rPr>
                <w:sz w:val="20"/>
                <w:szCs w:val="20"/>
                <w:color w:val="auto"/>
              </w:rPr>
            </w:pPr>
            <w:r>
              <w:rPr>
                <w:rFonts w:ascii="Times New Roman" w:cs="Times New Roman" w:eastAsia="Times New Roman" w:hAnsi="Times New Roman"/>
                <w:sz w:val="16"/>
                <w:szCs w:val="16"/>
                <w:b w:val="1"/>
                <w:bCs w:val="1"/>
                <w:color w:val="auto"/>
              </w:rPr>
              <w:t>1141-A Cummings Road, Santa Paula, CA</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jc w:val="right"/>
              <w:ind w:right="2262"/>
              <w:spacing w:after="0"/>
              <w:rPr>
                <w:sz w:val="20"/>
                <w:szCs w:val="20"/>
                <w:color w:val="auto"/>
              </w:rPr>
            </w:pPr>
            <w:r>
              <w:rPr>
                <w:rFonts w:ascii="Times New Roman" w:cs="Times New Roman" w:eastAsia="Times New Roman" w:hAnsi="Times New Roman"/>
                <w:sz w:val="16"/>
                <w:szCs w:val="16"/>
                <w:b w:val="1"/>
                <w:bCs w:val="1"/>
                <w:color w:val="auto"/>
              </w:rPr>
              <w:t>93060</w:t>
            </w:r>
          </w:p>
        </w:tc>
      </w:tr>
      <w:tr>
        <w:trPr>
          <w:trHeight w:val="188"/>
        </w:trPr>
        <w:tc>
          <w:tcPr>
            <w:tcW w:w="4400" w:type="dxa"/>
            <w:vAlign w:val="bottom"/>
            <w:gridSpan w:val="3"/>
          </w:tcPr>
          <w:p>
            <w:pPr>
              <w:jc w:val="center"/>
              <w:ind w:left="64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0" w:type="dxa"/>
            <w:vAlign w:val="bottom"/>
          </w:tcPr>
          <w:p>
            <w:pPr>
              <w:jc w:val="center"/>
              <w:ind w:right="1402"/>
              <w:spacing w:after="0"/>
              <w:rPr>
                <w:sz w:val="20"/>
                <w:szCs w:val="20"/>
                <w:color w:val="auto"/>
              </w:rPr>
            </w:pPr>
            <w:r>
              <w:rPr>
                <w:rFonts w:ascii="Times New Roman" w:cs="Times New Roman" w:eastAsia="Times New Roman" w:hAnsi="Times New Roman"/>
                <w:sz w:val="14"/>
                <w:szCs w:val="14"/>
                <w:color w:val="auto"/>
              </w:rPr>
              <w:t>(Zip Code)</w:t>
            </w:r>
          </w:p>
        </w:tc>
      </w:tr>
      <w:tr>
        <w:trPr>
          <w:trHeight w:val="243"/>
        </w:trPr>
        <w:tc>
          <w:tcPr>
            <w:tcW w:w="102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(805) 525-1245</w:t>
            </w:r>
          </w:p>
        </w:tc>
      </w:tr>
      <w:tr>
        <w:trPr>
          <w:trHeight w:val="274"/>
        </w:trPr>
        <w:tc>
          <w:tcPr>
            <w:tcW w:w="4400" w:type="dxa"/>
            <w:vAlign w:val="bottom"/>
            <w:gridSpan w:val="3"/>
          </w:tcPr>
          <w:p>
            <w:pPr>
              <w:jc w:val="center"/>
              <w:ind w:right="6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0" w:type="dxa"/>
            <w:vAlign w:val="bottom"/>
          </w:tcPr>
          <w:p>
            <w:pPr>
              <w:spacing w:after="0"/>
              <w:rPr>
                <w:sz w:val="23"/>
                <w:szCs w:val="23"/>
                <w:color w:val="auto"/>
              </w:rPr>
            </w:pPr>
          </w:p>
        </w:tc>
      </w:tr>
      <w:tr>
        <w:trPr>
          <w:trHeight w:val="229"/>
        </w:trPr>
        <w:tc>
          <w:tcPr>
            <w:tcW w:w="4400" w:type="dxa"/>
            <w:vAlign w:val="bottom"/>
            <w:gridSpan w:val="3"/>
          </w:tcPr>
          <w:p>
            <w:pPr>
              <w:jc w:val="center"/>
              <w:ind w:right="620"/>
              <w:spacing w:after="0"/>
              <w:rPr>
                <w:sz w:val="20"/>
                <w:szCs w:val="20"/>
                <w:color w:val="auto"/>
              </w:rPr>
            </w:pPr>
            <w:r>
              <w:rPr>
                <w:rFonts w:ascii="Times New Roman" w:cs="Times New Roman" w:eastAsia="Times New Roman" w:hAnsi="Times New Roman"/>
                <w:sz w:val="16"/>
                <w:szCs w:val="16"/>
                <w:color w:val="auto"/>
              </w:rPr>
              <w:t>Title of each class</w:t>
            </w:r>
          </w:p>
        </w:tc>
        <w:tc>
          <w:tcPr>
            <w:tcW w:w="222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color w:val="auto"/>
              </w:rPr>
              <w:t>Trading Symbol(s)</w:t>
            </w:r>
          </w:p>
        </w:tc>
        <w:tc>
          <w:tcPr>
            <w:tcW w:w="3600" w:type="dxa"/>
            <w:vAlign w:val="bottom"/>
          </w:tcPr>
          <w:p>
            <w:pPr>
              <w:jc w:val="center"/>
              <w:ind w:right="62"/>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center"/>
              <w:ind w:right="339"/>
              <w:spacing w:after="0"/>
              <w:rPr>
                <w:sz w:val="20"/>
                <w:szCs w:val="20"/>
                <w:color w:val="auto"/>
              </w:rPr>
            </w:pPr>
            <w:r>
              <w:rPr>
                <w:rFonts w:ascii="Times New Roman" w:cs="Times New Roman" w:eastAsia="Times New Roman" w:hAnsi="Times New Roman"/>
                <w:sz w:val="16"/>
                <w:szCs w:val="16"/>
                <w:color w:val="auto"/>
              </w:rPr>
              <w:t>CVGW</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0" w:type="dxa"/>
            <w:vAlign w:val="bottom"/>
            <w:tcBorders>
              <w:top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71"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106"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17" w:lineRule="exact"/>
        <w:rPr>
          <w:sz w:val="24"/>
          <w:szCs w:val="24"/>
          <w:color w:val="auto"/>
        </w:rPr>
      </w:pPr>
    </w:p>
    <w:p>
      <w:pPr>
        <w:ind w:left="260"/>
        <w:spacing w:after="0" w:line="161" w:lineRule="exact"/>
        <w:tabs>
          <w:tab w:leader="none" w:pos="74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53"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17" w:lineRule="exact"/>
        <w:rPr>
          <w:sz w:val="24"/>
          <w:szCs w:val="24"/>
          <w:color w:val="auto"/>
        </w:rPr>
      </w:pPr>
    </w:p>
    <w:p>
      <w:pPr>
        <w:ind w:left="260"/>
        <w:spacing w:after="0" w:line="161" w:lineRule="exact"/>
        <w:tabs>
          <w:tab w:leader="none" w:pos="74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66" w:lineRule="exact"/>
        <w:rPr>
          <w:sz w:val="24"/>
          <w:szCs w:val="24"/>
          <w:color w:val="auto"/>
        </w:rPr>
      </w:pPr>
    </w:p>
    <w:p>
      <w:pPr>
        <w:ind w:left="20" w:firstLine="25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60" w:hanging="250"/>
        <w:spacing w:after="0" w:line="161" w:lineRule="exact"/>
        <w:tabs>
          <w:tab w:leader="none" w:pos="26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71" w:lineRule="exact"/>
        <w:rPr>
          <w:sz w:val="24"/>
          <w:szCs w:val="24"/>
          <w:color w:val="auto"/>
        </w:rPr>
      </w:pPr>
    </w:p>
    <w:p>
      <w:pPr>
        <w:ind w:left="20" w:right="340" w:firstLine="25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left="20" w:right="60" w:firstLine="259"/>
        <w:spacing w:after="0" w:line="24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680" w:type="dxa"/>
        <w:tblCellMar>
          <w:top w:w="0" w:type="dxa"/>
          <w:left w:w="0" w:type="dxa"/>
          <w:bottom w:w="0" w:type="dxa"/>
          <w:right w:w="0" w:type="dxa"/>
        </w:tblCellMar>
      </w:tblPr>
      <w:tr>
        <w:trPr>
          <w:trHeight w:val="134"/>
        </w:trPr>
        <w:tc>
          <w:tcPr>
            <w:tcW w:w="330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tc>
        <w:tc>
          <w:tcPr>
            <w:tcW w:w="35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6"/>
        </w:trPr>
        <w:tc>
          <w:tcPr>
            <w:tcW w:w="3300" w:type="dxa"/>
            <w:vAlign w:val="bottom"/>
            <w:vMerge w:val="continue"/>
          </w:tcPr>
          <w:p>
            <w:pPr>
              <w:spacing w:after="0"/>
              <w:rPr>
                <w:sz w:val="15"/>
                <w:szCs w:val="15"/>
                <w:color w:val="auto"/>
              </w:rPr>
            </w:pPr>
          </w:p>
        </w:tc>
        <w:tc>
          <w:tcPr>
            <w:tcW w:w="3580" w:type="dxa"/>
            <w:vAlign w:val="bottom"/>
          </w:tcPr>
          <w:p>
            <w:pPr>
              <w:jc w:val="right"/>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2"/>
        </w:trPr>
        <w:tc>
          <w:tcPr>
            <w:tcW w:w="330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tc>
        <w:tc>
          <w:tcPr>
            <w:tcW w:w="3580" w:type="dxa"/>
            <w:vAlign w:val="bottom"/>
          </w:tcPr>
          <w:p>
            <w:pPr>
              <w:jc w:val="right"/>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20" w:right="500" w:firstLine="25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3" w:lineRule="exact"/>
        <w:rPr>
          <w:sz w:val="24"/>
          <w:szCs w:val="24"/>
          <w:color w:val="auto"/>
        </w:rPr>
      </w:pPr>
    </w:p>
    <w:p>
      <w:pPr>
        <w:ind w:left="20" w:right="160" w:firstLine="25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3" w:lineRule="exact"/>
        <w:rPr>
          <w:sz w:val="24"/>
          <w:szCs w:val="24"/>
          <w:color w:val="auto"/>
        </w:rPr>
      </w:pPr>
    </w:p>
    <w:p>
      <w:pPr>
        <w:ind w:left="20" w:right="260" w:firstLine="259"/>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47" w:lineRule="exact"/>
        <w:rPr>
          <w:sz w:val="24"/>
          <w:szCs w:val="24"/>
          <w:color w:val="auto"/>
        </w:rPr>
      </w:pPr>
    </w:p>
    <w:p>
      <w:pPr>
        <w:ind w:left="20" w:right="260" w:firstLine="25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9" w:lineRule="exact"/>
        <w:rPr>
          <w:sz w:val="24"/>
          <w:szCs w:val="24"/>
          <w:color w:val="auto"/>
        </w:rPr>
      </w:pPr>
    </w:p>
    <w:p>
      <w:pPr>
        <w:ind w:left="2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left="20" w:firstLine="259"/>
        <w:spacing w:after="0" w:line="233" w:lineRule="auto"/>
        <w:rPr>
          <w:sz w:val="20"/>
          <w:szCs w:val="20"/>
          <w:color w:val="auto"/>
        </w:rPr>
      </w:pPr>
      <w:r>
        <w:rPr>
          <w:rFonts w:ascii="Times New Roman" w:cs="Times New Roman" w:eastAsia="Times New Roman" w:hAnsi="Times New Roman"/>
          <w:sz w:val="14"/>
          <w:szCs w:val="14"/>
          <w:color w:val="auto"/>
        </w:rPr>
        <w:t>Based on the closing price as reported on The Nasdaq Global Select Market, the aggregate market value of the registrant's common stock held by non-affiliates on April 30, 2025 (the last business day of the registrant's most recently completed second fiscal quarter) was approximately $0.5 billion.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 The number of outstanding shares of the registrant's common stock as of January 31, 2026 was 17,874,079.</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47"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581025</wp:posOffset>
            </wp:positionV>
            <wp:extent cx="6497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57785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1" w:right="85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78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40" w:type="dxa"/>
            <w:vAlign w:val="bottom"/>
          </w:tcPr>
          <w:p>
            <w:pPr>
              <w:spacing w:after="0"/>
              <w:rPr>
                <w:sz w:val="17"/>
                <w:szCs w:val="17"/>
                <w:color w:val="auto"/>
              </w:rPr>
            </w:pPr>
          </w:p>
        </w:tc>
      </w:tr>
      <w:tr>
        <w:trPr>
          <w:trHeight w:val="858"/>
        </w:trPr>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40" w:type="dxa"/>
            <w:vAlign w:val="bottom"/>
            <w:gridSpan w:val="5"/>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40" w:type="dxa"/>
            <w:vAlign w:val="bottom"/>
          </w:tcPr>
          <w:p>
            <w:pPr>
              <w:spacing w:after="0"/>
              <w:rPr>
                <w:sz w:val="24"/>
                <w:szCs w:val="24"/>
                <w:color w:val="auto"/>
              </w:rPr>
            </w:pPr>
          </w:p>
        </w:tc>
      </w:tr>
      <w:tr>
        <w:trPr>
          <w:trHeight w:val="432"/>
        </w:trPr>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78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PART III</w:t>
            </w:r>
          </w:p>
        </w:tc>
        <w:tc>
          <w:tcPr>
            <w:tcW w:w="1040" w:type="dxa"/>
            <w:vAlign w:val="bottom"/>
          </w:tcPr>
          <w:p>
            <w:pPr>
              <w:spacing w:after="0"/>
              <w:rPr>
                <w:sz w:val="24"/>
                <w:szCs w:val="24"/>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78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47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11. Executive Compensation</w:t>
            </w:r>
          </w:p>
        </w:tc>
        <w:tc>
          <w:tcPr>
            <w:tcW w:w="3100" w:type="dxa"/>
            <w:vAlign w:val="bottom"/>
            <w:gridSpan w:val="2"/>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78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Item 12. Security Ownership of Certain Beneficial Owners and Management and Related Stockholder</w:t>
            </w: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37</w:t>
            </w:r>
          </w:p>
        </w:tc>
      </w:tr>
      <w:tr>
        <w:trPr>
          <w:trHeight w:val="196"/>
        </w:trPr>
        <w:tc>
          <w:tcPr>
            <w:tcW w:w="5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Matters</w:t>
            </w:r>
          </w:p>
        </w:tc>
        <w:tc>
          <w:tcPr>
            <w:tcW w:w="7320" w:type="dxa"/>
            <w:vAlign w:val="bottom"/>
            <w:gridSpan w:val="11"/>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61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13. Certain Relationships and Related Transactions, and Director Independence</w:t>
            </w:r>
          </w:p>
        </w:tc>
        <w:tc>
          <w:tcPr>
            <w:tcW w:w="17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40</w:t>
            </w:r>
          </w:p>
        </w:tc>
      </w:tr>
      <w:tr>
        <w:trPr>
          <w:trHeight w:val="196"/>
        </w:trPr>
        <w:tc>
          <w:tcPr>
            <w:tcW w:w="78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Item 14. Principal Accountant’s Fees and Services</w:t>
            </w: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42</w:t>
            </w:r>
          </w:p>
        </w:tc>
      </w:tr>
      <w:tr>
        <w:trPr>
          <w:trHeight w:val="412"/>
        </w:trPr>
        <w:tc>
          <w:tcPr>
            <w:tcW w:w="6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4"/>
              </w:rPr>
              <w:t>PART IV</w:t>
            </w:r>
          </w:p>
        </w:tc>
        <w:tc>
          <w:tcPr>
            <w:tcW w:w="2940" w:type="dxa"/>
            <w:vAlign w:val="bottom"/>
            <w:tcBorders>
              <w:top w:val="single" w:sz="8" w:color="0000EE"/>
            </w:tcBorders>
            <w:gridSpan w:val="5"/>
          </w:tcPr>
          <w:p>
            <w:pPr>
              <w:spacing w:after="0"/>
              <w:rPr>
                <w:sz w:val="24"/>
                <w:szCs w:val="24"/>
                <w:color w:val="auto"/>
              </w:rPr>
            </w:pPr>
          </w:p>
        </w:tc>
        <w:tc>
          <w:tcPr>
            <w:tcW w:w="4260" w:type="dxa"/>
            <w:vAlign w:val="bottom"/>
            <w:gridSpan w:val="4"/>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78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Item 15. Exhibits and Financial Statement Schedules</w:t>
            </w: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43</w:t>
            </w:r>
          </w:p>
        </w:tc>
      </w:tr>
      <w:tr>
        <w:trPr>
          <w:trHeight w:val="412"/>
        </w:trPr>
        <w:tc>
          <w:tcPr>
            <w:tcW w:w="380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EXHIBIT INDEX</w:t>
            </w:r>
          </w:p>
        </w:tc>
        <w:tc>
          <w:tcPr>
            <w:tcW w:w="4080" w:type="dxa"/>
            <w:vAlign w:val="bottom"/>
            <w:gridSpan w:val="3"/>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196"/>
        </w:trPr>
        <w:tc>
          <w:tcPr>
            <w:tcW w:w="13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6560" w:type="dxa"/>
            <w:vAlign w:val="bottom"/>
            <w:gridSpan w:val="6"/>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47</w:t>
            </w:r>
          </w:p>
        </w:tc>
      </w:tr>
      <w:tr>
        <w:trPr>
          <w:trHeight w:val="1141"/>
        </w:trPr>
        <w:tc>
          <w:tcPr>
            <w:tcW w:w="760" w:type="dxa"/>
            <w:vAlign w:val="bottom"/>
            <w:tcBorders>
              <w:top w:val="single" w:sz="8" w:color="0000EE"/>
            </w:tcBorders>
            <w:gridSpan w:val="4"/>
          </w:tcPr>
          <w:p>
            <w:pPr>
              <w:spacing w:after="0"/>
              <w:rPr>
                <w:sz w:val="24"/>
                <w:szCs w:val="24"/>
                <w:color w:val="auto"/>
              </w:rPr>
            </w:pPr>
          </w:p>
        </w:tc>
        <w:tc>
          <w:tcPr>
            <w:tcW w:w="402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47"/>
        </w:trPr>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181818"/>
        </w:rPr>
        <w:t>EXPLANATORY NOTE</w:t>
      </w:r>
    </w:p>
    <w:p>
      <w:pPr>
        <w:spacing w:after="0" w:line="229" w:lineRule="exact"/>
        <w:rPr>
          <w:sz w:val="20"/>
          <w:szCs w:val="20"/>
          <w:color w:val="auto"/>
        </w:rPr>
      </w:pPr>
    </w:p>
    <w:p>
      <w:pPr>
        <w:ind w:left="40" w:right="59" w:firstLine="259"/>
        <w:spacing w:after="0" w:line="253" w:lineRule="auto"/>
        <w:rPr>
          <w:sz w:val="20"/>
          <w:szCs w:val="20"/>
          <w:color w:val="auto"/>
        </w:rPr>
      </w:pPr>
      <w:r>
        <w:rPr>
          <w:rFonts w:ascii="Times New Roman" w:cs="Times New Roman" w:eastAsia="Times New Roman" w:hAnsi="Times New Roman"/>
          <w:sz w:val="18"/>
          <w:szCs w:val="18"/>
          <w:color w:val="181818"/>
        </w:rPr>
        <w:t>Calavo Growers, Inc. (collectively, “Calavo,” the “Company,” “we,” “us,” or “our”) is filing this Amendment No. 1 (this “Amendment”) to its Annual Report on Form 10-K for the fiscal year ended October 31, 2025, as originally filed (the “Original Form 10-K”) with the Securities and Exchange Commission (the “SEC”), solely to include the information required by Part III of Form 10-K and the general rules and regulations under Securities Exchange Act of 1934, as amended (“Exchange Act”). The Part III information was previously omitted from the Original Form 10-K in reliance on General Instruction G(3) to Form 10-K, which permits the omitted information to be incorporated in the Original Form 10-K by reference from our definitive proxy statement if such statement is filed no later than 120 days after our fiscal year-end. However. the Company did not file a definitive proxy statement for its Annual Meeting of Shareholders within 120 days after the end of its fiscal year due to the absence of a scheduled annual meeting in connection with a pending acquisition (the “Transaction”) of the Company by Mission Produce, Inc. (“Mission Produce”) pursuant to the Agreement and Plan of Merger (the “Merger Agreement”), by and among Calavo, Mission Produce, Cantaloupe Merger Sub I, Inc. and Cantaloupe Merger Sub II, LLC.</w:t>
      </w:r>
    </w:p>
    <w:p>
      <w:pPr>
        <w:spacing w:after="0" w:line="190" w:lineRule="exact"/>
        <w:rPr>
          <w:sz w:val="20"/>
          <w:szCs w:val="20"/>
          <w:color w:val="auto"/>
        </w:rPr>
      </w:pPr>
    </w:p>
    <w:p>
      <w:pPr>
        <w:ind w:left="40" w:right="59" w:firstLine="259"/>
        <w:spacing w:after="0" w:line="258" w:lineRule="auto"/>
        <w:rPr>
          <w:sz w:val="20"/>
          <w:szCs w:val="20"/>
          <w:color w:val="auto"/>
        </w:rPr>
      </w:pPr>
      <w:r>
        <w:rPr>
          <w:rFonts w:ascii="Times New Roman" w:cs="Times New Roman" w:eastAsia="Times New Roman" w:hAnsi="Times New Roman"/>
          <w:sz w:val="18"/>
          <w:szCs w:val="18"/>
          <w:color w:val="181818"/>
        </w:rPr>
        <w:t>Accordingly, this Amendment hereby amends and restates Items 10 through 14 of Part III and Item 15 of Part IV of the Original Form 10-K in their entirety. In addition, this Amendment No. 1 deletes the reference on the cover of the Original Form 10-K to the incorporation by reference of portions of our proxy statement into Part III of the Original Form 10-K. No other Items of the Original Form 10-K have been amended or revised herein, and all such other Items shall be as set forth in the Original Form 10-K.</w:t>
      </w:r>
    </w:p>
    <w:p>
      <w:pPr>
        <w:spacing w:after="0" w:line="183"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181818"/>
        </w:rPr>
        <w:t>In addition, as required by Rule 13a-14(a) and Rule 12b-15 under the Exchange Act, certifications by the Company’s principal executive officer and principal financial officer are filed as Exhibits 31.1 and 31.2 to this Amendment under Item 15 of Part IV thereof. Because this Amendment does not include any financial statements and does not contain or amend any disclosure with respect to Items 307 and 308 of Regulation S-K, paragraphs 3, 4, and 5 of such certifications have been omitted.</w:t>
      </w:r>
    </w:p>
    <w:p>
      <w:pPr>
        <w:spacing w:after="0" w:line="183" w:lineRule="exact"/>
        <w:rPr>
          <w:sz w:val="20"/>
          <w:szCs w:val="20"/>
          <w:color w:val="auto"/>
        </w:rPr>
      </w:pPr>
    </w:p>
    <w:p>
      <w:pPr>
        <w:ind w:left="40" w:right="259" w:firstLine="259"/>
        <w:spacing w:after="0" w:line="266" w:lineRule="auto"/>
        <w:rPr>
          <w:sz w:val="20"/>
          <w:szCs w:val="20"/>
          <w:color w:val="auto"/>
        </w:rPr>
      </w:pPr>
      <w:r>
        <w:rPr>
          <w:rFonts w:ascii="Times New Roman" w:cs="Times New Roman" w:eastAsia="Times New Roman" w:hAnsi="Times New Roman"/>
          <w:sz w:val="18"/>
          <w:szCs w:val="18"/>
          <w:color w:val="181818"/>
        </w:rPr>
        <w:t>Except as expressly set forth herein, this Amendment does not amend, modify, or update any other information contained in the Original Form 10-K. The Original Form 10-K continues to speak as of the date of its original filing, and this Amendment does not reflect events occurring after that date or modify or update any disclosures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ind w:left="40" w:right="159" w:firstLine="259"/>
        <w:spacing w:after="0" w:line="266" w:lineRule="auto"/>
        <w:rPr>
          <w:sz w:val="20"/>
          <w:szCs w:val="20"/>
          <w:color w:val="auto"/>
        </w:rPr>
      </w:pPr>
      <w:r>
        <w:rPr>
          <w:rFonts w:ascii="Times New Roman" w:cs="Times New Roman" w:eastAsia="Times New Roman" w:hAnsi="Times New Roman"/>
          <w:sz w:val="18"/>
          <w:szCs w:val="18"/>
          <w:color w:val="auto"/>
        </w:rPr>
        <w:t>The Company did not hold an Annual Meeting of Shareholders within 120 days following the end of its fiscal year due to the Transaction., and, accordingly, the Company is providing the information required by Part III of Form 10-K in this Amendment.</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CORPORATE GOVERNANCE MATTERS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Director Biographical Information and Qualifications</w:t>
      </w:r>
    </w:p>
    <w:p>
      <w:pPr>
        <w:spacing w:after="0" w:line="214" w:lineRule="exact"/>
        <w:rPr>
          <w:sz w:val="20"/>
          <w:szCs w:val="20"/>
          <w:color w:val="auto"/>
        </w:rPr>
      </w:pPr>
    </w:p>
    <w:p>
      <w:pPr>
        <w:jc w:val="both"/>
        <w:ind w:left="40" w:right="199" w:firstLine="259"/>
        <w:spacing w:after="0" w:line="242" w:lineRule="auto"/>
        <w:rPr>
          <w:sz w:val="20"/>
          <w:szCs w:val="20"/>
          <w:color w:val="auto"/>
        </w:rPr>
      </w:pPr>
      <w:r>
        <w:rPr>
          <w:rFonts w:ascii="Times New Roman" w:cs="Times New Roman" w:eastAsia="Times New Roman" w:hAnsi="Times New Roman"/>
          <w:sz w:val="18"/>
          <w:szCs w:val="18"/>
          <w:color w:val="auto"/>
        </w:rPr>
        <w:t>The following sets forth information regarding our current members of the Company’s Board (the “Board”), including their experience, qualifications, attributes and skills that led the Board to conclude that each should continue to serve as a director.</w:t>
      </w:r>
    </w:p>
    <w:p>
      <w:pPr>
        <w:spacing w:after="0" w:line="184" w:lineRule="exact"/>
        <w:rPr>
          <w:sz w:val="20"/>
          <w:szCs w:val="20"/>
          <w:color w:val="auto"/>
        </w:rPr>
      </w:pPr>
    </w:p>
    <w:p>
      <w:pPr>
        <w:ind w:left="40" w:right="719" w:firstLine="259"/>
        <w:spacing w:after="0" w:line="266" w:lineRule="auto"/>
        <w:rPr>
          <w:sz w:val="20"/>
          <w:szCs w:val="20"/>
          <w:color w:val="auto"/>
        </w:rPr>
      </w:pPr>
      <w:r>
        <w:rPr>
          <w:rFonts w:ascii="Times New Roman" w:cs="Times New Roman" w:eastAsia="Times New Roman" w:hAnsi="Times New Roman"/>
          <w:sz w:val="18"/>
          <w:szCs w:val="18"/>
          <w:color w:val="auto"/>
        </w:rPr>
        <w:t>The Board initially consisted of nine members during fiscal year 2025. Effective February 27, 2025, the Board approved a reduction in the size of the Board from nine to eight directors.</w:t>
      </w:r>
    </w:p>
    <w:p>
      <w:pPr>
        <w:spacing w:after="0" w:line="149" w:lineRule="exact"/>
        <w:rPr>
          <w:sz w:val="20"/>
          <w:szCs w:val="20"/>
          <w:color w:val="auto"/>
        </w:rPr>
      </w:pPr>
    </w:p>
    <w:p>
      <w:pPr>
        <w:ind w:left="40" w:right="59" w:firstLine="259"/>
        <w:spacing w:after="0" w:line="250" w:lineRule="auto"/>
        <w:rPr>
          <w:sz w:val="20"/>
          <w:szCs w:val="20"/>
          <w:color w:val="auto"/>
        </w:rPr>
      </w:pPr>
      <w:r>
        <w:rPr>
          <w:rFonts w:ascii="Times New Roman" w:cs="Times New Roman" w:eastAsia="Times New Roman" w:hAnsi="Times New Roman"/>
          <w:sz w:val="17"/>
          <w:szCs w:val="17"/>
          <w:color w:val="auto"/>
        </w:rPr>
        <w:t>There are no family relationships among any of the Company’s directors or executive officers. There have been no material proceedings to which any director, executive officer or affiliate of the Company, or any owner of record or beneficially of more than five percent of any class of the Company’s voting securities, or any associate of any such director, executive officer or affiliate of the Company, or security holder, is a party adverse to the Company or any of its subsidiaries or has a material interest adverse to the Company or any of its subsidiaries. There are no arrangements or understandings between any director and any other person pursuant to which such director was selected to serve as a director. There are no arrangements between any director and any person or entity other than the Company relating to the compensation or other payment in connection with the director’s service. None of our current directors or executive officers have been, during the past 10 years, involved in any legal proceedings required to be disclosed pursuant to Item 401(f) of Regulation S-K.</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Farha Aslam</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Director Since: 2021</w:t>
      </w:r>
    </w:p>
    <w:p>
      <w:pPr>
        <w:ind w:left="40"/>
        <w:spacing w:after="0" w:line="234" w:lineRule="auto"/>
        <w:rPr>
          <w:sz w:val="20"/>
          <w:szCs w:val="20"/>
          <w:color w:val="auto"/>
        </w:rPr>
      </w:pPr>
      <w:r>
        <w:rPr>
          <w:rFonts w:ascii="Times New Roman" w:cs="Times New Roman" w:eastAsia="Times New Roman" w:hAnsi="Times New Roman"/>
          <w:sz w:val="18"/>
          <w:szCs w:val="18"/>
          <w:i w:val="1"/>
          <w:iCs w:val="1"/>
          <w:color w:val="auto"/>
        </w:rPr>
        <w:t>Age: 57</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Independent, Chair of the Board from January 2025 to October 2025</w:t>
      </w:r>
    </w:p>
    <w:p>
      <w:pPr>
        <w:spacing w:after="0" w:line="203" w:lineRule="exact"/>
        <w:rPr>
          <w:sz w:val="20"/>
          <w:szCs w:val="20"/>
          <w:color w:val="auto"/>
        </w:rPr>
      </w:pPr>
    </w:p>
    <w:tbl>
      <w:tblPr>
        <w:tblLayout w:type="fixed"/>
        <w:tblInd w:w="50" w:type="dxa"/>
        <w:tblCellMar>
          <w:top w:w="0" w:type="dxa"/>
          <w:left w:w="0" w:type="dxa"/>
          <w:bottom w:w="0" w:type="dxa"/>
          <w:right w:w="0" w:type="dxa"/>
        </w:tblCellMar>
      </w:tblPr>
      <w:tr>
        <w:trPr>
          <w:trHeight w:val="207"/>
        </w:trPr>
        <w:tc>
          <w:tcPr>
            <w:tcW w:w="3600" w:type="dxa"/>
            <w:vAlign w:val="bottom"/>
            <w:tcBorders>
              <w:top w:val="single" w:sz="8" w:color="auto"/>
              <w:left w:val="single" w:sz="8" w:color="auto"/>
              <w:right w:val="single" w:sz="8" w:color="auto"/>
            </w:tcBorders>
          </w:tcPr>
          <w:p>
            <w:pPr>
              <w:spacing w:after="0"/>
              <w:rPr>
                <w:sz w:val="18"/>
                <w:szCs w:val="18"/>
                <w:color w:val="auto"/>
              </w:rPr>
            </w:pPr>
          </w:p>
        </w:tc>
        <w:tc>
          <w:tcPr>
            <w:tcW w:w="22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Other Public Company</w:t>
            </w:r>
          </w:p>
        </w:tc>
        <w:tc>
          <w:tcPr>
            <w:tcW w:w="680" w:type="dxa"/>
            <w:vAlign w:val="bottom"/>
            <w:tcBorders>
              <w:top w:val="single" w:sz="8" w:color="auto"/>
            </w:tcBorders>
          </w:tcPr>
          <w:p>
            <w:pPr>
              <w:spacing w:after="0"/>
              <w:rPr>
                <w:sz w:val="18"/>
                <w:szCs w:val="18"/>
                <w:color w:val="auto"/>
              </w:rPr>
            </w:pPr>
          </w:p>
        </w:tc>
        <w:tc>
          <w:tcPr>
            <w:tcW w:w="2440" w:type="dxa"/>
            <w:vAlign w:val="bottom"/>
            <w:tcBorders>
              <w:top w:val="single" w:sz="8" w:color="auto"/>
              <w:right w:val="single" w:sz="8" w:color="auto"/>
            </w:tcBorders>
          </w:tcPr>
          <w:p>
            <w:pPr>
              <w:spacing w:after="0"/>
              <w:rPr>
                <w:sz w:val="18"/>
                <w:szCs w:val="18"/>
                <w:color w:val="auto"/>
              </w:rPr>
            </w:pPr>
          </w:p>
        </w:tc>
      </w:tr>
      <w:tr>
        <w:trPr>
          <w:trHeight w:val="238"/>
        </w:trPr>
        <w:tc>
          <w:tcPr>
            <w:tcW w:w="36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Background:</w:t>
            </w:r>
          </w:p>
        </w:tc>
        <w:tc>
          <w:tcPr>
            <w:tcW w:w="2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Boards:</w:t>
            </w:r>
          </w:p>
        </w:tc>
        <w:tc>
          <w:tcPr>
            <w:tcW w:w="312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Key Qualifications and Skills:</w:t>
            </w:r>
          </w:p>
        </w:tc>
      </w:tr>
      <w:tr>
        <w:trPr>
          <w:trHeight w:val="191"/>
        </w:trPr>
        <w:tc>
          <w:tcPr>
            <w:tcW w:w="3600" w:type="dxa"/>
            <w:vAlign w:val="bottom"/>
            <w:tcBorders>
              <w:left w:val="single" w:sz="8" w:color="auto"/>
              <w:right w:val="single" w:sz="8" w:color="auto"/>
            </w:tcBorders>
            <w:shd w:val="clear" w:color="auto" w:fill="CCEEFF"/>
          </w:tcPr>
          <w:p>
            <w:pPr>
              <w:ind w:left="360"/>
              <w:spacing w:after="0" w:line="191" w:lineRule="exact"/>
              <w:rPr>
                <w:sz w:val="20"/>
                <w:szCs w:val="20"/>
                <w:color w:val="auto"/>
              </w:rPr>
            </w:pPr>
            <w:r>
              <w:rPr>
                <w:rFonts w:ascii="Times New Roman" w:cs="Times New Roman" w:eastAsia="Times New Roman" w:hAnsi="Times New Roman"/>
                <w:sz w:val="18"/>
                <w:szCs w:val="18"/>
                <w:color w:val="auto"/>
              </w:rPr>
              <w:t>Ms. Alsam is Founder and has served as</w:t>
            </w:r>
          </w:p>
        </w:tc>
        <w:tc>
          <w:tcPr>
            <w:tcW w:w="2220" w:type="dxa"/>
            <w:vAlign w:val="bottom"/>
            <w:tcBorders>
              <w:right w:val="single" w:sz="8" w:color="auto"/>
            </w:tcBorders>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Pilgrim’s Pride Corporation</w:t>
            </w:r>
          </w:p>
        </w:tc>
        <w:tc>
          <w:tcPr>
            <w:tcW w:w="680" w:type="dxa"/>
            <w:vAlign w:val="bottom"/>
            <w:shd w:val="clear" w:color="auto" w:fill="CCEEFF"/>
          </w:tcPr>
          <w:p>
            <w:pPr>
              <w:ind w:left="340"/>
              <w:spacing w:after="0" w:line="191" w:lineRule="exact"/>
              <w:rPr>
                <w:sz w:val="20"/>
                <w:szCs w:val="20"/>
                <w:color w:val="auto"/>
              </w:rPr>
            </w:pPr>
            <w:r>
              <w:rPr>
                <w:rFonts w:ascii="Times New Roman" w:cs="Times New Roman" w:eastAsia="Times New Roman" w:hAnsi="Times New Roman"/>
                <w:sz w:val="18"/>
                <w:szCs w:val="18"/>
                <w:color w:val="auto"/>
              </w:rPr>
              <w:t>The</w:t>
            </w:r>
          </w:p>
        </w:tc>
        <w:tc>
          <w:tcPr>
            <w:tcW w:w="2440" w:type="dxa"/>
            <w:vAlign w:val="bottom"/>
            <w:tcBorders>
              <w:right w:val="single" w:sz="8" w:color="auto"/>
            </w:tcBorders>
            <w:shd w:val="clear" w:color="auto" w:fill="CCEEFF"/>
          </w:tcPr>
          <w:p>
            <w:pPr>
              <w:ind w:left="60"/>
              <w:spacing w:after="0" w:line="191" w:lineRule="exact"/>
              <w:rPr>
                <w:sz w:val="20"/>
                <w:szCs w:val="20"/>
                <w:color w:val="auto"/>
              </w:rPr>
            </w:pPr>
            <w:r>
              <w:rPr>
                <w:rFonts w:ascii="Times New Roman" w:cs="Times New Roman" w:eastAsia="Times New Roman" w:hAnsi="Times New Roman"/>
                <w:sz w:val="18"/>
                <w:szCs w:val="18"/>
                <w:color w:val="auto"/>
              </w:rPr>
              <w:t>Nominating, Governance and</w:t>
            </w:r>
          </w:p>
        </w:tc>
      </w:tr>
      <w:tr>
        <w:trPr>
          <w:trHeight w:val="216"/>
        </w:trPr>
        <w:tc>
          <w:tcPr>
            <w:tcW w:w="360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Managing Partner at Crescent House Capital,</w:t>
            </w:r>
          </w:p>
        </w:tc>
        <w:tc>
          <w:tcPr>
            <w:tcW w:w="22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(Nasdaq: PPC) since May</w:t>
            </w:r>
          </w:p>
        </w:tc>
        <w:tc>
          <w:tcPr>
            <w:tcW w:w="3120" w:type="dxa"/>
            <w:vAlign w:val="bottom"/>
            <w:tcBorders>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Sustainability Committee and the Board</w:t>
            </w:r>
          </w:p>
        </w:tc>
      </w:tr>
      <w:tr>
        <w:trPr>
          <w:trHeight w:val="203"/>
        </w:trPr>
        <w:tc>
          <w:tcPr>
            <w:tcW w:w="3600" w:type="dxa"/>
            <w:vAlign w:val="bottom"/>
            <w:tcBorders>
              <w:left w:val="single" w:sz="8" w:color="auto"/>
              <w:right w:val="single" w:sz="8" w:color="auto"/>
            </w:tcBorders>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an investment and strategic advisory firm,</w:t>
            </w:r>
          </w:p>
        </w:tc>
        <w:tc>
          <w:tcPr>
            <w:tcW w:w="2220" w:type="dxa"/>
            <w:vAlign w:val="bottom"/>
            <w:tcBorders>
              <w:right w:val="single" w:sz="8" w:color="auto"/>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2019</w:t>
            </w:r>
          </w:p>
        </w:tc>
        <w:tc>
          <w:tcPr>
            <w:tcW w:w="3120" w:type="dxa"/>
            <w:vAlign w:val="bottom"/>
            <w:tcBorders>
              <w:right w:val="single" w:sz="8" w:color="auto"/>
            </w:tcBorders>
            <w:gridSpan w:val="2"/>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believe that Ms. Aslam’s experience as</w:t>
            </w:r>
          </w:p>
        </w:tc>
      </w:tr>
      <w:tr>
        <w:trPr>
          <w:trHeight w:val="216"/>
        </w:trPr>
        <w:tc>
          <w:tcPr>
            <w:tcW w:w="360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since 2019.  Ms. Aslam served as Calavo’s</w:t>
            </w:r>
          </w:p>
        </w:tc>
        <w:tc>
          <w:tcPr>
            <w:tcW w:w="22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Green Plains Inc. (Nasdaq:</w:t>
            </w:r>
          </w:p>
        </w:tc>
        <w:tc>
          <w:tcPr>
            <w:tcW w:w="3120" w:type="dxa"/>
            <w:vAlign w:val="bottom"/>
            <w:tcBorders>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 financial expert and strategic adviser</w:t>
            </w:r>
          </w:p>
        </w:tc>
      </w:tr>
      <w:tr>
        <w:trPr>
          <w:trHeight w:val="216"/>
        </w:trPr>
        <w:tc>
          <w:tcPr>
            <w:tcW w:w="360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Interim  Chief  Financial  Officer  from  July</w:t>
            </w:r>
          </w:p>
        </w:tc>
        <w:tc>
          <w:tcPr>
            <w:tcW w:w="22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GPRE) since October 2021</w:t>
            </w:r>
          </w:p>
        </w:tc>
        <w:tc>
          <w:tcPr>
            <w:tcW w:w="3120" w:type="dxa"/>
            <w:vAlign w:val="bottom"/>
            <w:tcBorders>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provides  an  invaluable  asset  to  the</w:t>
            </w:r>
          </w:p>
        </w:tc>
      </w:tr>
      <w:tr>
        <w:trPr>
          <w:trHeight w:val="216"/>
        </w:trPr>
        <w:tc>
          <w:tcPr>
            <w:tcW w:w="360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2021 to September 2021.  Previously, from</w:t>
            </w:r>
          </w:p>
        </w:tc>
        <w:tc>
          <w:tcPr>
            <w:tcW w:w="22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AdvanSix Inc. (NYSE:</w:t>
            </w:r>
          </w:p>
        </w:tc>
        <w:tc>
          <w:tcPr>
            <w:tcW w:w="3120" w:type="dxa"/>
            <w:vAlign w:val="bottom"/>
            <w:tcBorders>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Board as it evaluates the Company’s</w:t>
            </w:r>
          </w:p>
        </w:tc>
      </w:tr>
      <w:tr>
        <w:trPr>
          <w:trHeight w:val="216"/>
        </w:trPr>
        <w:tc>
          <w:tcPr>
            <w:tcW w:w="360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2004 to 2018, she was a Managing Director</w:t>
            </w:r>
          </w:p>
        </w:tc>
        <w:tc>
          <w:tcPr>
            <w:tcW w:w="22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ASIX) from December</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present</w:t>
            </w:r>
          </w:p>
        </w:tc>
        <w:tc>
          <w:tcPr>
            <w:tcW w:w="244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circumstances   and   future</w:t>
            </w:r>
          </w:p>
        </w:tc>
      </w:tr>
      <w:tr>
        <w:trPr>
          <w:trHeight w:val="216"/>
        </w:trPr>
        <w:tc>
          <w:tcPr>
            <w:tcW w:w="360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leading Stephens Inc.’s food and agribusiness</w:t>
            </w:r>
          </w:p>
        </w:tc>
        <w:tc>
          <w:tcPr>
            <w:tcW w:w="22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2021 to July 2025</w:t>
            </w:r>
          </w:p>
        </w:tc>
        <w:tc>
          <w:tcPr>
            <w:tcW w:w="3120" w:type="dxa"/>
            <w:vAlign w:val="bottom"/>
            <w:tcBorders>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direction.</w:t>
            </w:r>
          </w:p>
        </w:tc>
      </w:tr>
      <w:tr>
        <w:trPr>
          <w:trHeight w:val="216"/>
        </w:trPr>
        <w:tc>
          <w:tcPr>
            <w:tcW w:w="360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research team, with prior roles as Vice</w:t>
            </w:r>
          </w:p>
        </w:tc>
        <w:tc>
          <w:tcPr>
            <w:tcW w:w="2220" w:type="dxa"/>
            <w:vAlign w:val="bottom"/>
            <w:tcBorders>
              <w:right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40" w:type="dxa"/>
            <w:vAlign w:val="bottom"/>
            <w:tcBorders>
              <w:right w:val="single" w:sz="8" w:color="auto"/>
            </w:tcBorders>
            <w:shd w:val="clear" w:color="auto" w:fill="CCEEFF"/>
          </w:tcPr>
          <w:p>
            <w:pPr>
              <w:spacing w:after="0"/>
              <w:rPr>
                <w:sz w:val="18"/>
                <w:szCs w:val="18"/>
                <w:color w:val="auto"/>
              </w:rPr>
            </w:pPr>
          </w:p>
        </w:tc>
      </w:tr>
      <w:tr>
        <w:trPr>
          <w:trHeight w:val="203"/>
        </w:trPr>
        <w:tc>
          <w:tcPr>
            <w:tcW w:w="3600" w:type="dxa"/>
            <w:vAlign w:val="bottom"/>
            <w:tcBorders>
              <w:left w:val="single" w:sz="8" w:color="auto"/>
              <w:right w:val="single" w:sz="8" w:color="auto"/>
            </w:tcBorders>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President at Merrill Lynch from July 1999 to</w:t>
            </w:r>
          </w:p>
        </w:tc>
        <w:tc>
          <w:tcPr>
            <w:tcW w:w="2220" w:type="dxa"/>
            <w:vAlign w:val="bottom"/>
            <w:tcBorders>
              <w:right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40" w:type="dxa"/>
            <w:vAlign w:val="bottom"/>
            <w:tcBorders>
              <w:right w:val="single" w:sz="8" w:color="auto"/>
            </w:tcBorders>
            <w:shd w:val="clear" w:color="auto" w:fill="CCEEFF"/>
          </w:tcPr>
          <w:p>
            <w:pPr>
              <w:spacing w:after="0"/>
              <w:rPr>
                <w:sz w:val="17"/>
                <w:szCs w:val="17"/>
                <w:color w:val="auto"/>
              </w:rPr>
            </w:pPr>
          </w:p>
        </w:tc>
      </w:tr>
      <w:tr>
        <w:trPr>
          <w:trHeight w:val="216"/>
        </w:trPr>
        <w:tc>
          <w:tcPr>
            <w:tcW w:w="360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November  2004  and  Risk  Management</w:t>
            </w:r>
          </w:p>
        </w:tc>
        <w:tc>
          <w:tcPr>
            <w:tcW w:w="2220" w:type="dxa"/>
            <w:vAlign w:val="bottom"/>
            <w:tcBorders>
              <w:right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40" w:type="dxa"/>
            <w:vAlign w:val="bottom"/>
            <w:tcBorders>
              <w:right w:val="single" w:sz="8" w:color="auto"/>
            </w:tcBorders>
            <w:shd w:val="clear" w:color="auto" w:fill="CCEEFF"/>
          </w:tcPr>
          <w:p>
            <w:pPr>
              <w:spacing w:after="0"/>
              <w:rPr>
                <w:sz w:val="18"/>
                <w:szCs w:val="18"/>
                <w:color w:val="auto"/>
              </w:rPr>
            </w:pPr>
          </w:p>
        </w:tc>
      </w:tr>
      <w:tr>
        <w:trPr>
          <w:trHeight w:val="216"/>
        </w:trPr>
        <w:tc>
          <w:tcPr>
            <w:tcW w:w="360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Advisor at UBS from June 1998 to November</w:t>
            </w:r>
          </w:p>
        </w:tc>
        <w:tc>
          <w:tcPr>
            <w:tcW w:w="2220" w:type="dxa"/>
            <w:vAlign w:val="bottom"/>
            <w:tcBorders>
              <w:right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40" w:type="dxa"/>
            <w:vAlign w:val="bottom"/>
            <w:tcBorders>
              <w:right w:val="single" w:sz="8" w:color="auto"/>
            </w:tcBorders>
            <w:shd w:val="clear" w:color="auto" w:fill="CCEEFF"/>
          </w:tcPr>
          <w:p>
            <w:pPr>
              <w:spacing w:after="0"/>
              <w:rPr>
                <w:sz w:val="18"/>
                <w:szCs w:val="18"/>
                <w:color w:val="auto"/>
              </w:rPr>
            </w:pPr>
          </w:p>
        </w:tc>
      </w:tr>
      <w:tr>
        <w:trPr>
          <w:trHeight w:val="234"/>
        </w:trPr>
        <w:tc>
          <w:tcPr>
            <w:tcW w:w="36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1998.</w:t>
            </w:r>
          </w:p>
        </w:tc>
        <w:tc>
          <w:tcPr>
            <w:tcW w:w="2220" w:type="dxa"/>
            <w:vAlign w:val="bottom"/>
            <w:tcBorders>
              <w:bottom w:val="single" w:sz="8" w:color="auto"/>
              <w:right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24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858"/>
        </w:trPr>
        <w:tc>
          <w:tcPr>
            <w:tcW w:w="3600" w:type="dxa"/>
            <w:vAlign w:val="bottom"/>
          </w:tcPr>
          <w:p>
            <w:pPr>
              <w:spacing w:after="0"/>
              <w:rPr>
                <w:sz w:val="24"/>
                <w:szCs w:val="24"/>
                <w:color w:val="auto"/>
              </w:rPr>
            </w:pPr>
          </w:p>
        </w:tc>
        <w:tc>
          <w:tcPr>
            <w:tcW w:w="2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547"/>
        </w:trPr>
        <w:tc>
          <w:tcPr>
            <w:tcW w:w="36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Marc L. Brown</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Director Since: 2010</w:t>
      </w:r>
    </w:p>
    <w:p>
      <w:pPr>
        <w:ind w:left="40"/>
        <w:spacing w:after="0" w:line="234" w:lineRule="auto"/>
        <w:rPr>
          <w:sz w:val="20"/>
          <w:szCs w:val="20"/>
          <w:color w:val="auto"/>
        </w:rPr>
      </w:pPr>
      <w:r>
        <w:rPr>
          <w:rFonts w:ascii="Times New Roman" w:cs="Times New Roman" w:eastAsia="Times New Roman" w:hAnsi="Times New Roman"/>
          <w:sz w:val="18"/>
          <w:szCs w:val="18"/>
          <w:i w:val="1"/>
          <w:iCs w:val="1"/>
          <w:color w:val="auto"/>
        </w:rPr>
        <w:t>Age: 74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Independent</w:t>
      </w:r>
    </w:p>
    <w:p>
      <w:pPr>
        <w:spacing w:after="0" w:line="203" w:lineRule="exact"/>
        <w:rPr>
          <w:sz w:val="20"/>
          <w:szCs w:val="20"/>
          <w:color w:val="auto"/>
        </w:rPr>
      </w:pPr>
    </w:p>
    <w:tbl>
      <w:tblPr>
        <w:tblLayout w:type="fixed"/>
        <w:tblInd w:w="50" w:type="dxa"/>
        <w:tblCellMar>
          <w:top w:w="0" w:type="dxa"/>
          <w:left w:w="0" w:type="dxa"/>
          <w:bottom w:w="0" w:type="dxa"/>
          <w:right w:w="0" w:type="dxa"/>
        </w:tblCellMar>
      </w:tblPr>
      <w:tr>
        <w:trPr>
          <w:trHeight w:val="194"/>
        </w:trPr>
        <w:tc>
          <w:tcPr>
            <w:tcW w:w="1060" w:type="dxa"/>
            <w:vAlign w:val="bottom"/>
            <w:tcBorders>
              <w:top w:val="single" w:sz="8" w:color="auto"/>
              <w:left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60" w:type="dxa"/>
            <w:vAlign w:val="bottom"/>
            <w:tcBorders>
              <w:top w:val="single" w:sz="8" w:color="auto"/>
              <w:right w:val="single" w:sz="8" w:color="auto"/>
            </w:tcBorders>
          </w:tcPr>
          <w:p>
            <w:pPr>
              <w:spacing w:after="0"/>
              <w:rPr>
                <w:sz w:val="16"/>
                <w:szCs w:val="16"/>
                <w:color w:val="auto"/>
              </w:rPr>
            </w:pPr>
          </w:p>
        </w:tc>
        <w:tc>
          <w:tcPr>
            <w:tcW w:w="2220" w:type="dxa"/>
            <w:vAlign w:val="bottom"/>
            <w:tcBorders>
              <w:top w:val="single" w:sz="8" w:color="auto"/>
              <w:right w:val="single" w:sz="8" w:color="auto"/>
            </w:tcBorders>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Other Public Company</w:t>
            </w:r>
          </w:p>
        </w:tc>
        <w:tc>
          <w:tcPr>
            <w:tcW w:w="3120" w:type="dxa"/>
            <w:vAlign w:val="bottom"/>
            <w:tcBorders>
              <w:top w:val="single" w:sz="8" w:color="auto"/>
              <w:right w:val="single" w:sz="8" w:color="auto"/>
            </w:tcBorders>
          </w:tcPr>
          <w:p>
            <w:pPr>
              <w:spacing w:after="0"/>
              <w:rPr>
                <w:sz w:val="16"/>
                <w:szCs w:val="16"/>
                <w:color w:val="auto"/>
              </w:rPr>
            </w:pPr>
          </w:p>
        </w:tc>
      </w:tr>
      <w:tr>
        <w:trPr>
          <w:trHeight w:val="252"/>
        </w:trPr>
        <w:tc>
          <w:tcPr>
            <w:tcW w:w="192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Background:</w:t>
            </w:r>
          </w:p>
        </w:tc>
        <w:tc>
          <w:tcPr>
            <w:tcW w:w="1660" w:type="dxa"/>
            <w:vAlign w:val="bottom"/>
            <w:tcBorders>
              <w:bottom w:val="single" w:sz="8" w:color="auto"/>
              <w:right w:val="single" w:sz="8" w:color="auto"/>
            </w:tcBorders>
          </w:tcPr>
          <w:p>
            <w:pPr>
              <w:spacing w:after="0"/>
              <w:rPr>
                <w:sz w:val="21"/>
                <w:szCs w:val="21"/>
                <w:color w:val="auto"/>
              </w:rPr>
            </w:pPr>
          </w:p>
        </w:tc>
        <w:tc>
          <w:tcPr>
            <w:tcW w:w="2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Boards:</w:t>
            </w:r>
          </w:p>
        </w:tc>
        <w:tc>
          <w:tcPr>
            <w:tcW w:w="31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Key Qualifications and Skills:</w:t>
            </w:r>
          </w:p>
        </w:tc>
      </w:tr>
      <w:tr>
        <w:trPr>
          <w:trHeight w:val="178"/>
        </w:trPr>
        <w:tc>
          <w:tcPr>
            <w:tcW w:w="3580" w:type="dxa"/>
            <w:vAlign w:val="bottom"/>
            <w:tcBorders>
              <w:left w:val="single" w:sz="8" w:color="auto"/>
              <w:right w:val="single" w:sz="8" w:color="auto"/>
            </w:tcBorders>
            <w:gridSpan w:val="3"/>
            <w:shd w:val="clear" w:color="auto" w:fill="CCEEFF"/>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Mr. Brown was a member of TroyGould</w:t>
            </w:r>
          </w:p>
        </w:tc>
        <w:tc>
          <w:tcPr>
            <w:tcW w:w="2220" w:type="dxa"/>
            <w:vAlign w:val="bottom"/>
            <w:tcBorders>
              <w:right w:val="single" w:sz="8" w:color="auto"/>
            </w:tcBorders>
            <w:shd w:val="clear" w:color="auto" w:fill="CCEEFF"/>
          </w:tcPr>
          <w:p>
            <w:pPr>
              <w:ind w:left="80"/>
              <w:spacing w:after="0" w:line="177" w:lineRule="exact"/>
              <w:rPr>
                <w:sz w:val="20"/>
                <w:szCs w:val="20"/>
                <w:color w:val="auto"/>
              </w:rPr>
            </w:pPr>
            <w:r>
              <w:rPr>
                <w:rFonts w:ascii="Times New Roman" w:cs="Times New Roman" w:eastAsia="Times New Roman" w:hAnsi="Times New Roman"/>
                <w:sz w:val="18"/>
                <w:szCs w:val="18"/>
                <w:color w:val="auto"/>
              </w:rPr>
              <w:t>None.</w:t>
            </w:r>
          </w:p>
        </w:tc>
        <w:tc>
          <w:tcPr>
            <w:tcW w:w="3120" w:type="dxa"/>
            <w:vAlign w:val="bottom"/>
            <w:tcBorders>
              <w:right w:val="single" w:sz="8" w:color="auto"/>
            </w:tcBorders>
            <w:shd w:val="clear" w:color="auto" w:fill="CCEEFF"/>
          </w:tcPr>
          <w:p>
            <w:pPr>
              <w:ind w:left="340"/>
              <w:spacing w:after="0" w:line="177" w:lineRule="exact"/>
              <w:rPr>
                <w:sz w:val="20"/>
                <w:szCs w:val="20"/>
                <w:color w:val="auto"/>
              </w:rPr>
            </w:pPr>
            <w:r>
              <w:rPr>
                <w:rFonts w:ascii="Times New Roman" w:cs="Times New Roman" w:eastAsia="Times New Roman" w:hAnsi="Times New Roman"/>
                <w:sz w:val="18"/>
                <w:szCs w:val="18"/>
                <w:color w:val="auto"/>
              </w:rPr>
              <w:t>The  Nominating,  Governance  and</w:t>
            </w:r>
          </w:p>
        </w:tc>
      </w:tr>
      <w:tr>
        <w:trPr>
          <w:trHeight w:val="216"/>
        </w:trPr>
        <w:tc>
          <w:tcPr>
            <w:tcW w:w="358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PC, a Los Angeles law firm, from 2000 until</w:t>
            </w:r>
          </w:p>
        </w:tc>
        <w:tc>
          <w:tcPr>
            <w:tcW w:w="222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Sustainability Committee and the Board</w:t>
            </w:r>
          </w:p>
        </w:tc>
      </w:tr>
      <w:tr>
        <w:trPr>
          <w:trHeight w:val="216"/>
        </w:trPr>
        <w:tc>
          <w:tcPr>
            <w:tcW w:w="358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his retirement in December 2020. Mr. Brown</w:t>
            </w:r>
          </w:p>
        </w:tc>
        <w:tc>
          <w:tcPr>
            <w:tcW w:w="222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believe that Mr. Brown’s extensive legal</w:t>
            </w:r>
          </w:p>
        </w:tc>
      </w:tr>
      <w:tr>
        <w:trPr>
          <w:trHeight w:val="216"/>
        </w:trPr>
        <w:tc>
          <w:tcPr>
            <w:tcW w:w="358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brings  to  the  Board  over  forty  years  of</w:t>
            </w:r>
          </w:p>
        </w:tc>
        <w:tc>
          <w:tcPr>
            <w:tcW w:w="222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experience provides an invaluable asset</w:t>
            </w:r>
          </w:p>
        </w:tc>
      </w:tr>
      <w:tr>
        <w:trPr>
          <w:trHeight w:val="216"/>
        </w:trPr>
        <w:tc>
          <w:tcPr>
            <w:tcW w:w="1060" w:type="dxa"/>
            <w:vAlign w:val="bottom"/>
            <w:tcBorders>
              <w:lef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experience</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counseling</w:t>
            </w:r>
          </w:p>
        </w:tc>
        <w:tc>
          <w:tcPr>
            <w:tcW w:w="1660" w:type="dxa"/>
            <w:vAlign w:val="bottom"/>
            <w:tcBorders>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numerous   public</w:t>
            </w:r>
          </w:p>
        </w:tc>
        <w:tc>
          <w:tcPr>
            <w:tcW w:w="222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  the  Board  as  it  evaluates  the</w:t>
            </w:r>
          </w:p>
        </w:tc>
      </w:tr>
      <w:tr>
        <w:trPr>
          <w:trHeight w:val="216"/>
        </w:trPr>
        <w:tc>
          <w:tcPr>
            <w:tcW w:w="358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corporations in matters involving mergers and</w:t>
            </w:r>
          </w:p>
        </w:tc>
        <w:tc>
          <w:tcPr>
            <w:tcW w:w="222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Company’s present circumstances and</w:t>
            </w:r>
          </w:p>
        </w:tc>
      </w:tr>
      <w:tr>
        <w:trPr>
          <w:trHeight w:val="216"/>
        </w:trPr>
        <w:tc>
          <w:tcPr>
            <w:tcW w:w="1060" w:type="dxa"/>
            <w:vAlign w:val="bottom"/>
            <w:tcBorders>
              <w:lef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acquisitions,</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securities</w:t>
            </w:r>
          </w:p>
        </w:tc>
        <w:tc>
          <w:tcPr>
            <w:tcW w:w="1660" w:type="dxa"/>
            <w:vAlign w:val="bottom"/>
            <w:tcBorders>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offerings,  corporate</w:t>
            </w:r>
          </w:p>
        </w:tc>
        <w:tc>
          <w:tcPr>
            <w:tcW w:w="222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future direction.</w:t>
            </w:r>
          </w:p>
        </w:tc>
      </w:tr>
      <w:tr>
        <w:trPr>
          <w:trHeight w:val="203"/>
        </w:trPr>
        <w:tc>
          <w:tcPr>
            <w:tcW w:w="1060" w:type="dxa"/>
            <w:vAlign w:val="bottom"/>
            <w:tcBorders>
              <w:left w:val="single" w:sz="8" w:color="auto"/>
            </w:tcBorders>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governance,</w:t>
            </w:r>
          </w:p>
        </w:tc>
        <w:tc>
          <w:tcPr>
            <w:tcW w:w="8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executive</w:t>
            </w:r>
          </w:p>
        </w:tc>
        <w:tc>
          <w:tcPr>
            <w:tcW w:w="1660" w:type="dxa"/>
            <w:vAlign w:val="bottom"/>
            <w:tcBorders>
              <w:right w:val="single" w:sz="8" w:color="auto"/>
            </w:tcBorders>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compensation  and</w:t>
            </w:r>
          </w:p>
        </w:tc>
        <w:tc>
          <w:tcPr>
            <w:tcW w:w="2220" w:type="dxa"/>
            <w:vAlign w:val="bottom"/>
            <w:tcBorders>
              <w:right w:val="single" w:sz="8" w:color="auto"/>
            </w:tcBorders>
            <w:shd w:val="clear" w:color="auto" w:fill="CCEEFF"/>
          </w:tcPr>
          <w:p>
            <w:pPr>
              <w:spacing w:after="0"/>
              <w:rPr>
                <w:sz w:val="17"/>
                <w:szCs w:val="17"/>
                <w:color w:val="auto"/>
              </w:rPr>
            </w:pPr>
          </w:p>
        </w:tc>
        <w:tc>
          <w:tcPr>
            <w:tcW w:w="3120" w:type="dxa"/>
            <w:vAlign w:val="bottom"/>
            <w:tcBorders>
              <w:right w:val="single" w:sz="8" w:color="auto"/>
            </w:tcBorders>
            <w:shd w:val="clear" w:color="auto" w:fill="CCEEFF"/>
          </w:tcPr>
          <w:p>
            <w:pPr>
              <w:spacing w:after="0"/>
              <w:rPr>
                <w:sz w:val="17"/>
                <w:szCs w:val="17"/>
                <w:color w:val="auto"/>
              </w:rPr>
            </w:pPr>
          </w:p>
        </w:tc>
      </w:tr>
      <w:tr>
        <w:trPr>
          <w:trHeight w:val="241"/>
        </w:trPr>
        <w:tc>
          <w:tcPr>
            <w:tcW w:w="3580" w:type="dxa"/>
            <w:vAlign w:val="bottom"/>
            <w:tcBorders>
              <w:left w:val="single" w:sz="8" w:color="auto"/>
              <w:bottom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compliance with United States securities laws.</w:t>
            </w:r>
          </w:p>
        </w:tc>
        <w:tc>
          <w:tcPr>
            <w:tcW w:w="2220" w:type="dxa"/>
            <w:vAlign w:val="bottom"/>
            <w:tcBorders>
              <w:bottom w:val="single" w:sz="8" w:color="auto"/>
              <w:right w:val="single" w:sz="8" w:color="auto"/>
            </w:tcBorders>
            <w:shd w:val="clear" w:color="auto" w:fill="CCEEFF"/>
          </w:tcPr>
          <w:p>
            <w:pPr>
              <w:spacing w:after="0"/>
              <w:rPr>
                <w:sz w:val="20"/>
                <w:szCs w:val="20"/>
                <w:color w:val="auto"/>
              </w:rPr>
            </w:pPr>
          </w:p>
        </w:tc>
        <w:tc>
          <w:tcPr>
            <w:tcW w:w="3120" w:type="dxa"/>
            <w:vAlign w:val="bottom"/>
            <w:tcBorders>
              <w:bottom w:val="single" w:sz="8" w:color="auto"/>
              <w:right w:val="single" w:sz="8" w:color="auto"/>
            </w:tcBorders>
            <w:shd w:val="clear" w:color="auto" w:fill="CCEEFF"/>
          </w:tcPr>
          <w:p>
            <w:pPr>
              <w:spacing w:after="0"/>
              <w:rPr>
                <w:sz w:val="20"/>
                <w:szCs w:val="20"/>
                <w:color w:val="auto"/>
              </w:rPr>
            </w:pPr>
          </w:p>
        </w:tc>
      </w:tr>
    </w:tbl>
    <w:p>
      <w:pPr>
        <w:spacing w:after="0" w:line="2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Michael A. DiGregorio</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Director Since: 2013</w:t>
      </w:r>
    </w:p>
    <w:p>
      <w:pPr>
        <w:ind w:left="40"/>
        <w:spacing w:after="0" w:line="234" w:lineRule="auto"/>
        <w:rPr>
          <w:sz w:val="20"/>
          <w:szCs w:val="20"/>
          <w:color w:val="auto"/>
        </w:rPr>
      </w:pPr>
      <w:r>
        <w:rPr>
          <w:rFonts w:ascii="Times New Roman" w:cs="Times New Roman" w:eastAsia="Times New Roman" w:hAnsi="Times New Roman"/>
          <w:sz w:val="18"/>
          <w:szCs w:val="18"/>
          <w:i w:val="1"/>
          <w:iCs w:val="1"/>
          <w:color w:val="auto"/>
        </w:rPr>
        <w:t>Age: 71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Independent</w:t>
      </w:r>
    </w:p>
    <w:p>
      <w:pPr>
        <w:spacing w:after="0" w:line="190" w:lineRule="exact"/>
        <w:rPr>
          <w:sz w:val="20"/>
          <w:szCs w:val="20"/>
          <w:color w:val="auto"/>
        </w:rPr>
      </w:pPr>
    </w:p>
    <w:tbl>
      <w:tblPr>
        <w:tblLayout w:type="fixed"/>
        <w:tblInd w:w="50" w:type="dxa"/>
        <w:tblCellMar>
          <w:top w:w="0" w:type="dxa"/>
          <w:left w:w="0" w:type="dxa"/>
          <w:bottom w:w="0" w:type="dxa"/>
          <w:right w:w="0" w:type="dxa"/>
        </w:tblCellMar>
      </w:tblPr>
      <w:tr>
        <w:trPr>
          <w:trHeight w:val="207"/>
        </w:trPr>
        <w:tc>
          <w:tcPr>
            <w:tcW w:w="900" w:type="dxa"/>
            <w:vAlign w:val="bottom"/>
            <w:tcBorders>
              <w:top w:val="single" w:sz="8" w:color="auto"/>
              <w:left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22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Other Public Company</w:t>
            </w:r>
          </w:p>
        </w:tc>
        <w:tc>
          <w:tcPr>
            <w:tcW w:w="3140" w:type="dxa"/>
            <w:vAlign w:val="bottom"/>
            <w:tcBorders>
              <w:top w:val="single" w:sz="8" w:color="auto"/>
              <w:right w:val="single" w:sz="8" w:color="auto"/>
            </w:tcBorders>
          </w:tcPr>
          <w:p>
            <w:pPr>
              <w:spacing w:after="0"/>
              <w:rPr>
                <w:sz w:val="18"/>
                <w:szCs w:val="18"/>
                <w:color w:val="auto"/>
              </w:rPr>
            </w:pPr>
          </w:p>
        </w:tc>
      </w:tr>
      <w:tr>
        <w:trPr>
          <w:trHeight w:val="238"/>
        </w:trPr>
        <w:tc>
          <w:tcPr>
            <w:tcW w:w="148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Background:</w:t>
            </w:r>
          </w:p>
        </w:tc>
        <w:tc>
          <w:tcPr>
            <w:tcW w:w="140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Boards:</w:t>
            </w:r>
          </w:p>
        </w:tc>
        <w:tc>
          <w:tcPr>
            <w:tcW w:w="3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Key Qualifications and Skills:</w:t>
            </w:r>
          </w:p>
        </w:tc>
      </w:tr>
      <w:tr>
        <w:trPr>
          <w:trHeight w:val="191"/>
        </w:trPr>
        <w:tc>
          <w:tcPr>
            <w:tcW w:w="2880" w:type="dxa"/>
            <w:vAlign w:val="bottom"/>
            <w:tcBorders>
              <w:left w:val="single" w:sz="8" w:color="auto"/>
            </w:tcBorders>
            <w:gridSpan w:val="3"/>
            <w:shd w:val="clear" w:color="auto" w:fill="CCEEFF"/>
          </w:tcPr>
          <w:p>
            <w:pPr>
              <w:ind w:left="360"/>
              <w:spacing w:after="0" w:line="191" w:lineRule="exact"/>
              <w:rPr>
                <w:sz w:val="20"/>
                <w:szCs w:val="20"/>
                <w:color w:val="auto"/>
              </w:rPr>
            </w:pPr>
            <w:r>
              <w:rPr>
                <w:rFonts w:ascii="Times New Roman" w:cs="Times New Roman" w:eastAsia="Times New Roman" w:hAnsi="Times New Roman"/>
                <w:sz w:val="18"/>
                <w:szCs w:val="18"/>
                <w:color w:val="auto"/>
              </w:rPr>
              <w:t>Mr.  DiGregorio  is  a  Certified</w:t>
            </w:r>
          </w:p>
        </w:tc>
        <w:tc>
          <w:tcPr>
            <w:tcW w:w="700" w:type="dxa"/>
            <w:vAlign w:val="bottom"/>
            <w:tcBorders>
              <w:right w:val="single" w:sz="8" w:color="auto"/>
            </w:tcBorders>
            <w:shd w:val="clear" w:color="auto" w:fill="CCEEFF"/>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Public</w:t>
            </w:r>
          </w:p>
        </w:tc>
        <w:tc>
          <w:tcPr>
            <w:tcW w:w="2220" w:type="dxa"/>
            <w:vAlign w:val="bottom"/>
            <w:tcBorders>
              <w:right w:val="single" w:sz="8" w:color="auto"/>
            </w:tcBorders>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None.</w:t>
            </w:r>
          </w:p>
        </w:tc>
        <w:tc>
          <w:tcPr>
            <w:tcW w:w="3140" w:type="dxa"/>
            <w:vAlign w:val="bottom"/>
            <w:tcBorders>
              <w:right w:val="single" w:sz="8" w:color="auto"/>
            </w:tcBorders>
            <w:shd w:val="clear" w:color="auto" w:fill="CCEEFF"/>
          </w:tcPr>
          <w:p>
            <w:pPr>
              <w:ind w:left="340"/>
              <w:spacing w:after="0" w:line="191" w:lineRule="exact"/>
              <w:rPr>
                <w:sz w:val="20"/>
                <w:szCs w:val="20"/>
                <w:color w:val="auto"/>
              </w:rPr>
            </w:pPr>
            <w:r>
              <w:rPr>
                <w:rFonts w:ascii="Times New Roman" w:cs="Times New Roman" w:eastAsia="Times New Roman" w:hAnsi="Times New Roman"/>
                <w:sz w:val="18"/>
                <w:szCs w:val="18"/>
                <w:color w:val="auto"/>
              </w:rPr>
              <w:t>The  Nominating,  Governance  and</w:t>
            </w:r>
          </w:p>
        </w:tc>
      </w:tr>
      <w:tr>
        <w:trPr>
          <w:trHeight w:val="216"/>
        </w:trPr>
        <w:tc>
          <w:tcPr>
            <w:tcW w:w="3580" w:type="dxa"/>
            <w:vAlign w:val="bottom"/>
            <w:tcBorders>
              <w:left w:val="single" w:sz="8" w:color="auto"/>
              <w:right w:val="single" w:sz="8" w:color="auto"/>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Accountant (inactive) who began his career at</w:t>
            </w:r>
          </w:p>
        </w:tc>
        <w:tc>
          <w:tcPr>
            <w:tcW w:w="222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Sustainability Committee and the Board</w:t>
            </w:r>
          </w:p>
        </w:tc>
      </w:tr>
      <w:tr>
        <w:trPr>
          <w:trHeight w:val="216"/>
        </w:trPr>
        <w:tc>
          <w:tcPr>
            <w:tcW w:w="900" w:type="dxa"/>
            <w:vAlign w:val="bottom"/>
            <w:tcBorders>
              <w:lef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Deloitte.</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 has</w:t>
            </w:r>
          </w:p>
        </w:tc>
        <w:tc>
          <w:tcPr>
            <w:tcW w:w="2100" w:type="dxa"/>
            <w:vAlign w:val="bottom"/>
            <w:tcBorders>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served as Chief Financial</w:t>
            </w:r>
          </w:p>
        </w:tc>
        <w:tc>
          <w:tcPr>
            <w:tcW w:w="222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believe that Mr. DiGregorio’s financial</w:t>
            </w:r>
          </w:p>
        </w:tc>
      </w:tr>
      <w:tr>
        <w:trPr>
          <w:trHeight w:val="216"/>
        </w:trPr>
        <w:tc>
          <w:tcPr>
            <w:tcW w:w="3580" w:type="dxa"/>
            <w:vAlign w:val="bottom"/>
            <w:tcBorders>
              <w:left w:val="single" w:sz="8" w:color="auto"/>
              <w:right w:val="single" w:sz="8" w:color="auto"/>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Officer  of  public  and  private  companies,</w:t>
            </w:r>
          </w:p>
        </w:tc>
        <w:tc>
          <w:tcPr>
            <w:tcW w:w="222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and leadership experience provides an</w:t>
            </w:r>
          </w:p>
        </w:tc>
      </w:tr>
      <w:tr>
        <w:trPr>
          <w:trHeight w:val="216"/>
        </w:trPr>
        <w:tc>
          <w:tcPr>
            <w:tcW w:w="3580" w:type="dxa"/>
            <w:vAlign w:val="bottom"/>
            <w:tcBorders>
              <w:left w:val="single" w:sz="8" w:color="auto"/>
              <w:right w:val="single" w:sz="8" w:color="auto"/>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including Korn Ferry, St. John Knits, Jafra</w:t>
            </w:r>
          </w:p>
        </w:tc>
        <w:tc>
          <w:tcPr>
            <w:tcW w:w="222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invaluable  asset  to  the  Board  as  it</w:t>
            </w:r>
          </w:p>
        </w:tc>
      </w:tr>
      <w:tr>
        <w:trPr>
          <w:trHeight w:val="203"/>
        </w:trPr>
        <w:tc>
          <w:tcPr>
            <w:tcW w:w="900" w:type="dxa"/>
            <w:vAlign w:val="bottom"/>
            <w:tcBorders>
              <w:left w:val="single" w:sz="8" w:color="auto"/>
            </w:tcBorders>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w w:val="98"/>
              </w:rPr>
              <w:t>Cosmetics,</w:t>
            </w:r>
          </w:p>
        </w:tc>
        <w:tc>
          <w:tcPr>
            <w:tcW w:w="58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The</w:t>
            </w:r>
          </w:p>
        </w:tc>
        <w:tc>
          <w:tcPr>
            <w:tcW w:w="2100" w:type="dxa"/>
            <w:vAlign w:val="bottom"/>
            <w:tcBorders>
              <w:right w:val="single" w:sz="8" w:color="auto"/>
            </w:tcBorders>
            <w:gridSpan w:val="2"/>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Wackenhut  Corporation,</w:t>
            </w:r>
          </w:p>
        </w:tc>
        <w:tc>
          <w:tcPr>
            <w:tcW w:w="2220" w:type="dxa"/>
            <w:vAlign w:val="bottom"/>
            <w:tcBorders>
              <w:right w:val="single" w:sz="8" w:color="auto"/>
            </w:tcBorders>
            <w:shd w:val="clear" w:color="auto" w:fill="CCEEFF"/>
          </w:tcPr>
          <w:p>
            <w:pPr>
              <w:spacing w:after="0"/>
              <w:rPr>
                <w:sz w:val="17"/>
                <w:szCs w:val="17"/>
                <w:color w:val="auto"/>
              </w:rPr>
            </w:pPr>
          </w:p>
        </w:tc>
        <w:tc>
          <w:tcPr>
            <w:tcW w:w="3140" w:type="dxa"/>
            <w:vAlign w:val="bottom"/>
            <w:tcBorders>
              <w:right w:val="single" w:sz="8" w:color="auto"/>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evaluates   the   Company’s   present</w:t>
            </w:r>
          </w:p>
        </w:tc>
      </w:tr>
      <w:tr>
        <w:trPr>
          <w:trHeight w:val="216"/>
        </w:trPr>
        <w:tc>
          <w:tcPr>
            <w:tcW w:w="2880" w:type="dxa"/>
            <w:vAlign w:val="bottom"/>
            <w:tcBorders>
              <w:lef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Atlantis Plastics and Gillette Iberia.</w:t>
            </w:r>
          </w:p>
        </w:tc>
        <w:tc>
          <w:tcPr>
            <w:tcW w:w="700" w:type="dxa"/>
            <w:vAlign w:val="bottom"/>
            <w:tcBorders>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He also</w:t>
            </w:r>
          </w:p>
        </w:tc>
        <w:tc>
          <w:tcPr>
            <w:tcW w:w="222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circumstances and future direction.</w:t>
            </w:r>
          </w:p>
        </w:tc>
      </w:tr>
      <w:tr>
        <w:trPr>
          <w:trHeight w:val="216"/>
        </w:trPr>
        <w:tc>
          <w:tcPr>
            <w:tcW w:w="3580" w:type="dxa"/>
            <w:vAlign w:val="bottom"/>
            <w:tcBorders>
              <w:left w:val="single" w:sz="8" w:color="auto"/>
              <w:right w:val="single" w:sz="8" w:color="auto"/>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served as President of Jafra Cosmetics USA</w:t>
            </w:r>
          </w:p>
        </w:tc>
        <w:tc>
          <w:tcPr>
            <w:tcW w:w="222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spacing w:after="0"/>
              <w:rPr>
                <w:sz w:val="18"/>
                <w:szCs w:val="18"/>
                <w:color w:val="auto"/>
              </w:rPr>
            </w:pPr>
          </w:p>
        </w:tc>
      </w:tr>
      <w:tr>
        <w:trPr>
          <w:trHeight w:val="216"/>
        </w:trPr>
        <w:tc>
          <w:tcPr>
            <w:tcW w:w="3580" w:type="dxa"/>
            <w:vAlign w:val="bottom"/>
            <w:tcBorders>
              <w:left w:val="single" w:sz="8" w:color="auto"/>
              <w:right w:val="single" w:sz="8" w:color="auto"/>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from 1998 to 1999.  He retired as Executive</w:t>
            </w:r>
          </w:p>
        </w:tc>
        <w:tc>
          <w:tcPr>
            <w:tcW w:w="222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spacing w:after="0"/>
              <w:rPr>
                <w:sz w:val="18"/>
                <w:szCs w:val="18"/>
                <w:color w:val="auto"/>
              </w:rPr>
            </w:pPr>
          </w:p>
        </w:tc>
      </w:tr>
      <w:tr>
        <w:trPr>
          <w:trHeight w:val="216"/>
        </w:trPr>
        <w:tc>
          <w:tcPr>
            <w:tcW w:w="3580" w:type="dxa"/>
            <w:vAlign w:val="bottom"/>
            <w:tcBorders>
              <w:left w:val="single" w:sz="8" w:color="auto"/>
              <w:right w:val="single" w:sz="8" w:color="auto"/>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c>
          <w:tcPr>
            <w:tcW w:w="222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spacing w:after="0"/>
              <w:rPr>
                <w:sz w:val="18"/>
                <w:szCs w:val="18"/>
                <w:color w:val="auto"/>
              </w:rPr>
            </w:pPr>
          </w:p>
        </w:tc>
      </w:tr>
      <w:tr>
        <w:trPr>
          <w:trHeight w:val="216"/>
        </w:trPr>
        <w:tc>
          <w:tcPr>
            <w:tcW w:w="3580" w:type="dxa"/>
            <w:vAlign w:val="bottom"/>
            <w:tcBorders>
              <w:left w:val="single" w:sz="8" w:color="auto"/>
              <w:right w:val="single" w:sz="8" w:color="auto"/>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from Korn Ferry in 2012 and has served on</w:t>
            </w:r>
          </w:p>
        </w:tc>
        <w:tc>
          <w:tcPr>
            <w:tcW w:w="222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spacing w:after="0"/>
              <w:rPr>
                <w:sz w:val="18"/>
                <w:szCs w:val="18"/>
                <w:color w:val="auto"/>
              </w:rPr>
            </w:pPr>
          </w:p>
        </w:tc>
      </w:tr>
      <w:tr>
        <w:trPr>
          <w:trHeight w:val="216"/>
        </w:trPr>
        <w:tc>
          <w:tcPr>
            <w:tcW w:w="3580" w:type="dxa"/>
            <w:vAlign w:val="bottom"/>
            <w:tcBorders>
              <w:left w:val="single" w:sz="8" w:color="auto"/>
              <w:right w:val="single" w:sz="8" w:color="auto"/>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seven different boards during the past twelve</w:t>
            </w:r>
          </w:p>
        </w:tc>
        <w:tc>
          <w:tcPr>
            <w:tcW w:w="222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spacing w:after="0"/>
              <w:rPr>
                <w:sz w:val="18"/>
                <w:szCs w:val="18"/>
                <w:color w:val="auto"/>
              </w:rPr>
            </w:pPr>
          </w:p>
        </w:tc>
      </w:tr>
      <w:tr>
        <w:trPr>
          <w:trHeight w:val="221"/>
        </w:trPr>
        <w:tc>
          <w:tcPr>
            <w:tcW w:w="900" w:type="dxa"/>
            <w:vAlign w:val="bottom"/>
            <w:tcBorders>
              <w:left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years.</w:t>
            </w:r>
          </w:p>
        </w:tc>
        <w:tc>
          <w:tcPr>
            <w:tcW w:w="5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right w:val="single" w:sz="8" w:color="auto"/>
            </w:tcBorders>
            <w:shd w:val="clear" w:color="auto" w:fill="CCEEFF"/>
          </w:tcPr>
          <w:p>
            <w:pPr>
              <w:spacing w:after="0"/>
              <w:rPr>
                <w:sz w:val="19"/>
                <w:szCs w:val="19"/>
                <w:color w:val="auto"/>
              </w:rPr>
            </w:pPr>
          </w:p>
        </w:tc>
        <w:tc>
          <w:tcPr>
            <w:tcW w:w="2220" w:type="dxa"/>
            <w:vAlign w:val="bottom"/>
            <w:tcBorders>
              <w:bottom w:val="single" w:sz="8" w:color="auto"/>
              <w:right w:val="single" w:sz="8" w:color="auto"/>
            </w:tcBorders>
            <w:shd w:val="clear" w:color="auto" w:fill="CCEEFF"/>
          </w:tcPr>
          <w:p>
            <w:pPr>
              <w:spacing w:after="0"/>
              <w:rPr>
                <w:sz w:val="19"/>
                <w:szCs w:val="19"/>
                <w:color w:val="auto"/>
              </w:rPr>
            </w:pPr>
          </w:p>
        </w:tc>
        <w:tc>
          <w:tcPr>
            <w:tcW w:w="314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858"/>
        </w:trPr>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92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5</w:t>
            </w:r>
          </w:p>
        </w:tc>
        <w:tc>
          <w:tcPr>
            <w:tcW w:w="3140" w:type="dxa"/>
            <w:vAlign w:val="bottom"/>
          </w:tcPr>
          <w:p>
            <w:pPr>
              <w:spacing w:after="0"/>
              <w:rPr>
                <w:sz w:val="24"/>
                <w:szCs w:val="24"/>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Steven Hollister</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Director Since: 2008</w:t>
      </w:r>
    </w:p>
    <w:p>
      <w:pPr>
        <w:ind w:left="40"/>
        <w:spacing w:after="0" w:line="234" w:lineRule="auto"/>
        <w:rPr>
          <w:sz w:val="20"/>
          <w:szCs w:val="20"/>
          <w:color w:val="auto"/>
        </w:rPr>
      </w:pPr>
      <w:r>
        <w:rPr>
          <w:rFonts w:ascii="Times New Roman" w:cs="Times New Roman" w:eastAsia="Times New Roman" w:hAnsi="Times New Roman"/>
          <w:sz w:val="18"/>
          <w:szCs w:val="18"/>
          <w:i w:val="1"/>
          <w:iCs w:val="1"/>
          <w:color w:val="auto"/>
        </w:rPr>
        <w:t>Age: 68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Independent, Chair of the Board November 2024 to January 2025</w:t>
      </w:r>
    </w:p>
    <w:p>
      <w:pPr>
        <w:spacing w:after="0" w:line="203" w:lineRule="exact"/>
        <w:rPr>
          <w:sz w:val="20"/>
          <w:szCs w:val="20"/>
          <w:color w:val="auto"/>
        </w:rPr>
      </w:pPr>
    </w:p>
    <w:tbl>
      <w:tblPr>
        <w:tblLayout w:type="fixed"/>
        <w:tblInd w:w="50" w:type="dxa"/>
        <w:tblCellMar>
          <w:top w:w="0" w:type="dxa"/>
          <w:left w:w="0" w:type="dxa"/>
          <w:bottom w:w="0" w:type="dxa"/>
          <w:right w:w="0" w:type="dxa"/>
        </w:tblCellMar>
      </w:tblPr>
      <w:tr>
        <w:trPr>
          <w:trHeight w:val="194"/>
        </w:trPr>
        <w:tc>
          <w:tcPr>
            <w:tcW w:w="700" w:type="dxa"/>
            <w:vAlign w:val="bottom"/>
            <w:tcBorders>
              <w:top w:val="single" w:sz="8" w:color="auto"/>
              <w:left w:val="single" w:sz="8" w:color="auto"/>
            </w:tcBorders>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1140" w:type="dxa"/>
            <w:vAlign w:val="bottom"/>
            <w:tcBorders>
              <w:top w:val="single" w:sz="8" w:color="auto"/>
              <w:right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2"/>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Other Public Company</w:t>
            </w:r>
          </w:p>
        </w:tc>
        <w:tc>
          <w:tcPr>
            <w:tcW w:w="8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40" w:type="dxa"/>
            <w:vAlign w:val="bottom"/>
            <w:tcBorders>
              <w:top w:val="single" w:sz="8" w:color="auto"/>
              <w:right w:val="single" w:sz="8" w:color="auto"/>
            </w:tcBorders>
          </w:tcPr>
          <w:p>
            <w:pPr>
              <w:spacing w:after="0"/>
              <w:rPr>
                <w:sz w:val="16"/>
                <w:szCs w:val="16"/>
                <w:color w:val="auto"/>
              </w:rPr>
            </w:pPr>
          </w:p>
        </w:tc>
      </w:tr>
      <w:tr>
        <w:trPr>
          <w:trHeight w:val="252"/>
        </w:trPr>
        <w:tc>
          <w:tcPr>
            <w:tcW w:w="246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Background:</w:t>
            </w:r>
          </w:p>
        </w:tc>
        <w:tc>
          <w:tcPr>
            <w:tcW w:w="114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Boards:</w:t>
            </w:r>
          </w:p>
        </w:tc>
        <w:tc>
          <w:tcPr>
            <w:tcW w:w="1460" w:type="dxa"/>
            <w:vAlign w:val="bottom"/>
            <w:tcBorders>
              <w:bottom w:val="single" w:sz="8" w:color="auto"/>
              <w:right w:val="single" w:sz="8" w:color="auto"/>
            </w:tcBorders>
          </w:tcPr>
          <w:p>
            <w:pPr>
              <w:spacing w:after="0"/>
              <w:rPr>
                <w:sz w:val="21"/>
                <w:szCs w:val="21"/>
                <w:color w:val="auto"/>
              </w:rPr>
            </w:pPr>
          </w:p>
        </w:tc>
        <w:tc>
          <w:tcPr>
            <w:tcW w:w="24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Key Qualifications and Skills:</w:t>
            </w:r>
          </w:p>
        </w:tc>
        <w:tc>
          <w:tcPr>
            <w:tcW w:w="26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r>
      <w:tr>
        <w:trPr>
          <w:trHeight w:val="178"/>
        </w:trPr>
        <w:tc>
          <w:tcPr>
            <w:tcW w:w="3600" w:type="dxa"/>
            <w:vAlign w:val="bottom"/>
            <w:tcBorders>
              <w:left w:val="single" w:sz="8" w:color="auto"/>
              <w:right w:val="single" w:sz="8" w:color="auto"/>
            </w:tcBorders>
            <w:gridSpan w:val="3"/>
            <w:shd w:val="clear" w:color="auto" w:fill="CCEEFF"/>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Mr.  Hollister  has  been  a  Managing</w:t>
            </w:r>
          </w:p>
        </w:tc>
        <w:tc>
          <w:tcPr>
            <w:tcW w:w="760" w:type="dxa"/>
            <w:vAlign w:val="bottom"/>
            <w:shd w:val="clear" w:color="auto" w:fill="CCEEFF"/>
          </w:tcPr>
          <w:p>
            <w:pPr>
              <w:ind w:left="80"/>
              <w:spacing w:after="0" w:line="177" w:lineRule="exact"/>
              <w:rPr>
                <w:sz w:val="20"/>
                <w:szCs w:val="20"/>
                <w:color w:val="auto"/>
              </w:rPr>
            </w:pPr>
            <w:r>
              <w:rPr>
                <w:rFonts w:ascii="Times New Roman" w:cs="Times New Roman" w:eastAsia="Times New Roman" w:hAnsi="Times New Roman"/>
                <w:sz w:val="18"/>
                <w:szCs w:val="18"/>
                <w:color w:val="auto"/>
              </w:rPr>
              <w:t>None.</w:t>
            </w:r>
          </w:p>
        </w:tc>
        <w:tc>
          <w:tcPr>
            <w:tcW w:w="1460" w:type="dxa"/>
            <w:vAlign w:val="bottom"/>
            <w:tcBorders>
              <w:right w:val="single" w:sz="8" w:color="auto"/>
            </w:tcBorders>
            <w:shd w:val="clear" w:color="auto" w:fill="CCEEFF"/>
          </w:tcPr>
          <w:p>
            <w:pPr>
              <w:spacing w:after="0"/>
              <w:rPr>
                <w:sz w:val="15"/>
                <w:szCs w:val="15"/>
                <w:color w:val="auto"/>
              </w:rPr>
            </w:pPr>
          </w:p>
        </w:tc>
        <w:tc>
          <w:tcPr>
            <w:tcW w:w="2680" w:type="dxa"/>
            <w:vAlign w:val="bottom"/>
            <w:gridSpan w:val="4"/>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The Nominating, Governance</w:t>
            </w:r>
          </w:p>
        </w:tc>
        <w:tc>
          <w:tcPr>
            <w:tcW w:w="440" w:type="dxa"/>
            <w:vAlign w:val="bottom"/>
            <w:tcBorders>
              <w:right w:val="single" w:sz="8" w:color="auto"/>
            </w:tcBorders>
            <w:shd w:val="clear" w:color="auto" w:fill="CCEEFF"/>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and</w:t>
            </w: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Member of Rocking Spade, LLC, a diversified</w:t>
            </w:r>
          </w:p>
        </w:tc>
        <w:tc>
          <w:tcPr>
            <w:tcW w:w="760" w:type="dxa"/>
            <w:vAlign w:val="bottom"/>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Sustainability Committee and the Board</w:t>
            </w: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investor  and  developer  with  interests  in</w:t>
            </w:r>
          </w:p>
        </w:tc>
        <w:tc>
          <w:tcPr>
            <w:tcW w:w="760" w:type="dxa"/>
            <w:vAlign w:val="bottom"/>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believe  that  Mr.  Hollister’s  diverse</w:t>
            </w: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ranching  and  commercial  properties,  since</w:t>
            </w:r>
          </w:p>
        </w:tc>
        <w:tc>
          <w:tcPr>
            <w:tcW w:w="760" w:type="dxa"/>
            <w:vAlign w:val="bottom"/>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experience in finance and agriculture</w:t>
            </w:r>
          </w:p>
        </w:tc>
      </w:tr>
      <w:tr>
        <w:trPr>
          <w:trHeight w:val="216"/>
        </w:trPr>
        <w:tc>
          <w:tcPr>
            <w:tcW w:w="700" w:type="dxa"/>
            <w:vAlign w:val="bottom"/>
            <w:tcBorders>
              <w:lef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2001.</w:t>
            </w:r>
          </w:p>
        </w:tc>
        <w:tc>
          <w:tcPr>
            <w:tcW w:w="1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Mr.  Hollister  served</w:t>
            </w:r>
          </w:p>
        </w:tc>
        <w:tc>
          <w:tcPr>
            <w:tcW w:w="1140" w:type="dxa"/>
            <w:vAlign w:val="bottom"/>
            <w:tcBorders>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as  Calavo’s</w:t>
            </w:r>
          </w:p>
        </w:tc>
        <w:tc>
          <w:tcPr>
            <w:tcW w:w="760" w:type="dxa"/>
            <w:vAlign w:val="bottom"/>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provides  an  invaluable  asset  to  the</w:t>
            </w: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Interim Chief Executive Officer and Interim</w:t>
            </w:r>
          </w:p>
        </w:tc>
        <w:tc>
          <w:tcPr>
            <w:tcW w:w="760" w:type="dxa"/>
            <w:vAlign w:val="bottom"/>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Board as it evaluates the Company’s</w:t>
            </w: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Financial Officer from September 2021</w:t>
            </w:r>
          </w:p>
        </w:tc>
        <w:tc>
          <w:tcPr>
            <w:tcW w:w="760" w:type="dxa"/>
            <w:vAlign w:val="bottom"/>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present</w:t>
            </w:r>
          </w:p>
        </w:tc>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circumstances</w:t>
            </w: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w:t>
            </w:r>
          </w:p>
        </w:tc>
        <w:tc>
          <w:tcPr>
            <w:tcW w:w="700" w:type="dxa"/>
            <w:vAlign w:val="bottom"/>
            <w:tcBorders>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future</w:t>
            </w:r>
          </w:p>
        </w:tc>
      </w:tr>
      <w:tr>
        <w:trPr>
          <w:trHeight w:val="203"/>
        </w:trPr>
        <w:tc>
          <w:tcPr>
            <w:tcW w:w="2460" w:type="dxa"/>
            <w:vAlign w:val="bottom"/>
            <w:tcBorders>
              <w:left w:val="single" w:sz="8" w:color="auto"/>
            </w:tcBorders>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to January 2022.  Previously,</w:t>
            </w:r>
          </w:p>
        </w:tc>
        <w:tc>
          <w:tcPr>
            <w:tcW w:w="1140" w:type="dxa"/>
            <w:vAlign w:val="bottom"/>
            <w:tcBorders>
              <w:right w:val="single" w:sz="8" w:color="auto"/>
            </w:tcBorders>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Mr. Hollister</w:t>
            </w:r>
          </w:p>
        </w:tc>
        <w:tc>
          <w:tcPr>
            <w:tcW w:w="760" w:type="dxa"/>
            <w:vAlign w:val="bottom"/>
            <w:shd w:val="clear" w:color="auto" w:fill="CCEEFF"/>
          </w:tcPr>
          <w:p>
            <w:pPr>
              <w:spacing w:after="0"/>
              <w:rPr>
                <w:sz w:val="17"/>
                <w:szCs w:val="17"/>
                <w:color w:val="auto"/>
              </w:rPr>
            </w:pPr>
          </w:p>
        </w:tc>
        <w:tc>
          <w:tcPr>
            <w:tcW w:w="1460" w:type="dxa"/>
            <w:vAlign w:val="bottom"/>
            <w:tcBorders>
              <w:right w:val="single" w:sz="8" w:color="auto"/>
            </w:tcBorders>
            <w:shd w:val="clear" w:color="auto" w:fill="CCEEFF"/>
          </w:tcPr>
          <w:p>
            <w:pPr>
              <w:spacing w:after="0"/>
              <w:rPr>
                <w:sz w:val="17"/>
                <w:szCs w:val="17"/>
                <w:color w:val="auto"/>
              </w:rPr>
            </w:pPr>
          </w:p>
        </w:tc>
        <w:tc>
          <w:tcPr>
            <w:tcW w:w="82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direction.</w:t>
            </w: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tcBorders>
              <w:right w:val="single" w:sz="8" w:color="auto"/>
            </w:tcBorders>
            <w:shd w:val="clear" w:color="auto" w:fill="CCEEFF"/>
          </w:tcPr>
          <w:p>
            <w:pPr>
              <w:spacing w:after="0"/>
              <w:rPr>
                <w:sz w:val="17"/>
                <w:szCs w:val="17"/>
                <w:color w:val="auto"/>
              </w:rPr>
            </w:pP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was Vice President of Sunrise Mortgage &amp;</w:t>
            </w:r>
          </w:p>
        </w:tc>
        <w:tc>
          <w:tcPr>
            <w:tcW w:w="760" w:type="dxa"/>
            <w:vAlign w:val="bottom"/>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Company,  General  Manager  of</w:t>
            </w:r>
          </w:p>
        </w:tc>
        <w:tc>
          <w:tcPr>
            <w:tcW w:w="760" w:type="dxa"/>
            <w:vAlign w:val="bottom"/>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Niven Family Wine Estates, Chief Operating</w:t>
            </w:r>
          </w:p>
        </w:tc>
        <w:tc>
          <w:tcPr>
            <w:tcW w:w="760" w:type="dxa"/>
            <w:vAlign w:val="bottom"/>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Officer of Fess Parker Winery &amp; Vineyard and</w:t>
            </w:r>
          </w:p>
        </w:tc>
        <w:tc>
          <w:tcPr>
            <w:tcW w:w="760" w:type="dxa"/>
            <w:vAlign w:val="bottom"/>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Santa  Barbara  County  Wine  Center,  and</w:t>
            </w:r>
          </w:p>
        </w:tc>
        <w:tc>
          <w:tcPr>
            <w:tcW w:w="760" w:type="dxa"/>
            <w:vAlign w:val="bottom"/>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Senior Vice President of Central Coast Farm</w:t>
            </w:r>
          </w:p>
        </w:tc>
        <w:tc>
          <w:tcPr>
            <w:tcW w:w="760" w:type="dxa"/>
            <w:vAlign w:val="bottom"/>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r>
      <w:tr>
        <w:trPr>
          <w:trHeight w:val="234"/>
        </w:trPr>
        <w:tc>
          <w:tcPr>
            <w:tcW w:w="700" w:type="dxa"/>
            <w:vAlign w:val="bottom"/>
            <w:tcBorders>
              <w:left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Credit.</w:t>
            </w:r>
          </w:p>
        </w:tc>
        <w:tc>
          <w:tcPr>
            <w:tcW w:w="17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right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365"/>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Kathleen M. Holmgren</w:t>
            </w: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3"/>
        </w:trPr>
        <w:tc>
          <w:tcPr>
            <w:tcW w:w="24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Director Since: 2017</w:t>
            </w: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700" w:type="dxa"/>
            <w:vAlign w:val="bottom"/>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Age: 68</w:t>
            </w:r>
          </w:p>
        </w:tc>
        <w:tc>
          <w:tcPr>
            <w:tcW w:w="1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36"/>
        </w:trPr>
        <w:tc>
          <w:tcPr>
            <w:tcW w:w="436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Independent, Chair of the Board October 2025 to current</w:t>
            </w:r>
          </w:p>
        </w:tc>
        <w:tc>
          <w:tcPr>
            <w:tcW w:w="1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2"/>
        </w:trPr>
        <w:tc>
          <w:tcPr>
            <w:tcW w:w="7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2"/>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r>
      <w:tr>
        <w:trPr>
          <w:trHeight w:val="187"/>
        </w:trPr>
        <w:tc>
          <w:tcPr>
            <w:tcW w:w="700" w:type="dxa"/>
            <w:vAlign w:val="bottom"/>
            <w:tcBorders>
              <w:left w:val="single" w:sz="8" w:color="auto"/>
            </w:tcBorders>
          </w:tcPr>
          <w:p>
            <w:pPr>
              <w:spacing w:after="0"/>
              <w:rPr>
                <w:sz w:val="16"/>
                <w:szCs w:val="16"/>
                <w:color w:val="auto"/>
              </w:rPr>
            </w:pPr>
          </w:p>
        </w:tc>
        <w:tc>
          <w:tcPr>
            <w:tcW w:w="176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Other Public Company</w:t>
            </w:r>
          </w:p>
        </w:tc>
        <w:tc>
          <w:tcPr>
            <w:tcW w:w="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r>
      <w:tr>
        <w:trPr>
          <w:trHeight w:val="238"/>
        </w:trPr>
        <w:tc>
          <w:tcPr>
            <w:tcW w:w="246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Background:</w:t>
            </w:r>
          </w:p>
        </w:tc>
        <w:tc>
          <w:tcPr>
            <w:tcW w:w="11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Boards:</w:t>
            </w:r>
          </w:p>
        </w:tc>
        <w:tc>
          <w:tcPr>
            <w:tcW w:w="1460" w:type="dxa"/>
            <w:vAlign w:val="bottom"/>
            <w:tcBorders>
              <w:bottom w:val="single" w:sz="8" w:color="auto"/>
              <w:right w:val="single" w:sz="8" w:color="auto"/>
            </w:tcBorders>
          </w:tcPr>
          <w:p>
            <w:pPr>
              <w:spacing w:after="0"/>
              <w:rPr>
                <w:sz w:val="20"/>
                <w:szCs w:val="20"/>
                <w:color w:val="auto"/>
              </w:rPr>
            </w:pPr>
          </w:p>
        </w:tc>
        <w:tc>
          <w:tcPr>
            <w:tcW w:w="24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Key Qualifications and Skills:</w:t>
            </w:r>
          </w:p>
        </w:tc>
        <w:tc>
          <w:tcPr>
            <w:tcW w:w="26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r>
      <w:tr>
        <w:trPr>
          <w:trHeight w:val="191"/>
        </w:trPr>
        <w:tc>
          <w:tcPr>
            <w:tcW w:w="3600" w:type="dxa"/>
            <w:vAlign w:val="bottom"/>
            <w:tcBorders>
              <w:left w:val="single" w:sz="8" w:color="auto"/>
              <w:right w:val="single" w:sz="8" w:color="auto"/>
            </w:tcBorders>
            <w:gridSpan w:val="3"/>
            <w:shd w:val="clear" w:color="auto" w:fill="CCEEFF"/>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Ms. Holmgren has been Principal of Sage</w:t>
            </w:r>
          </w:p>
        </w:tc>
        <w:tc>
          <w:tcPr>
            <w:tcW w:w="760" w:type="dxa"/>
            <w:vAlign w:val="bottom"/>
            <w:shd w:val="clear" w:color="auto" w:fill="CCEEFF"/>
          </w:tcPr>
          <w:p>
            <w:pPr>
              <w:ind w:left="60"/>
              <w:spacing w:after="0" w:line="191" w:lineRule="exact"/>
              <w:rPr>
                <w:sz w:val="20"/>
                <w:szCs w:val="20"/>
                <w:color w:val="auto"/>
              </w:rPr>
            </w:pPr>
            <w:r>
              <w:rPr>
                <w:rFonts w:ascii="Times New Roman" w:cs="Times New Roman" w:eastAsia="Times New Roman" w:hAnsi="Times New Roman"/>
                <w:sz w:val="18"/>
                <w:szCs w:val="18"/>
                <w:color w:val="auto"/>
              </w:rPr>
              <w:t>Extreme</w:t>
            </w:r>
          </w:p>
        </w:tc>
        <w:tc>
          <w:tcPr>
            <w:tcW w:w="1460" w:type="dxa"/>
            <w:vAlign w:val="bottom"/>
            <w:tcBorders>
              <w:right w:val="single" w:sz="8" w:color="auto"/>
            </w:tcBorders>
            <w:shd w:val="clear" w:color="auto" w:fill="CCEEFF"/>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Networks</w:t>
            </w:r>
          </w:p>
        </w:tc>
        <w:tc>
          <w:tcPr>
            <w:tcW w:w="2680" w:type="dxa"/>
            <w:vAlign w:val="bottom"/>
            <w:gridSpan w:val="4"/>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The  Nominating,  Governance</w:t>
            </w:r>
          </w:p>
        </w:tc>
        <w:tc>
          <w:tcPr>
            <w:tcW w:w="440" w:type="dxa"/>
            <w:vAlign w:val="bottom"/>
            <w:tcBorders>
              <w:right w:val="single" w:sz="8" w:color="auto"/>
            </w:tcBorders>
            <w:shd w:val="clear" w:color="auto" w:fill="CCEEFF"/>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and</w:t>
            </w: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Advice Partners, a management consulting</w:t>
            </w:r>
          </w:p>
        </w:tc>
        <w:tc>
          <w:tcPr>
            <w:tcW w:w="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(Nasdaq:</w:t>
            </w:r>
          </w:p>
        </w:tc>
        <w:tc>
          <w:tcPr>
            <w:tcW w:w="1460" w:type="dxa"/>
            <w:vAlign w:val="bottom"/>
            <w:tcBorders>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EXTR)   since</w:t>
            </w:r>
          </w:p>
        </w:tc>
        <w:tc>
          <w:tcPr>
            <w:tcW w:w="3120" w:type="dxa"/>
            <w:vAlign w:val="bottom"/>
            <w:tcBorders>
              <w:right w:val="single" w:sz="8" w:color="auto"/>
            </w:tcBorders>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Sustainability Committee and the Board</w:t>
            </w: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practice,   since   2006.   Previously,   Ms.</w:t>
            </w:r>
          </w:p>
        </w:tc>
        <w:tc>
          <w:tcPr>
            <w:tcW w:w="222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November 2015</w:t>
            </w:r>
          </w:p>
        </w:tc>
        <w:tc>
          <w:tcPr>
            <w:tcW w:w="3120" w:type="dxa"/>
            <w:vAlign w:val="bottom"/>
            <w:tcBorders>
              <w:right w:val="single" w:sz="8" w:color="auto"/>
            </w:tcBorders>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believe that Ms. Holmgren’s extensive</w:t>
            </w: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Holmgren served as Senior Vice President at</w:t>
            </w:r>
          </w:p>
        </w:tc>
        <w:tc>
          <w:tcPr>
            <w:tcW w:w="760" w:type="dxa"/>
            <w:vAlign w:val="bottom"/>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leadership</w:t>
            </w:r>
          </w:p>
        </w:tc>
        <w:tc>
          <w:tcPr>
            <w:tcW w:w="1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experience</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provides</w:t>
            </w:r>
          </w:p>
        </w:tc>
        <w:tc>
          <w:tcPr>
            <w:tcW w:w="440" w:type="dxa"/>
            <w:vAlign w:val="bottom"/>
            <w:tcBorders>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an</w:t>
            </w: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Sun Microsystems, Chief Executive Officer at</w:t>
            </w:r>
          </w:p>
        </w:tc>
        <w:tc>
          <w:tcPr>
            <w:tcW w:w="760" w:type="dxa"/>
            <w:vAlign w:val="bottom"/>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invaluable  asset  to  the  Board  as  it</w:t>
            </w:r>
          </w:p>
        </w:tc>
      </w:tr>
      <w:tr>
        <w:trPr>
          <w:trHeight w:val="202"/>
        </w:trPr>
        <w:tc>
          <w:tcPr>
            <w:tcW w:w="3600" w:type="dxa"/>
            <w:vAlign w:val="bottom"/>
            <w:tcBorders>
              <w:left w:val="single" w:sz="8" w:color="auto"/>
              <w:right w:val="single" w:sz="8" w:color="auto"/>
            </w:tcBorders>
            <w:gridSpan w:val="3"/>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Mendocino  Software  and  Chief  Operating</w:t>
            </w:r>
          </w:p>
        </w:tc>
        <w:tc>
          <w:tcPr>
            <w:tcW w:w="760" w:type="dxa"/>
            <w:vAlign w:val="bottom"/>
            <w:shd w:val="clear" w:color="auto" w:fill="CCEEFF"/>
          </w:tcPr>
          <w:p>
            <w:pPr>
              <w:spacing w:after="0"/>
              <w:rPr>
                <w:sz w:val="17"/>
                <w:szCs w:val="17"/>
                <w:color w:val="auto"/>
              </w:rPr>
            </w:pPr>
          </w:p>
        </w:tc>
        <w:tc>
          <w:tcPr>
            <w:tcW w:w="1460" w:type="dxa"/>
            <w:vAlign w:val="bottom"/>
            <w:tcBorders>
              <w:right w:val="single" w:sz="8" w:color="auto"/>
            </w:tcBorders>
            <w:shd w:val="clear" w:color="auto" w:fill="CCEEFF"/>
          </w:tcPr>
          <w:p>
            <w:pPr>
              <w:spacing w:after="0"/>
              <w:rPr>
                <w:sz w:val="17"/>
                <w:szCs w:val="17"/>
                <w:color w:val="auto"/>
              </w:rPr>
            </w:pPr>
          </w:p>
        </w:tc>
        <w:tc>
          <w:tcPr>
            <w:tcW w:w="8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evaluates</w:t>
            </w:r>
          </w:p>
        </w:tc>
        <w:tc>
          <w:tcPr>
            <w:tcW w:w="1600" w:type="dxa"/>
            <w:vAlign w:val="bottom"/>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the   Company’s</w:t>
            </w:r>
          </w:p>
        </w:tc>
        <w:tc>
          <w:tcPr>
            <w:tcW w:w="700" w:type="dxa"/>
            <w:vAlign w:val="bottom"/>
            <w:tcBorders>
              <w:right w:val="single" w:sz="8" w:color="auto"/>
            </w:tcBorders>
            <w:gridSpan w:val="2"/>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present</w:t>
            </w:r>
          </w:p>
        </w:tc>
      </w:tr>
      <w:tr>
        <w:trPr>
          <w:trHeight w:val="234"/>
        </w:trPr>
        <w:tc>
          <w:tcPr>
            <w:tcW w:w="3600" w:type="dxa"/>
            <w:vAlign w:val="bottom"/>
            <w:tcBorders>
              <w:left w:val="single" w:sz="8" w:color="auto"/>
              <w:bottom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Officer at Automation Anywhere.</w:t>
            </w:r>
          </w:p>
        </w:tc>
        <w:tc>
          <w:tcPr>
            <w:tcW w:w="7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right w:val="single" w:sz="8" w:color="auto"/>
            </w:tcBorders>
            <w:shd w:val="clear" w:color="auto" w:fill="CCEEFF"/>
          </w:tcPr>
          <w:p>
            <w:pPr>
              <w:spacing w:after="0"/>
              <w:rPr>
                <w:sz w:val="20"/>
                <w:szCs w:val="20"/>
                <w:color w:val="auto"/>
              </w:rPr>
            </w:pPr>
          </w:p>
        </w:tc>
        <w:tc>
          <w:tcPr>
            <w:tcW w:w="2680" w:type="dxa"/>
            <w:vAlign w:val="bottom"/>
            <w:tcBorders>
              <w:bottom w:val="single" w:sz="8" w:color="auto"/>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circumstances and future direction.</w:t>
            </w:r>
          </w:p>
        </w:tc>
        <w:tc>
          <w:tcPr>
            <w:tcW w:w="4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858"/>
        </w:trPr>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60"/>
        </w:trPr>
        <w:tc>
          <w:tcPr>
            <w:tcW w:w="7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J. Link Leavens</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Director Since: 1987</w:t>
      </w:r>
    </w:p>
    <w:p>
      <w:pPr>
        <w:ind w:left="40"/>
        <w:spacing w:after="0"/>
        <w:rPr>
          <w:sz w:val="20"/>
          <w:szCs w:val="20"/>
          <w:color w:val="auto"/>
        </w:rPr>
      </w:pPr>
      <w:r>
        <w:rPr>
          <w:rFonts w:ascii="Times New Roman" w:cs="Times New Roman" w:eastAsia="Times New Roman" w:hAnsi="Times New Roman"/>
          <w:sz w:val="18"/>
          <w:szCs w:val="18"/>
          <w:i w:val="1"/>
          <w:iCs w:val="1"/>
          <w:color w:val="auto"/>
        </w:rPr>
        <w:t>Age: 74</w:t>
      </w:r>
    </w:p>
    <w:p>
      <w:pPr>
        <w:spacing w:after="0" w:line="203" w:lineRule="exact"/>
        <w:rPr>
          <w:sz w:val="20"/>
          <w:szCs w:val="20"/>
          <w:color w:val="auto"/>
        </w:rPr>
      </w:pPr>
    </w:p>
    <w:tbl>
      <w:tblPr>
        <w:tblLayout w:type="fixed"/>
        <w:tblInd w:w="50" w:type="dxa"/>
        <w:tblCellMar>
          <w:top w:w="0" w:type="dxa"/>
          <w:left w:w="0" w:type="dxa"/>
          <w:bottom w:w="0" w:type="dxa"/>
          <w:right w:w="0" w:type="dxa"/>
        </w:tblCellMar>
      </w:tblPr>
      <w:tr>
        <w:trPr>
          <w:trHeight w:val="207"/>
        </w:trPr>
        <w:tc>
          <w:tcPr>
            <w:tcW w:w="820" w:type="dxa"/>
            <w:vAlign w:val="bottom"/>
            <w:tcBorders>
              <w:top w:val="single" w:sz="8" w:color="auto"/>
              <w:left w:val="single" w:sz="8" w:color="auto"/>
            </w:tcBorders>
          </w:tcPr>
          <w:p>
            <w:pPr>
              <w:spacing w:after="0"/>
              <w:rPr>
                <w:sz w:val="18"/>
                <w:szCs w:val="18"/>
                <w:color w:val="auto"/>
              </w:rPr>
            </w:pPr>
          </w:p>
        </w:tc>
        <w:tc>
          <w:tcPr>
            <w:tcW w:w="2760" w:type="dxa"/>
            <w:vAlign w:val="bottom"/>
            <w:tcBorders>
              <w:top w:val="single" w:sz="8" w:color="auto"/>
              <w:right w:val="single" w:sz="8" w:color="auto"/>
            </w:tcBorders>
          </w:tcPr>
          <w:p>
            <w:pPr>
              <w:spacing w:after="0"/>
              <w:rPr>
                <w:sz w:val="18"/>
                <w:szCs w:val="18"/>
                <w:color w:val="auto"/>
              </w:rPr>
            </w:pPr>
          </w:p>
        </w:tc>
        <w:tc>
          <w:tcPr>
            <w:tcW w:w="22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Other Public Company</w:t>
            </w:r>
          </w:p>
        </w:tc>
        <w:tc>
          <w:tcPr>
            <w:tcW w:w="3140" w:type="dxa"/>
            <w:vAlign w:val="bottom"/>
            <w:tcBorders>
              <w:top w:val="single" w:sz="8" w:color="auto"/>
              <w:right w:val="single" w:sz="8" w:color="auto"/>
            </w:tcBorders>
          </w:tcPr>
          <w:p>
            <w:pPr>
              <w:spacing w:after="0"/>
              <w:rPr>
                <w:sz w:val="18"/>
                <w:szCs w:val="18"/>
                <w:color w:val="auto"/>
              </w:rPr>
            </w:pPr>
          </w:p>
        </w:tc>
      </w:tr>
      <w:tr>
        <w:trPr>
          <w:trHeight w:val="238"/>
        </w:trPr>
        <w:tc>
          <w:tcPr>
            <w:tcW w:w="358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Background:</w:t>
            </w:r>
          </w:p>
        </w:tc>
        <w:tc>
          <w:tcPr>
            <w:tcW w:w="2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Boards:</w:t>
            </w:r>
          </w:p>
        </w:tc>
        <w:tc>
          <w:tcPr>
            <w:tcW w:w="3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Key Qualifications and Skills:</w:t>
            </w:r>
          </w:p>
        </w:tc>
      </w:tr>
      <w:tr>
        <w:trPr>
          <w:trHeight w:val="191"/>
        </w:trPr>
        <w:tc>
          <w:tcPr>
            <w:tcW w:w="3580" w:type="dxa"/>
            <w:vAlign w:val="bottom"/>
            <w:tcBorders>
              <w:left w:val="single" w:sz="8" w:color="auto"/>
              <w:right w:val="single" w:sz="8" w:color="auto"/>
            </w:tcBorders>
            <w:gridSpan w:val="2"/>
            <w:shd w:val="clear" w:color="auto" w:fill="CCEEFF"/>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Mr. Leavens has been President and Chief</w:t>
            </w:r>
          </w:p>
        </w:tc>
        <w:tc>
          <w:tcPr>
            <w:tcW w:w="2220" w:type="dxa"/>
            <w:vAlign w:val="bottom"/>
            <w:tcBorders>
              <w:right w:val="single" w:sz="8" w:color="auto"/>
            </w:tcBorders>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None.</w:t>
            </w:r>
          </w:p>
        </w:tc>
        <w:tc>
          <w:tcPr>
            <w:tcW w:w="3140" w:type="dxa"/>
            <w:vAlign w:val="bottom"/>
            <w:tcBorders>
              <w:right w:val="single" w:sz="8" w:color="auto"/>
            </w:tcBorders>
            <w:shd w:val="clear" w:color="auto" w:fill="CCEEFF"/>
          </w:tcPr>
          <w:p>
            <w:pPr>
              <w:ind w:left="340"/>
              <w:spacing w:after="0" w:line="191" w:lineRule="exact"/>
              <w:rPr>
                <w:sz w:val="20"/>
                <w:szCs w:val="20"/>
                <w:color w:val="auto"/>
              </w:rPr>
            </w:pPr>
            <w:r>
              <w:rPr>
                <w:rFonts w:ascii="Times New Roman" w:cs="Times New Roman" w:eastAsia="Times New Roman" w:hAnsi="Times New Roman"/>
                <w:sz w:val="18"/>
                <w:szCs w:val="18"/>
                <w:color w:val="auto"/>
              </w:rPr>
              <w:t>The  Nominating,  Governance  and</w:t>
            </w:r>
          </w:p>
        </w:tc>
      </w:tr>
      <w:tr>
        <w:trPr>
          <w:trHeight w:val="216"/>
        </w:trPr>
        <w:tc>
          <w:tcPr>
            <w:tcW w:w="3580" w:type="dxa"/>
            <w:vAlign w:val="bottom"/>
            <w:tcBorders>
              <w:left w:val="single" w:sz="8" w:color="auto"/>
              <w:right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Executive Officer of Leavens Ranches, LLC</w:t>
            </w:r>
          </w:p>
        </w:tc>
        <w:tc>
          <w:tcPr>
            <w:tcW w:w="222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Sustainability Committee and the Board</w:t>
            </w:r>
          </w:p>
        </w:tc>
      </w:tr>
      <w:tr>
        <w:trPr>
          <w:trHeight w:val="216"/>
        </w:trPr>
        <w:tc>
          <w:tcPr>
            <w:tcW w:w="3580" w:type="dxa"/>
            <w:vAlign w:val="bottom"/>
            <w:tcBorders>
              <w:left w:val="single" w:sz="8" w:color="auto"/>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since   1993.   Leavens   Ranches   farms</w:t>
            </w:r>
          </w:p>
        </w:tc>
        <w:tc>
          <w:tcPr>
            <w:tcW w:w="222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believe that Mr. Leavens’ experience in</w:t>
            </w:r>
          </w:p>
        </w:tc>
      </w:tr>
      <w:tr>
        <w:trPr>
          <w:trHeight w:val="203"/>
        </w:trPr>
        <w:tc>
          <w:tcPr>
            <w:tcW w:w="3580" w:type="dxa"/>
            <w:vAlign w:val="bottom"/>
            <w:tcBorders>
              <w:left w:val="single" w:sz="8" w:color="auto"/>
              <w:right w:val="single" w:sz="8" w:color="auto"/>
            </w:tcBorders>
            <w:gridSpan w:val="2"/>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approximately  1,100  acres  of  lemons,</w:t>
            </w:r>
          </w:p>
        </w:tc>
        <w:tc>
          <w:tcPr>
            <w:tcW w:w="2220" w:type="dxa"/>
            <w:vAlign w:val="bottom"/>
            <w:tcBorders>
              <w:right w:val="single" w:sz="8" w:color="auto"/>
            </w:tcBorders>
            <w:shd w:val="clear" w:color="auto" w:fill="CCEEFF"/>
          </w:tcPr>
          <w:p>
            <w:pPr>
              <w:spacing w:after="0"/>
              <w:rPr>
                <w:sz w:val="17"/>
                <w:szCs w:val="17"/>
                <w:color w:val="auto"/>
              </w:rPr>
            </w:pPr>
          </w:p>
        </w:tc>
        <w:tc>
          <w:tcPr>
            <w:tcW w:w="3140" w:type="dxa"/>
            <w:vAlign w:val="bottom"/>
            <w:tcBorders>
              <w:right w:val="single" w:sz="8" w:color="auto"/>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the  agriculture  industry  provides  an</w:t>
            </w:r>
          </w:p>
        </w:tc>
      </w:tr>
      <w:tr>
        <w:trPr>
          <w:trHeight w:val="216"/>
        </w:trPr>
        <w:tc>
          <w:tcPr>
            <w:tcW w:w="3580" w:type="dxa"/>
            <w:vAlign w:val="bottom"/>
            <w:tcBorders>
              <w:left w:val="single" w:sz="8" w:color="auto"/>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avocados and grapes in Ventura and Monterey</w:t>
            </w:r>
          </w:p>
        </w:tc>
        <w:tc>
          <w:tcPr>
            <w:tcW w:w="222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invaluable  asset  to  the  Board  as  it</w:t>
            </w:r>
          </w:p>
        </w:tc>
      </w:tr>
      <w:tr>
        <w:trPr>
          <w:trHeight w:val="216"/>
        </w:trPr>
        <w:tc>
          <w:tcPr>
            <w:tcW w:w="820" w:type="dxa"/>
            <w:vAlign w:val="bottom"/>
            <w:tcBorders>
              <w:lef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Counties.</w:t>
            </w:r>
          </w:p>
        </w:tc>
        <w:tc>
          <w:tcPr>
            <w:tcW w:w="2760" w:type="dxa"/>
            <w:vAlign w:val="bottom"/>
            <w:tcBorders>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He has served as President of the</w:t>
            </w:r>
          </w:p>
        </w:tc>
        <w:tc>
          <w:tcPr>
            <w:tcW w:w="222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evaluates   the   Company’s   present</w:t>
            </w:r>
          </w:p>
        </w:tc>
      </w:tr>
      <w:tr>
        <w:trPr>
          <w:trHeight w:val="216"/>
        </w:trPr>
        <w:tc>
          <w:tcPr>
            <w:tcW w:w="3580" w:type="dxa"/>
            <w:vAlign w:val="bottom"/>
            <w:tcBorders>
              <w:left w:val="single" w:sz="8" w:color="auto"/>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Ventura County Farm Bureau and the Ventura</w:t>
            </w:r>
          </w:p>
        </w:tc>
        <w:tc>
          <w:tcPr>
            <w:tcW w:w="222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circumstances and future direction.</w:t>
            </w:r>
          </w:p>
        </w:tc>
      </w:tr>
      <w:tr>
        <w:trPr>
          <w:trHeight w:val="216"/>
        </w:trPr>
        <w:tc>
          <w:tcPr>
            <w:tcW w:w="820" w:type="dxa"/>
            <w:vAlign w:val="bottom"/>
            <w:tcBorders>
              <w:lef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County</w:t>
            </w:r>
          </w:p>
        </w:tc>
        <w:tc>
          <w:tcPr>
            <w:tcW w:w="2760" w:type="dxa"/>
            <w:vAlign w:val="bottom"/>
            <w:tcBorders>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Resource  Conservation  District.</w:t>
            </w:r>
          </w:p>
        </w:tc>
        <w:tc>
          <w:tcPr>
            <w:tcW w:w="222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spacing w:after="0"/>
              <w:rPr>
                <w:sz w:val="18"/>
                <w:szCs w:val="18"/>
                <w:color w:val="auto"/>
              </w:rPr>
            </w:pPr>
          </w:p>
        </w:tc>
      </w:tr>
      <w:tr>
        <w:trPr>
          <w:trHeight w:val="216"/>
        </w:trPr>
        <w:tc>
          <w:tcPr>
            <w:tcW w:w="3580" w:type="dxa"/>
            <w:vAlign w:val="bottom"/>
            <w:tcBorders>
              <w:left w:val="single" w:sz="8" w:color="auto"/>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Leavens  Ranches  have  been  delivering</w:t>
            </w:r>
          </w:p>
        </w:tc>
        <w:tc>
          <w:tcPr>
            <w:tcW w:w="222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spacing w:after="0"/>
              <w:rPr>
                <w:sz w:val="18"/>
                <w:szCs w:val="18"/>
                <w:color w:val="auto"/>
              </w:rPr>
            </w:pPr>
          </w:p>
        </w:tc>
      </w:tr>
      <w:tr>
        <w:trPr>
          <w:trHeight w:val="216"/>
        </w:trPr>
        <w:tc>
          <w:tcPr>
            <w:tcW w:w="3580" w:type="dxa"/>
            <w:vAlign w:val="bottom"/>
            <w:tcBorders>
              <w:left w:val="single" w:sz="8" w:color="auto"/>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avocados to Calavo since 1956. Mr. Leavens</w:t>
            </w:r>
          </w:p>
        </w:tc>
        <w:tc>
          <w:tcPr>
            <w:tcW w:w="222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spacing w:after="0"/>
              <w:rPr>
                <w:sz w:val="18"/>
                <w:szCs w:val="18"/>
                <w:color w:val="auto"/>
              </w:rPr>
            </w:pPr>
          </w:p>
        </w:tc>
      </w:tr>
      <w:tr>
        <w:trPr>
          <w:trHeight w:val="203"/>
        </w:trPr>
        <w:tc>
          <w:tcPr>
            <w:tcW w:w="3580" w:type="dxa"/>
            <w:vAlign w:val="bottom"/>
            <w:tcBorders>
              <w:left w:val="single" w:sz="8" w:color="auto"/>
              <w:right w:val="single" w:sz="8" w:color="auto"/>
            </w:tcBorders>
            <w:gridSpan w:val="2"/>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served  as  Chair  of  Calavo’s  Board  of</w:t>
            </w:r>
          </w:p>
        </w:tc>
        <w:tc>
          <w:tcPr>
            <w:tcW w:w="2220" w:type="dxa"/>
            <w:vAlign w:val="bottom"/>
            <w:tcBorders>
              <w:right w:val="single" w:sz="8" w:color="auto"/>
            </w:tcBorders>
            <w:shd w:val="clear" w:color="auto" w:fill="CCEEFF"/>
          </w:tcPr>
          <w:p>
            <w:pPr>
              <w:spacing w:after="0"/>
              <w:rPr>
                <w:sz w:val="17"/>
                <w:szCs w:val="17"/>
                <w:color w:val="auto"/>
              </w:rPr>
            </w:pPr>
          </w:p>
        </w:tc>
        <w:tc>
          <w:tcPr>
            <w:tcW w:w="3140" w:type="dxa"/>
            <w:vAlign w:val="bottom"/>
            <w:tcBorders>
              <w:right w:val="single" w:sz="8" w:color="auto"/>
            </w:tcBorders>
            <w:shd w:val="clear" w:color="auto" w:fill="CCEEFF"/>
          </w:tcPr>
          <w:p>
            <w:pPr>
              <w:spacing w:after="0"/>
              <w:rPr>
                <w:sz w:val="17"/>
                <w:szCs w:val="17"/>
                <w:color w:val="auto"/>
              </w:rPr>
            </w:pPr>
          </w:p>
        </w:tc>
      </w:tr>
      <w:tr>
        <w:trPr>
          <w:trHeight w:val="234"/>
        </w:trPr>
        <w:tc>
          <w:tcPr>
            <w:tcW w:w="3580" w:type="dxa"/>
            <w:vAlign w:val="bottom"/>
            <w:tcBorders>
              <w:left w:val="single" w:sz="8" w:color="auto"/>
              <w:bottom w:val="single" w:sz="8" w:color="auto"/>
              <w:right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Directors from January 2020 to January 2022.</w:t>
            </w:r>
          </w:p>
        </w:tc>
        <w:tc>
          <w:tcPr>
            <w:tcW w:w="2220" w:type="dxa"/>
            <w:vAlign w:val="bottom"/>
            <w:tcBorders>
              <w:bottom w:val="single" w:sz="8" w:color="auto"/>
              <w:right w:val="single" w:sz="8" w:color="auto"/>
            </w:tcBorders>
            <w:shd w:val="clear" w:color="auto" w:fill="CCEEFF"/>
          </w:tcPr>
          <w:p>
            <w:pPr>
              <w:spacing w:after="0"/>
              <w:rPr>
                <w:sz w:val="20"/>
                <w:szCs w:val="20"/>
                <w:color w:val="auto"/>
              </w:rPr>
            </w:pPr>
          </w:p>
        </w:tc>
        <w:tc>
          <w:tcPr>
            <w:tcW w:w="31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858"/>
        </w:trPr>
        <w:tc>
          <w:tcPr>
            <w:tcW w:w="8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2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7</w:t>
            </w:r>
          </w:p>
        </w:tc>
        <w:tc>
          <w:tcPr>
            <w:tcW w:w="3140" w:type="dxa"/>
            <w:vAlign w:val="bottom"/>
          </w:tcPr>
          <w:p>
            <w:pPr>
              <w:spacing w:after="0"/>
              <w:rPr>
                <w:sz w:val="24"/>
                <w:szCs w:val="24"/>
                <w:color w:val="auto"/>
              </w:rPr>
            </w:pPr>
          </w:p>
        </w:tc>
      </w:tr>
      <w:tr>
        <w:trPr>
          <w:trHeight w:val="560"/>
        </w:trPr>
        <w:tc>
          <w:tcPr>
            <w:tcW w:w="8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 John Lindeman</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Director Since: 2024</w:t>
      </w:r>
    </w:p>
    <w:p>
      <w:pPr>
        <w:ind w:left="40"/>
        <w:spacing w:after="0" w:line="234" w:lineRule="auto"/>
        <w:rPr>
          <w:sz w:val="20"/>
          <w:szCs w:val="20"/>
          <w:color w:val="auto"/>
        </w:rPr>
      </w:pPr>
      <w:r>
        <w:rPr>
          <w:rFonts w:ascii="Times New Roman" w:cs="Times New Roman" w:eastAsia="Times New Roman" w:hAnsi="Times New Roman"/>
          <w:sz w:val="18"/>
          <w:szCs w:val="18"/>
          <w:i w:val="1"/>
          <w:iCs w:val="1"/>
          <w:color w:val="auto"/>
        </w:rPr>
        <w:t>Age: 57</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Chief Executive Officer since December 8, 2025</w:t>
      </w:r>
    </w:p>
    <w:p>
      <w:pPr>
        <w:spacing w:after="0" w:line="203" w:lineRule="exact"/>
        <w:rPr>
          <w:sz w:val="20"/>
          <w:szCs w:val="20"/>
          <w:color w:val="auto"/>
        </w:rPr>
      </w:pPr>
    </w:p>
    <w:tbl>
      <w:tblPr>
        <w:tblLayout w:type="fixed"/>
        <w:tblInd w:w="50" w:type="dxa"/>
        <w:tblCellMar>
          <w:top w:w="0" w:type="dxa"/>
          <w:left w:w="0" w:type="dxa"/>
          <w:bottom w:w="0" w:type="dxa"/>
          <w:right w:w="0" w:type="dxa"/>
        </w:tblCellMar>
      </w:tblPr>
      <w:tr>
        <w:trPr>
          <w:trHeight w:val="194"/>
        </w:trPr>
        <w:tc>
          <w:tcPr>
            <w:tcW w:w="1380" w:type="dxa"/>
            <w:vAlign w:val="bottom"/>
            <w:tcBorders>
              <w:top w:val="single" w:sz="8" w:color="auto"/>
              <w:left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180" w:type="dxa"/>
            <w:vAlign w:val="bottom"/>
            <w:tcBorders>
              <w:top w:val="single" w:sz="8" w:color="auto"/>
              <w:right w:val="single" w:sz="8" w:color="auto"/>
            </w:tcBorders>
          </w:tcPr>
          <w:p>
            <w:pPr>
              <w:spacing w:after="0"/>
              <w:rPr>
                <w:sz w:val="16"/>
                <w:szCs w:val="16"/>
                <w:color w:val="auto"/>
              </w:rPr>
            </w:pPr>
          </w:p>
        </w:tc>
        <w:tc>
          <w:tcPr>
            <w:tcW w:w="2200" w:type="dxa"/>
            <w:vAlign w:val="bottom"/>
            <w:tcBorders>
              <w:top w:val="single" w:sz="8" w:color="auto"/>
              <w:right w:val="single" w:sz="8" w:color="auto"/>
            </w:tcBorders>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Other Public Company</w:t>
            </w:r>
          </w:p>
        </w:tc>
        <w:tc>
          <w:tcPr>
            <w:tcW w:w="3140" w:type="dxa"/>
            <w:vAlign w:val="bottom"/>
            <w:tcBorders>
              <w:top w:val="single" w:sz="8" w:color="auto"/>
              <w:right w:val="single" w:sz="8" w:color="auto"/>
            </w:tcBorders>
          </w:tcPr>
          <w:p>
            <w:pPr>
              <w:spacing w:after="0"/>
              <w:rPr>
                <w:sz w:val="16"/>
                <w:szCs w:val="16"/>
                <w:color w:val="auto"/>
              </w:rPr>
            </w:pPr>
          </w:p>
        </w:tc>
      </w:tr>
      <w:tr>
        <w:trPr>
          <w:trHeight w:val="252"/>
        </w:trPr>
        <w:tc>
          <w:tcPr>
            <w:tcW w:w="13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Background:</w:t>
            </w:r>
          </w:p>
        </w:tc>
        <w:tc>
          <w:tcPr>
            <w:tcW w:w="104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Boards:</w:t>
            </w:r>
          </w:p>
        </w:tc>
        <w:tc>
          <w:tcPr>
            <w:tcW w:w="3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Key Qualifications and Skills:</w:t>
            </w:r>
          </w:p>
        </w:tc>
      </w:tr>
      <w:tr>
        <w:trPr>
          <w:trHeight w:val="178"/>
        </w:trPr>
        <w:tc>
          <w:tcPr>
            <w:tcW w:w="3600" w:type="dxa"/>
            <w:vAlign w:val="bottom"/>
            <w:tcBorders>
              <w:left w:val="single" w:sz="8" w:color="auto"/>
              <w:right w:val="single" w:sz="8" w:color="auto"/>
            </w:tcBorders>
            <w:gridSpan w:val="3"/>
            <w:shd w:val="clear" w:color="auto" w:fill="CCEEFF"/>
          </w:tcPr>
          <w:p>
            <w:pPr>
              <w:ind w:left="360"/>
              <w:spacing w:after="0" w:line="177" w:lineRule="exact"/>
              <w:rPr>
                <w:sz w:val="20"/>
                <w:szCs w:val="20"/>
                <w:color w:val="auto"/>
              </w:rPr>
            </w:pPr>
            <w:r>
              <w:rPr>
                <w:rFonts w:ascii="Times New Roman" w:cs="Times New Roman" w:eastAsia="Times New Roman" w:hAnsi="Times New Roman"/>
                <w:sz w:val="18"/>
                <w:szCs w:val="18"/>
                <w:color w:val="auto"/>
              </w:rPr>
              <w:t>Mr.  Lindeman  was  appointed  Chief</w:t>
            </w:r>
          </w:p>
        </w:tc>
        <w:tc>
          <w:tcPr>
            <w:tcW w:w="2200" w:type="dxa"/>
            <w:vAlign w:val="bottom"/>
            <w:tcBorders>
              <w:right w:val="single" w:sz="8" w:color="auto"/>
            </w:tcBorders>
            <w:shd w:val="clear" w:color="auto" w:fill="CCEEFF"/>
          </w:tcPr>
          <w:p>
            <w:pPr>
              <w:ind w:left="80"/>
              <w:spacing w:after="0" w:line="177" w:lineRule="exact"/>
              <w:rPr>
                <w:sz w:val="20"/>
                <w:szCs w:val="20"/>
                <w:color w:val="auto"/>
              </w:rPr>
            </w:pPr>
            <w:r>
              <w:rPr>
                <w:rFonts w:ascii="Times New Roman" w:cs="Times New Roman" w:eastAsia="Times New Roman" w:hAnsi="Times New Roman"/>
                <w:sz w:val="18"/>
                <w:szCs w:val="18"/>
                <w:color w:val="auto"/>
              </w:rPr>
              <w:t>Utz Brands, Inc. (NYSE:</w:t>
            </w:r>
          </w:p>
        </w:tc>
        <w:tc>
          <w:tcPr>
            <w:tcW w:w="3140" w:type="dxa"/>
            <w:vAlign w:val="bottom"/>
            <w:tcBorders>
              <w:right w:val="single" w:sz="8" w:color="auto"/>
            </w:tcBorders>
            <w:shd w:val="clear" w:color="auto" w:fill="CCEEFF"/>
          </w:tcPr>
          <w:p>
            <w:pPr>
              <w:ind w:left="340"/>
              <w:spacing w:after="0" w:line="177" w:lineRule="exact"/>
              <w:rPr>
                <w:sz w:val="20"/>
                <w:szCs w:val="20"/>
                <w:color w:val="auto"/>
              </w:rPr>
            </w:pPr>
            <w:r>
              <w:rPr>
                <w:rFonts w:ascii="Times New Roman" w:cs="Times New Roman" w:eastAsia="Times New Roman" w:hAnsi="Times New Roman"/>
                <w:sz w:val="18"/>
                <w:szCs w:val="18"/>
                <w:color w:val="auto"/>
              </w:rPr>
              <w:t>The  Nominating,  Governance  and</w:t>
            </w: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Officer of Calavo on December 8,</w:t>
            </w:r>
          </w:p>
        </w:tc>
        <w:tc>
          <w:tcPr>
            <w:tcW w:w="220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UTZ) since August 2020</w:t>
            </w:r>
          </w:p>
        </w:tc>
        <w:tc>
          <w:tcPr>
            <w:tcW w:w="31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Sustainability Committee and the Board</w:t>
            </w: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2025.  He has served as a member of the</w:t>
            </w:r>
          </w:p>
        </w:tc>
        <w:tc>
          <w:tcPr>
            <w:tcW w:w="220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believe that Mr. Lindeman’s leadership,</w:t>
            </w:r>
          </w:p>
        </w:tc>
      </w:tr>
      <w:tr>
        <w:trPr>
          <w:trHeight w:val="216"/>
        </w:trPr>
        <w:tc>
          <w:tcPr>
            <w:tcW w:w="2420" w:type="dxa"/>
            <w:vAlign w:val="bottom"/>
            <w:tcBorders>
              <w:left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Company’s Board since 2024.</w:t>
            </w:r>
          </w:p>
        </w:tc>
        <w:tc>
          <w:tcPr>
            <w:tcW w:w="1180" w:type="dxa"/>
            <w:vAlign w:val="bottom"/>
            <w:tcBorders>
              <w:right w:val="single" w:sz="8" w:color="auto"/>
            </w:tcBorders>
            <w:shd w:val="clear" w:color="auto" w:fill="CCEEFF"/>
          </w:tcPr>
          <w:p>
            <w:pPr>
              <w:spacing w:after="0"/>
              <w:rPr>
                <w:sz w:val="18"/>
                <w:szCs w:val="18"/>
                <w:color w:val="auto"/>
              </w:rPr>
            </w:pPr>
          </w:p>
        </w:tc>
        <w:tc>
          <w:tcPr>
            <w:tcW w:w="220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financial  and  public  company  board</w:t>
            </w:r>
          </w:p>
        </w:tc>
      </w:tr>
      <w:tr>
        <w:trPr>
          <w:trHeight w:val="216"/>
        </w:trPr>
        <w:tc>
          <w:tcPr>
            <w:tcW w:w="1380" w:type="dxa"/>
            <w:vAlign w:val="bottom"/>
            <w:tcBorders>
              <w:left w:val="single" w:sz="8" w:color="auto"/>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220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experience provide an invaluable asset</w:t>
            </w:r>
          </w:p>
        </w:tc>
      </w:tr>
      <w:tr>
        <w:trPr>
          <w:trHeight w:val="216"/>
        </w:trPr>
        <w:tc>
          <w:tcPr>
            <w:tcW w:w="3600" w:type="dxa"/>
            <w:vAlign w:val="bottom"/>
            <w:tcBorders>
              <w:left w:val="single" w:sz="8" w:color="auto"/>
              <w:right w:val="single" w:sz="8" w:color="auto"/>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Mr. Lindeman previously served as the</w:t>
            </w:r>
          </w:p>
        </w:tc>
        <w:tc>
          <w:tcPr>
            <w:tcW w:w="220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  the  Board  as  it  evaluates  the</w:t>
            </w: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Executive  Officer  of  Hydrofarm</w:t>
            </w:r>
          </w:p>
        </w:tc>
        <w:tc>
          <w:tcPr>
            <w:tcW w:w="220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Company’s present circumstances and</w:t>
            </w: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Holdings Group, Inc. (Nasdaq: HYFM), a</w:t>
            </w:r>
          </w:p>
        </w:tc>
        <w:tc>
          <w:tcPr>
            <w:tcW w:w="220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future direction.</w:t>
            </w:r>
          </w:p>
        </w:tc>
      </w:tr>
      <w:tr>
        <w:trPr>
          <w:trHeight w:val="203"/>
        </w:trPr>
        <w:tc>
          <w:tcPr>
            <w:tcW w:w="3600" w:type="dxa"/>
            <w:vAlign w:val="bottom"/>
            <w:tcBorders>
              <w:left w:val="single" w:sz="8" w:color="auto"/>
              <w:right w:val="single" w:sz="8" w:color="auto"/>
            </w:tcBorders>
            <w:gridSpan w:val="3"/>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wholesaler and manufacturer of hydroponics</w:t>
            </w:r>
          </w:p>
        </w:tc>
        <w:tc>
          <w:tcPr>
            <w:tcW w:w="2200" w:type="dxa"/>
            <w:vAlign w:val="bottom"/>
            <w:tcBorders>
              <w:right w:val="single" w:sz="8" w:color="auto"/>
            </w:tcBorders>
            <w:shd w:val="clear" w:color="auto" w:fill="CCEEFF"/>
          </w:tcPr>
          <w:p>
            <w:pPr>
              <w:spacing w:after="0"/>
              <w:rPr>
                <w:sz w:val="17"/>
                <w:szCs w:val="17"/>
                <w:color w:val="auto"/>
              </w:rPr>
            </w:pPr>
          </w:p>
        </w:tc>
        <w:tc>
          <w:tcPr>
            <w:tcW w:w="3140" w:type="dxa"/>
            <w:vAlign w:val="bottom"/>
            <w:tcBorders>
              <w:right w:val="single" w:sz="8" w:color="auto"/>
            </w:tcBorders>
            <w:shd w:val="clear" w:color="auto" w:fill="CCEEFF"/>
          </w:tcPr>
          <w:p>
            <w:pPr>
              <w:spacing w:after="0"/>
              <w:rPr>
                <w:sz w:val="17"/>
                <w:szCs w:val="17"/>
                <w:color w:val="auto"/>
              </w:rPr>
            </w:pPr>
          </w:p>
        </w:tc>
      </w:tr>
      <w:tr>
        <w:trPr>
          <w:trHeight w:val="216"/>
        </w:trPr>
        <w:tc>
          <w:tcPr>
            <w:tcW w:w="1380" w:type="dxa"/>
            <w:vAlign w:val="bottom"/>
            <w:tcBorders>
              <w:lef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equipment  and</w:t>
            </w:r>
          </w:p>
        </w:tc>
        <w:tc>
          <w:tcPr>
            <w:tcW w:w="1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18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horticultural</w:t>
            </w:r>
          </w:p>
        </w:tc>
        <w:tc>
          <w:tcPr>
            <w:tcW w:w="220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spacing w:after="0"/>
              <w:rPr>
                <w:sz w:val="18"/>
                <w:szCs w:val="18"/>
                <w:color w:val="auto"/>
              </w:rPr>
            </w:pP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products, from January 2025 to December</w:t>
            </w:r>
          </w:p>
        </w:tc>
        <w:tc>
          <w:tcPr>
            <w:tcW w:w="220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spacing w:after="0"/>
              <w:rPr>
                <w:sz w:val="18"/>
                <w:szCs w:val="18"/>
                <w:color w:val="auto"/>
              </w:rPr>
            </w:pP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2025  and  Chief  Financial  Officer  of</w:t>
            </w:r>
          </w:p>
        </w:tc>
        <w:tc>
          <w:tcPr>
            <w:tcW w:w="220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spacing w:after="0"/>
              <w:rPr>
                <w:sz w:val="18"/>
                <w:szCs w:val="18"/>
                <w:color w:val="auto"/>
              </w:rPr>
            </w:pP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Hydrofarm  Holdings  from  March  2020  to</w:t>
            </w:r>
          </w:p>
        </w:tc>
        <w:tc>
          <w:tcPr>
            <w:tcW w:w="220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spacing w:after="0"/>
              <w:rPr>
                <w:sz w:val="18"/>
                <w:szCs w:val="18"/>
                <w:color w:val="auto"/>
              </w:rPr>
            </w:pP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December  2024.  From  August  2015  until</w:t>
            </w:r>
          </w:p>
        </w:tc>
        <w:tc>
          <w:tcPr>
            <w:tcW w:w="220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spacing w:after="0"/>
              <w:rPr>
                <w:sz w:val="18"/>
                <w:szCs w:val="18"/>
                <w:color w:val="auto"/>
              </w:rPr>
            </w:pP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March 2020 Mr. Lindeman served as Chief</w:t>
            </w:r>
          </w:p>
        </w:tc>
        <w:tc>
          <w:tcPr>
            <w:tcW w:w="220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spacing w:after="0"/>
              <w:rPr>
                <w:sz w:val="18"/>
                <w:szCs w:val="18"/>
                <w:color w:val="auto"/>
              </w:rPr>
            </w:pP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Financial Officer and Corporate Secretary of</w:t>
            </w:r>
          </w:p>
        </w:tc>
        <w:tc>
          <w:tcPr>
            <w:tcW w:w="220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spacing w:after="0"/>
              <w:rPr>
                <w:sz w:val="18"/>
                <w:szCs w:val="18"/>
                <w:color w:val="auto"/>
              </w:rPr>
            </w:pPr>
          </w:p>
        </w:tc>
      </w:tr>
      <w:tr>
        <w:trPr>
          <w:trHeight w:val="203"/>
        </w:trPr>
        <w:tc>
          <w:tcPr>
            <w:tcW w:w="1380" w:type="dxa"/>
            <w:vAlign w:val="bottom"/>
            <w:tcBorders>
              <w:left w:val="single" w:sz="8" w:color="auto"/>
            </w:tcBorders>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Calavo.  Prior</w:t>
            </w:r>
          </w:p>
        </w:tc>
        <w:tc>
          <w:tcPr>
            <w:tcW w:w="10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to  joining</w:t>
            </w:r>
          </w:p>
        </w:tc>
        <w:tc>
          <w:tcPr>
            <w:tcW w:w="1180" w:type="dxa"/>
            <w:vAlign w:val="bottom"/>
            <w:tcBorders>
              <w:right w:val="single" w:sz="8" w:color="auto"/>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Calavo,  Mr.</w:t>
            </w:r>
          </w:p>
        </w:tc>
        <w:tc>
          <w:tcPr>
            <w:tcW w:w="2200" w:type="dxa"/>
            <w:vAlign w:val="bottom"/>
            <w:tcBorders>
              <w:right w:val="single" w:sz="8" w:color="auto"/>
            </w:tcBorders>
            <w:shd w:val="clear" w:color="auto" w:fill="CCEEFF"/>
          </w:tcPr>
          <w:p>
            <w:pPr>
              <w:spacing w:after="0"/>
              <w:rPr>
                <w:sz w:val="17"/>
                <w:szCs w:val="17"/>
                <w:color w:val="auto"/>
              </w:rPr>
            </w:pPr>
          </w:p>
        </w:tc>
        <w:tc>
          <w:tcPr>
            <w:tcW w:w="3140" w:type="dxa"/>
            <w:vAlign w:val="bottom"/>
            <w:tcBorders>
              <w:right w:val="single" w:sz="8" w:color="auto"/>
            </w:tcBorders>
            <w:shd w:val="clear" w:color="auto" w:fill="CCEEFF"/>
          </w:tcPr>
          <w:p>
            <w:pPr>
              <w:spacing w:after="0"/>
              <w:rPr>
                <w:sz w:val="17"/>
                <w:szCs w:val="17"/>
                <w:color w:val="auto"/>
              </w:rPr>
            </w:pP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Lindeman held various leadership positions</w:t>
            </w:r>
          </w:p>
        </w:tc>
        <w:tc>
          <w:tcPr>
            <w:tcW w:w="220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spacing w:after="0"/>
              <w:rPr>
                <w:sz w:val="18"/>
                <w:szCs w:val="18"/>
                <w:color w:val="auto"/>
              </w:rPr>
            </w:pP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within the finance and investment banking</w:t>
            </w:r>
          </w:p>
        </w:tc>
        <w:tc>
          <w:tcPr>
            <w:tcW w:w="220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spacing w:after="0"/>
              <w:rPr>
                <w:sz w:val="18"/>
                <w:szCs w:val="18"/>
                <w:color w:val="auto"/>
              </w:rPr>
            </w:pP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industries,  including  serving  as  managing</w:t>
            </w:r>
          </w:p>
        </w:tc>
        <w:tc>
          <w:tcPr>
            <w:tcW w:w="220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spacing w:after="0"/>
              <w:rPr>
                <w:sz w:val="18"/>
                <w:szCs w:val="18"/>
                <w:color w:val="auto"/>
              </w:rPr>
            </w:pP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  at  Sageworth  Trust  Company,  a</w:t>
            </w:r>
          </w:p>
        </w:tc>
        <w:tc>
          <w:tcPr>
            <w:tcW w:w="220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spacing w:after="0"/>
              <w:rPr>
                <w:sz w:val="18"/>
                <w:szCs w:val="18"/>
                <w:color w:val="auto"/>
              </w:rPr>
            </w:pP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family office, from March 2015 to July 2015;</w:t>
            </w:r>
          </w:p>
        </w:tc>
        <w:tc>
          <w:tcPr>
            <w:tcW w:w="220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spacing w:after="0"/>
              <w:rPr>
                <w:sz w:val="18"/>
                <w:szCs w:val="18"/>
                <w:color w:val="auto"/>
              </w:rPr>
            </w:pP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Managing Director and co-head of the</w:t>
            </w:r>
          </w:p>
        </w:tc>
        <w:tc>
          <w:tcPr>
            <w:tcW w:w="220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spacing w:after="0"/>
              <w:rPr>
                <w:sz w:val="18"/>
                <w:szCs w:val="18"/>
                <w:color w:val="auto"/>
              </w:rPr>
            </w:pPr>
          </w:p>
        </w:tc>
      </w:tr>
      <w:tr>
        <w:trPr>
          <w:trHeight w:val="203"/>
        </w:trPr>
        <w:tc>
          <w:tcPr>
            <w:tcW w:w="3600" w:type="dxa"/>
            <w:vAlign w:val="bottom"/>
            <w:tcBorders>
              <w:left w:val="single" w:sz="8" w:color="auto"/>
              <w:right w:val="single" w:sz="8" w:color="auto"/>
            </w:tcBorders>
            <w:gridSpan w:val="3"/>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consumer  and  retail  group  at  Janney</w:t>
            </w:r>
          </w:p>
        </w:tc>
        <w:tc>
          <w:tcPr>
            <w:tcW w:w="2200" w:type="dxa"/>
            <w:vAlign w:val="bottom"/>
            <w:tcBorders>
              <w:right w:val="single" w:sz="8" w:color="auto"/>
            </w:tcBorders>
            <w:shd w:val="clear" w:color="auto" w:fill="CCEEFF"/>
          </w:tcPr>
          <w:p>
            <w:pPr>
              <w:spacing w:after="0"/>
              <w:rPr>
                <w:sz w:val="17"/>
                <w:szCs w:val="17"/>
                <w:color w:val="auto"/>
              </w:rPr>
            </w:pPr>
          </w:p>
        </w:tc>
        <w:tc>
          <w:tcPr>
            <w:tcW w:w="3140" w:type="dxa"/>
            <w:vAlign w:val="bottom"/>
            <w:tcBorders>
              <w:right w:val="single" w:sz="8" w:color="auto"/>
            </w:tcBorders>
            <w:shd w:val="clear" w:color="auto" w:fill="CCEEFF"/>
          </w:tcPr>
          <w:p>
            <w:pPr>
              <w:spacing w:after="0"/>
              <w:rPr>
                <w:sz w:val="17"/>
                <w:szCs w:val="17"/>
                <w:color w:val="auto"/>
              </w:rPr>
            </w:pPr>
          </w:p>
        </w:tc>
      </w:tr>
      <w:tr>
        <w:trPr>
          <w:trHeight w:val="216"/>
        </w:trPr>
        <w:tc>
          <w:tcPr>
            <w:tcW w:w="3600" w:type="dxa"/>
            <w:vAlign w:val="bottom"/>
            <w:tcBorders>
              <w:left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Montgomery  Scott,  an  investment  banking</w:t>
            </w:r>
          </w:p>
        </w:tc>
        <w:tc>
          <w:tcPr>
            <w:tcW w:w="2200" w:type="dxa"/>
            <w:vAlign w:val="bottom"/>
            <w:tcBorders>
              <w:right w:val="single" w:sz="8" w:color="auto"/>
            </w:tcBorders>
            <w:shd w:val="clear" w:color="auto" w:fill="CCEEFF"/>
          </w:tcPr>
          <w:p>
            <w:pPr>
              <w:spacing w:after="0"/>
              <w:rPr>
                <w:sz w:val="18"/>
                <w:szCs w:val="18"/>
                <w:color w:val="auto"/>
              </w:rPr>
            </w:pPr>
          </w:p>
        </w:tc>
        <w:tc>
          <w:tcPr>
            <w:tcW w:w="3140" w:type="dxa"/>
            <w:vAlign w:val="bottom"/>
            <w:tcBorders>
              <w:right w:val="single" w:sz="8" w:color="auto"/>
            </w:tcBorders>
            <w:shd w:val="clear" w:color="auto" w:fill="CCEEFF"/>
          </w:tcPr>
          <w:p>
            <w:pPr>
              <w:spacing w:after="0"/>
              <w:rPr>
                <w:sz w:val="18"/>
                <w:szCs w:val="18"/>
                <w:color w:val="auto"/>
              </w:rPr>
            </w:pPr>
          </w:p>
        </w:tc>
      </w:tr>
      <w:tr>
        <w:trPr>
          <w:trHeight w:val="234"/>
        </w:trPr>
        <w:tc>
          <w:tcPr>
            <w:tcW w:w="3600" w:type="dxa"/>
            <w:vAlign w:val="bottom"/>
            <w:tcBorders>
              <w:left w:val="single" w:sz="8" w:color="auto"/>
              <w:bottom w:val="single" w:sz="8" w:color="auto"/>
              <w:right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firm, from August 2009 to March 2015.</w:t>
            </w:r>
          </w:p>
        </w:tc>
        <w:tc>
          <w:tcPr>
            <w:tcW w:w="2200" w:type="dxa"/>
            <w:vAlign w:val="bottom"/>
            <w:tcBorders>
              <w:bottom w:val="single" w:sz="8" w:color="auto"/>
              <w:right w:val="single" w:sz="8" w:color="auto"/>
            </w:tcBorders>
            <w:shd w:val="clear" w:color="auto" w:fill="CCEEFF"/>
          </w:tcPr>
          <w:p>
            <w:pPr>
              <w:spacing w:after="0"/>
              <w:rPr>
                <w:sz w:val="20"/>
                <w:szCs w:val="20"/>
                <w:color w:val="auto"/>
              </w:rPr>
            </w:pPr>
          </w:p>
        </w:tc>
        <w:tc>
          <w:tcPr>
            <w:tcW w:w="31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858"/>
        </w:trPr>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8</w:t>
            </w:r>
          </w:p>
        </w:tc>
        <w:tc>
          <w:tcPr>
            <w:tcW w:w="3140" w:type="dxa"/>
            <w:vAlign w:val="bottom"/>
          </w:tcPr>
          <w:p>
            <w:pPr>
              <w:spacing w:after="0"/>
              <w:rPr>
                <w:sz w:val="24"/>
                <w:szCs w:val="24"/>
                <w:color w:val="auto"/>
              </w:rPr>
            </w:pPr>
          </w:p>
        </w:tc>
      </w:tr>
      <w:tr>
        <w:trPr>
          <w:trHeight w:val="547"/>
        </w:trPr>
        <w:tc>
          <w:tcPr>
            <w:tcW w:w="1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Adriana Mendizabal</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Director Since: 2022</w:t>
      </w:r>
    </w:p>
    <w:p>
      <w:pPr>
        <w:ind w:left="40"/>
        <w:spacing w:after="0" w:line="234" w:lineRule="auto"/>
        <w:rPr>
          <w:sz w:val="20"/>
          <w:szCs w:val="20"/>
          <w:color w:val="auto"/>
        </w:rPr>
      </w:pPr>
      <w:r>
        <w:rPr>
          <w:rFonts w:ascii="Times New Roman" w:cs="Times New Roman" w:eastAsia="Times New Roman" w:hAnsi="Times New Roman"/>
          <w:sz w:val="18"/>
          <w:szCs w:val="18"/>
          <w:i w:val="1"/>
          <w:iCs w:val="1"/>
          <w:color w:val="auto"/>
        </w:rPr>
        <w:t>Age: 61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Independent</w:t>
      </w:r>
    </w:p>
    <w:p>
      <w:pPr>
        <w:spacing w:after="0" w:line="203" w:lineRule="exact"/>
        <w:rPr>
          <w:sz w:val="20"/>
          <w:szCs w:val="20"/>
          <w:color w:val="auto"/>
        </w:rPr>
      </w:pPr>
    </w:p>
    <w:tbl>
      <w:tblPr>
        <w:tblLayout w:type="fixed"/>
        <w:tblInd w:w="50" w:type="dxa"/>
        <w:tblCellMar>
          <w:top w:w="0" w:type="dxa"/>
          <w:left w:w="0" w:type="dxa"/>
          <w:bottom w:w="0" w:type="dxa"/>
          <w:right w:w="0" w:type="dxa"/>
        </w:tblCellMar>
      </w:tblPr>
      <w:tr>
        <w:trPr>
          <w:trHeight w:val="194"/>
        </w:trPr>
        <w:tc>
          <w:tcPr>
            <w:tcW w:w="880" w:type="dxa"/>
            <w:vAlign w:val="bottom"/>
            <w:tcBorders>
              <w:top w:val="single" w:sz="8" w:color="auto"/>
              <w:left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60" w:type="dxa"/>
            <w:vAlign w:val="bottom"/>
            <w:tcBorders>
              <w:top w:val="single" w:sz="8" w:color="auto"/>
              <w:right w:val="single" w:sz="8" w:color="auto"/>
            </w:tcBorders>
          </w:tcPr>
          <w:p>
            <w:pPr>
              <w:spacing w:after="0"/>
              <w:rPr>
                <w:sz w:val="16"/>
                <w:szCs w:val="16"/>
                <w:color w:val="auto"/>
              </w:rPr>
            </w:pPr>
          </w:p>
        </w:tc>
        <w:tc>
          <w:tcPr>
            <w:tcW w:w="2220" w:type="dxa"/>
            <w:vAlign w:val="bottom"/>
            <w:tcBorders>
              <w:top w:val="single" w:sz="8" w:color="auto"/>
              <w:right w:val="single" w:sz="8" w:color="auto"/>
            </w:tcBorders>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Other Public Company</w:t>
            </w:r>
          </w:p>
        </w:tc>
        <w:tc>
          <w:tcPr>
            <w:tcW w:w="3120" w:type="dxa"/>
            <w:vAlign w:val="bottom"/>
            <w:tcBorders>
              <w:top w:val="single" w:sz="8" w:color="auto"/>
              <w:right w:val="single" w:sz="8" w:color="auto"/>
            </w:tcBorders>
          </w:tcPr>
          <w:p>
            <w:pPr>
              <w:spacing w:after="0"/>
              <w:rPr>
                <w:sz w:val="16"/>
                <w:szCs w:val="16"/>
                <w:color w:val="auto"/>
              </w:rPr>
            </w:pPr>
          </w:p>
        </w:tc>
      </w:tr>
      <w:tr>
        <w:trPr>
          <w:trHeight w:val="252"/>
        </w:trPr>
        <w:tc>
          <w:tcPr>
            <w:tcW w:w="15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Background:</w:t>
            </w:r>
          </w:p>
        </w:tc>
        <w:tc>
          <w:tcPr>
            <w:tcW w:w="4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spacing w:after="0"/>
              <w:rPr>
                <w:sz w:val="21"/>
                <w:szCs w:val="21"/>
                <w:color w:val="auto"/>
              </w:rPr>
            </w:pPr>
          </w:p>
        </w:tc>
        <w:tc>
          <w:tcPr>
            <w:tcW w:w="22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Boards:</w:t>
            </w:r>
          </w:p>
        </w:tc>
        <w:tc>
          <w:tcPr>
            <w:tcW w:w="31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Key Qualifications and Skills:</w:t>
            </w:r>
          </w:p>
        </w:tc>
      </w:tr>
      <w:tr>
        <w:trPr>
          <w:trHeight w:val="178"/>
        </w:trPr>
        <w:tc>
          <w:tcPr>
            <w:tcW w:w="3600" w:type="dxa"/>
            <w:vAlign w:val="bottom"/>
            <w:tcBorders>
              <w:left w:val="single" w:sz="8" w:color="auto"/>
              <w:right w:val="single" w:sz="8" w:color="auto"/>
            </w:tcBorders>
            <w:gridSpan w:val="6"/>
            <w:shd w:val="clear" w:color="auto" w:fill="CCEEFF"/>
          </w:tcPr>
          <w:p>
            <w:pPr>
              <w:ind w:left="360"/>
              <w:spacing w:after="0" w:line="177" w:lineRule="exact"/>
              <w:rPr>
                <w:sz w:val="20"/>
                <w:szCs w:val="20"/>
                <w:color w:val="auto"/>
              </w:rPr>
            </w:pPr>
            <w:r>
              <w:rPr>
                <w:rFonts w:ascii="Times New Roman" w:cs="Times New Roman" w:eastAsia="Times New Roman" w:hAnsi="Times New Roman"/>
                <w:sz w:val="18"/>
                <w:szCs w:val="18"/>
                <w:color w:val="auto"/>
              </w:rPr>
              <w:t>Ms. Mendizabal is an accomplished C-</w:t>
            </w:r>
          </w:p>
        </w:tc>
        <w:tc>
          <w:tcPr>
            <w:tcW w:w="2220" w:type="dxa"/>
            <w:vAlign w:val="bottom"/>
            <w:tcBorders>
              <w:right w:val="single" w:sz="8" w:color="auto"/>
            </w:tcBorders>
            <w:shd w:val="clear" w:color="auto" w:fill="CCEEFF"/>
          </w:tcPr>
          <w:p>
            <w:pPr>
              <w:ind w:left="80"/>
              <w:spacing w:after="0" w:line="177" w:lineRule="exact"/>
              <w:rPr>
                <w:sz w:val="20"/>
                <w:szCs w:val="20"/>
                <w:color w:val="auto"/>
              </w:rPr>
            </w:pPr>
            <w:r>
              <w:rPr>
                <w:rFonts w:ascii="Times New Roman" w:cs="Times New Roman" w:eastAsia="Times New Roman" w:hAnsi="Times New Roman"/>
                <w:sz w:val="18"/>
                <w:szCs w:val="18"/>
                <w:color w:val="auto"/>
              </w:rPr>
              <w:t>None.</w:t>
            </w:r>
          </w:p>
        </w:tc>
        <w:tc>
          <w:tcPr>
            <w:tcW w:w="3120" w:type="dxa"/>
            <w:vAlign w:val="bottom"/>
            <w:tcBorders>
              <w:right w:val="single" w:sz="8" w:color="auto"/>
            </w:tcBorders>
            <w:shd w:val="clear" w:color="auto" w:fill="CCEEFF"/>
          </w:tcPr>
          <w:p>
            <w:pPr>
              <w:ind w:left="340"/>
              <w:spacing w:after="0" w:line="177" w:lineRule="exact"/>
              <w:rPr>
                <w:sz w:val="20"/>
                <w:szCs w:val="20"/>
                <w:color w:val="auto"/>
              </w:rPr>
            </w:pPr>
            <w:r>
              <w:rPr>
                <w:rFonts w:ascii="Times New Roman" w:cs="Times New Roman" w:eastAsia="Times New Roman" w:hAnsi="Times New Roman"/>
                <w:sz w:val="18"/>
                <w:szCs w:val="18"/>
                <w:color w:val="auto"/>
              </w:rPr>
              <w:t>The Nominating, Governance and</w:t>
            </w:r>
          </w:p>
        </w:tc>
      </w:tr>
      <w:tr>
        <w:trPr>
          <w:trHeight w:val="216"/>
        </w:trPr>
        <w:tc>
          <w:tcPr>
            <w:tcW w:w="3600" w:type="dxa"/>
            <w:vAlign w:val="bottom"/>
            <w:tcBorders>
              <w:left w:val="single" w:sz="8" w:color="auto"/>
              <w:right w:val="single" w:sz="8" w:color="auto"/>
            </w:tcBorders>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suite executive with extensive experience at</w:t>
            </w:r>
          </w:p>
        </w:tc>
        <w:tc>
          <w:tcPr>
            <w:tcW w:w="222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Sustainability Committee and the Board</w:t>
            </w:r>
          </w:p>
        </w:tc>
      </w:tr>
      <w:tr>
        <w:trPr>
          <w:trHeight w:val="216"/>
        </w:trPr>
        <w:tc>
          <w:tcPr>
            <w:tcW w:w="1540" w:type="dxa"/>
            <w:vAlign w:val="bottom"/>
            <w:tcBorders>
              <w:left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public companies.</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She</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has held</w:t>
            </w:r>
          </w:p>
        </w:tc>
        <w:tc>
          <w:tcPr>
            <w:tcW w:w="880" w:type="dxa"/>
            <w:vAlign w:val="bottom"/>
            <w:tcBorders>
              <w:right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executive</w:t>
            </w:r>
          </w:p>
        </w:tc>
        <w:tc>
          <w:tcPr>
            <w:tcW w:w="222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believe  that  Ms.  Mendizabal’s  track</w:t>
            </w:r>
          </w:p>
        </w:tc>
      </w:tr>
      <w:tr>
        <w:trPr>
          <w:trHeight w:val="216"/>
        </w:trPr>
        <w:tc>
          <w:tcPr>
            <w:tcW w:w="3600" w:type="dxa"/>
            <w:vAlign w:val="bottom"/>
            <w:tcBorders>
              <w:left w:val="single" w:sz="8" w:color="auto"/>
              <w:right w:val="single" w:sz="8" w:color="auto"/>
            </w:tcBorders>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leadership positions including Business Unit</w:t>
            </w:r>
          </w:p>
        </w:tc>
        <w:tc>
          <w:tcPr>
            <w:tcW w:w="222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record   as   a   leader   who   drives</w:t>
            </w:r>
          </w:p>
        </w:tc>
      </w:tr>
      <w:tr>
        <w:trPr>
          <w:trHeight w:val="216"/>
        </w:trPr>
        <w:tc>
          <w:tcPr>
            <w:tcW w:w="3600" w:type="dxa"/>
            <w:vAlign w:val="bottom"/>
            <w:tcBorders>
              <w:left w:val="single" w:sz="8" w:color="auto"/>
              <w:right w:val="single" w:sz="8" w:color="auto"/>
            </w:tcBorders>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 and</w:t>
            </w:r>
          </w:p>
        </w:tc>
        <w:tc>
          <w:tcPr>
            <w:tcW w:w="222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shareholder value and her international</w:t>
            </w:r>
          </w:p>
        </w:tc>
      </w:tr>
      <w:tr>
        <w:trPr>
          <w:trHeight w:val="216"/>
        </w:trPr>
        <w:tc>
          <w:tcPr>
            <w:tcW w:w="3600" w:type="dxa"/>
            <w:vAlign w:val="bottom"/>
            <w:tcBorders>
              <w:left w:val="single" w:sz="8" w:color="auto"/>
              <w:right w:val="single" w:sz="8" w:color="auto"/>
            </w:tcBorders>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Global  Chief  Marketing  &amp;  Innovations</w:t>
            </w:r>
          </w:p>
        </w:tc>
        <w:tc>
          <w:tcPr>
            <w:tcW w:w="222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executive experience provide significant</w:t>
            </w:r>
          </w:p>
        </w:tc>
      </w:tr>
      <w:tr>
        <w:trPr>
          <w:trHeight w:val="216"/>
        </w:trPr>
        <w:tc>
          <w:tcPr>
            <w:tcW w:w="3600" w:type="dxa"/>
            <w:vAlign w:val="bottom"/>
            <w:tcBorders>
              <w:left w:val="single" w:sz="8" w:color="auto"/>
              <w:right w:val="single" w:sz="8" w:color="auto"/>
            </w:tcBorders>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Officer, with a career spanning Procter &amp;</w:t>
            </w:r>
          </w:p>
        </w:tc>
        <w:tc>
          <w:tcPr>
            <w:tcW w:w="222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value to the Board as it evaluates the</w:t>
            </w:r>
          </w:p>
        </w:tc>
      </w:tr>
      <w:tr>
        <w:trPr>
          <w:trHeight w:val="203"/>
        </w:trPr>
        <w:tc>
          <w:tcPr>
            <w:tcW w:w="3600" w:type="dxa"/>
            <w:vAlign w:val="bottom"/>
            <w:tcBorders>
              <w:left w:val="single" w:sz="8" w:color="auto"/>
              <w:right w:val="single" w:sz="8" w:color="auto"/>
            </w:tcBorders>
            <w:gridSpan w:val="6"/>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Gamble,  Johnson  &amp;  Johnson,  Visa  and</w:t>
            </w:r>
          </w:p>
        </w:tc>
        <w:tc>
          <w:tcPr>
            <w:tcW w:w="2220" w:type="dxa"/>
            <w:vAlign w:val="bottom"/>
            <w:tcBorders>
              <w:right w:val="single" w:sz="8" w:color="auto"/>
            </w:tcBorders>
            <w:shd w:val="clear" w:color="auto" w:fill="CCEEFF"/>
          </w:tcPr>
          <w:p>
            <w:pPr>
              <w:spacing w:after="0"/>
              <w:rPr>
                <w:sz w:val="17"/>
                <w:szCs w:val="17"/>
                <w:color w:val="auto"/>
              </w:rPr>
            </w:pPr>
          </w:p>
        </w:tc>
        <w:tc>
          <w:tcPr>
            <w:tcW w:w="3120" w:type="dxa"/>
            <w:vAlign w:val="bottom"/>
            <w:tcBorders>
              <w:right w:val="single" w:sz="8" w:color="auto"/>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Company’s present circumstances and</w:t>
            </w:r>
          </w:p>
        </w:tc>
      </w:tr>
      <w:tr>
        <w:trPr>
          <w:trHeight w:val="234"/>
        </w:trPr>
        <w:tc>
          <w:tcPr>
            <w:tcW w:w="880" w:type="dxa"/>
            <w:vAlign w:val="bottom"/>
            <w:tcBorders>
              <w:lef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Herbalife.</w:t>
            </w:r>
          </w:p>
        </w:tc>
        <w:tc>
          <w:tcPr>
            <w:tcW w:w="6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60" w:type="dxa"/>
            <w:vAlign w:val="bottom"/>
            <w:tcBorders>
              <w:right w:val="single" w:sz="8" w:color="auto"/>
            </w:tcBorders>
            <w:shd w:val="clear" w:color="auto" w:fill="CCEEFF"/>
          </w:tcPr>
          <w:p>
            <w:pPr>
              <w:spacing w:after="0"/>
              <w:rPr>
                <w:sz w:val="20"/>
                <w:szCs w:val="20"/>
                <w:color w:val="auto"/>
              </w:rPr>
            </w:pPr>
          </w:p>
        </w:tc>
        <w:tc>
          <w:tcPr>
            <w:tcW w:w="2220" w:type="dxa"/>
            <w:vAlign w:val="bottom"/>
            <w:tcBorders>
              <w:right w:val="single" w:sz="8" w:color="auto"/>
            </w:tcBorders>
            <w:shd w:val="clear" w:color="auto" w:fill="CCEEFF"/>
          </w:tcPr>
          <w:p>
            <w:pPr>
              <w:spacing w:after="0"/>
              <w:rPr>
                <w:sz w:val="20"/>
                <w:szCs w:val="20"/>
                <w:color w:val="auto"/>
              </w:rPr>
            </w:pPr>
          </w:p>
        </w:tc>
        <w:tc>
          <w:tcPr>
            <w:tcW w:w="312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future direction</w:t>
            </w:r>
          </w:p>
        </w:tc>
      </w:tr>
      <w:tr>
        <w:trPr>
          <w:trHeight w:val="414"/>
        </w:trPr>
        <w:tc>
          <w:tcPr>
            <w:tcW w:w="3600" w:type="dxa"/>
            <w:vAlign w:val="bottom"/>
            <w:tcBorders>
              <w:left w:val="single" w:sz="8" w:color="auto"/>
              <w:right w:val="single" w:sz="8" w:color="auto"/>
            </w:tcBorders>
            <w:gridSpan w:val="6"/>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Ms.  Mendizabal  currently  serves  as  a</w:t>
            </w:r>
          </w:p>
        </w:tc>
        <w:tc>
          <w:tcPr>
            <w:tcW w:w="2220" w:type="dxa"/>
            <w:vAlign w:val="bottom"/>
            <w:tcBorders>
              <w:right w:val="single" w:sz="8" w:color="auto"/>
            </w:tcBorders>
            <w:shd w:val="clear" w:color="auto" w:fill="CCEEFF"/>
          </w:tcPr>
          <w:p>
            <w:pPr>
              <w:spacing w:after="0"/>
              <w:rPr>
                <w:sz w:val="24"/>
                <w:szCs w:val="24"/>
                <w:color w:val="auto"/>
              </w:rPr>
            </w:pPr>
          </w:p>
        </w:tc>
        <w:tc>
          <w:tcPr>
            <w:tcW w:w="3120" w:type="dxa"/>
            <w:vAlign w:val="bottom"/>
            <w:tcBorders>
              <w:right w:val="single" w:sz="8" w:color="auto"/>
            </w:tcBorders>
            <w:shd w:val="clear" w:color="auto" w:fill="CCEEFF"/>
          </w:tcPr>
          <w:p>
            <w:pPr>
              <w:spacing w:after="0"/>
              <w:rPr>
                <w:sz w:val="24"/>
                <w:szCs w:val="24"/>
                <w:color w:val="auto"/>
              </w:rPr>
            </w:pPr>
          </w:p>
        </w:tc>
      </w:tr>
      <w:tr>
        <w:trPr>
          <w:trHeight w:val="216"/>
        </w:trPr>
        <w:tc>
          <w:tcPr>
            <w:tcW w:w="3600" w:type="dxa"/>
            <w:vAlign w:val="bottom"/>
            <w:tcBorders>
              <w:left w:val="single" w:sz="8" w:color="auto"/>
              <w:right w:val="single" w:sz="8" w:color="auto"/>
            </w:tcBorders>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Group President at Stanley Black &amp; Decker, a</w:t>
            </w:r>
          </w:p>
        </w:tc>
        <w:tc>
          <w:tcPr>
            <w:tcW w:w="222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shd w:val="clear" w:color="auto" w:fill="CCEEFF"/>
          </w:tcPr>
          <w:p>
            <w:pPr>
              <w:spacing w:after="0"/>
              <w:rPr>
                <w:sz w:val="18"/>
                <w:szCs w:val="18"/>
                <w:color w:val="auto"/>
              </w:rPr>
            </w:pPr>
          </w:p>
        </w:tc>
      </w:tr>
      <w:tr>
        <w:trPr>
          <w:trHeight w:val="216"/>
        </w:trPr>
        <w:tc>
          <w:tcPr>
            <w:tcW w:w="3600" w:type="dxa"/>
            <w:vAlign w:val="bottom"/>
            <w:tcBorders>
              <w:left w:val="single" w:sz="8" w:color="auto"/>
              <w:right w:val="single" w:sz="8" w:color="auto"/>
            </w:tcBorders>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position she has held since 2019. Prior to that,</w:t>
            </w:r>
          </w:p>
        </w:tc>
        <w:tc>
          <w:tcPr>
            <w:tcW w:w="222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shd w:val="clear" w:color="auto" w:fill="CCEEFF"/>
          </w:tcPr>
          <w:p>
            <w:pPr>
              <w:spacing w:after="0"/>
              <w:rPr>
                <w:sz w:val="18"/>
                <w:szCs w:val="18"/>
                <w:color w:val="auto"/>
              </w:rPr>
            </w:pPr>
          </w:p>
        </w:tc>
      </w:tr>
      <w:tr>
        <w:trPr>
          <w:trHeight w:val="216"/>
        </w:trPr>
        <w:tc>
          <w:tcPr>
            <w:tcW w:w="3600" w:type="dxa"/>
            <w:vAlign w:val="bottom"/>
            <w:tcBorders>
              <w:left w:val="single" w:sz="8" w:color="auto"/>
              <w:right w:val="single" w:sz="8" w:color="auto"/>
            </w:tcBorders>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she served as President of the Americas and</w:t>
            </w:r>
          </w:p>
        </w:tc>
        <w:tc>
          <w:tcPr>
            <w:tcW w:w="222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shd w:val="clear" w:color="auto" w:fill="CCEEFF"/>
          </w:tcPr>
          <w:p>
            <w:pPr>
              <w:spacing w:after="0"/>
              <w:rPr>
                <w:sz w:val="18"/>
                <w:szCs w:val="18"/>
                <w:color w:val="auto"/>
              </w:rPr>
            </w:pPr>
          </w:p>
        </w:tc>
      </w:tr>
      <w:tr>
        <w:trPr>
          <w:trHeight w:val="216"/>
        </w:trPr>
        <w:tc>
          <w:tcPr>
            <w:tcW w:w="3600" w:type="dxa"/>
            <w:vAlign w:val="bottom"/>
            <w:tcBorders>
              <w:left w:val="single" w:sz="8" w:color="auto"/>
              <w:right w:val="single" w:sz="8" w:color="auto"/>
            </w:tcBorders>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Global  Chief  Marketing  &amp;  Innovations</w:t>
            </w:r>
          </w:p>
        </w:tc>
        <w:tc>
          <w:tcPr>
            <w:tcW w:w="222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shd w:val="clear" w:color="auto" w:fill="CCEEFF"/>
          </w:tcPr>
          <w:p>
            <w:pPr>
              <w:spacing w:after="0"/>
              <w:rPr>
                <w:sz w:val="18"/>
                <w:szCs w:val="18"/>
                <w:color w:val="auto"/>
              </w:rPr>
            </w:pPr>
          </w:p>
        </w:tc>
      </w:tr>
      <w:tr>
        <w:trPr>
          <w:trHeight w:val="216"/>
        </w:trPr>
        <w:tc>
          <w:tcPr>
            <w:tcW w:w="3600" w:type="dxa"/>
            <w:vAlign w:val="bottom"/>
            <w:tcBorders>
              <w:left w:val="single" w:sz="8" w:color="auto"/>
              <w:right w:val="single" w:sz="8" w:color="auto"/>
            </w:tcBorders>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Officer for Nature Sunshine Products from</w:t>
            </w:r>
          </w:p>
        </w:tc>
        <w:tc>
          <w:tcPr>
            <w:tcW w:w="222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shd w:val="clear" w:color="auto" w:fill="CCEEFF"/>
          </w:tcPr>
          <w:p>
            <w:pPr>
              <w:spacing w:after="0"/>
              <w:rPr>
                <w:sz w:val="18"/>
                <w:szCs w:val="18"/>
                <w:color w:val="auto"/>
              </w:rPr>
            </w:pPr>
          </w:p>
        </w:tc>
      </w:tr>
      <w:tr>
        <w:trPr>
          <w:trHeight w:val="203"/>
        </w:trPr>
        <w:tc>
          <w:tcPr>
            <w:tcW w:w="880" w:type="dxa"/>
            <w:vAlign w:val="bottom"/>
            <w:tcBorders>
              <w:left w:val="single" w:sz="8" w:color="auto"/>
            </w:tcBorders>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2012  to</w:t>
            </w:r>
          </w:p>
        </w:tc>
        <w:tc>
          <w:tcPr>
            <w:tcW w:w="660" w:type="dxa"/>
            <w:vAlign w:val="bottom"/>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2019.</w:t>
            </w:r>
          </w:p>
        </w:tc>
        <w:tc>
          <w:tcPr>
            <w:tcW w:w="4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Her</w:t>
            </w:r>
          </w:p>
        </w:tc>
        <w:tc>
          <w:tcPr>
            <w:tcW w:w="1020" w:type="dxa"/>
            <w:vAlign w:val="bottom"/>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experience</w:t>
            </w:r>
          </w:p>
        </w:tc>
        <w:tc>
          <w:tcPr>
            <w:tcW w:w="560" w:type="dxa"/>
            <w:vAlign w:val="bottom"/>
            <w:tcBorders>
              <w:right w:val="single" w:sz="8" w:color="auto"/>
            </w:tcBorders>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99"/>
              </w:rPr>
              <w:t>spans</w:t>
            </w:r>
          </w:p>
        </w:tc>
        <w:tc>
          <w:tcPr>
            <w:tcW w:w="2220" w:type="dxa"/>
            <w:vAlign w:val="bottom"/>
            <w:tcBorders>
              <w:right w:val="single" w:sz="8" w:color="auto"/>
            </w:tcBorders>
            <w:shd w:val="clear" w:color="auto" w:fill="CCEEFF"/>
          </w:tcPr>
          <w:p>
            <w:pPr>
              <w:spacing w:after="0"/>
              <w:rPr>
                <w:sz w:val="17"/>
                <w:szCs w:val="17"/>
                <w:color w:val="auto"/>
              </w:rPr>
            </w:pPr>
          </w:p>
        </w:tc>
        <w:tc>
          <w:tcPr>
            <w:tcW w:w="3120" w:type="dxa"/>
            <w:vAlign w:val="bottom"/>
            <w:tcBorders>
              <w:right w:val="single" w:sz="8" w:color="auto"/>
            </w:tcBorders>
            <w:shd w:val="clear" w:color="auto" w:fill="CCEEFF"/>
          </w:tcPr>
          <w:p>
            <w:pPr>
              <w:spacing w:after="0"/>
              <w:rPr>
                <w:sz w:val="17"/>
                <w:szCs w:val="17"/>
                <w:color w:val="auto"/>
              </w:rPr>
            </w:pPr>
          </w:p>
        </w:tc>
      </w:tr>
      <w:tr>
        <w:trPr>
          <w:trHeight w:val="216"/>
        </w:trPr>
        <w:tc>
          <w:tcPr>
            <w:tcW w:w="880" w:type="dxa"/>
            <w:vAlign w:val="bottom"/>
            <w:tcBorders>
              <w:lef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consumer</w:t>
            </w:r>
          </w:p>
        </w:tc>
        <w:tc>
          <w:tcPr>
            <w:tcW w:w="1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financial</w:t>
            </w:r>
          </w:p>
        </w:tc>
        <w:tc>
          <w:tcPr>
            <w:tcW w:w="880" w:type="dxa"/>
            <w:vAlign w:val="bottom"/>
            <w:tcBorders>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services,</w:t>
            </w:r>
          </w:p>
        </w:tc>
        <w:tc>
          <w:tcPr>
            <w:tcW w:w="222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shd w:val="clear" w:color="auto" w:fill="CCEEFF"/>
          </w:tcPr>
          <w:p>
            <w:pPr>
              <w:spacing w:after="0"/>
              <w:rPr>
                <w:sz w:val="18"/>
                <w:szCs w:val="18"/>
                <w:color w:val="auto"/>
              </w:rPr>
            </w:pPr>
          </w:p>
        </w:tc>
      </w:tr>
      <w:tr>
        <w:trPr>
          <w:trHeight w:val="216"/>
        </w:trPr>
        <w:tc>
          <w:tcPr>
            <w:tcW w:w="3600" w:type="dxa"/>
            <w:vAlign w:val="bottom"/>
            <w:tcBorders>
              <w:left w:val="single" w:sz="8" w:color="auto"/>
              <w:right w:val="single" w:sz="8" w:color="auto"/>
            </w:tcBorders>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industrial  and  home  improvement  sectors,</w:t>
            </w:r>
          </w:p>
        </w:tc>
        <w:tc>
          <w:tcPr>
            <w:tcW w:w="222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shd w:val="clear" w:color="auto" w:fill="CCEEFF"/>
          </w:tcPr>
          <w:p>
            <w:pPr>
              <w:spacing w:after="0"/>
              <w:rPr>
                <w:sz w:val="18"/>
                <w:szCs w:val="18"/>
                <w:color w:val="auto"/>
              </w:rPr>
            </w:pPr>
          </w:p>
        </w:tc>
      </w:tr>
      <w:tr>
        <w:trPr>
          <w:trHeight w:val="216"/>
        </w:trPr>
        <w:tc>
          <w:tcPr>
            <w:tcW w:w="880" w:type="dxa"/>
            <w:vAlign w:val="bottom"/>
            <w:tcBorders>
              <w:lef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including</w:t>
            </w:r>
          </w:p>
        </w:tc>
        <w:tc>
          <w:tcPr>
            <w:tcW w:w="1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leadership</w:t>
            </w:r>
          </w:p>
        </w:tc>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responsibility</w:t>
            </w:r>
          </w:p>
        </w:tc>
        <w:tc>
          <w:tcPr>
            <w:tcW w:w="560" w:type="dxa"/>
            <w:vAlign w:val="bottom"/>
            <w:tcBorders>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for</w:t>
            </w:r>
          </w:p>
        </w:tc>
        <w:tc>
          <w:tcPr>
            <w:tcW w:w="222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shd w:val="clear" w:color="auto" w:fill="CCEEFF"/>
          </w:tcPr>
          <w:p>
            <w:pPr>
              <w:spacing w:after="0"/>
              <w:rPr>
                <w:sz w:val="18"/>
                <w:szCs w:val="18"/>
                <w:color w:val="auto"/>
              </w:rPr>
            </w:pPr>
          </w:p>
        </w:tc>
      </w:tr>
      <w:tr>
        <w:trPr>
          <w:trHeight w:val="234"/>
        </w:trPr>
        <w:tc>
          <w:tcPr>
            <w:tcW w:w="3600" w:type="dxa"/>
            <w:vAlign w:val="bottom"/>
            <w:tcBorders>
              <w:left w:val="single" w:sz="8" w:color="auto"/>
              <w:right w:val="single" w:sz="8" w:color="auto"/>
            </w:tcBorders>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businesses with revenues of up to $9 billion.</w:t>
            </w:r>
          </w:p>
        </w:tc>
        <w:tc>
          <w:tcPr>
            <w:tcW w:w="2220" w:type="dxa"/>
            <w:vAlign w:val="bottom"/>
            <w:tcBorders>
              <w:right w:val="single" w:sz="8" w:color="auto"/>
            </w:tcBorders>
            <w:shd w:val="clear" w:color="auto" w:fill="CCEEFF"/>
          </w:tcPr>
          <w:p>
            <w:pPr>
              <w:spacing w:after="0"/>
              <w:rPr>
                <w:sz w:val="20"/>
                <w:szCs w:val="20"/>
                <w:color w:val="auto"/>
              </w:rPr>
            </w:pPr>
          </w:p>
        </w:tc>
        <w:tc>
          <w:tcPr>
            <w:tcW w:w="3120" w:type="dxa"/>
            <w:vAlign w:val="bottom"/>
            <w:tcBorders>
              <w:right w:val="single" w:sz="8" w:color="auto"/>
            </w:tcBorders>
            <w:shd w:val="clear" w:color="auto" w:fill="CCEEFF"/>
          </w:tcPr>
          <w:p>
            <w:pPr>
              <w:spacing w:after="0"/>
              <w:rPr>
                <w:sz w:val="20"/>
                <w:szCs w:val="20"/>
                <w:color w:val="auto"/>
              </w:rPr>
            </w:pPr>
          </w:p>
        </w:tc>
      </w:tr>
      <w:tr>
        <w:trPr>
          <w:trHeight w:val="414"/>
        </w:trPr>
        <w:tc>
          <w:tcPr>
            <w:tcW w:w="1540" w:type="dxa"/>
            <w:vAlign w:val="bottom"/>
            <w:tcBorders>
              <w:left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Ms.  Mendizabal</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chairs</w:t>
            </w:r>
          </w:p>
        </w:tc>
        <w:tc>
          <w:tcPr>
            <w:tcW w:w="1580" w:type="dxa"/>
            <w:vAlign w:val="bottom"/>
            <w:tcBorders>
              <w:right w:val="single" w:sz="8" w:color="auto"/>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the  Nominating,</w:t>
            </w:r>
          </w:p>
        </w:tc>
        <w:tc>
          <w:tcPr>
            <w:tcW w:w="2220" w:type="dxa"/>
            <w:vAlign w:val="bottom"/>
            <w:tcBorders>
              <w:right w:val="single" w:sz="8" w:color="auto"/>
            </w:tcBorders>
            <w:shd w:val="clear" w:color="auto" w:fill="CCEEFF"/>
          </w:tcPr>
          <w:p>
            <w:pPr>
              <w:spacing w:after="0"/>
              <w:rPr>
                <w:sz w:val="24"/>
                <w:szCs w:val="24"/>
                <w:color w:val="auto"/>
              </w:rPr>
            </w:pPr>
          </w:p>
        </w:tc>
        <w:tc>
          <w:tcPr>
            <w:tcW w:w="3120" w:type="dxa"/>
            <w:vAlign w:val="bottom"/>
            <w:tcBorders>
              <w:right w:val="single" w:sz="8" w:color="auto"/>
            </w:tcBorders>
            <w:shd w:val="clear" w:color="auto" w:fill="CCEEFF"/>
          </w:tcPr>
          <w:p>
            <w:pPr>
              <w:spacing w:after="0"/>
              <w:rPr>
                <w:sz w:val="24"/>
                <w:szCs w:val="24"/>
                <w:color w:val="auto"/>
              </w:rPr>
            </w:pPr>
          </w:p>
        </w:tc>
      </w:tr>
      <w:tr>
        <w:trPr>
          <w:trHeight w:val="216"/>
        </w:trPr>
        <w:tc>
          <w:tcPr>
            <w:tcW w:w="3600" w:type="dxa"/>
            <w:vAlign w:val="bottom"/>
            <w:tcBorders>
              <w:left w:val="single" w:sz="8" w:color="auto"/>
              <w:right w:val="single" w:sz="8" w:color="auto"/>
            </w:tcBorders>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Governance and Sustainability Committee and</w:t>
            </w:r>
          </w:p>
        </w:tc>
        <w:tc>
          <w:tcPr>
            <w:tcW w:w="222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shd w:val="clear" w:color="auto" w:fill="CCEEFF"/>
          </w:tcPr>
          <w:p>
            <w:pPr>
              <w:spacing w:after="0"/>
              <w:rPr>
                <w:sz w:val="18"/>
                <w:szCs w:val="18"/>
                <w:color w:val="auto"/>
              </w:rPr>
            </w:pPr>
          </w:p>
        </w:tc>
      </w:tr>
      <w:tr>
        <w:trPr>
          <w:trHeight w:val="203"/>
        </w:trPr>
        <w:tc>
          <w:tcPr>
            <w:tcW w:w="3600" w:type="dxa"/>
            <w:vAlign w:val="bottom"/>
            <w:tcBorders>
              <w:left w:val="single" w:sz="8" w:color="auto"/>
              <w:right w:val="single" w:sz="8" w:color="auto"/>
            </w:tcBorders>
            <w:gridSpan w:val="6"/>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serves  as  a  member  of  the  Audit  and</w:t>
            </w:r>
          </w:p>
        </w:tc>
        <w:tc>
          <w:tcPr>
            <w:tcW w:w="2220" w:type="dxa"/>
            <w:vAlign w:val="bottom"/>
            <w:tcBorders>
              <w:right w:val="single" w:sz="8" w:color="auto"/>
            </w:tcBorders>
            <w:shd w:val="clear" w:color="auto" w:fill="CCEEFF"/>
          </w:tcPr>
          <w:p>
            <w:pPr>
              <w:spacing w:after="0"/>
              <w:rPr>
                <w:sz w:val="17"/>
                <w:szCs w:val="17"/>
                <w:color w:val="auto"/>
              </w:rPr>
            </w:pPr>
          </w:p>
        </w:tc>
        <w:tc>
          <w:tcPr>
            <w:tcW w:w="3120" w:type="dxa"/>
            <w:vAlign w:val="bottom"/>
            <w:tcBorders>
              <w:right w:val="single" w:sz="8" w:color="auto"/>
            </w:tcBorders>
            <w:shd w:val="clear" w:color="auto" w:fill="CCEEFF"/>
          </w:tcPr>
          <w:p>
            <w:pPr>
              <w:spacing w:after="0"/>
              <w:rPr>
                <w:sz w:val="17"/>
                <w:szCs w:val="17"/>
                <w:color w:val="auto"/>
              </w:rPr>
            </w:pPr>
          </w:p>
        </w:tc>
      </w:tr>
      <w:tr>
        <w:trPr>
          <w:trHeight w:val="216"/>
        </w:trPr>
        <w:tc>
          <w:tcPr>
            <w:tcW w:w="3600" w:type="dxa"/>
            <w:vAlign w:val="bottom"/>
            <w:tcBorders>
              <w:left w:val="single" w:sz="8" w:color="auto"/>
              <w:right w:val="single" w:sz="8" w:color="auto"/>
            </w:tcBorders>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Committees. She previously served</w:t>
            </w:r>
          </w:p>
        </w:tc>
        <w:tc>
          <w:tcPr>
            <w:tcW w:w="222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shd w:val="clear" w:color="auto" w:fill="CCEEFF"/>
          </w:tcPr>
          <w:p>
            <w:pPr>
              <w:spacing w:after="0"/>
              <w:rPr>
                <w:sz w:val="18"/>
                <w:szCs w:val="18"/>
                <w:color w:val="auto"/>
              </w:rPr>
            </w:pPr>
          </w:p>
        </w:tc>
      </w:tr>
      <w:tr>
        <w:trPr>
          <w:trHeight w:val="216"/>
        </w:trPr>
        <w:tc>
          <w:tcPr>
            <w:tcW w:w="3600" w:type="dxa"/>
            <w:vAlign w:val="bottom"/>
            <w:tcBorders>
              <w:left w:val="single" w:sz="8" w:color="auto"/>
              <w:right w:val="single" w:sz="8" w:color="auto"/>
            </w:tcBorders>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 an Independent Director of the Board of</w:t>
            </w:r>
          </w:p>
        </w:tc>
        <w:tc>
          <w:tcPr>
            <w:tcW w:w="222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shd w:val="clear" w:color="auto" w:fill="CCEEFF"/>
          </w:tcPr>
          <w:p>
            <w:pPr>
              <w:spacing w:after="0"/>
              <w:rPr>
                <w:sz w:val="18"/>
                <w:szCs w:val="18"/>
                <w:color w:val="auto"/>
              </w:rPr>
            </w:pPr>
          </w:p>
        </w:tc>
      </w:tr>
      <w:tr>
        <w:trPr>
          <w:trHeight w:val="216"/>
        </w:trPr>
        <w:tc>
          <w:tcPr>
            <w:tcW w:w="3600" w:type="dxa"/>
            <w:vAlign w:val="bottom"/>
            <w:tcBorders>
              <w:left w:val="single" w:sz="8" w:color="auto"/>
              <w:right w:val="single" w:sz="8" w:color="auto"/>
            </w:tcBorders>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 Bank of New York Mellon Mexico and as</w:t>
            </w:r>
          </w:p>
        </w:tc>
        <w:tc>
          <w:tcPr>
            <w:tcW w:w="222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shd w:val="clear" w:color="auto" w:fill="CCEEFF"/>
          </w:tcPr>
          <w:p>
            <w:pPr>
              <w:spacing w:after="0"/>
              <w:rPr>
                <w:sz w:val="18"/>
                <w:szCs w:val="18"/>
                <w:color w:val="auto"/>
              </w:rPr>
            </w:pPr>
          </w:p>
        </w:tc>
      </w:tr>
      <w:tr>
        <w:trPr>
          <w:trHeight w:val="216"/>
        </w:trPr>
        <w:tc>
          <w:tcPr>
            <w:tcW w:w="3600" w:type="dxa"/>
            <w:vAlign w:val="bottom"/>
            <w:tcBorders>
              <w:left w:val="single" w:sz="8" w:color="auto"/>
              <w:right w:val="single" w:sz="8" w:color="auto"/>
            </w:tcBorders>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 member of its Audit and Risk Committee</w:t>
            </w:r>
          </w:p>
        </w:tc>
        <w:tc>
          <w:tcPr>
            <w:tcW w:w="2220" w:type="dxa"/>
            <w:vAlign w:val="bottom"/>
            <w:tcBorders>
              <w:right w:val="single" w:sz="8" w:color="auto"/>
            </w:tcBorders>
            <w:shd w:val="clear" w:color="auto" w:fill="CCEEFF"/>
          </w:tcPr>
          <w:p>
            <w:pPr>
              <w:spacing w:after="0"/>
              <w:rPr>
                <w:sz w:val="18"/>
                <w:szCs w:val="18"/>
                <w:color w:val="auto"/>
              </w:rPr>
            </w:pPr>
          </w:p>
        </w:tc>
        <w:tc>
          <w:tcPr>
            <w:tcW w:w="3120" w:type="dxa"/>
            <w:vAlign w:val="bottom"/>
            <w:tcBorders>
              <w:right w:val="single" w:sz="8" w:color="auto"/>
            </w:tcBorders>
            <w:shd w:val="clear" w:color="auto" w:fill="CCEEFF"/>
          </w:tcPr>
          <w:p>
            <w:pPr>
              <w:spacing w:after="0"/>
              <w:rPr>
                <w:sz w:val="18"/>
                <w:szCs w:val="18"/>
                <w:color w:val="auto"/>
              </w:rPr>
            </w:pPr>
          </w:p>
        </w:tc>
      </w:tr>
      <w:tr>
        <w:trPr>
          <w:trHeight w:val="234"/>
        </w:trPr>
        <w:tc>
          <w:tcPr>
            <w:tcW w:w="1540" w:type="dxa"/>
            <w:vAlign w:val="bottom"/>
            <w:tcBorders>
              <w:left w:val="single" w:sz="8" w:color="auto"/>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from 2008 to 2015.</w:t>
            </w:r>
          </w:p>
        </w:tc>
        <w:tc>
          <w:tcPr>
            <w:tcW w:w="4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right w:val="single" w:sz="8" w:color="auto"/>
            </w:tcBorders>
            <w:shd w:val="clear" w:color="auto" w:fill="CCEEFF"/>
          </w:tcPr>
          <w:p>
            <w:pPr>
              <w:spacing w:after="0"/>
              <w:rPr>
                <w:sz w:val="20"/>
                <w:szCs w:val="20"/>
                <w:color w:val="auto"/>
              </w:rPr>
            </w:pPr>
          </w:p>
        </w:tc>
        <w:tc>
          <w:tcPr>
            <w:tcW w:w="2220" w:type="dxa"/>
            <w:vAlign w:val="bottom"/>
            <w:tcBorders>
              <w:bottom w:val="single" w:sz="8" w:color="auto"/>
              <w:right w:val="single" w:sz="8" w:color="auto"/>
            </w:tcBorders>
            <w:shd w:val="clear" w:color="auto" w:fill="CCEEFF"/>
          </w:tcPr>
          <w:p>
            <w:pPr>
              <w:spacing w:after="0"/>
              <w:rPr>
                <w:sz w:val="20"/>
                <w:szCs w:val="20"/>
                <w:color w:val="auto"/>
              </w:rPr>
            </w:pPr>
          </w:p>
        </w:tc>
        <w:tc>
          <w:tcPr>
            <w:tcW w:w="312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425"/>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120" w:type="dxa"/>
            <w:vAlign w:val="bottom"/>
          </w:tcPr>
          <w:p>
            <w:pPr>
              <w:spacing w:after="0"/>
              <w:rPr>
                <w:sz w:val="24"/>
                <w:szCs w:val="24"/>
                <w:color w:val="auto"/>
              </w:rPr>
            </w:pPr>
          </w:p>
        </w:tc>
      </w:tr>
    </w:tbl>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Information related to executive officers is included in the Original 10-K Filing under Part III, Item 10.</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16" w:lineRule="exact"/>
        <w:rPr>
          <w:sz w:val="20"/>
          <w:szCs w:val="20"/>
          <w:color w:val="auto"/>
        </w:rPr>
      </w:pPr>
    </w:p>
    <w:p>
      <w:pPr>
        <w:ind w:left="40" w:right="419" w:firstLine="259"/>
        <w:spacing w:after="0" w:line="242" w:lineRule="auto"/>
        <w:rPr>
          <w:sz w:val="20"/>
          <w:szCs w:val="20"/>
          <w:color w:val="auto"/>
        </w:rPr>
      </w:pPr>
      <w:r>
        <w:rPr>
          <w:rFonts w:ascii="Times New Roman" w:cs="Times New Roman" w:eastAsia="Times New Roman" w:hAnsi="Times New Roman"/>
          <w:sz w:val="18"/>
          <w:szCs w:val="18"/>
          <w:color w:val="auto"/>
        </w:rPr>
        <w:t>The Company’s directors and executive officers and the beneficial owners of more than ten percent (10%) of the Company’s shares are required to file under the Exchange Act reports of ownership and changes of ownership with the SEC.</w:t>
      </w:r>
    </w:p>
    <w:p>
      <w:pPr>
        <w:spacing w:after="0" w:line="197" w:lineRule="exact"/>
        <w:rPr>
          <w:sz w:val="20"/>
          <w:szCs w:val="20"/>
          <w:color w:val="auto"/>
        </w:rPr>
      </w:pPr>
    </w:p>
    <w:p>
      <w:pPr>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Based solely on a review of copies of Section 16 filings filed electronically with the SEC and, as applicable, information provided to the Company by individual directors and executive officers and the beneficial owners of more than ten percent (10%) of the Company’s shares, the Company believes that, during fiscal year 2025, all filing requirements applicable to directors and executive officers have been complied with in a timely manner, except for the following late filings under Section 16: (i) a Form 3 for Mr. Snyder filed on December 19, 2024 due to an administrative oversight and (ii) a Form 4 for Mr. Cole due on April 14, 2025 and filed on April 17, 2025 to report the acquisition of shares in multiple transactions due to an administrative oversight.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16" w:lineRule="exact"/>
        <w:rPr>
          <w:sz w:val="20"/>
          <w:szCs w:val="20"/>
          <w:color w:val="auto"/>
        </w:rPr>
      </w:pPr>
    </w:p>
    <w:p>
      <w:pPr>
        <w:ind w:left="40" w:right="219" w:firstLine="259"/>
        <w:spacing w:after="0" w:line="233" w:lineRule="auto"/>
        <w:rPr>
          <w:sz w:val="20"/>
          <w:szCs w:val="20"/>
          <w:color w:val="auto"/>
        </w:rPr>
      </w:pPr>
      <w:r>
        <w:rPr>
          <w:rFonts w:ascii="Times New Roman" w:cs="Times New Roman" w:eastAsia="Times New Roman" w:hAnsi="Times New Roman"/>
          <w:sz w:val="18"/>
          <w:szCs w:val="18"/>
          <w:color w:val="auto"/>
        </w:rPr>
        <w:t>Our Board adopted a Code of Business Conduct and Ethics that applies to all of our employees, officers and directors, including our Chairperson, Chief Executive Officer, Chief Financial Officer and other executive and senior financial officers. The full text of our Code of Business Conduct and Ethics, is available on our investor website at https://ir.calavo.com/ under the heading “Governance — Governance Policies &amp; Docs.” Any amendments to, or any waivers from a provision of, our Code of Business Conduct and Ethics that applies to the Company's principal executive officer, principal financial officer, principal accounting officer or controller or persons performing similar functions and that relates to any element of the code of ethics definition enumerated in Item 406(b) of Regulation S-K would be made available on the same website, and our Code of Business Conduct and Ethics is posted to the site.</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16" w:lineRule="exact"/>
        <w:rPr>
          <w:sz w:val="20"/>
          <w:szCs w:val="20"/>
          <w:color w:val="auto"/>
        </w:rPr>
      </w:pPr>
    </w:p>
    <w:p>
      <w:pPr>
        <w:ind w:left="40" w:right="99" w:firstLine="259"/>
        <w:spacing w:after="0" w:line="242" w:lineRule="auto"/>
        <w:rPr>
          <w:sz w:val="20"/>
          <w:szCs w:val="20"/>
          <w:color w:val="auto"/>
        </w:rPr>
      </w:pPr>
      <w:r>
        <w:rPr>
          <w:rFonts w:ascii="Times New Roman" w:cs="Times New Roman" w:eastAsia="Times New Roman" w:hAnsi="Times New Roman"/>
          <w:sz w:val="18"/>
          <w:szCs w:val="18"/>
          <w:color w:val="auto"/>
        </w:rPr>
        <w:t>We also maintain an Insider Trading Policy that governs purchases, sales, and dispositions of Calavo securities by directors, officers, and employees, that is reasonably designed to promote compliance with SEC regulations, insider trading laws, and Nasdaq listing standards. The Insider Trading Policy prohibits, among other things:</w:t>
      </w:r>
    </w:p>
    <w:p>
      <w:pPr>
        <w:spacing w:after="0" w:line="76" w:lineRule="exact"/>
        <w:rPr>
          <w:sz w:val="20"/>
          <w:szCs w:val="20"/>
          <w:color w:val="auto"/>
        </w:rPr>
      </w:pPr>
    </w:p>
    <w:p>
      <w:pPr>
        <w:ind w:left="580" w:hanging="185"/>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Calavo securities while in possession of Material Nonpublic Information,</w:t>
      </w:r>
    </w:p>
    <w:p>
      <w:pPr>
        <w:spacing w:after="0" w:line="103" w:lineRule="exact"/>
        <w:rPr>
          <w:rFonts w:ascii="Times New Roman" w:cs="Times New Roman" w:eastAsia="Times New Roman" w:hAnsi="Times New Roman"/>
          <w:sz w:val="18"/>
          <w:szCs w:val="18"/>
          <w:color w:val="auto"/>
        </w:rPr>
      </w:pPr>
    </w:p>
    <w:p>
      <w:pPr>
        <w:ind w:left="580" w:hanging="185"/>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Calavo securities, unless part of an approved hedging transaction,</w:t>
      </w:r>
    </w:p>
    <w:p>
      <w:pPr>
        <w:spacing w:after="0" w:line="103" w:lineRule="exact"/>
        <w:rPr>
          <w:rFonts w:ascii="Times New Roman" w:cs="Times New Roman" w:eastAsia="Times New Roman" w:hAnsi="Times New Roman"/>
          <w:sz w:val="18"/>
          <w:szCs w:val="18"/>
          <w:color w:val="auto"/>
        </w:rPr>
      </w:pPr>
    </w:p>
    <w:p>
      <w:pPr>
        <w:ind w:left="580" w:hanging="185"/>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put options, call options, or other derivative securities,</w:t>
      </w:r>
    </w:p>
    <w:p>
      <w:pPr>
        <w:spacing w:after="0" w:line="103" w:lineRule="exact"/>
        <w:rPr>
          <w:rFonts w:ascii="Times New Roman" w:cs="Times New Roman" w:eastAsia="Times New Roman" w:hAnsi="Times New Roman"/>
          <w:sz w:val="18"/>
          <w:szCs w:val="18"/>
          <w:color w:val="auto"/>
        </w:rPr>
      </w:pPr>
    </w:p>
    <w:p>
      <w:pPr>
        <w:ind w:left="580" w:hanging="185"/>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or monetization transactions, unless expressly permitted under the Anti-Hedging/Anti-Pledging Policy,</w:t>
      </w:r>
    </w:p>
    <w:p>
      <w:pPr>
        <w:spacing w:after="0" w:line="103" w:lineRule="exact"/>
        <w:rPr>
          <w:rFonts w:ascii="Times New Roman" w:cs="Times New Roman" w:eastAsia="Times New Roman" w:hAnsi="Times New Roman"/>
          <w:sz w:val="18"/>
          <w:szCs w:val="18"/>
          <w:color w:val="auto"/>
        </w:rPr>
      </w:pPr>
    </w:p>
    <w:p>
      <w:pPr>
        <w:ind w:left="580" w:right="99" w:hanging="185"/>
        <w:spacing w:after="0" w:line="250"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accounts or pledging transactions, unless expressly permitted under the Anti-Hedging/Anti-Pledging Policy, and</w:t>
      </w:r>
    </w:p>
    <w:p>
      <w:pPr>
        <w:spacing w:after="0" w:line="68" w:lineRule="exact"/>
        <w:rPr>
          <w:rFonts w:ascii="Times New Roman" w:cs="Times New Roman" w:eastAsia="Times New Roman" w:hAnsi="Times New Roman"/>
          <w:sz w:val="18"/>
          <w:szCs w:val="18"/>
          <w:color w:val="auto"/>
        </w:rPr>
      </w:pPr>
    </w:p>
    <w:p>
      <w:pPr>
        <w:ind w:left="580" w:hanging="185"/>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Standing or limit orders, unless structured under a pre-approved Rule 10b5-1 trading plan.</w:t>
      </w:r>
    </w:p>
    <w:p>
      <w:pPr>
        <w:spacing w:after="0" w:line="212" w:lineRule="exact"/>
        <w:rPr>
          <w:sz w:val="20"/>
          <w:szCs w:val="20"/>
          <w:color w:val="auto"/>
        </w:rPr>
      </w:pPr>
    </w:p>
    <w:p>
      <w:pPr>
        <w:ind w:left="40" w:right="99" w:firstLine="259"/>
        <w:spacing w:after="0" w:line="236" w:lineRule="auto"/>
        <w:rPr>
          <w:sz w:val="20"/>
          <w:szCs w:val="20"/>
          <w:color w:val="auto"/>
        </w:rPr>
      </w:pPr>
      <w:r>
        <w:rPr>
          <w:rFonts w:ascii="Times New Roman" w:cs="Times New Roman" w:eastAsia="Times New Roman" w:hAnsi="Times New Roman"/>
          <w:sz w:val="18"/>
          <w:szCs w:val="18"/>
          <w:color w:val="auto"/>
        </w:rPr>
        <w:t>To help prevent inadvertent violations, executive officers, directors, and designated insiders must obtain pre-clearance from the Compliance Representative before executing transactions in Calavo securities. Additionally, directors and executive officers are subject to Blackout Periods and Window Period restrictions as outlined in our Insider Trading Policy. A copy of our Insider Trading Policy is filed as Exhibit 19.1 to this Amendment.</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16" w:lineRule="exact"/>
        <w:rPr>
          <w:sz w:val="20"/>
          <w:szCs w:val="20"/>
          <w:color w:val="auto"/>
        </w:rPr>
      </w:pPr>
    </w:p>
    <w:p>
      <w:pPr>
        <w:ind w:left="40" w:right="79"/>
        <w:spacing w:after="0"/>
        <w:rPr>
          <w:sz w:val="20"/>
          <w:szCs w:val="20"/>
          <w:color w:val="auto"/>
        </w:rPr>
      </w:pPr>
      <w:r>
        <w:rPr>
          <w:rFonts w:ascii="Times New Roman" w:cs="Times New Roman" w:eastAsia="Times New Roman" w:hAnsi="Times New Roman"/>
          <w:sz w:val="18"/>
          <w:szCs w:val="18"/>
          <w:color w:val="auto"/>
        </w:rPr>
        <w:t>The Board has four standing committees: (1) Executive, (2) Audit, (3) Nominating, Governance, and Sustainability, and (4) Compensation. The membership of each committee during the last fiscal year and through the date of this Amendment, along with their respective functions, are outlined below. The current Charter for each of the Board’s standing committees is available on the Company’s website at “Investors — Corporate Governance”.</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48" w:lineRule="exact"/>
        <w:rPr>
          <w:sz w:val="20"/>
          <w:szCs w:val="20"/>
          <w:color w:val="auto"/>
        </w:rPr>
      </w:pPr>
    </w:p>
    <w:p>
      <w:pPr>
        <w:ind w:left="40" w:right="319" w:firstLine="259"/>
        <w:spacing w:after="0" w:line="250" w:lineRule="auto"/>
        <w:rPr>
          <w:sz w:val="20"/>
          <w:szCs w:val="20"/>
          <w:color w:val="auto"/>
        </w:rPr>
      </w:pPr>
      <w:r>
        <w:rPr>
          <w:rFonts w:ascii="Times New Roman" w:cs="Times New Roman" w:eastAsia="Times New Roman" w:hAnsi="Times New Roman"/>
          <w:sz w:val="18"/>
          <w:szCs w:val="18"/>
          <w:color w:val="auto"/>
        </w:rPr>
        <w:t>The Audit Committee provides structured, systematic oversight of the Company’s governance, risk management and internal control practices. The Audit Committee is responsible for, among other things:</w:t>
      </w:r>
    </w:p>
    <w:p>
      <w:pPr>
        <w:spacing w:after="0" w:line="68" w:lineRule="exact"/>
        <w:rPr>
          <w:sz w:val="20"/>
          <w:szCs w:val="20"/>
          <w:color w:val="auto"/>
        </w:rPr>
      </w:pPr>
    </w:p>
    <w:p>
      <w:pPr>
        <w:ind w:left="1060" w:hanging="314"/>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for inclusion in the annual proxy statement.</w:t>
      </w:r>
    </w:p>
    <w:p>
      <w:pPr>
        <w:spacing w:after="0" w:line="103" w:lineRule="exact"/>
        <w:rPr>
          <w:rFonts w:ascii="Times New Roman" w:cs="Times New Roman" w:eastAsia="Times New Roman" w:hAnsi="Times New Roman"/>
          <w:sz w:val="18"/>
          <w:szCs w:val="18"/>
          <w:color w:val="auto"/>
        </w:rPr>
      </w:pPr>
    </w:p>
    <w:p>
      <w:pPr>
        <w:ind w:left="1060" w:right="259" w:hanging="314"/>
        <w:spacing w:after="0" w:line="266"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evaluating, and determining the compensation of the independent registered public accounting firm.</w:t>
      </w:r>
    </w:p>
    <w:p>
      <w:pPr>
        <w:spacing w:after="0" w:line="40" w:lineRule="exact"/>
        <w:rPr>
          <w:rFonts w:ascii="Times New Roman" w:cs="Times New Roman" w:eastAsia="Times New Roman" w:hAnsi="Times New Roman"/>
          <w:sz w:val="18"/>
          <w:szCs w:val="18"/>
          <w:color w:val="auto"/>
        </w:rPr>
      </w:pPr>
    </w:p>
    <w:p>
      <w:pPr>
        <w:ind w:left="1060" w:hanging="314"/>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qualifications and independence of the independent registered public accounting firm.</w:t>
      </w:r>
    </w:p>
    <w:p>
      <w:pPr>
        <w:spacing w:after="0" w:line="103" w:lineRule="exact"/>
        <w:rPr>
          <w:rFonts w:ascii="Times New Roman" w:cs="Times New Roman" w:eastAsia="Times New Roman" w:hAnsi="Times New Roman"/>
          <w:sz w:val="18"/>
          <w:szCs w:val="18"/>
          <w:color w:val="auto"/>
        </w:rPr>
      </w:pPr>
    </w:p>
    <w:p>
      <w:pPr>
        <w:ind w:left="1060" w:hanging="314"/>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scope of the annual audit, audit fees, and financial statements.</w:t>
      </w:r>
    </w:p>
    <w:p>
      <w:pPr>
        <w:spacing w:after="0" w:line="103" w:lineRule="exact"/>
        <w:rPr>
          <w:rFonts w:ascii="Times New Roman" w:cs="Times New Roman" w:eastAsia="Times New Roman" w:hAnsi="Times New Roman"/>
          <w:sz w:val="18"/>
          <w:szCs w:val="18"/>
          <w:color w:val="auto"/>
        </w:rPr>
      </w:pPr>
    </w:p>
    <w:p>
      <w:pPr>
        <w:ind w:left="1060" w:hanging="314"/>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performance of the independent registered public accounting firm and internal audit function.</w:t>
      </w:r>
    </w:p>
    <w:p>
      <w:pPr>
        <w:spacing w:after="0" w:line="103" w:lineRule="exact"/>
        <w:rPr>
          <w:rFonts w:ascii="Times New Roman" w:cs="Times New Roman" w:eastAsia="Times New Roman" w:hAnsi="Times New Roman"/>
          <w:sz w:val="18"/>
          <w:szCs w:val="18"/>
          <w:color w:val="auto"/>
        </w:rPr>
      </w:pPr>
    </w:p>
    <w:p>
      <w:pPr>
        <w:ind w:left="1060" w:right="579" w:hanging="314"/>
        <w:spacing w:after="0" w:line="266"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the financial statements and ensuring compliance with legal and regulatory requirements.</w:t>
      </w:r>
    </w:p>
    <w:p>
      <w:pPr>
        <w:spacing w:after="0" w:line="40" w:lineRule="exact"/>
        <w:rPr>
          <w:rFonts w:ascii="Times New Roman" w:cs="Times New Roman" w:eastAsia="Times New Roman" w:hAnsi="Times New Roman"/>
          <w:sz w:val="18"/>
          <w:szCs w:val="18"/>
          <w:color w:val="auto"/>
        </w:rPr>
      </w:pPr>
    </w:p>
    <w:p>
      <w:pPr>
        <w:ind w:left="1060" w:right="679" w:hanging="314"/>
        <w:spacing w:after="0" w:line="266"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adequacy and effectiveness of disclosure controls, internal controls, the internal audit function, and corporate policies related to financial reporting and earnings guidance.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60" w:hanging="314"/>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complaints concerning financial, accounting and auditing matters.</w:t>
      </w:r>
    </w:p>
    <w:p>
      <w:pPr>
        <w:spacing w:after="0" w:line="103" w:lineRule="exact"/>
        <w:rPr>
          <w:rFonts w:ascii="Times New Roman" w:cs="Times New Roman" w:eastAsia="Times New Roman" w:hAnsi="Times New Roman"/>
          <w:sz w:val="18"/>
          <w:szCs w:val="18"/>
          <w:color w:val="auto"/>
        </w:rPr>
      </w:pPr>
    </w:p>
    <w:p>
      <w:pPr>
        <w:ind w:left="1060" w:hanging="314"/>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risks that may significantly impact our financial statements.</w:t>
      </w:r>
    </w:p>
    <w:p>
      <w:pPr>
        <w:spacing w:after="0" w:line="103" w:lineRule="exact"/>
        <w:rPr>
          <w:rFonts w:ascii="Times New Roman" w:cs="Times New Roman" w:eastAsia="Times New Roman" w:hAnsi="Times New Roman"/>
          <w:sz w:val="18"/>
          <w:szCs w:val="18"/>
          <w:color w:val="auto"/>
        </w:rPr>
      </w:pPr>
    </w:p>
    <w:p>
      <w:pPr>
        <w:ind w:left="1060" w:hanging="314"/>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transactions with related persons.</w:t>
      </w:r>
    </w:p>
    <w:p>
      <w:pPr>
        <w:spacing w:after="0" w:line="103" w:lineRule="exact"/>
        <w:rPr>
          <w:rFonts w:ascii="Times New Roman" w:cs="Times New Roman" w:eastAsia="Times New Roman" w:hAnsi="Times New Roman"/>
          <w:sz w:val="18"/>
          <w:szCs w:val="18"/>
          <w:color w:val="auto"/>
        </w:rPr>
      </w:pPr>
    </w:p>
    <w:p>
      <w:pPr>
        <w:ind w:left="1060" w:hanging="314"/>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Fulfilling other responsibilities and duties set forth in the Audit Committee Charter.</w:t>
      </w:r>
    </w:p>
    <w:p>
      <w:pPr>
        <w:spacing w:after="0" w:line="225" w:lineRule="exact"/>
        <w:rPr>
          <w:sz w:val="20"/>
          <w:szCs w:val="20"/>
          <w:color w:val="auto"/>
        </w:rPr>
      </w:pPr>
    </w:p>
    <w:p>
      <w:pPr>
        <w:jc w:val="both"/>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The current members of the Audit Committee are Farha Aslam (Chair), Adriana Mendizabal, Marc L. Brown and Michael A. DiGregorio. Each current member of the Audit Committee is independent under SEC Rule 10A-3 and NASDAQ listing standards.</w:t>
      </w:r>
    </w:p>
    <w:p>
      <w:pPr>
        <w:spacing w:after="0" w:line="176" w:lineRule="exact"/>
        <w:rPr>
          <w:sz w:val="20"/>
          <w:szCs w:val="20"/>
          <w:color w:val="auto"/>
        </w:rPr>
      </w:pPr>
    </w:p>
    <w:p>
      <w:pPr>
        <w:ind w:left="40" w:right="279" w:firstLine="259"/>
        <w:spacing w:after="0" w:line="256" w:lineRule="auto"/>
        <w:rPr>
          <w:sz w:val="20"/>
          <w:szCs w:val="20"/>
          <w:color w:val="auto"/>
        </w:rPr>
      </w:pPr>
      <w:r>
        <w:rPr>
          <w:rFonts w:ascii="Times New Roman" w:cs="Times New Roman" w:eastAsia="Times New Roman" w:hAnsi="Times New Roman"/>
          <w:sz w:val="18"/>
          <w:szCs w:val="18"/>
          <w:color w:val="auto"/>
        </w:rPr>
        <w:t>Each member of the Audit Committee meets the financial literacy guidelines established by the Board in the Audit Committee Charter. The Board interprets “financially literacy” to mean the ability to read and understand audited and unaudited consolidated financial statements (including the related notes) and monthly operating statements of the sort released or prepared by the Company, as the case may be, in the normal course of its business. In addition, the Board has determined that Michael A. DiGregorio and Farha Aslam are each an “audit committee financial expert” as that term is defined in Item 407(d) of SEC Regulation S-K.</w:t>
      </w:r>
    </w:p>
    <w:p>
      <w:pPr>
        <w:spacing w:after="0" w:line="106" w:lineRule="exact"/>
        <w:rPr>
          <w:sz w:val="20"/>
          <w:szCs w:val="20"/>
          <w:color w:val="auto"/>
        </w:rPr>
      </w:pPr>
    </w:p>
    <w:p>
      <w:pPr>
        <w:ind w:left="40" w:right="959" w:firstLine="259"/>
        <w:spacing w:after="0" w:line="250" w:lineRule="auto"/>
        <w:rPr>
          <w:sz w:val="20"/>
          <w:szCs w:val="20"/>
          <w:color w:val="auto"/>
        </w:rPr>
      </w:pPr>
      <w:r>
        <w:rPr>
          <w:rFonts w:ascii="Times New Roman" w:cs="Times New Roman" w:eastAsia="Times New Roman" w:hAnsi="Times New Roman"/>
          <w:sz w:val="18"/>
          <w:szCs w:val="18"/>
          <w:color w:val="auto"/>
        </w:rPr>
        <w:t>The Audit Committee charter is available on our website at www.calavo.com under “Investors — Corporate Governance”.</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5" w:lineRule="exact"/>
        <w:rPr>
          <w:sz w:val="20"/>
          <w:szCs w:val="20"/>
          <w:color w:val="auto"/>
        </w:rPr>
      </w:pPr>
    </w:p>
    <w:p>
      <w:pPr>
        <w:ind w:left="40" w:right="239" w:firstLine="259"/>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explains the material elements of the compensation that was awarded to, earned by, or paid to each of our “named executive officers (NEOs),” who are the following individuals:</w:t>
      </w:r>
    </w:p>
    <w:p>
      <w:pPr>
        <w:spacing w:after="0" w:line="158" w:lineRule="exact"/>
        <w:rPr>
          <w:sz w:val="20"/>
          <w:szCs w:val="20"/>
          <w:color w:val="auto"/>
        </w:rPr>
      </w:pPr>
    </w:p>
    <w:p>
      <w:pPr>
        <w:ind w:left="980" w:hanging="329"/>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Lecil Cole</w:t>
      </w:r>
      <w:r>
        <w:rPr>
          <w:rFonts w:ascii="Times New Roman" w:cs="Times New Roman" w:eastAsia="Times New Roman" w:hAnsi="Times New Roman"/>
          <w:sz w:val="18"/>
          <w:szCs w:val="18"/>
          <w:color w:val="auto"/>
        </w:rPr>
        <w:t>: Former Chief Executive Officer, who retired from the Company effective December 8, 2025;</w:t>
      </w:r>
    </w:p>
    <w:p>
      <w:pPr>
        <w:spacing w:after="0" w:line="19" w:lineRule="exact"/>
        <w:rPr>
          <w:rFonts w:ascii="Times New Roman" w:cs="Times New Roman" w:eastAsia="Times New Roman" w:hAnsi="Times New Roman"/>
          <w:sz w:val="18"/>
          <w:szCs w:val="18"/>
          <w:color w:val="auto"/>
        </w:rPr>
      </w:pPr>
    </w:p>
    <w:p>
      <w:pPr>
        <w:ind w:left="980" w:right="419" w:hanging="329"/>
        <w:spacing w:after="0" w:line="22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Shawn Munsell</w:t>
      </w:r>
      <w:r>
        <w:rPr>
          <w:rFonts w:ascii="Times New Roman" w:cs="Times New Roman" w:eastAsia="Times New Roman" w:hAnsi="Times New Roman"/>
          <w:sz w:val="18"/>
          <w:szCs w:val="18"/>
          <w:color w:val="auto"/>
        </w:rPr>
        <w:t>: Former Chief Financial Officer, who resigned from the Company effective December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w:t>
      </w:r>
    </w:p>
    <w:p>
      <w:pPr>
        <w:spacing w:after="0" w:line="1" w:lineRule="exact"/>
        <w:rPr>
          <w:rFonts w:ascii="Times New Roman" w:cs="Times New Roman" w:eastAsia="Times New Roman" w:hAnsi="Times New Roman"/>
          <w:sz w:val="18"/>
          <w:szCs w:val="18"/>
          <w:color w:val="auto"/>
        </w:rPr>
      </w:pPr>
    </w:p>
    <w:p>
      <w:pPr>
        <w:ind w:left="980" w:right="419" w:hanging="329"/>
        <w:spacing w:after="0" w:line="22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Michael Browne</w:t>
      </w:r>
      <w:r>
        <w:rPr>
          <w:rFonts w:ascii="Times New Roman" w:cs="Times New Roman" w:eastAsia="Times New Roman" w:hAnsi="Times New Roman"/>
          <w:sz w:val="18"/>
          <w:szCs w:val="18"/>
          <w:color w:val="auto"/>
        </w:rPr>
        <w:t>: Former Executive Vice President Sales and Operations, who retired from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December 1, 2025;</w:t>
      </w:r>
    </w:p>
    <w:p>
      <w:pPr>
        <w:spacing w:after="0" w:line="1" w:lineRule="exact"/>
        <w:rPr>
          <w:rFonts w:ascii="Times New Roman" w:cs="Times New Roman" w:eastAsia="Times New Roman" w:hAnsi="Times New Roman"/>
          <w:sz w:val="18"/>
          <w:szCs w:val="18"/>
          <w:color w:val="auto"/>
        </w:rPr>
      </w:pPr>
    </w:p>
    <w:p>
      <w:pPr>
        <w:ind w:left="980" w:hanging="329"/>
        <w:spacing w:after="0" w:line="234"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Ronald Araiza</w:t>
      </w:r>
      <w:r>
        <w:rPr>
          <w:rFonts w:ascii="Times New Roman" w:cs="Times New Roman" w:eastAsia="Times New Roman" w:hAnsi="Times New Roman"/>
          <w:sz w:val="18"/>
          <w:szCs w:val="18"/>
          <w:color w:val="auto"/>
        </w:rPr>
        <w:t>: Executive Vice President, Fresh Foods</w:t>
      </w:r>
    </w:p>
    <w:p>
      <w:pPr>
        <w:ind w:left="980" w:hanging="329"/>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James Snyder</w:t>
      </w:r>
      <w:r>
        <w:rPr>
          <w:rFonts w:ascii="Times New Roman" w:cs="Times New Roman" w:eastAsia="Times New Roman" w:hAnsi="Times New Roman"/>
          <w:sz w:val="18"/>
          <w:szCs w:val="18"/>
          <w:color w:val="auto"/>
        </w:rPr>
        <w:t>: Chief Financial Officer</w:t>
      </w:r>
    </w:p>
    <w:p>
      <w:pPr>
        <w:spacing w:after="0" w:line="192" w:lineRule="exact"/>
        <w:rPr>
          <w:sz w:val="20"/>
          <w:szCs w:val="20"/>
          <w:color w:val="auto"/>
        </w:rPr>
      </w:pPr>
    </w:p>
    <w:p>
      <w:pPr>
        <w:ind w:left="40" w:right="179" w:firstLine="259"/>
        <w:spacing w:after="0" w:line="235" w:lineRule="auto"/>
        <w:rPr>
          <w:sz w:val="20"/>
          <w:szCs w:val="20"/>
          <w:color w:val="auto"/>
        </w:rPr>
      </w:pPr>
      <w:r>
        <w:rPr>
          <w:rFonts w:ascii="Times New Roman" w:cs="Times New Roman" w:eastAsia="Times New Roman" w:hAnsi="Times New Roman"/>
          <w:sz w:val="18"/>
          <w:szCs w:val="18"/>
          <w:color w:val="auto"/>
        </w:rPr>
        <w:t>At the 2025 Annual Meeting of the shareholders, shareholders approved by over 98% of the shares voting (excluding abstentions and broker non-votes) on an advisory basis the compensation of the named executive officers of Calavo as disclosed in Calavo’s 2025 proxy statement. The Compensation Committee considers the results of this annual “Say on Pay” shareholder vote, together with the other factors discussed in this CD&amp;A, as it considers appropriate when it reviews and approves our compensation program and compensation packages provided to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Governance Highlights</w:t>
      </w:r>
    </w:p>
    <w:p>
      <w:pPr>
        <w:spacing w:after="0" w:line="135" w:lineRule="exact"/>
        <w:rPr>
          <w:sz w:val="20"/>
          <w:szCs w:val="20"/>
          <w:color w:val="auto"/>
        </w:rPr>
      </w:pPr>
    </w:p>
    <w:p>
      <w:pPr>
        <w:ind w:left="40" w:right="219" w:firstLine="259"/>
        <w:spacing w:after="0" w:line="250" w:lineRule="auto"/>
        <w:rPr>
          <w:sz w:val="20"/>
          <w:szCs w:val="20"/>
          <w:color w:val="auto"/>
        </w:rPr>
      </w:pPr>
      <w:r>
        <w:rPr>
          <w:rFonts w:ascii="Times New Roman" w:cs="Times New Roman" w:eastAsia="Times New Roman" w:hAnsi="Times New Roman"/>
          <w:sz w:val="18"/>
          <w:szCs w:val="18"/>
          <w:color w:val="auto"/>
        </w:rPr>
        <w:t>We are committed to having strong governance practices with respect to our compensation programs, practices and procedures. We believe that these practices reinforce our emphasis on tying executive compensation to performance. The following chart highlights some of our governance practices with respect to executive compensation:</w:t>
      </w:r>
    </w:p>
    <w:p>
      <w:pPr>
        <w:spacing w:after="0" w:line="116"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4280" w:type="dxa"/>
            <w:vAlign w:val="bottom"/>
            <w:gridSpan w:val="2"/>
          </w:tcPr>
          <w:p>
            <w:pPr>
              <w:ind w:left="1640"/>
              <w:spacing w:after="0"/>
              <w:rPr>
                <w:sz w:val="20"/>
                <w:szCs w:val="20"/>
                <w:color w:val="auto"/>
              </w:rPr>
            </w:pPr>
            <w:r>
              <w:rPr>
                <w:rFonts w:ascii="Times New Roman" w:cs="Times New Roman" w:eastAsia="Times New Roman" w:hAnsi="Times New Roman"/>
                <w:sz w:val="14"/>
                <w:szCs w:val="14"/>
                <w:b w:val="1"/>
                <w:bCs w:val="1"/>
                <w:color w:val="auto"/>
              </w:rPr>
              <w:t>What We Do</w:t>
            </w:r>
          </w:p>
        </w:tc>
        <w:tc>
          <w:tcPr>
            <w:tcW w:w="406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rPr>
              <w:t>What We Do Not Do</w:t>
            </w:r>
          </w:p>
        </w:tc>
      </w:tr>
      <w:tr>
        <w:trPr>
          <w:trHeight w:val="191"/>
        </w:trPr>
        <w:tc>
          <w:tcPr>
            <w:tcW w:w="4100" w:type="dxa"/>
            <w:vAlign w:val="bottom"/>
            <w:tcBorders>
              <w:top w:val="single" w:sz="8" w:color="auto"/>
            </w:tcBorders>
          </w:tcPr>
          <w:p>
            <w:pPr>
              <w:ind w:left="320"/>
              <w:spacing w:after="0" w:line="191" w:lineRule="exact"/>
              <w:rPr>
                <w:sz w:val="20"/>
                <w:szCs w:val="20"/>
                <w:color w:val="auto"/>
              </w:rPr>
            </w:pPr>
            <w:r>
              <w:rPr>
                <w:rFonts w:ascii="Times New Roman" w:cs="Times New Roman" w:eastAsia="Times New Roman" w:hAnsi="Times New Roman"/>
                <w:sz w:val="18"/>
                <w:szCs w:val="18"/>
                <w:color w:val="auto"/>
              </w:rPr>
              <w:t>Place a heavy emphasis on variable “at-risk”</w:t>
            </w:r>
          </w:p>
        </w:tc>
        <w:tc>
          <w:tcPr>
            <w:tcW w:w="180" w:type="dxa"/>
            <w:vAlign w:val="bottom"/>
          </w:tcPr>
          <w:p>
            <w:pPr>
              <w:spacing w:after="0"/>
              <w:rPr>
                <w:sz w:val="16"/>
                <w:szCs w:val="16"/>
                <w:color w:val="auto"/>
              </w:rPr>
            </w:pPr>
          </w:p>
        </w:tc>
        <w:tc>
          <w:tcPr>
            <w:tcW w:w="4060" w:type="dxa"/>
            <w:vAlign w:val="bottom"/>
            <w:tcBorders>
              <w:top w:val="single" w:sz="8" w:color="auto"/>
            </w:tcBorders>
          </w:tcPr>
          <w:p>
            <w:pPr>
              <w:ind w:left="300"/>
              <w:spacing w:after="0" w:line="191" w:lineRule="exact"/>
              <w:rPr>
                <w:sz w:val="20"/>
                <w:szCs w:val="20"/>
                <w:color w:val="auto"/>
              </w:rPr>
            </w:pPr>
            <w:r>
              <w:rPr>
                <w:rFonts w:ascii="Times New Roman" w:cs="Times New Roman" w:eastAsia="Times New Roman" w:hAnsi="Times New Roman"/>
                <w:sz w:val="18"/>
                <w:szCs w:val="18"/>
                <w:color w:val="auto"/>
              </w:rPr>
              <w:t>No significant perquisites</w:t>
            </w:r>
          </w:p>
        </w:tc>
      </w:tr>
      <w:tr>
        <w:trPr>
          <w:trHeight w:val="216"/>
        </w:trPr>
        <w:tc>
          <w:tcPr>
            <w:tcW w:w="4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compensation</w:t>
            </w:r>
          </w:p>
        </w:tc>
        <w:tc>
          <w:tcPr>
            <w:tcW w:w="4060" w:type="dxa"/>
            <w:vAlign w:val="bottom"/>
          </w:tcPr>
          <w:p>
            <w:pPr>
              <w:spacing w:after="0"/>
              <w:rPr>
                <w:sz w:val="18"/>
                <w:szCs w:val="18"/>
                <w:color w:val="auto"/>
              </w:rPr>
            </w:pPr>
          </w:p>
        </w:tc>
      </w:tr>
      <w:tr>
        <w:trPr>
          <w:trHeight w:val="216"/>
        </w:trPr>
        <w:tc>
          <w:tcPr>
            <w:tcW w:w="4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Cap annual incentive award opportunities at 200%</w:t>
            </w: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excise tax gross ups upon a change in control</w:t>
            </w:r>
          </w:p>
        </w:tc>
      </w:tr>
      <w:tr>
        <w:trPr>
          <w:trHeight w:val="216"/>
        </w:trPr>
        <w:tc>
          <w:tcPr>
            <w:tcW w:w="4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of target levels</w:t>
            </w:r>
          </w:p>
        </w:tc>
        <w:tc>
          <w:tcPr>
            <w:tcW w:w="4060" w:type="dxa"/>
            <w:vAlign w:val="bottom"/>
          </w:tcPr>
          <w:p>
            <w:pPr>
              <w:spacing w:after="0"/>
              <w:rPr>
                <w:sz w:val="18"/>
                <w:szCs w:val="18"/>
                <w:color w:val="auto"/>
              </w:rPr>
            </w:pPr>
          </w:p>
        </w:tc>
      </w:tr>
      <w:tr>
        <w:trPr>
          <w:trHeight w:val="216"/>
        </w:trPr>
        <w:tc>
          <w:tcPr>
            <w:tcW w:w="4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Maintain share ownership and retention guidelines</w:t>
            </w: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stock option or stock appreciation rights</w:t>
            </w:r>
          </w:p>
        </w:tc>
      </w:tr>
      <w:tr>
        <w:trPr>
          <w:trHeight w:val="216"/>
        </w:trPr>
        <w:tc>
          <w:tcPr>
            <w:tcW w:w="4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 executives and directors</w:t>
            </w: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(“SAR”) repricing without shareholder approval</w:t>
            </w:r>
          </w:p>
        </w:tc>
      </w:tr>
      <w:tr>
        <w:trPr>
          <w:trHeight w:val="216"/>
        </w:trPr>
        <w:tc>
          <w:tcPr>
            <w:tcW w:w="4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Utilize an independent compensation consulting</w:t>
            </w:r>
          </w:p>
        </w:tc>
        <w:tc>
          <w:tcPr>
            <w:tcW w:w="4060" w:type="dxa"/>
            <w:vAlign w:val="bottom"/>
          </w:tcPr>
          <w:p>
            <w:pPr>
              <w:spacing w:after="0"/>
              <w:rPr>
                <w:sz w:val="18"/>
                <w:szCs w:val="18"/>
                <w:color w:val="auto"/>
              </w:rPr>
            </w:pPr>
          </w:p>
        </w:tc>
      </w:tr>
      <w:tr>
        <w:trPr>
          <w:trHeight w:val="234"/>
        </w:trPr>
        <w:tc>
          <w:tcPr>
            <w:tcW w:w="4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firm</w:t>
            </w:r>
          </w:p>
        </w:tc>
        <w:tc>
          <w:tcPr>
            <w:tcW w:w="4060" w:type="dxa"/>
            <w:vAlign w:val="bottom"/>
          </w:tcPr>
          <w:p>
            <w:pPr>
              <w:spacing w:after="0"/>
              <w:rPr>
                <w:sz w:val="20"/>
                <w:szCs w:val="20"/>
                <w:color w:val="auto"/>
              </w:rPr>
            </w:pPr>
          </w:p>
        </w:tc>
      </w:tr>
    </w:tbl>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Compensation Program Objectives and Philosophy</w:t>
      </w:r>
    </w:p>
    <w:p>
      <w:pPr>
        <w:spacing w:after="0" w:line="148" w:lineRule="exact"/>
        <w:rPr>
          <w:sz w:val="20"/>
          <w:szCs w:val="20"/>
          <w:color w:val="auto"/>
        </w:rPr>
      </w:pPr>
    </w:p>
    <w:p>
      <w:pPr>
        <w:ind w:left="40" w:right="459" w:firstLine="259"/>
        <w:spacing w:after="0" w:line="250" w:lineRule="auto"/>
        <w:rPr>
          <w:sz w:val="20"/>
          <w:szCs w:val="20"/>
          <w:color w:val="auto"/>
        </w:rPr>
      </w:pPr>
      <w:r>
        <w:rPr>
          <w:rFonts w:ascii="Times New Roman" w:cs="Times New Roman" w:eastAsia="Times New Roman" w:hAnsi="Times New Roman"/>
          <w:sz w:val="18"/>
          <w:szCs w:val="18"/>
          <w:color w:val="auto"/>
        </w:rPr>
        <w:t>The Compensation Committee of our Board oversees the design and administration of our executive compensation program. Its primary objectives are to:</w:t>
      </w:r>
    </w:p>
    <w:p>
      <w:pPr>
        <w:spacing w:after="0" w:line="68" w:lineRule="exact"/>
        <w:rPr>
          <w:sz w:val="20"/>
          <w:szCs w:val="20"/>
          <w:color w:val="auto"/>
        </w:rPr>
      </w:pPr>
    </w:p>
    <w:p>
      <w:pPr>
        <w:ind w:left="660" w:hanging="265"/>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motivate, and retain talented and dedicated executive officers.</w:t>
      </w:r>
    </w:p>
    <w:p>
      <w:pPr>
        <w:spacing w:after="0" w:line="103" w:lineRule="exact"/>
        <w:rPr>
          <w:rFonts w:ascii="Times New Roman" w:cs="Times New Roman" w:eastAsia="Times New Roman" w:hAnsi="Times New Roman"/>
          <w:sz w:val="18"/>
          <w:szCs w:val="18"/>
          <w:color w:val="auto"/>
        </w:rPr>
      </w:pPr>
    </w:p>
    <w:p>
      <w:pPr>
        <w:ind w:left="660" w:hanging="265"/>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compensation with performance by tying cash incentives to measurable corporate and individual objectives.</w:t>
      </w:r>
    </w:p>
    <w:p>
      <w:pPr>
        <w:spacing w:after="0" w:line="103" w:lineRule="exact"/>
        <w:rPr>
          <w:rFonts w:ascii="Times New Roman" w:cs="Times New Roman" w:eastAsia="Times New Roman" w:hAnsi="Times New Roman"/>
          <w:sz w:val="18"/>
          <w:szCs w:val="18"/>
          <w:color w:val="auto"/>
        </w:rPr>
      </w:pPr>
    </w:p>
    <w:p>
      <w:pPr>
        <w:ind w:left="660" w:hanging="265"/>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business strategies that enhance long-term shareholder value.</w:t>
      </w:r>
    </w:p>
    <w:p>
      <w:pPr>
        <w:spacing w:after="0" w:line="144" w:lineRule="exact"/>
        <w:rPr>
          <w:sz w:val="20"/>
          <w:szCs w:val="20"/>
          <w:color w:val="auto"/>
        </w:rPr>
      </w:pPr>
    </w:p>
    <w:p>
      <w:pPr>
        <w:ind w:left="40" w:right="99" w:firstLine="259"/>
        <w:spacing w:after="0"/>
        <w:rPr>
          <w:sz w:val="20"/>
          <w:szCs w:val="20"/>
          <w:color w:val="auto"/>
        </w:rPr>
      </w:pPr>
      <w:r>
        <w:rPr>
          <w:rFonts w:ascii="Times New Roman" w:cs="Times New Roman" w:eastAsia="Times New Roman" w:hAnsi="Times New Roman"/>
          <w:sz w:val="18"/>
          <w:szCs w:val="18"/>
          <w:color w:val="auto"/>
        </w:rPr>
        <w:t>To achieve these goals, the Compensation Committee maintains compensation plans that tie a portion of executive officers’ pay to company performance. It evaluates individual executive performance with the aim of setting compensation at levels comparable to those of executives at similarly sized public companies in comparable industries, while also considering our relative performance and strategic goals.</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key elements of our executive compensation program include:</w:t>
      </w:r>
    </w:p>
    <w:p>
      <w:pPr>
        <w:spacing w:after="0" w:line="90" w:lineRule="exact"/>
        <w:rPr>
          <w:sz w:val="20"/>
          <w:szCs w:val="20"/>
          <w:color w:val="auto"/>
        </w:rPr>
      </w:pPr>
    </w:p>
    <w:p>
      <w:pPr>
        <w:ind w:left="580" w:hanging="185"/>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w:t>
      </w:r>
    </w:p>
    <w:p>
      <w:pPr>
        <w:spacing w:after="0" w:line="103" w:lineRule="exact"/>
        <w:rPr>
          <w:rFonts w:ascii="Times New Roman" w:cs="Times New Roman" w:eastAsia="Times New Roman" w:hAnsi="Times New Roman"/>
          <w:sz w:val="18"/>
          <w:szCs w:val="18"/>
          <w:color w:val="auto"/>
        </w:rPr>
      </w:pPr>
    </w:p>
    <w:p>
      <w:pPr>
        <w:ind w:left="580" w:hanging="185"/>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bonus awards based on financial performance measures</w:t>
      </w:r>
    </w:p>
    <w:p>
      <w:pPr>
        <w:spacing w:after="0" w:line="90" w:lineRule="exact"/>
        <w:rPr>
          <w:rFonts w:ascii="Times New Roman" w:cs="Times New Roman" w:eastAsia="Times New Roman" w:hAnsi="Times New Roman"/>
          <w:sz w:val="18"/>
          <w:szCs w:val="18"/>
          <w:color w:val="auto"/>
        </w:rPr>
      </w:pPr>
    </w:p>
    <w:p>
      <w:pPr>
        <w:ind w:left="580" w:right="79" w:hanging="185"/>
        <w:spacing w:after="0" w:line="266" w:lineRule="auto"/>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benefits and perquisites, including life, disability, and health insurance, a 401(k) savings plan, and automobile allowances</w:t>
      </w:r>
    </w:p>
    <w:p>
      <w:pPr>
        <w:spacing w:after="0" w:line="68" w:lineRule="exact"/>
        <w:rPr>
          <w:sz w:val="20"/>
          <w:szCs w:val="20"/>
          <w:color w:val="auto"/>
        </w:rPr>
      </w:pPr>
    </w:p>
    <w:p>
      <w:pPr>
        <w:ind w:left="40" w:right="159" w:firstLine="259"/>
        <w:spacing w:after="0" w:line="250" w:lineRule="auto"/>
        <w:rPr>
          <w:sz w:val="20"/>
          <w:szCs w:val="20"/>
          <w:color w:val="auto"/>
        </w:rPr>
      </w:pPr>
      <w:r>
        <w:rPr>
          <w:rFonts w:ascii="Times New Roman" w:cs="Times New Roman" w:eastAsia="Times New Roman" w:hAnsi="Times New Roman"/>
          <w:sz w:val="18"/>
          <w:szCs w:val="18"/>
          <w:color w:val="auto"/>
        </w:rPr>
        <w:t>The Compensation Committee may also award discretionary cash or stock-based bonuses in appropriate circumstances to retain key executive officers.</w:t>
      </w:r>
    </w:p>
    <w:p>
      <w:pPr>
        <w:spacing w:after="0" w:line="82" w:lineRule="exact"/>
        <w:rPr>
          <w:sz w:val="20"/>
          <w:szCs w:val="20"/>
          <w:color w:val="auto"/>
        </w:rPr>
      </w:pPr>
    </w:p>
    <w:p>
      <w:pPr>
        <w:ind w:left="40" w:right="79" w:firstLine="259"/>
        <w:spacing w:after="0"/>
        <w:rPr>
          <w:sz w:val="20"/>
          <w:szCs w:val="20"/>
          <w:color w:val="auto"/>
        </w:rPr>
      </w:pPr>
      <w:r>
        <w:rPr>
          <w:rFonts w:ascii="Times New Roman" w:cs="Times New Roman" w:eastAsia="Times New Roman" w:hAnsi="Times New Roman"/>
          <w:sz w:val="18"/>
          <w:szCs w:val="18"/>
          <w:color w:val="auto"/>
        </w:rPr>
        <w:t>We view the elements of our compensation program as interrelated yet distinct. While we assess total compensation, we do not believe that significant compensation from one component should automatically offset another. Instead, our goal is to design a motivational and balanced program that rewards performance and supports both financial and non-financial objectives.</w:t>
      </w:r>
    </w:p>
    <w:p>
      <w:pPr>
        <w:spacing w:after="0" w:line="90" w:lineRule="exact"/>
        <w:rPr>
          <w:sz w:val="20"/>
          <w:szCs w:val="20"/>
          <w:color w:val="auto"/>
        </w:rPr>
      </w:pPr>
    </w:p>
    <w:p>
      <w:pPr>
        <w:ind w:left="40" w:right="439" w:firstLine="259"/>
        <w:spacing w:after="0" w:line="296" w:lineRule="auto"/>
        <w:rPr>
          <w:sz w:val="20"/>
          <w:szCs w:val="20"/>
          <w:color w:val="auto"/>
        </w:rPr>
      </w:pPr>
      <w:r>
        <w:rPr>
          <w:rFonts w:ascii="Times New Roman" w:cs="Times New Roman" w:eastAsia="Times New Roman" w:hAnsi="Times New Roman"/>
          <w:sz w:val="17"/>
          <w:szCs w:val="17"/>
          <w:color w:val="auto"/>
        </w:rPr>
        <w:t>Compensation levels are determined through competitive benchmarking aligned with our recruitment and retention goals, internal equity considerations, and other relevant factors, including recognition of extraordinary performance.</w:t>
      </w:r>
    </w:p>
    <w:p>
      <w:pPr>
        <w:spacing w:after="0" w:line="1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Determination of Compensation Awards</w:t>
      </w:r>
    </w:p>
    <w:p>
      <w:pPr>
        <w:spacing w:after="0" w:line="148" w:lineRule="exact"/>
        <w:rPr>
          <w:sz w:val="20"/>
          <w:szCs w:val="20"/>
          <w:color w:val="auto"/>
        </w:rPr>
      </w:pPr>
    </w:p>
    <w:p>
      <w:pPr>
        <w:ind w:left="40" w:right="259" w:firstLine="259"/>
        <w:spacing w:after="0" w:line="242" w:lineRule="auto"/>
        <w:rPr>
          <w:sz w:val="20"/>
          <w:szCs w:val="20"/>
          <w:color w:val="auto"/>
        </w:rPr>
      </w:pPr>
      <w:r>
        <w:rPr>
          <w:rFonts w:ascii="Times New Roman" w:cs="Times New Roman" w:eastAsia="Times New Roman" w:hAnsi="Times New Roman"/>
          <w:sz w:val="18"/>
          <w:szCs w:val="18"/>
          <w:color w:val="auto"/>
        </w:rPr>
        <w:t>The Compensation Committee conducts periodic strategic reviews of executive compensation to ensure it provides appropriate incentives, motivation, and competitiveness relative to similarly situated companies. The most recent review was conducted in fiscal year 2024. The Committee did not conduct a review in fiscal year 2025.</w:t>
      </w:r>
    </w:p>
    <w:p>
      <w:pPr>
        <w:spacing w:after="0" w:line="89"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Compensation Committee meetings may include, for all or part of the meeting, Compensation Committee members, the Chief Executive Officer, the Chief Financial Officer, the VP of Human Resources, a recording secretary, and/or other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right="419"/>
        <w:spacing w:after="0" w:line="266" w:lineRule="auto"/>
        <w:rPr>
          <w:sz w:val="20"/>
          <w:szCs w:val="20"/>
          <w:color w:val="auto"/>
        </w:rPr>
      </w:pPr>
      <w:r>
        <w:rPr>
          <w:rFonts w:ascii="Times New Roman" w:cs="Times New Roman" w:eastAsia="Times New Roman" w:hAnsi="Times New Roman"/>
          <w:sz w:val="18"/>
          <w:szCs w:val="18"/>
          <w:color w:val="auto"/>
        </w:rPr>
        <w:t>Board members. For compensation decisions concerning executive officers other than the Chief Executive Officer, the Compensation Committee considers recommendations from the Chief Executive Officer.</w:t>
      </w:r>
    </w:p>
    <w:p>
      <w:pPr>
        <w:spacing w:after="0" w:line="68" w:lineRule="exact"/>
        <w:rPr>
          <w:sz w:val="20"/>
          <w:szCs w:val="20"/>
          <w:color w:val="auto"/>
        </w:rPr>
      </w:pPr>
    </w:p>
    <w:p>
      <w:pPr>
        <w:ind w:left="40" w:right="199" w:firstLine="259"/>
        <w:spacing w:after="0" w:line="242" w:lineRule="auto"/>
        <w:rPr>
          <w:sz w:val="20"/>
          <w:szCs w:val="20"/>
          <w:color w:val="auto"/>
        </w:rPr>
      </w:pPr>
      <w:r>
        <w:rPr>
          <w:rFonts w:ascii="Times New Roman" w:cs="Times New Roman" w:eastAsia="Times New Roman" w:hAnsi="Times New Roman"/>
          <w:sz w:val="18"/>
          <w:szCs w:val="18"/>
          <w:color w:val="auto"/>
        </w:rPr>
        <w:t>When determining compensation for the Chief Executive Officer, the Compensation Committee evaluates competitive industry salaries, the CEO’s contributions during the preceding year, and his industry expertise. The Chief Executive Officer does not attend the portion of the meeting where his compensation is discussed.</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Review of Compensation Surveys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Compensation Committee believes that understanding current compensation practices among similarly situated</w:t>
      </w:r>
    </w:p>
    <w:p>
      <w:pPr>
        <w:spacing w:after="0" w:line="2" w:lineRule="exact"/>
        <w:rPr>
          <w:sz w:val="20"/>
          <w:szCs w:val="20"/>
          <w:color w:val="auto"/>
        </w:rPr>
      </w:pPr>
    </w:p>
    <w:p>
      <w:pPr>
        <w:ind w:left="40" w:right="99"/>
        <w:spacing w:after="0" w:line="234" w:lineRule="auto"/>
        <w:rPr>
          <w:sz w:val="20"/>
          <w:szCs w:val="20"/>
          <w:color w:val="auto"/>
        </w:rPr>
      </w:pPr>
      <w:r>
        <w:rPr>
          <w:rFonts w:ascii="Times New Roman" w:cs="Times New Roman" w:eastAsia="Times New Roman" w:hAnsi="Times New Roman"/>
          <w:sz w:val="18"/>
          <w:szCs w:val="18"/>
          <w:color w:val="auto"/>
        </w:rPr>
        <w:t>companies is essential to making informed decisions. Accordingly, it periodically reviews third-party surveys and publicly available data regarding executive compensation at comparably sized companies. The Compensation Committee considers this information when determining base salaries, performance-based compensation, equity awards, and other benefits for our named executive officers.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Independent Compensation Consultant</w:t>
      </w:r>
    </w:p>
    <w:p>
      <w:pPr>
        <w:spacing w:after="0" w:line="185" w:lineRule="exact"/>
        <w:rPr>
          <w:sz w:val="20"/>
          <w:szCs w:val="20"/>
          <w:color w:val="auto"/>
        </w:rPr>
      </w:pPr>
    </w:p>
    <w:p>
      <w:pPr>
        <w:ind w:left="40" w:right="79" w:firstLine="259"/>
        <w:spacing w:after="0"/>
        <w:rPr>
          <w:sz w:val="20"/>
          <w:szCs w:val="20"/>
          <w:color w:val="auto"/>
        </w:rPr>
      </w:pPr>
      <w:r>
        <w:rPr>
          <w:rFonts w:ascii="Times New Roman" w:cs="Times New Roman" w:eastAsia="Times New Roman" w:hAnsi="Times New Roman"/>
          <w:sz w:val="18"/>
          <w:szCs w:val="18"/>
          <w:color w:val="auto"/>
        </w:rPr>
        <w:t>The Compensation Committee did not engage an independent compensation consultant during fiscal 2025. The most recent engagement occurred in fiscal 2024, when the Compensation Committee retained Pay Governance LLC to conduct a comprehensive study and develop a peer group of publicly traded companies to serve as a benchmark for competitive market information.</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Peer Group Development and Approval</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0" w:right="579" w:firstLine="259"/>
        <w:spacing w:after="0" w:line="250" w:lineRule="auto"/>
        <w:rPr>
          <w:sz w:val="20"/>
          <w:szCs w:val="20"/>
          <w:color w:val="auto"/>
        </w:rPr>
      </w:pPr>
      <w:r>
        <w:rPr>
          <w:rFonts w:ascii="Times New Roman" w:cs="Times New Roman" w:eastAsia="Times New Roman" w:hAnsi="Times New Roman"/>
          <w:sz w:val="18"/>
          <w:szCs w:val="18"/>
          <w:color w:val="auto"/>
        </w:rPr>
        <w:t>The peer group was developed to identify companies broadly representative of (i) the Company’s industry type, business model, and size, and (ii) the labor market in which the Company competes for executive and non-employee director talent.</w:t>
      </w:r>
    </w:p>
    <w:p>
      <w:pPr>
        <w:spacing w:after="0" w:line="82" w:lineRule="exact"/>
        <w:rPr>
          <w:sz w:val="20"/>
          <w:szCs w:val="20"/>
          <w:color w:val="auto"/>
        </w:rPr>
      </w:pPr>
    </w:p>
    <w:p>
      <w:pPr>
        <w:ind w:left="40" w:right="79" w:firstLine="259"/>
        <w:spacing w:after="0" w:line="250" w:lineRule="auto"/>
        <w:rPr>
          <w:sz w:val="20"/>
          <w:szCs w:val="20"/>
          <w:color w:val="auto"/>
        </w:rPr>
      </w:pPr>
      <w:r>
        <w:rPr>
          <w:rFonts w:ascii="Times New Roman" w:cs="Times New Roman" w:eastAsia="Times New Roman" w:hAnsi="Times New Roman"/>
          <w:sz w:val="18"/>
          <w:szCs w:val="18"/>
          <w:color w:val="auto"/>
        </w:rPr>
        <w:t>The proposed peer group was reviewed and approved by the Compensation Committee in May 2024, following detailed discussions and analysis of Pay Governance’s findings.</w:t>
      </w:r>
    </w:p>
    <w:p>
      <w:pPr>
        <w:spacing w:after="0" w:line="82" w:lineRule="exact"/>
        <w:rPr>
          <w:sz w:val="20"/>
          <w:szCs w:val="20"/>
          <w:color w:val="auto"/>
        </w:rPr>
      </w:pPr>
    </w:p>
    <w:p>
      <w:pPr>
        <w:ind w:left="40" w:right="79" w:firstLine="259"/>
        <w:spacing w:after="0" w:line="250" w:lineRule="auto"/>
        <w:rPr>
          <w:sz w:val="20"/>
          <w:szCs w:val="20"/>
          <w:color w:val="auto"/>
        </w:rPr>
      </w:pPr>
      <w:r>
        <w:rPr>
          <w:rFonts w:ascii="Times New Roman" w:cs="Times New Roman" w:eastAsia="Times New Roman" w:hAnsi="Times New Roman"/>
          <w:sz w:val="18"/>
          <w:szCs w:val="18"/>
          <w:color w:val="auto"/>
        </w:rPr>
        <w:t>This peer group serves as the basis for (i) compensation benchmarking and pay practices analysis, (ii) establishing competitive target compensation levels, and (iii) ensuring alignment of executive pay with the Company’s performance and shareholder value creation.</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Peer Group Selection Criteria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ensure an accurate and relevant comparison, Pay Governance applied the following selection criteria:</w:t>
      </w:r>
    </w:p>
    <w:p>
      <w:pPr>
        <w:spacing w:after="0" w:line="104"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3"/>
              </w:rPr>
              <w:t>1.</w:t>
            </w: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Industry:   Companies within the packaged foods and meats, agricultural products and services, food distributors,</w:t>
            </w:r>
          </w:p>
        </w:tc>
      </w:tr>
      <w:tr>
        <w:trPr>
          <w:trHeight w:val="20"/>
        </w:trPr>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28"/>
        </w:trPr>
        <w:tc>
          <w:tcPr>
            <w:tcW w:w="260" w:type="dxa"/>
            <w:vAlign w:val="bottom"/>
          </w:tcPr>
          <w:p>
            <w:pPr>
              <w:spacing w:after="0"/>
              <w:rPr>
                <w:sz w:val="19"/>
                <w:szCs w:val="19"/>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broader consumer staples sectors.</w:t>
            </w:r>
          </w:p>
        </w:tc>
      </w:tr>
      <w:tr>
        <w:trPr>
          <w:trHeight w:val="279"/>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3"/>
              </w:rPr>
              <w:t>2.</w:t>
            </w: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Company Type and Geography:   Publicly traded companies based in the U.S. to ensure public disclosure of pay</w:t>
            </w:r>
          </w:p>
        </w:tc>
      </w:tr>
      <w:tr>
        <w:trPr>
          <w:trHeight w:val="228"/>
        </w:trPr>
        <w:tc>
          <w:tcPr>
            <w:tcW w:w="260" w:type="dxa"/>
            <w:vAlign w:val="bottom"/>
          </w:tcPr>
          <w:p>
            <w:pPr>
              <w:spacing w:after="0"/>
              <w:rPr>
                <w:sz w:val="19"/>
                <w:szCs w:val="19"/>
                <w:color w:val="auto"/>
              </w:rPr>
            </w:pPr>
          </w:p>
        </w:tc>
        <w:tc>
          <w:tcPr>
            <w:tcW w:w="2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levels and national competition</w:t>
            </w:r>
          </w:p>
        </w:tc>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executive talent.</w:t>
            </w:r>
          </w:p>
        </w:tc>
      </w:tr>
    </w:tbl>
    <w:p>
      <w:pPr>
        <w:spacing w:after="0" w:line="85" w:lineRule="exact"/>
        <w:rPr>
          <w:sz w:val="20"/>
          <w:szCs w:val="20"/>
          <w:color w:val="auto"/>
        </w:rPr>
      </w:pPr>
    </w:p>
    <w:p>
      <w:pPr>
        <w:ind w:left="660" w:hanging="265"/>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Core Financial Metrics</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1020" w:hanging="261"/>
        <w:spacing w:after="0"/>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 Range</w:t>
      </w:r>
      <w:r>
        <w:rPr>
          <w:rFonts w:ascii="Times New Roman" w:cs="Times New Roman" w:eastAsia="Times New Roman" w:hAnsi="Times New Roman"/>
          <w:sz w:val="18"/>
          <w:szCs w:val="18"/>
          <w:color w:val="auto"/>
        </w:rPr>
        <w:t>:   Approximately one-third to three times the Company’s projected annual revenue of</w:t>
      </w:r>
    </w:p>
    <w:p>
      <w:pPr>
        <w:spacing w:after="0" w:line="4" w:lineRule="exact"/>
        <w:rPr>
          <w:rFonts w:ascii="Times New Roman" w:cs="Times New Roman" w:eastAsia="Times New Roman" w:hAnsi="Times New Roman"/>
          <w:sz w:val="18"/>
          <w:szCs w:val="18"/>
          <w:color w:val="auto"/>
        </w:rPr>
      </w:pPr>
    </w:p>
    <w:p>
      <w:pPr>
        <w:ind w:left="1020" w:right="159"/>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 million, following the sale of the “Fresh Cut” business. This results in a target range of $200 million to $1.5 billion.</w:t>
      </w:r>
    </w:p>
    <w:p>
      <w:pPr>
        <w:spacing w:after="0" w:line="85" w:lineRule="exact"/>
        <w:rPr>
          <w:rFonts w:ascii="Times New Roman" w:cs="Times New Roman" w:eastAsia="Times New Roman" w:hAnsi="Times New Roman"/>
          <w:sz w:val="18"/>
          <w:szCs w:val="18"/>
          <w:color w:val="auto"/>
        </w:rPr>
      </w:pPr>
    </w:p>
    <w:p>
      <w:pPr>
        <w:ind w:left="1020" w:right="959" w:hanging="261"/>
        <w:spacing w:after="0" w:line="253"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Capitalization</w:t>
      </w:r>
      <w:r>
        <w:rPr>
          <w:rFonts w:ascii="Times New Roman" w:cs="Times New Roman" w:eastAsia="Times New Roman" w:hAnsi="Times New Roman"/>
          <w:sz w:val="18"/>
          <w:szCs w:val="18"/>
          <w:color w:val="auto"/>
        </w:rPr>
        <w:t>:  Approximately one-third to three times that of the Company, equating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$150 million to $1.5 billion.</w:t>
      </w:r>
    </w:p>
    <w:p>
      <w:pPr>
        <w:spacing w:after="0" w:line="92" w:lineRule="exact"/>
        <w:rPr>
          <w:sz w:val="20"/>
          <w:szCs w:val="20"/>
          <w:color w:val="auto"/>
        </w:rPr>
      </w:pPr>
    </w:p>
    <w:p>
      <w:pPr>
        <w:ind w:left="660" w:right="179" w:hanging="259"/>
        <w:spacing w:after="0" w:line="242" w:lineRule="auto"/>
        <w:tabs>
          <w:tab w:leader="none" w:pos="64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u w:val="single" w:color="auto"/>
          <w:color w:val="auto"/>
        </w:rPr>
        <w:t>Secondary Screens and Qualitative Factors</w:t>
      </w:r>
      <w:r>
        <w:rPr>
          <w:rFonts w:ascii="Times New Roman" w:cs="Times New Roman" w:eastAsia="Times New Roman" w:hAnsi="Times New Roman"/>
          <w:sz w:val="18"/>
          <w:szCs w:val="18"/>
          <w:color w:val="auto"/>
        </w:rPr>
        <w:t>:  Consideration was given to those potential peer companies with Adjusted EBITDA between $10 million to $100 million, companies with similar business models, and companies identified by Calavo as competitors for business or talent.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Approved Peer Group</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00" w:right="359"/>
        <w:spacing w:after="0" w:line="266" w:lineRule="auto"/>
        <w:rPr>
          <w:sz w:val="20"/>
          <w:szCs w:val="20"/>
          <w:color w:val="auto"/>
        </w:rPr>
      </w:pPr>
      <w:r>
        <w:rPr>
          <w:rFonts w:ascii="Times New Roman" w:cs="Times New Roman" w:eastAsia="Times New Roman" w:hAnsi="Times New Roman"/>
          <w:sz w:val="18"/>
          <w:szCs w:val="18"/>
          <w:color w:val="auto"/>
        </w:rPr>
        <w:t>The following companies were selected and approved in fiscal 2024 and continued to serve as the Company’s peer group for fiscal year 2025:</w:t>
      </w:r>
    </w:p>
    <w:p>
      <w:pPr>
        <w:spacing w:after="0" w:line="68" w:lineRule="exact"/>
        <w:rPr>
          <w:sz w:val="20"/>
          <w:szCs w:val="20"/>
          <w:color w:val="auto"/>
        </w:rPr>
      </w:pPr>
    </w:p>
    <w:p>
      <w:pPr>
        <w:ind w:left="1060" w:hanging="314"/>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BRC Inc. (Packaged Foods and Meats)</w:t>
      </w:r>
    </w:p>
    <w:p>
      <w:pPr>
        <w:spacing w:after="0" w:line="117" w:lineRule="exact"/>
        <w:rPr>
          <w:rFonts w:ascii="Times New Roman" w:cs="Times New Roman" w:eastAsia="Times New Roman" w:hAnsi="Times New Roman"/>
          <w:sz w:val="18"/>
          <w:szCs w:val="18"/>
          <w:color w:val="auto"/>
        </w:rPr>
      </w:pPr>
    </w:p>
    <w:p>
      <w:pPr>
        <w:ind w:left="1060" w:hanging="314"/>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Bridgford Foods Corporation (Packaged Foods and Meats)</w:t>
      </w:r>
    </w:p>
    <w:p>
      <w:pPr>
        <w:spacing w:after="0" w:line="130" w:lineRule="exact"/>
        <w:rPr>
          <w:rFonts w:ascii="Times New Roman" w:cs="Times New Roman" w:eastAsia="Times New Roman" w:hAnsi="Times New Roman"/>
          <w:sz w:val="18"/>
          <w:szCs w:val="18"/>
          <w:color w:val="auto"/>
        </w:rPr>
      </w:pPr>
    </w:p>
    <w:p>
      <w:pPr>
        <w:ind w:left="1060" w:hanging="314"/>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B. Sanfilippo &amp; Son, Inc. (Packaged Foods and Meats)</w:t>
      </w:r>
    </w:p>
    <w:p>
      <w:pPr>
        <w:spacing w:after="0" w:line="117" w:lineRule="exact"/>
        <w:rPr>
          <w:rFonts w:ascii="Times New Roman" w:cs="Times New Roman" w:eastAsia="Times New Roman" w:hAnsi="Times New Roman"/>
          <w:sz w:val="18"/>
          <w:szCs w:val="18"/>
          <w:color w:val="auto"/>
        </w:rPr>
      </w:pPr>
    </w:p>
    <w:p>
      <w:pPr>
        <w:ind w:left="1060" w:hanging="314"/>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Limoneira Company (Agricultural Products and Services)</w:t>
      </w:r>
    </w:p>
    <w:p>
      <w:pPr>
        <w:spacing w:after="0" w:line="117" w:lineRule="exact"/>
        <w:rPr>
          <w:rFonts w:ascii="Times New Roman" w:cs="Times New Roman" w:eastAsia="Times New Roman" w:hAnsi="Times New Roman"/>
          <w:sz w:val="18"/>
          <w:szCs w:val="18"/>
          <w:color w:val="auto"/>
        </w:rPr>
      </w:pPr>
    </w:p>
    <w:p>
      <w:pPr>
        <w:ind w:left="1060" w:hanging="314"/>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MGP Ingredients, Inc. (Distillers and Vintners)</w:t>
      </w:r>
    </w:p>
    <w:p>
      <w:pPr>
        <w:spacing w:after="0" w:line="130" w:lineRule="exact"/>
        <w:rPr>
          <w:rFonts w:ascii="Times New Roman" w:cs="Times New Roman" w:eastAsia="Times New Roman" w:hAnsi="Times New Roman"/>
          <w:sz w:val="18"/>
          <w:szCs w:val="18"/>
          <w:color w:val="auto"/>
        </w:rPr>
      </w:pPr>
    </w:p>
    <w:p>
      <w:pPr>
        <w:ind w:left="1060" w:hanging="314"/>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Mission Produce, Inc. (Packaged Foods and Meats)</w:t>
      </w:r>
    </w:p>
    <w:p>
      <w:pPr>
        <w:spacing w:after="0" w:line="117" w:lineRule="exact"/>
        <w:rPr>
          <w:rFonts w:ascii="Times New Roman" w:cs="Times New Roman" w:eastAsia="Times New Roman" w:hAnsi="Times New Roman"/>
          <w:sz w:val="18"/>
          <w:szCs w:val="18"/>
          <w:color w:val="auto"/>
        </w:rPr>
      </w:pPr>
    </w:p>
    <w:p>
      <w:pPr>
        <w:ind w:left="1060" w:hanging="314"/>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SunOpta Inc. (Packaged Foods and Meats)</w:t>
      </w:r>
    </w:p>
    <w:p>
      <w:pPr>
        <w:spacing w:after="0" w:line="117" w:lineRule="exact"/>
        <w:rPr>
          <w:rFonts w:ascii="Times New Roman" w:cs="Times New Roman" w:eastAsia="Times New Roman" w:hAnsi="Times New Roman"/>
          <w:sz w:val="18"/>
          <w:szCs w:val="18"/>
          <w:color w:val="auto"/>
        </w:rPr>
      </w:pPr>
    </w:p>
    <w:p>
      <w:pPr>
        <w:ind w:left="1060" w:hanging="314"/>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Duckhorn Portfolio, Inc. (Distillers and Vintners)</w:t>
      </w:r>
    </w:p>
    <w:p>
      <w:pPr>
        <w:spacing w:after="0" w:line="130" w:lineRule="exact"/>
        <w:rPr>
          <w:rFonts w:ascii="Times New Roman" w:cs="Times New Roman" w:eastAsia="Times New Roman" w:hAnsi="Times New Roman"/>
          <w:sz w:val="18"/>
          <w:szCs w:val="18"/>
          <w:color w:val="auto"/>
        </w:rPr>
      </w:pPr>
    </w:p>
    <w:p>
      <w:pPr>
        <w:ind w:left="1060" w:hanging="314"/>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Vita Coco Company, Inc. (Soft Drinks and Non-alcoholic Beverages)</w:t>
      </w:r>
    </w:p>
    <w:p>
      <w:pPr>
        <w:spacing w:after="0" w:line="117" w:lineRule="exact"/>
        <w:rPr>
          <w:rFonts w:ascii="Times New Roman" w:cs="Times New Roman" w:eastAsia="Times New Roman" w:hAnsi="Times New Roman"/>
          <w:sz w:val="18"/>
          <w:szCs w:val="18"/>
          <w:color w:val="auto"/>
        </w:rPr>
      </w:pPr>
    </w:p>
    <w:p>
      <w:pPr>
        <w:ind w:left="1060" w:hanging="314"/>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Tootsie Roll Industries, Inc. (Packaged Foods and Meats)</w:t>
      </w:r>
    </w:p>
    <w:p>
      <w:pPr>
        <w:spacing w:after="0" w:line="117" w:lineRule="exact"/>
        <w:rPr>
          <w:rFonts w:ascii="Times New Roman" w:cs="Times New Roman" w:eastAsia="Times New Roman" w:hAnsi="Times New Roman"/>
          <w:sz w:val="18"/>
          <w:szCs w:val="18"/>
          <w:color w:val="auto"/>
        </w:rPr>
      </w:pPr>
    </w:p>
    <w:p>
      <w:pPr>
        <w:ind w:left="1060" w:hanging="314"/>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Utz Brands, Inc. (Packaged Foods and Meats)</w:t>
      </w:r>
    </w:p>
    <w:p>
      <w:pPr>
        <w:spacing w:after="0" w:line="130" w:lineRule="exact"/>
        <w:rPr>
          <w:rFonts w:ascii="Times New Roman" w:cs="Times New Roman" w:eastAsia="Times New Roman" w:hAnsi="Times New Roman"/>
          <w:sz w:val="18"/>
          <w:szCs w:val="18"/>
          <w:color w:val="auto"/>
        </w:rPr>
      </w:pPr>
    </w:p>
    <w:p>
      <w:pPr>
        <w:ind w:left="1060" w:hanging="314"/>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Vital Farms, Inc. (Packaged Foods and Meats)</w:t>
      </w:r>
    </w:p>
    <w:p>
      <w:pPr>
        <w:spacing w:after="0" w:line="117" w:lineRule="exact"/>
        <w:rPr>
          <w:rFonts w:ascii="Times New Roman" w:cs="Times New Roman" w:eastAsia="Times New Roman" w:hAnsi="Times New Roman"/>
          <w:sz w:val="18"/>
          <w:szCs w:val="18"/>
          <w:color w:val="auto"/>
        </w:rPr>
      </w:pPr>
    </w:p>
    <w:p>
      <w:pPr>
        <w:ind w:left="1060" w:hanging="314"/>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Westrock Coffee Company (Packaged Foods and Meats)</w:t>
      </w:r>
    </w:p>
    <w:p>
      <w:pPr>
        <w:spacing w:after="0" w:line="117" w:lineRule="exact"/>
        <w:rPr>
          <w:sz w:val="20"/>
          <w:szCs w:val="20"/>
          <w:color w:val="auto"/>
        </w:rPr>
      </w:pPr>
    </w:p>
    <w:p>
      <w:pPr>
        <w:ind w:left="40" w:right="179" w:firstLine="259"/>
        <w:spacing w:after="0" w:line="250" w:lineRule="auto"/>
        <w:rPr>
          <w:sz w:val="20"/>
          <w:szCs w:val="20"/>
          <w:color w:val="auto"/>
        </w:rPr>
      </w:pPr>
      <w:r>
        <w:rPr>
          <w:rFonts w:ascii="Times New Roman" w:cs="Times New Roman" w:eastAsia="Times New Roman" w:hAnsi="Times New Roman"/>
          <w:sz w:val="18"/>
          <w:szCs w:val="18"/>
          <w:color w:val="auto"/>
        </w:rPr>
        <w:t>This peer group was developed with the objective of positioning the Company near the median of key size metrics, including revenue and market capitalization. The Compensation Committee reviews the peer group periodically to ensure continued relevance and accuracy.</w:t>
      </w:r>
    </w:p>
    <w:p>
      <w:pPr>
        <w:spacing w:after="0" w:line="82" w:lineRule="exact"/>
        <w:rPr>
          <w:sz w:val="20"/>
          <w:szCs w:val="20"/>
          <w:color w:val="auto"/>
        </w:rPr>
      </w:pPr>
    </w:p>
    <w:p>
      <w:pPr>
        <w:ind w:left="40" w:right="99" w:firstLine="259"/>
        <w:spacing w:after="0" w:line="250" w:lineRule="auto"/>
        <w:rPr>
          <w:sz w:val="20"/>
          <w:szCs w:val="20"/>
          <w:color w:val="auto"/>
        </w:rPr>
      </w:pPr>
      <w:r>
        <w:rPr>
          <w:rFonts w:ascii="Times New Roman" w:cs="Times New Roman" w:eastAsia="Times New Roman" w:hAnsi="Times New Roman"/>
          <w:sz w:val="18"/>
          <w:szCs w:val="18"/>
          <w:color w:val="auto"/>
        </w:rPr>
        <w:t>Pay Governance’s reports included (i) compensation benchmarking for peer group companies, (ii) insights on executive compensation market trends, and (iii) recommendations for short- and long-term incentive programs.</w:t>
      </w:r>
    </w:p>
    <w:p>
      <w:pPr>
        <w:spacing w:after="0" w:line="82" w:lineRule="exact"/>
        <w:rPr>
          <w:sz w:val="20"/>
          <w:szCs w:val="20"/>
          <w:color w:val="auto"/>
        </w:rPr>
      </w:pPr>
    </w:p>
    <w:p>
      <w:pPr>
        <w:ind w:left="40" w:right="119" w:firstLine="259"/>
        <w:spacing w:after="0"/>
        <w:rPr>
          <w:sz w:val="20"/>
          <w:szCs w:val="20"/>
          <w:color w:val="auto"/>
        </w:rPr>
      </w:pPr>
      <w:r>
        <w:rPr>
          <w:rFonts w:ascii="Times New Roman" w:cs="Times New Roman" w:eastAsia="Times New Roman" w:hAnsi="Times New Roman"/>
          <w:sz w:val="18"/>
          <w:szCs w:val="18"/>
          <w:color w:val="auto"/>
        </w:rPr>
        <w:t>Pursuant to applicable SEC and NASDAQ rules, in connection with its fiscal 2024 engagement of Pay Governance, the Compensation Committee assessed Pay Governance’s independence and determined that it qualifies as an independent compensation consultant. The Committee also evaluated whether Pay Governance had any conflicts of interest, considering the following factors:</w:t>
      </w:r>
    </w:p>
    <w:p>
      <w:pPr>
        <w:spacing w:after="0" w:line="360" w:lineRule="exact"/>
        <w:rPr>
          <w:sz w:val="20"/>
          <w:szCs w:val="20"/>
          <w:color w:val="auto"/>
        </w:rPr>
      </w:pPr>
    </w:p>
    <w:p>
      <w:pPr>
        <w:ind w:left="740" w:hanging="345"/>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services provided to Calavo by Pay Governance.</w:t>
      </w:r>
    </w:p>
    <w:p>
      <w:pPr>
        <w:spacing w:after="0" w:line="144" w:lineRule="exact"/>
        <w:rPr>
          <w:rFonts w:ascii="Times New Roman" w:cs="Times New Roman" w:eastAsia="Times New Roman" w:hAnsi="Times New Roman"/>
          <w:sz w:val="18"/>
          <w:szCs w:val="18"/>
          <w:color w:val="auto"/>
        </w:rPr>
      </w:pPr>
    </w:p>
    <w:p>
      <w:pPr>
        <w:ind w:left="740" w:hanging="345"/>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proportion of fees paid by Calavo relative to Pay Governance’s total revenue.</w:t>
      </w:r>
    </w:p>
    <w:p>
      <w:pPr>
        <w:spacing w:after="0" w:line="157" w:lineRule="exact"/>
        <w:rPr>
          <w:rFonts w:ascii="Times New Roman" w:cs="Times New Roman" w:eastAsia="Times New Roman" w:hAnsi="Times New Roman"/>
          <w:sz w:val="18"/>
          <w:szCs w:val="18"/>
          <w:color w:val="auto"/>
        </w:rPr>
      </w:pPr>
    </w:p>
    <w:p>
      <w:pPr>
        <w:ind w:left="740" w:hanging="345"/>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Governance’s policies and procedures to prevent conflicts of interest.</w:t>
      </w:r>
    </w:p>
    <w:p>
      <w:pPr>
        <w:spacing w:after="0" w:line="157" w:lineRule="exact"/>
        <w:rPr>
          <w:rFonts w:ascii="Times New Roman" w:cs="Times New Roman" w:eastAsia="Times New Roman" w:hAnsi="Times New Roman"/>
          <w:sz w:val="18"/>
          <w:szCs w:val="18"/>
          <w:color w:val="auto"/>
        </w:rPr>
      </w:pPr>
    </w:p>
    <w:p>
      <w:pPr>
        <w:ind w:left="740" w:hanging="345"/>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business or personal relationships between Pay Governance or its advisors and Calavo’s executive officers.</w:t>
      </w:r>
    </w:p>
    <w:p>
      <w:pPr>
        <w:spacing w:after="0" w:line="157" w:lineRule="exact"/>
        <w:rPr>
          <w:rFonts w:ascii="Times New Roman" w:cs="Times New Roman" w:eastAsia="Times New Roman" w:hAnsi="Times New Roman"/>
          <w:sz w:val="18"/>
          <w:szCs w:val="18"/>
          <w:color w:val="auto"/>
        </w:rPr>
      </w:pPr>
    </w:p>
    <w:p>
      <w:pPr>
        <w:ind w:left="740" w:right="299" w:hanging="345"/>
        <w:spacing w:after="0" w:line="266"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business or personal relationships between Pay Governance’s advisors and members of the Compensation Committee.</w:t>
      </w:r>
    </w:p>
    <w:p>
      <w:pPr>
        <w:spacing w:after="0" w:line="94" w:lineRule="exact"/>
        <w:rPr>
          <w:rFonts w:ascii="Times New Roman" w:cs="Times New Roman" w:eastAsia="Times New Roman" w:hAnsi="Times New Roman"/>
          <w:sz w:val="18"/>
          <w:szCs w:val="18"/>
          <w:color w:val="auto"/>
        </w:rPr>
      </w:pPr>
    </w:p>
    <w:p>
      <w:pPr>
        <w:ind w:left="740" w:hanging="345"/>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ownership of Calavo stock by Pay Governance or its advisors.</w:t>
      </w:r>
    </w:p>
    <w:p>
      <w:pPr>
        <w:spacing w:after="0" w:line="158" w:lineRule="exact"/>
        <w:rPr>
          <w:sz w:val="20"/>
          <w:szCs w:val="20"/>
          <w:color w:val="auto"/>
        </w:rPr>
      </w:pPr>
    </w:p>
    <w:p>
      <w:pPr>
        <w:ind w:left="40" w:right="579" w:firstLine="259"/>
        <w:spacing w:after="0" w:line="266" w:lineRule="auto"/>
        <w:rPr>
          <w:sz w:val="20"/>
          <w:szCs w:val="20"/>
          <w:color w:val="auto"/>
        </w:rPr>
      </w:pPr>
      <w:r>
        <w:rPr>
          <w:rFonts w:ascii="Times New Roman" w:cs="Times New Roman" w:eastAsia="Times New Roman" w:hAnsi="Times New Roman"/>
          <w:sz w:val="18"/>
          <w:szCs w:val="18"/>
          <w:color w:val="auto"/>
        </w:rPr>
        <w:t>Based on this analysis, the Compensation Committee determined that Pay Governance’s work as a compensation consultant did not create any conflicts of interest.</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Use of Market Comparisons in Compensation Decisions</w:t>
      </w:r>
    </w:p>
    <w:p>
      <w:pPr>
        <w:spacing w:after="0" w:line="131" w:lineRule="exact"/>
        <w:rPr>
          <w:sz w:val="20"/>
          <w:szCs w:val="20"/>
          <w:color w:val="auto"/>
        </w:rPr>
      </w:pPr>
    </w:p>
    <w:p>
      <w:pPr>
        <w:ind w:left="40" w:right="579" w:firstLine="259"/>
        <w:spacing w:after="0" w:line="296" w:lineRule="auto"/>
        <w:rPr>
          <w:sz w:val="20"/>
          <w:szCs w:val="20"/>
          <w:color w:val="auto"/>
        </w:rPr>
      </w:pPr>
      <w:r>
        <w:rPr>
          <w:rFonts w:ascii="Times New Roman" w:cs="Times New Roman" w:eastAsia="Times New Roman" w:hAnsi="Times New Roman"/>
          <w:sz w:val="17"/>
          <w:szCs w:val="17"/>
          <w:color w:val="auto"/>
        </w:rPr>
        <w:t>The Compensation Committee does not determine executive compensation solely by benchmarking against other companies, nor does it set compensation as a fixed percentage of peer company averages. However, it considers</w:t>
      </w:r>
    </w:p>
    <w:p>
      <w:pPr>
        <w:sectPr>
          <w:pgSz w:w="11900" w:h="16838" w:orient="portrait"/>
          <w:cols w:equalWidth="0" w:num="1">
            <w:col w:w="9019"/>
          </w:cols>
          <w:pgMar w:left="1440" w:top="513" w:right="1440"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right="339"/>
        <w:spacing w:after="0" w:line="266" w:lineRule="auto"/>
        <w:rPr>
          <w:sz w:val="20"/>
          <w:szCs w:val="20"/>
          <w:color w:val="auto"/>
        </w:rPr>
      </w:pPr>
      <w:r>
        <w:rPr>
          <w:rFonts w:ascii="Times New Roman" w:cs="Times New Roman" w:eastAsia="Times New Roman" w:hAnsi="Times New Roman"/>
          <w:sz w:val="18"/>
          <w:szCs w:val="18"/>
          <w:color w:val="auto"/>
        </w:rPr>
        <w:t>compensation survey data a valuable resource in maintaining a competitive and market-aligned executive compensation program.</w:t>
      </w:r>
    </w:p>
    <w:p>
      <w:pPr>
        <w:spacing w:after="0" w:line="95" w:lineRule="exact"/>
        <w:rPr>
          <w:sz w:val="20"/>
          <w:szCs w:val="20"/>
          <w:color w:val="auto"/>
        </w:rPr>
      </w:pPr>
    </w:p>
    <w:p>
      <w:pPr>
        <w:ind w:left="400" w:right="499"/>
        <w:spacing w:after="0" w:line="266" w:lineRule="auto"/>
        <w:rPr>
          <w:sz w:val="20"/>
          <w:szCs w:val="20"/>
          <w:color w:val="auto"/>
        </w:rPr>
      </w:pPr>
      <w:r>
        <w:rPr>
          <w:rFonts w:ascii="Times New Roman" w:cs="Times New Roman" w:eastAsia="Times New Roman" w:hAnsi="Times New Roman"/>
          <w:sz w:val="18"/>
          <w:szCs w:val="18"/>
          <w:color w:val="auto"/>
        </w:rPr>
        <w:t>The fiscal 2024 Pay Governance study continued to inform compensation benchmarking and peer group analysis during fiscal 2025:</w:t>
      </w:r>
    </w:p>
    <w:p>
      <w:pPr>
        <w:spacing w:after="0" w:line="108" w:lineRule="exact"/>
        <w:rPr>
          <w:sz w:val="20"/>
          <w:szCs w:val="20"/>
          <w:color w:val="auto"/>
        </w:rPr>
      </w:pPr>
    </w:p>
    <w:p>
      <w:pPr>
        <w:ind w:left="740" w:hanging="345"/>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competitive pay levels,</w:t>
      </w:r>
    </w:p>
    <w:p>
      <w:pPr>
        <w:spacing w:after="0" w:line="157" w:lineRule="exact"/>
        <w:rPr>
          <w:rFonts w:ascii="Times New Roman" w:cs="Times New Roman" w:eastAsia="Times New Roman" w:hAnsi="Times New Roman"/>
          <w:sz w:val="18"/>
          <w:szCs w:val="18"/>
          <w:color w:val="auto"/>
        </w:rPr>
      </w:pPr>
    </w:p>
    <w:p>
      <w:pPr>
        <w:ind w:left="740" w:hanging="345"/>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short- and long-term incentive programs, and</w:t>
      </w:r>
    </w:p>
    <w:p>
      <w:pPr>
        <w:spacing w:after="0" w:line="157" w:lineRule="exact"/>
        <w:rPr>
          <w:rFonts w:ascii="Times New Roman" w:cs="Times New Roman" w:eastAsia="Times New Roman" w:hAnsi="Times New Roman"/>
          <w:sz w:val="18"/>
          <w:szCs w:val="18"/>
          <w:color w:val="auto"/>
        </w:rPr>
      </w:pPr>
    </w:p>
    <w:p>
      <w:pPr>
        <w:ind w:left="740" w:hanging="345"/>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alignment with shareholder interests.</w:t>
      </w:r>
    </w:p>
    <w:p>
      <w:pPr>
        <w:spacing w:after="0" w:line="158" w:lineRule="exact"/>
        <w:rPr>
          <w:sz w:val="20"/>
          <w:szCs w:val="20"/>
          <w:color w:val="auto"/>
        </w:rPr>
      </w:pPr>
    </w:p>
    <w:p>
      <w:pPr>
        <w:ind w:left="40" w:right="1039" w:firstLine="259"/>
        <w:spacing w:after="0" w:line="250" w:lineRule="auto"/>
        <w:rPr>
          <w:sz w:val="20"/>
          <w:szCs w:val="20"/>
          <w:color w:val="auto"/>
        </w:rPr>
      </w:pPr>
      <w:r>
        <w:rPr>
          <w:rFonts w:ascii="Times New Roman" w:cs="Times New Roman" w:eastAsia="Times New Roman" w:hAnsi="Times New Roman"/>
          <w:sz w:val="18"/>
          <w:szCs w:val="18"/>
          <w:color w:val="auto"/>
        </w:rPr>
        <w:t>This approach better enables Calavo Growers to attract, retain, and motivate key executives while aligning compensation with company performance and shareholder value creation.</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Base Salaries</w:t>
      </w:r>
    </w:p>
    <w:p>
      <w:pPr>
        <w:spacing w:after="0" w:line="148" w:lineRule="exact"/>
        <w:rPr>
          <w:sz w:val="20"/>
          <w:szCs w:val="20"/>
          <w:color w:val="auto"/>
        </w:rPr>
      </w:pPr>
    </w:p>
    <w:p>
      <w:pPr>
        <w:ind w:left="40" w:right="399" w:firstLine="259"/>
        <w:spacing w:after="0" w:line="242" w:lineRule="auto"/>
        <w:rPr>
          <w:sz w:val="20"/>
          <w:szCs w:val="20"/>
          <w:color w:val="auto"/>
        </w:rPr>
      </w:pPr>
      <w:r>
        <w:rPr>
          <w:rFonts w:ascii="Times New Roman" w:cs="Times New Roman" w:eastAsia="Times New Roman" w:hAnsi="Times New Roman"/>
          <w:sz w:val="18"/>
          <w:szCs w:val="18"/>
          <w:color w:val="auto"/>
        </w:rPr>
        <w:t>We provide our named executive officers with base salaries designed to attract and retain top talent in a competitive market while recognizing individual performance and contributions to our business objectives. We also consider the unique circumstances of our Company when setting compensation.</w:t>
      </w:r>
    </w:p>
    <w:p>
      <w:pPr>
        <w:spacing w:after="0" w:line="130" w:lineRule="exact"/>
        <w:rPr>
          <w:sz w:val="20"/>
          <w:szCs w:val="20"/>
          <w:color w:val="auto"/>
        </w:rPr>
      </w:pPr>
    </w:p>
    <w:p>
      <w:pPr>
        <w:ind w:left="40" w:right="119" w:firstLine="259"/>
        <w:spacing w:after="0" w:line="242" w:lineRule="auto"/>
        <w:rPr>
          <w:sz w:val="20"/>
          <w:szCs w:val="20"/>
          <w:color w:val="auto"/>
        </w:rPr>
      </w:pPr>
      <w:r>
        <w:rPr>
          <w:rFonts w:ascii="Times New Roman" w:cs="Times New Roman" w:eastAsia="Times New Roman" w:hAnsi="Times New Roman"/>
          <w:sz w:val="18"/>
          <w:szCs w:val="18"/>
          <w:color w:val="auto"/>
        </w:rPr>
        <w:t>The Compensation Committee reviews base salaries annually, with adjustments based on both Company and individual performance. Below is a summary of base salary information for our named executive officers who served during fiscal year 2025.</w:t>
      </w:r>
    </w:p>
    <w:p>
      <w:pPr>
        <w:spacing w:after="0" w:line="130" w:lineRule="exact"/>
        <w:rPr>
          <w:sz w:val="20"/>
          <w:szCs w:val="20"/>
          <w:color w:val="auto"/>
        </w:rPr>
      </w:pPr>
    </w:p>
    <w:p>
      <w:pPr>
        <w:ind w:left="40" w:right="99" w:firstLine="259"/>
        <w:spacing w:after="0" w:line="236" w:lineRule="auto"/>
        <w:rPr>
          <w:sz w:val="20"/>
          <w:szCs w:val="20"/>
          <w:color w:val="auto"/>
        </w:rPr>
      </w:pPr>
      <w:r>
        <w:rPr>
          <w:rFonts w:ascii="Times New Roman" w:cs="Times New Roman" w:eastAsia="Times New Roman" w:hAnsi="Times New Roman"/>
          <w:sz w:val="18"/>
          <w:szCs w:val="18"/>
          <w:color w:val="auto"/>
        </w:rPr>
        <w:t>During fiscal year 2025, base salary adjustments were approved for certain named executive officers in connection with changes in responsibilities and other business considerations. Mr. Cole’s annual base salary was increased effective December 30, 2024, from $66,160 to $68,640. The annual base salary rates in effect as of October 31, 2025 are presented in the table below.</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Base Salary for</w:t>
            </w:r>
          </w:p>
        </w:tc>
        <w:tc>
          <w:tcPr>
            <w:tcW w:w="0" w:type="dxa"/>
            <w:vAlign w:val="bottom"/>
          </w:tcPr>
          <w:p>
            <w:pPr>
              <w:spacing w:after="0"/>
              <w:rPr>
                <w:sz w:val="1"/>
                <w:szCs w:val="1"/>
                <w:color w:val="auto"/>
              </w:rPr>
            </w:pPr>
          </w:p>
        </w:tc>
      </w:tr>
      <w:tr>
        <w:trPr>
          <w:trHeight w:val="148"/>
        </w:trPr>
        <w:tc>
          <w:tcPr>
            <w:tcW w:w="6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2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280" w:type="dxa"/>
            <w:vAlign w:val="bottom"/>
            <w:gridSpan w:val="2"/>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1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240" w:type="dxa"/>
            <w:vAlign w:val="bottom"/>
            <w:gridSpan w:val="2"/>
            <w:vMerge w:val="continue"/>
          </w:tcPr>
          <w:p>
            <w:pPr>
              <w:spacing w:after="0"/>
              <w:rPr>
                <w:sz w:val="15"/>
                <w:szCs w:val="15"/>
                <w:color w:val="auto"/>
              </w:rPr>
            </w:pP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0" w:type="dxa"/>
            <w:vAlign w:val="bottom"/>
          </w:tcPr>
          <w:p>
            <w:pPr>
              <w:spacing w:after="0"/>
              <w:rPr>
                <w:sz w:val="1"/>
                <w:szCs w:val="1"/>
                <w:color w:val="auto"/>
              </w:rPr>
            </w:pPr>
          </w:p>
        </w:tc>
      </w:tr>
      <w:tr>
        <w:trPr>
          <w:trHeight w:val="191"/>
        </w:trPr>
        <w:tc>
          <w:tcPr>
            <w:tcW w:w="628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6"/>
                <w:szCs w:val="16"/>
                <w:color w:val="auto"/>
              </w:rPr>
              <w:t>Lecil Cole</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Chief Executive Officer</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68,640</w:t>
            </w:r>
          </w:p>
        </w:tc>
        <w:tc>
          <w:tcPr>
            <w:tcW w:w="0" w:type="dxa"/>
            <w:vAlign w:val="bottom"/>
          </w:tcPr>
          <w:p>
            <w:pPr>
              <w:spacing w:after="0"/>
              <w:rPr>
                <w:sz w:val="1"/>
                <w:szCs w:val="1"/>
                <w:color w:val="auto"/>
              </w:rPr>
            </w:pPr>
          </w:p>
        </w:tc>
      </w:tr>
      <w:tr>
        <w:trPr>
          <w:trHeight w:val="198"/>
        </w:trPr>
        <w:tc>
          <w:tcPr>
            <w:tcW w:w="6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James Snyder,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Not applicable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447,200</w:t>
            </w:r>
          </w:p>
        </w:tc>
        <w:tc>
          <w:tcPr>
            <w:tcW w:w="0" w:type="dxa"/>
            <w:vAlign w:val="bottom"/>
          </w:tcPr>
          <w:p>
            <w:pPr>
              <w:spacing w:after="0"/>
              <w:rPr>
                <w:sz w:val="1"/>
                <w:szCs w:val="1"/>
                <w:color w:val="auto"/>
              </w:rPr>
            </w:pPr>
          </w:p>
        </w:tc>
      </w:tr>
      <w:tr>
        <w:trPr>
          <w:trHeight w:val="198"/>
        </w:trPr>
        <w:tc>
          <w:tcPr>
            <w:tcW w:w="6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Shawn Munsell</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Chief Financial Officer</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430,000</w:t>
            </w:r>
          </w:p>
        </w:tc>
        <w:tc>
          <w:tcPr>
            <w:tcW w:w="0" w:type="dxa"/>
            <w:vAlign w:val="bottom"/>
          </w:tcPr>
          <w:p>
            <w:pPr>
              <w:spacing w:after="0"/>
              <w:rPr>
                <w:sz w:val="1"/>
                <w:szCs w:val="1"/>
                <w:color w:val="auto"/>
              </w:rPr>
            </w:pPr>
          </w:p>
        </w:tc>
      </w:tr>
      <w:tr>
        <w:trPr>
          <w:trHeight w:val="198"/>
        </w:trPr>
        <w:tc>
          <w:tcPr>
            <w:tcW w:w="6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Ronald Araiza,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Fresh Foods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447,200</w:t>
            </w:r>
          </w:p>
        </w:tc>
        <w:tc>
          <w:tcPr>
            <w:tcW w:w="0" w:type="dxa"/>
            <w:vAlign w:val="bottom"/>
          </w:tcPr>
          <w:p>
            <w:pPr>
              <w:spacing w:after="0"/>
              <w:rPr>
                <w:sz w:val="1"/>
                <w:szCs w:val="1"/>
                <w:color w:val="auto"/>
              </w:rPr>
            </w:pPr>
          </w:p>
        </w:tc>
      </w:tr>
      <w:tr>
        <w:trPr>
          <w:trHeight w:val="198"/>
        </w:trPr>
        <w:tc>
          <w:tcPr>
            <w:tcW w:w="6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Michael Browne</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Sales and Operations</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464,400</w:t>
            </w:r>
          </w:p>
        </w:tc>
        <w:tc>
          <w:tcPr>
            <w:tcW w:w="0" w:type="dxa"/>
            <w:vAlign w:val="bottom"/>
          </w:tcPr>
          <w:p>
            <w:pPr>
              <w:spacing w:after="0"/>
              <w:rPr>
                <w:sz w:val="1"/>
                <w:szCs w:val="1"/>
                <w:color w:val="auto"/>
              </w:rPr>
            </w:pPr>
          </w:p>
        </w:tc>
      </w:tr>
      <w:tr>
        <w:trPr>
          <w:trHeight w:val="101"/>
        </w:trPr>
        <w:tc>
          <w:tcPr>
            <w:tcW w:w="2240" w:type="dxa"/>
            <w:vAlign w:val="bottom"/>
            <w:tcBorders>
              <w:bottom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60" w:hanging="365"/>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Cole served as Chief Executive Officer until his retirement, effective December 8, 2025.</w:t>
      </w:r>
    </w:p>
    <w:p>
      <w:pPr>
        <w:spacing w:after="0" w:line="49" w:lineRule="exact"/>
        <w:rPr>
          <w:rFonts w:ascii="Times New Roman" w:cs="Times New Roman" w:eastAsia="Times New Roman" w:hAnsi="Times New Roman"/>
          <w:sz w:val="18"/>
          <w:szCs w:val="18"/>
          <w:color w:val="auto"/>
        </w:rPr>
      </w:pPr>
    </w:p>
    <w:p>
      <w:pPr>
        <w:ind w:left="760" w:hanging="365"/>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Munsell served as Chief Financial Officer until his resignation effective December 1, 2024.</w:t>
      </w:r>
    </w:p>
    <w:p>
      <w:pPr>
        <w:spacing w:after="0" w:line="49" w:lineRule="exact"/>
        <w:rPr>
          <w:rFonts w:ascii="Times New Roman" w:cs="Times New Roman" w:eastAsia="Times New Roman" w:hAnsi="Times New Roman"/>
          <w:sz w:val="18"/>
          <w:szCs w:val="18"/>
          <w:color w:val="auto"/>
        </w:rPr>
      </w:pPr>
    </w:p>
    <w:p>
      <w:pPr>
        <w:ind w:left="760" w:right="219" w:hanging="365"/>
        <w:spacing w:after="0" w:line="26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Browne served as Executive Vice President Sales and Operations until his retirement effective December 1, 2025.</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Annual Performance-Based Awards; Discretionary Retention-Based Bonuses</w:t>
      </w:r>
    </w:p>
    <w:p>
      <w:pPr>
        <w:spacing w:after="0" w:line="135" w:lineRule="exact"/>
        <w:rPr>
          <w:sz w:val="20"/>
          <w:szCs w:val="20"/>
          <w:color w:val="auto"/>
        </w:rPr>
      </w:pPr>
    </w:p>
    <w:p>
      <w:pPr>
        <w:ind w:left="40" w:right="79" w:firstLine="259"/>
        <w:spacing w:after="0" w:line="238" w:lineRule="auto"/>
        <w:rPr>
          <w:sz w:val="20"/>
          <w:szCs w:val="20"/>
          <w:color w:val="auto"/>
        </w:rPr>
      </w:pPr>
      <w:r>
        <w:rPr>
          <w:rFonts w:ascii="Times New Roman" w:cs="Times New Roman" w:eastAsia="Times New Roman" w:hAnsi="Times New Roman"/>
          <w:sz w:val="18"/>
          <w:szCs w:val="18"/>
          <w:color w:val="auto"/>
        </w:rPr>
        <w:t>In January 2025, the Compensation Committee determined that the executive compensation structure for fiscal year 2025 would consist of a base salary and a performance-based bonus tied to the achievement of Adjusted Net Income targets established for the year. Adjusted Net Income is a non-GAAP financial measure, which we define as net income (loss) from continuing operations attributable to the Company excluding (1) acquisition-related costs, (2) restructuring-related costs, including certain severance costs, (3) certain litigation, internal investigation and other related costs, (4) foreign currency loss (gain), (5) asset impairments, (6) impact of discrete tariff or other tax charges that are distortive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right="59"/>
        <w:spacing w:after="0" w:line="239" w:lineRule="auto"/>
        <w:rPr>
          <w:sz w:val="20"/>
          <w:szCs w:val="20"/>
          <w:color w:val="auto"/>
        </w:rPr>
      </w:pPr>
      <w:r>
        <w:rPr>
          <w:rFonts w:ascii="Times New Roman" w:cs="Times New Roman" w:eastAsia="Times New Roman" w:hAnsi="Times New Roman"/>
          <w:sz w:val="18"/>
          <w:szCs w:val="18"/>
          <w:color w:val="auto"/>
        </w:rPr>
        <w:t>results, and (7) one-time items. Adjusted net income (loss) and the related measure of adjusted net income (loss) per diluted share exclude certain items that are recognized and recorded under GAAP in particular periods but might be viewed as not necessarily coinciding with the underlying business operations for the periods in which they are so recognized and recorded. For a full reconciliation for Adjusted Net Income to the most directly comparable financial measure stated in accordance with GAAP, please see “—Non-GAAP Financial Measures” below.</w:t>
      </w:r>
    </w:p>
    <w:p>
      <w:pPr>
        <w:spacing w:after="0" w:line="171" w:lineRule="exact"/>
        <w:rPr>
          <w:sz w:val="20"/>
          <w:szCs w:val="20"/>
          <w:color w:val="auto"/>
        </w:rPr>
      </w:pPr>
    </w:p>
    <w:p>
      <w:pPr>
        <w:jc w:val="both"/>
        <w:ind w:left="40" w:right="359" w:firstLine="259"/>
        <w:spacing w:after="0" w:line="272" w:lineRule="auto"/>
        <w:rPr>
          <w:sz w:val="20"/>
          <w:szCs w:val="20"/>
          <w:color w:val="auto"/>
        </w:rPr>
      </w:pPr>
      <w:r>
        <w:rPr>
          <w:rFonts w:ascii="Times New Roman" w:cs="Times New Roman" w:eastAsia="Times New Roman" w:hAnsi="Times New Roman"/>
          <w:sz w:val="17"/>
          <w:szCs w:val="17"/>
          <w:color w:val="auto"/>
        </w:rPr>
        <w:t>The Compensation Committee believes that linking annual performance-based awards to specific levels of Adjusted Net Income aligns executive compensation more closely with company performance. Named executive officers are not entitled to accelerated payment of performance-based bonuses in the event of termination of employment.</w:t>
      </w:r>
    </w:p>
    <w:p>
      <w:pPr>
        <w:spacing w:after="0" w:line="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performance-based compensation structure for fiscal 2025 includes the following key elements:</w:t>
      </w:r>
    </w:p>
    <w:p>
      <w:pPr>
        <w:spacing w:after="0" w:line="77" w:lineRule="exact"/>
        <w:rPr>
          <w:sz w:val="20"/>
          <w:szCs w:val="20"/>
          <w:color w:val="auto"/>
        </w:rPr>
      </w:pPr>
    </w:p>
    <w:p>
      <w:pPr>
        <w:ind w:left="580" w:hanging="185"/>
        <w:spacing w:after="0"/>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are based on the achievement of Adjusted Net Income targets.</w:t>
      </w:r>
    </w:p>
    <w:p>
      <w:pPr>
        <w:spacing w:after="0" w:line="76" w:lineRule="exact"/>
        <w:rPr>
          <w:rFonts w:ascii="Times New Roman" w:cs="Times New Roman" w:eastAsia="Times New Roman" w:hAnsi="Times New Roman"/>
          <w:sz w:val="18"/>
          <w:szCs w:val="18"/>
          <w:color w:val="auto"/>
        </w:rPr>
      </w:pPr>
    </w:p>
    <w:p>
      <w:pPr>
        <w:ind w:left="580" w:hanging="185"/>
        <w:spacing w:after="0"/>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awards are set at 100% of annual base salary, with a maximum of 200% and a minimum threshold of 50%.</w:t>
      </w:r>
    </w:p>
    <w:p>
      <w:pPr>
        <w:spacing w:after="0" w:line="76" w:lineRule="exact"/>
        <w:rPr>
          <w:rFonts w:ascii="Times New Roman" w:cs="Times New Roman" w:eastAsia="Times New Roman" w:hAnsi="Times New Roman"/>
          <w:sz w:val="18"/>
          <w:szCs w:val="18"/>
          <w:color w:val="auto"/>
        </w:rPr>
      </w:pPr>
    </w:p>
    <w:p>
      <w:pPr>
        <w:ind w:left="580" w:right="399" w:hanging="185"/>
        <w:spacing w:after="0" w:line="266" w:lineRule="auto"/>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performance-based awards are determined on a graduated scale based on performance levels rather than linear interpolation.</w:t>
      </w:r>
    </w:p>
    <w:p>
      <w:pPr>
        <w:spacing w:after="0" w:line="27" w:lineRule="exact"/>
        <w:rPr>
          <w:rFonts w:ascii="Times New Roman" w:cs="Times New Roman" w:eastAsia="Times New Roman" w:hAnsi="Times New Roman"/>
          <w:sz w:val="18"/>
          <w:szCs w:val="18"/>
          <w:color w:val="auto"/>
        </w:rPr>
      </w:pPr>
    </w:p>
    <w:p>
      <w:pPr>
        <w:ind w:left="580" w:hanging="185"/>
        <w:spacing w:after="0"/>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performance bonus is awarded if the Adjusted Net Income threshold is not met.</w:t>
      </w:r>
    </w:p>
    <w:p>
      <w:pPr>
        <w:spacing w:after="0" w:line="76" w:lineRule="exact"/>
        <w:rPr>
          <w:rFonts w:ascii="Times New Roman" w:cs="Times New Roman" w:eastAsia="Times New Roman" w:hAnsi="Times New Roman"/>
          <w:sz w:val="18"/>
          <w:szCs w:val="18"/>
          <w:color w:val="auto"/>
        </w:rPr>
      </w:pPr>
    </w:p>
    <w:p>
      <w:pPr>
        <w:ind w:left="580" w:right="619" w:hanging="185"/>
        <w:spacing w:after="0" w:line="266" w:lineRule="auto"/>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reserves the right to pay up to 50% of earned bonuses in restricted stock units (“RSUs”), which would vest over 36 months.</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Payout at</w:t>
            </w:r>
          </w:p>
        </w:tc>
        <w:tc>
          <w:tcPr>
            <w:tcW w:w="88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Payout at</w:t>
            </w:r>
          </w:p>
        </w:tc>
        <w:tc>
          <w:tcPr>
            <w:tcW w:w="200" w:type="dxa"/>
            <w:vAlign w:val="bottom"/>
          </w:tcPr>
          <w:p>
            <w:pPr>
              <w:spacing w:after="0"/>
              <w:rPr>
                <w:sz w:val="15"/>
                <w:szCs w:val="15"/>
                <w:color w:val="auto"/>
              </w:rPr>
            </w:pPr>
          </w:p>
        </w:tc>
        <w:tc>
          <w:tcPr>
            <w:tcW w:w="9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Payout at</w:t>
            </w:r>
          </w:p>
        </w:tc>
      </w:tr>
      <w:tr>
        <w:trPr>
          <w:trHeight w:val="187"/>
        </w:trPr>
        <w:tc>
          <w:tcPr>
            <w:tcW w:w="4180" w:type="dxa"/>
            <w:vAlign w:val="bottom"/>
          </w:tcPr>
          <w:p>
            <w:pPr>
              <w:spacing w:after="0" w:line="187" w:lineRule="exact"/>
              <w:rPr>
                <w:sz w:val="20"/>
                <w:szCs w:val="20"/>
                <w:color w:val="auto"/>
              </w:rPr>
            </w:pPr>
            <w:r>
              <w:rPr>
                <w:rFonts w:ascii="Times New Roman" w:cs="Times New Roman" w:eastAsia="Times New Roman" w:hAnsi="Times New Roman"/>
                <w:sz w:val="14"/>
                <w:szCs w:val="14"/>
                <w:b w:val="1"/>
                <w:bCs w:val="1"/>
                <w:color w:val="auto"/>
              </w:rPr>
              <w:t>Named Executive Officer</w:t>
            </w:r>
            <w:r>
              <w:rPr>
                <w:rFonts w:ascii="Times New Roman" w:cs="Times New Roman" w:eastAsia="Times New Roman" w:hAnsi="Times New Roman"/>
                <w:sz w:val="21"/>
                <w:szCs w:val="21"/>
                <w:b w:val="1"/>
                <w:bCs w:val="1"/>
                <w:color w:val="auto"/>
                <w:vertAlign w:val="superscript"/>
              </w:rPr>
              <w:t>(1)</w:t>
            </w:r>
          </w:p>
        </w:tc>
        <w:tc>
          <w:tcPr>
            <w:tcW w:w="200" w:type="dxa"/>
            <w:vAlign w:val="bottom"/>
          </w:tcPr>
          <w:p>
            <w:pPr>
              <w:spacing w:after="0"/>
              <w:rPr>
                <w:sz w:val="16"/>
                <w:szCs w:val="16"/>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Target Bonus</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00" w:type="dxa"/>
            <w:vAlign w:val="bottom"/>
          </w:tcPr>
          <w:p>
            <w:pPr>
              <w:spacing w:after="0"/>
              <w:rPr>
                <w:sz w:val="16"/>
                <w:szCs w:val="16"/>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Performance</w:t>
            </w:r>
          </w:p>
        </w:tc>
      </w:tr>
      <w:tr>
        <w:trPr>
          <w:trHeight w:val="175"/>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except as specified)</w:t>
            </w:r>
          </w:p>
        </w:tc>
        <w:tc>
          <w:tcPr>
            <w:tcW w:w="27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 (% of Base Salary)  ​​​ Threshold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w:t>
            </w:r>
          </w:p>
        </w:tc>
        <w:tc>
          <w:tcPr>
            <w:tcW w:w="88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Target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Maximum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r>
      <w:tr>
        <w:trPr>
          <w:trHeight w:val="210"/>
        </w:trPr>
        <w:tc>
          <w:tcPr>
            <w:tcW w:w="418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Lecil Cole</w:t>
            </w:r>
            <w:r>
              <w:rPr>
                <w:rFonts w:ascii="Times New Roman" w:cs="Times New Roman" w:eastAsia="Times New Roman" w:hAnsi="Times New Roman"/>
                <w:sz w:val="24"/>
                <w:szCs w:val="24"/>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James Snyder</w:t>
            </w:r>
          </w:p>
        </w:tc>
        <w:tc>
          <w:tcPr>
            <w:tcW w:w="1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223,600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894,400</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Araiza</w:t>
            </w:r>
          </w:p>
        </w:tc>
        <w:tc>
          <w:tcPr>
            <w:tcW w:w="1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223,600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447,200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894,400</w:t>
            </w: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Michael Browne</w:t>
            </w:r>
          </w:p>
        </w:tc>
        <w:tc>
          <w:tcPr>
            <w:tcW w:w="1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232,200</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928,800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82550</wp:posOffset>
            </wp:positionV>
            <wp:extent cx="14141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27" w:lineRule="exact"/>
        <w:rPr>
          <w:sz w:val="20"/>
          <w:szCs w:val="20"/>
          <w:color w:val="auto"/>
        </w:rPr>
      </w:pPr>
    </w:p>
    <w:p>
      <w:pPr>
        <w:ind w:left="360" w:right="739" w:hanging="316"/>
        <w:spacing w:after="0" w:line="266"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Lecil Cole is not eligible for the above performance-based bonus awards. Mr. Cole retired from the Company effective December 8, 2025.</w:t>
      </w:r>
    </w:p>
    <w:p>
      <w:pPr>
        <w:spacing w:after="0" w:line="68" w:lineRule="exact"/>
        <w:rPr>
          <w:sz w:val="20"/>
          <w:szCs w:val="20"/>
          <w:color w:val="auto"/>
        </w:rPr>
      </w:pPr>
    </w:p>
    <w:p>
      <w:pPr>
        <w:ind w:left="40" w:right="59" w:firstLine="259"/>
        <w:spacing w:after="0"/>
        <w:rPr>
          <w:sz w:val="20"/>
          <w:szCs w:val="20"/>
          <w:color w:val="auto"/>
        </w:rPr>
      </w:pPr>
      <w:r>
        <w:rPr>
          <w:rFonts w:ascii="Times New Roman" w:cs="Times New Roman" w:eastAsia="Times New Roman" w:hAnsi="Times New Roman"/>
          <w:sz w:val="18"/>
          <w:szCs w:val="18"/>
          <w:color w:val="auto"/>
        </w:rPr>
        <w:t>The fiscal year 2025 MIP established graduated payout tiers beginning at $34 million of Adjusted Net Income, with increasing payout percentages at $39 million, $44 million, $49 million and $54 million. Fiscal year 2025 Adjusted Net Income was $28.9 million, which was below the performance threshold. Accordingly, no performance bonus was earned or paid out for fiscal 2025 as the Adjusted Net Income threshold was not attained.</w:t>
      </w:r>
    </w:p>
    <w:p>
      <w:pPr>
        <w:spacing w:after="0" w:line="90" w:lineRule="exact"/>
        <w:rPr>
          <w:sz w:val="20"/>
          <w:szCs w:val="20"/>
          <w:color w:val="auto"/>
        </w:rPr>
      </w:pPr>
    </w:p>
    <w:p>
      <w:pPr>
        <w:ind w:left="40" w:right="159" w:firstLine="259"/>
        <w:spacing w:after="0"/>
        <w:rPr>
          <w:sz w:val="20"/>
          <w:szCs w:val="20"/>
          <w:color w:val="auto"/>
        </w:rPr>
      </w:pPr>
      <w:r>
        <w:rPr>
          <w:rFonts w:ascii="Times New Roman" w:cs="Times New Roman" w:eastAsia="Times New Roman" w:hAnsi="Times New Roman"/>
          <w:sz w:val="18"/>
          <w:szCs w:val="18"/>
          <w:color w:val="auto"/>
        </w:rPr>
        <w:t>In an effort to retain key executive officers, for fiscal year 2025, the Compensation Committee awarded discretionary cash bonuses of $50,000 to Mr. Araiza, $265,000 to Mr. Browne, $94,629 to Mr. Munsell, and $10,000 to Mr. Snyder. In addition, following the completion of fiscal year 2025, the Board awarded discretionary bonuses of $50,000 to each of Mr. Snyder, Mr. Araiza and Mr. Browne.</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Equity Compensation Awards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 equity compensation awards were granted to any named executive officer in fiscal year 2025.</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Compensation Practices, Policies and Guidelines</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Benefits and Perquisites</w:t>
      </w:r>
    </w:p>
    <w:p>
      <w:pPr>
        <w:spacing w:after="0" w:line="135" w:lineRule="exact"/>
        <w:rPr>
          <w:sz w:val="20"/>
          <w:szCs w:val="20"/>
          <w:color w:val="auto"/>
        </w:rPr>
      </w:pPr>
    </w:p>
    <w:p>
      <w:pPr>
        <w:ind w:left="40" w:right="179" w:firstLine="259"/>
        <w:spacing w:after="0" w:line="242" w:lineRule="auto"/>
        <w:rPr>
          <w:sz w:val="20"/>
          <w:szCs w:val="20"/>
          <w:color w:val="auto"/>
        </w:rPr>
      </w:pPr>
      <w:r>
        <w:rPr>
          <w:rFonts w:ascii="Times New Roman" w:cs="Times New Roman" w:eastAsia="Times New Roman" w:hAnsi="Times New Roman"/>
          <w:sz w:val="18"/>
          <w:szCs w:val="18"/>
          <w:color w:val="auto"/>
        </w:rPr>
        <w:t>Benefits and perquisites are designed to attract and retain key employees. Our named executive officers are eligible to participate in the same benefit plans available to all employees, including our 401(k) plan and general health and welfare benefits.</w:t>
      </w:r>
    </w:p>
    <w:p>
      <w:pPr>
        <w:spacing w:after="0" w:line="116" w:lineRule="exact"/>
        <w:rPr>
          <w:sz w:val="20"/>
          <w:szCs w:val="20"/>
          <w:color w:val="auto"/>
        </w:rPr>
      </w:pPr>
    </w:p>
    <w:p>
      <w:pPr>
        <w:ind w:left="40" w:right="59" w:firstLine="259"/>
        <w:spacing w:after="0"/>
        <w:rPr>
          <w:sz w:val="20"/>
          <w:szCs w:val="20"/>
          <w:color w:val="auto"/>
        </w:rPr>
      </w:pPr>
      <w:r>
        <w:rPr>
          <w:rFonts w:ascii="Times New Roman" w:cs="Times New Roman" w:eastAsia="Times New Roman" w:hAnsi="Times New Roman"/>
          <w:sz w:val="18"/>
          <w:szCs w:val="18"/>
          <w:color w:val="auto"/>
        </w:rPr>
        <w:t>Our 401(k) plan allows for participation starting the first of the month following one month of employment, with immediate vesting. The Company matches 100% on the first 3% contributed and 50% on the next 2%, up to a maximum of 4% of compensation. These benefits, along with our health and welfare plans, are provided to substantially all full-time U.S. employees.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right="219" w:firstLine="259"/>
        <w:spacing w:after="0" w:line="242" w:lineRule="auto"/>
        <w:rPr>
          <w:sz w:val="20"/>
          <w:szCs w:val="20"/>
          <w:color w:val="auto"/>
        </w:rPr>
      </w:pPr>
      <w:r>
        <w:rPr>
          <w:rFonts w:ascii="Times New Roman" w:cs="Times New Roman" w:eastAsia="Times New Roman" w:hAnsi="Times New Roman"/>
          <w:sz w:val="18"/>
          <w:szCs w:val="18"/>
          <w:color w:val="auto"/>
        </w:rPr>
        <w:t>Additionally, we provide an automobile allowance to each of our named executive officers, which eliminates the need to track mileage and process reimbursement claims. These benefits enhance total compensation, support employee retention, and help us remain competitive in attracting executive talent.</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35" w:lineRule="exact"/>
        <w:rPr>
          <w:sz w:val="20"/>
          <w:szCs w:val="20"/>
          <w:color w:val="auto"/>
        </w:rPr>
      </w:pPr>
    </w:p>
    <w:p>
      <w:pPr>
        <w:ind w:left="40" w:right="179" w:firstLine="259"/>
        <w:spacing w:after="0" w:line="250" w:lineRule="auto"/>
        <w:rPr>
          <w:sz w:val="20"/>
          <w:szCs w:val="20"/>
          <w:color w:val="auto"/>
        </w:rPr>
      </w:pPr>
      <w:r>
        <w:rPr>
          <w:rFonts w:ascii="Times New Roman" w:cs="Times New Roman" w:eastAsia="Times New Roman" w:hAnsi="Times New Roman"/>
          <w:sz w:val="18"/>
          <w:szCs w:val="18"/>
          <w:color w:val="auto"/>
        </w:rPr>
        <w:t>The Board believes that directors and Executive Officers (within the meaning of Rule 16a-1 of the Exchange Act) best align their interests with shareholders when they maintain a meaningful personal investment in the Company. In fiscal 2022, the Board significantly increased stock ownership requirements for non-employee directors and Executive Officers.</w:t>
      </w:r>
    </w:p>
    <w:p>
      <w:pPr>
        <w:spacing w:after="0" w:line="55" w:lineRule="exact"/>
        <w:rPr>
          <w:sz w:val="20"/>
          <w:szCs w:val="20"/>
          <w:color w:val="auto"/>
        </w:rPr>
      </w:pPr>
    </w:p>
    <w:p>
      <w:pPr>
        <w:ind w:left="580" w:hanging="185"/>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Directors must hold Company equity with a cumulative value of at least $320,000.</w:t>
      </w:r>
    </w:p>
    <w:p>
      <w:pPr>
        <w:spacing w:after="0" w:line="103" w:lineRule="exact"/>
        <w:rPr>
          <w:rFonts w:ascii="Times New Roman" w:cs="Times New Roman" w:eastAsia="Times New Roman" w:hAnsi="Times New Roman"/>
          <w:sz w:val="18"/>
          <w:szCs w:val="18"/>
          <w:color w:val="auto"/>
        </w:rPr>
      </w:pPr>
    </w:p>
    <w:p>
      <w:pPr>
        <w:ind w:left="580" w:hanging="185"/>
        <w:spacing w:after="0"/>
        <w:tabs>
          <w:tab w:leader="none" w:pos="5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Chief Executive Officer must hold Company equity valued at a minimum of 500% of their annual base salary.</w:t>
      </w:r>
    </w:p>
    <w:p>
      <w:pPr>
        <w:spacing w:after="0" w:line="115" w:lineRule="exact"/>
        <w:rPr>
          <w:rFonts w:ascii="Times New Roman" w:cs="Times New Roman" w:eastAsia="Times New Roman" w:hAnsi="Times New Roman"/>
          <w:sz w:val="17"/>
          <w:szCs w:val="17"/>
          <w:color w:val="auto"/>
        </w:rPr>
      </w:pPr>
    </w:p>
    <w:p>
      <w:pPr>
        <w:ind w:left="580" w:hanging="185"/>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Executive Officers must hold Company equity valued at a minimum of 200% of their annual base salary.</w:t>
      </w:r>
    </w:p>
    <w:p>
      <w:pPr>
        <w:spacing w:after="0" w:line="144" w:lineRule="exact"/>
        <w:rPr>
          <w:sz w:val="20"/>
          <w:szCs w:val="20"/>
          <w:color w:val="auto"/>
        </w:rPr>
      </w:pPr>
    </w:p>
    <w:p>
      <w:pPr>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Non-Employee Directors and Executive Officers must meet these stock ownership requirements within five years of their election or appointment, or by August 29, 2027, whichever is later.</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required ownership levels are assessed annually by the Board as of January 31, based on the higher of:</w:t>
      </w:r>
    </w:p>
    <w:p>
      <w:pPr>
        <w:spacing w:after="0" w:line="131" w:lineRule="exact"/>
        <w:rPr>
          <w:sz w:val="20"/>
          <w:szCs w:val="20"/>
          <w:color w:val="auto"/>
        </w:rPr>
      </w:pPr>
    </w:p>
    <w:p>
      <w:pPr>
        <w:ind w:left="660" w:hanging="265"/>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daily closing price of the Company’s common stock for the prior month of January, or</w:t>
      </w:r>
    </w:p>
    <w:p>
      <w:pPr>
        <w:spacing w:after="0" w:line="130" w:lineRule="exact"/>
        <w:rPr>
          <w:rFonts w:ascii="Times New Roman" w:cs="Times New Roman" w:eastAsia="Times New Roman" w:hAnsi="Times New Roman"/>
          <w:sz w:val="18"/>
          <w:szCs w:val="18"/>
          <w:color w:val="auto"/>
        </w:rPr>
      </w:pPr>
    </w:p>
    <w:p>
      <w:pPr>
        <w:ind w:left="660" w:hanging="265"/>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on the date the shares or equity awards were acquired.</w:t>
      </w:r>
    </w:p>
    <w:p>
      <w:pPr>
        <w:spacing w:after="0" w:line="131" w:lineRule="exact"/>
        <w:rPr>
          <w:sz w:val="20"/>
          <w:szCs w:val="20"/>
          <w:color w:val="auto"/>
        </w:rPr>
      </w:pPr>
    </w:p>
    <w:p>
      <w:pPr>
        <w:jc w:val="both"/>
        <w:ind w:left="40" w:right="199" w:firstLine="259"/>
        <w:spacing w:after="0" w:line="242" w:lineRule="auto"/>
        <w:rPr>
          <w:sz w:val="20"/>
          <w:szCs w:val="20"/>
          <w:color w:val="auto"/>
        </w:rPr>
      </w:pPr>
      <w:r>
        <w:rPr>
          <w:rFonts w:ascii="Times New Roman" w:cs="Times New Roman" w:eastAsia="Times New Roman" w:hAnsi="Times New Roman"/>
          <w:sz w:val="18"/>
          <w:szCs w:val="18"/>
          <w:color w:val="auto"/>
        </w:rPr>
        <w:t>If a director or Executive Officer has not met the ownership requirement by the deadline, they are expected to retain at least 50% of net shares received from equity awards under the 2020 Equity Incentive Plan (as amended, the”2020 Plan”), after accounting for shares used to pay taxes on those awards.</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equity types count toward the stock ownership requirement:</w:t>
      </w:r>
    </w:p>
    <w:p>
      <w:pPr>
        <w:spacing w:after="0" w:line="90" w:lineRule="exact"/>
        <w:rPr>
          <w:sz w:val="20"/>
          <w:szCs w:val="20"/>
          <w:color w:val="auto"/>
        </w:rPr>
      </w:pPr>
    </w:p>
    <w:p>
      <w:pPr>
        <w:ind w:left="580" w:hanging="185"/>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owned directly</w:t>
      </w:r>
    </w:p>
    <w:p>
      <w:pPr>
        <w:spacing w:after="0" w:line="103" w:lineRule="exact"/>
        <w:rPr>
          <w:rFonts w:ascii="Times New Roman" w:cs="Times New Roman" w:eastAsia="Times New Roman" w:hAnsi="Times New Roman"/>
          <w:sz w:val="18"/>
          <w:szCs w:val="18"/>
          <w:color w:val="auto"/>
        </w:rPr>
      </w:pPr>
    </w:p>
    <w:p>
      <w:pPr>
        <w:ind w:left="580" w:hanging="185"/>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owned jointly or separately by a spouse</w:t>
      </w:r>
    </w:p>
    <w:p>
      <w:pPr>
        <w:spacing w:after="0" w:line="103" w:lineRule="exact"/>
        <w:rPr>
          <w:rFonts w:ascii="Times New Roman" w:cs="Times New Roman" w:eastAsia="Times New Roman" w:hAnsi="Times New Roman"/>
          <w:sz w:val="18"/>
          <w:szCs w:val="18"/>
          <w:color w:val="auto"/>
        </w:rPr>
      </w:pPr>
    </w:p>
    <w:p>
      <w:pPr>
        <w:ind w:left="580" w:hanging="185"/>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in trust for the benefit of the holder, spouse, or children</w:t>
      </w:r>
    </w:p>
    <w:p>
      <w:pPr>
        <w:spacing w:after="0" w:line="103" w:lineRule="exact"/>
        <w:rPr>
          <w:rFonts w:ascii="Times New Roman" w:cs="Times New Roman" w:eastAsia="Times New Roman" w:hAnsi="Times New Roman"/>
          <w:sz w:val="18"/>
          <w:szCs w:val="18"/>
          <w:color w:val="auto"/>
        </w:rPr>
      </w:pPr>
    </w:p>
    <w:p>
      <w:pPr>
        <w:ind w:left="580" w:hanging="185"/>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 (both vested and unvested)</w:t>
      </w:r>
    </w:p>
    <w:p>
      <w:pPr>
        <w:spacing w:after="0" w:line="103" w:lineRule="exact"/>
        <w:rPr>
          <w:rFonts w:ascii="Times New Roman" w:cs="Times New Roman" w:eastAsia="Times New Roman" w:hAnsi="Times New Roman"/>
          <w:sz w:val="18"/>
          <w:szCs w:val="18"/>
          <w:color w:val="auto"/>
        </w:rPr>
      </w:pPr>
    </w:p>
    <w:p>
      <w:pPr>
        <w:ind w:left="580" w:hanging="185"/>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RSUs</w:t>
      </w:r>
    </w:p>
    <w:p>
      <w:pPr>
        <w:spacing w:after="0" w:line="103" w:lineRule="exact"/>
        <w:rPr>
          <w:rFonts w:ascii="Times New Roman" w:cs="Times New Roman" w:eastAsia="Times New Roman" w:hAnsi="Times New Roman"/>
          <w:sz w:val="18"/>
          <w:szCs w:val="18"/>
          <w:color w:val="auto"/>
        </w:rPr>
      </w:pPr>
    </w:p>
    <w:p>
      <w:pPr>
        <w:ind w:left="580" w:hanging="185"/>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RSUs</w:t>
      </w:r>
    </w:p>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Unvested PRSUs and unexercised stock options do not count toward meeting the requirement.</w:t>
      </w:r>
    </w:p>
    <w:p>
      <w:pPr>
        <w:spacing w:after="0" w:line="131" w:lineRule="exact"/>
        <w:rPr>
          <w:sz w:val="20"/>
          <w:szCs w:val="20"/>
          <w:color w:val="auto"/>
        </w:rPr>
      </w:pPr>
    </w:p>
    <w:p>
      <w:pPr>
        <w:ind w:left="40" w:right="239" w:firstLine="259"/>
        <w:spacing w:after="0" w:line="250" w:lineRule="auto"/>
        <w:rPr>
          <w:sz w:val="20"/>
          <w:szCs w:val="20"/>
          <w:color w:val="auto"/>
        </w:rPr>
      </w:pPr>
      <w:r>
        <w:rPr>
          <w:rFonts w:ascii="Times New Roman" w:cs="Times New Roman" w:eastAsia="Times New Roman" w:hAnsi="Times New Roman"/>
          <w:sz w:val="18"/>
          <w:szCs w:val="18"/>
          <w:color w:val="auto"/>
        </w:rPr>
        <w:t>Not all current directors and executive officers have met these stock ownership requirements. Since the compliance deadline has not yet passed, however, all individuals remain on track and are considered currently in compliance with the policy. The Board will continue to monitor progress annually.</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Clawback and Recovery of Compensation</w:t>
      </w:r>
    </w:p>
    <w:p>
      <w:pPr>
        <w:spacing w:after="0" w:line="135" w:lineRule="exact"/>
        <w:rPr>
          <w:sz w:val="20"/>
          <w:szCs w:val="20"/>
          <w:color w:val="auto"/>
        </w:rPr>
      </w:pPr>
    </w:p>
    <w:p>
      <w:pPr>
        <w:ind w:left="40" w:right="219" w:firstLine="259"/>
        <w:spacing w:after="0"/>
        <w:rPr>
          <w:sz w:val="20"/>
          <w:szCs w:val="20"/>
          <w:color w:val="auto"/>
        </w:rPr>
      </w:pPr>
      <w:r>
        <w:rPr>
          <w:rFonts w:ascii="Times New Roman" w:cs="Times New Roman" w:eastAsia="Times New Roman" w:hAnsi="Times New Roman"/>
          <w:sz w:val="18"/>
          <w:szCs w:val="18"/>
          <w:color w:val="auto"/>
        </w:rPr>
        <w:t>Calavo maintains its Clawback Policy, adopted in December 2022, applicable to current and former executive officers in accordance with SEC rules and Nasdaq listing requirements. This policy allows Calavo to recover incentive-based compensation if the Company is required to prepare an accounting restatement due to material noncompliance with financial reporting requirements.</w:t>
      </w:r>
    </w:p>
    <w:p>
      <w:pPr>
        <w:spacing w:after="0" w:line="90" w:lineRule="exact"/>
        <w:rPr>
          <w:sz w:val="20"/>
          <w:szCs w:val="20"/>
          <w:color w:val="auto"/>
        </w:rPr>
      </w:pPr>
    </w:p>
    <w:p>
      <w:pPr>
        <w:ind w:left="40" w:right="279" w:firstLine="259"/>
        <w:spacing w:after="0" w:line="250" w:lineRule="auto"/>
        <w:rPr>
          <w:sz w:val="20"/>
          <w:szCs w:val="20"/>
          <w:color w:val="auto"/>
        </w:rPr>
      </w:pPr>
      <w:r>
        <w:rPr>
          <w:rFonts w:ascii="Times New Roman" w:cs="Times New Roman" w:eastAsia="Times New Roman" w:hAnsi="Times New Roman"/>
          <w:sz w:val="18"/>
          <w:szCs w:val="18"/>
          <w:color w:val="auto"/>
        </w:rPr>
        <w:t>Additionally, awards granted under the 2020 Plan are subject to clawback, recoupment, or adjustment consistent with Calavo’s Clawback Policy and applicable laws. The Compensation Committee has full discretion to enforce clawback provisions on both cash and equity-based compensation when appropriate.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Clawback Provisions</w:t>
      </w:r>
    </w:p>
    <w:p>
      <w:pPr>
        <w:spacing w:after="0" w:line="135" w:lineRule="exact"/>
        <w:rPr>
          <w:sz w:val="20"/>
          <w:szCs w:val="20"/>
          <w:color w:val="auto"/>
        </w:rPr>
      </w:pPr>
    </w:p>
    <w:p>
      <w:pPr>
        <w:ind w:left="40" w:right="99" w:firstLine="259"/>
        <w:spacing w:after="0" w:line="235" w:lineRule="auto"/>
        <w:rPr>
          <w:sz w:val="20"/>
          <w:szCs w:val="20"/>
          <w:color w:val="auto"/>
        </w:rPr>
      </w:pPr>
      <w:r>
        <w:rPr>
          <w:rFonts w:ascii="Times New Roman" w:cs="Times New Roman" w:eastAsia="Times New Roman" w:hAnsi="Times New Roman"/>
          <w:sz w:val="18"/>
          <w:szCs w:val="18"/>
          <w:color w:val="auto"/>
        </w:rPr>
        <w:t>Under the employment agreements for those named executive officers who have such agreements, any incentive-based compensation, or any other compensation, paid is subject to recovery by Calavo under any law, government regulation or stock exchange listing requirement and will be subject to such deductions and “clawback” as may be required to be made pursuant to such law, government regulation or stock exchange listing requirement or which is subject to recovery under any clawback policy adopted by Calavo that is applicable to its executive officers. Calavo will make any determination for clawback or recovery in accordance with its determination of any applicable law or regulation and based upon its review of any clawback policy adopted by Calavo.</w:t>
      </w:r>
    </w:p>
    <w:p>
      <w:pPr>
        <w:spacing w:after="0" w:line="93" w:lineRule="exact"/>
        <w:rPr>
          <w:sz w:val="20"/>
          <w:szCs w:val="20"/>
          <w:color w:val="auto"/>
        </w:rPr>
      </w:pPr>
    </w:p>
    <w:p>
      <w:pPr>
        <w:ind w:left="40" w:right="59" w:firstLine="259"/>
        <w:spacing w:after="0" w:line="232" w:lineRule="auto"/>
        <w:rPr>
          <w:sz w:val="20"/>
          <w:szCs w:val="20"/>
          <w:color w:val="auto"/>
        </w:rPr>
      </w:pPr>
      <w:r>
        <w:rPr>
          <w:rFonts w:ascii="Times New Roman" w:cs="Times New Roman" w:eastAsia="Times New Roman" w:hAnsi="Times New Roman"/>
          <w:sz w:val="18"/>
          <w:szCs w:val="18"/>
          <w:color w:val="auto"/>
        </w:rPr>
        <w:t>The clawback policy applies to Incentive Compensation (as defined in the policy and described below) approved, awarded or granted on or after December 1, 2022 and provides that in the event Calavo is required to prepare an accounting restatement of its financial statements due to Calavo’s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Board will require reimbursement or forfeiture of any excess Incentive Compensation subject to the policy received by a covered executive during the three completed fiscal years immediately preceding the date on which Calavo is required to prepare an accounting restatement. The policy defines “Incentive Compensation” as any compensation granted, earned, or vested based wholly or in part on the attainment of a financial reporting measure, which in turn is a measure determined and presented in accordance with the accounting principles used in preparing Calavo’s financial statements, and any measure that are derived wholly or in part from such measures. 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 Such amount will be computed without regard to any taxes paid by the covered executive.</w:t>
      </w:r>
    </w:p>
    <w:p>
      <w:pPr>
        <w:spacing w:after="0" w:line="90" w:lineRule="exact"/>
        <w:rPr>
          <w:sz w:val="20"/>
          <w:szCs w:val="20"/>
          <w:color w:val="auto"/>
        </w:rPr>
      </w:pPr>
    </w:p>
    <w:p>
      <w:pPr>
        <w:ind w:left="40" w:right="159" w:firstLine="259"/>
        <w:spacing w:after="0" w:line="238" w:lineRule="auto"/>
        <w:rPr>
          <w:sz w:val="20"/>
          <w:szCs w:val="20"/>
          <w:color w:val="auto"/>
        </w:rPr>
      </w:pPr>
      <w:r>
        <w:rPr>
          <w:rFonts w:ascii="Times New Roman" w:cs="Times New Roman" w:eastAsia="Times New Roman" w:hAnsi="Times New Roman"/>
          <w:sz w:val="18"/>
          <w:szCs w:val="18"/>
          <w:color w:val="auto"/>
        </w:rPr>
        <w:t>In addition, under the terms of the 2020 Plan, if, due to the material noncompliance of the Company with any financial reporting requirement of the United States securities laws, rules and regulations, the Company is required to prepare an accounting restatement of its financial statements, the Company will take the following actions with respect to each award that was granted under the 2020 Plan during the three-year period preceding the date on which the Company becomes required to prepare such restatement, regardless as to whether such restatement is attributable to the negligence, fraud or other misconduct of any participant in the 2020 Plan (a “Participant”) or any other person:</w:t>
      </w:r>
    </w:p>
    <w:p>
      <w:pPr>
        <w:spacing w:after="0" w:line="91" w:lineRule="exact"/>
        <w:rPr>
          <w:sz w:val="20"/>
          <w:szCs w:val="20"/>
          <w:color w:val="auto"/>
        </w:rPr>
      </w:pPr>
    </w:p>
    <w:p>
      <w:pPr>
        <w:ind w:left="740" w:right="299" w:hanging="345"/>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award is unpaid, unvested or unexercised, the Company will cancel all or a portion of the award, if and to the extent that the Compensation Committee determines that the award to the Participant was based upon erroneous data contained in the Company’s financial statements and was in excess of the award that the Participant would have received based upon the Company’s restated financial statements;</w:t>
      </w:r>
    </w:p>
    <w:p>
      <w:pPr>
        <w:spacing w:after="0" w:line="103" w:lineRule="exact"/>
        <w:rPr>
          <w:rFonts w:ascii="Times New Roman" w:cs="Times New Roman" w:eastAsia="Times New Roman" w:hAnsi="Times New Roman"/>
          <w:sz w:val="18"/>
          <w:szCs w:val="18"/>
          <w:color w:val="auto"/>
        </w:rPr>
      </w:pPr>
    </w:p>
    <w:p>
      <w:pPr>
        <w:ind w:left="740" w:right="99" w:hanging="345"/>
        <w:spacing w:after="0" w:line="235"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shares have been issued by the Company to the Participant under the award and have vested, the Participant will be required to transfer to the Company, for no consideration, all or a portion of such shares or a cash amount equal to the fair market value of such shares as of the date of the restated financial statements, if and to the extent that the Compensation Committee determines that the award of such shares received by the Participant was based upon erroneous data contained in the Company’s financial statements and was in excess of the shares that the Participant would have received based upon the Company’s restated financial statements; and</w:t>
      </w:r>
    </w:p>
    <w:p>
      <w:pPr>
        <w:spacing w:after="0" w:line="106" w:lineRule="exact"/>
        <w:rPr>
          <w:rFonts w:ascii="Times New Roman" w:cs="Times New Roman" w:eastAsia="Times New Roman" w:hAnsi="Times New Roman"/>
          <w:sz w:val="18"/>
          <w:szCs w:val="18"/>
          <w:color w:val="auto"/>
        </w:rPr>
      </w:pPr>
    </w:p>
    <w:p>
      <w:pPr>
        <w:ind w:left="740" w:right="139" w:hanging="345"/>
        <w:spacing w:after="0" w:line="235"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award has been paid in cash by the Company to the Participant under the award, the Participant will be required to return to the Company, for no consideration, all or a portion of such cash, if and to the extent that the Compensation Committee determines that the award of such cash payment received by the Participant was based upon erroneous data contained in the Company’s financial statements and was in excess of the cash payment that the Participant would have received based upon the Company’s restated financial statements.</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Policy Prohibiting the Hedging or Pledging of Company Stock</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maintain an Anti-Hedging/Anti-Pledging Policy that prohibits our directors and executive officers from:</w:t>
      </w:r>
    </w:p>
    <w:p>
      <w:pPr>
        <w:spacing w:after="0" w:line="90" w:lineRule="exact"/>
        <w:rPr>
          <w:sz w:val="20"/>
          <w:szCs w:val="20"/>
          <w:color w:val="auto"/>
        </w:rPr>
      </w:pPr>
    </w:p>
    <w:p>
      <w:pPr>
        <w:ind w:left="580" w:hanging="185"/>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or derivative transactions involving Calavo securities,</w:t>
      </w:r>
    </w:p>
    <w:p>
      <w:pPr>
        <w:spacing w:after="0" w:line="103" w:lineRule="exact"/>
        <w:rPr>
          <w:rFonts w:ascii="Times New Roman" w:cs="Times New Roman" w:eastAsia="Times New Roman" w:hAnsi="Times New Roman"/>
          <w:sz w:val="18"/>
          <w:szCs w:val="18"/>
          <w:color w:val="auto"/>
        </w:rPr>
      </w:pPr>
    </w:p>
    <w:p>
      <w:pPr>
        <w:ind w:left="580" w:hanging="185"/>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Pledging Calavo securities as collateral for loans,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Short-selling Calavo securities or engaging in other restricted transactions.</w:t>
      </w:r>
    </w:p>
    <w:p>
      <w:pPr>
        <w:spacing w:after="0" w:line="144" w:lineRule="exact"/>
        <w:rPr>
          <w:sz w:val="20"/>
          <w:szCs w:val="20"/>
          <w:color w:val="auto"/>
        </w:rPr>
      </w:pPr>
    </w:p>
    <w:p>
      <w:pPr>
        <w:ind w:left="40" w:right="319" w:firstLine="259"/>
        <w:spacing w:after="0"/>
        <w:rPr>
          <w:sz w:val="20"/>
          <w:szCs w:val="20"/>
          <w:color w:val="auto"/>
        </w:rPr>
      </w:pPr>
      <w:r>
        <w:rPr>
          <w:rFonts w:ascii="Times New Roman" w:cs="Times New Roman" w:eastAsia="Times New Roman" w:hAnsi="Times New Roman"/>
          <w:sz w:val="18"/>
          <w:szCs w:val="18"/>
          <w:color w:val="auto"/>
        </w:rPr>
        <w:t>An exception may be permitted only with written approval from the Board or the Chair of the Nominating and Governance Committee for (i) transactions or positions that predated the policy or (ii) unusual circumstances that do not violate the spirit and intent of the policy. No exceptions will be granted for short sales that violate Section 16(c) of the Exchange Act.</w:t>
      </w:r>
    </w:p>
    <w:p>
      <w:pPr>
        <w:spacing w:after="0" w:line="102" w:lineRule="exact"/>
        <w:rPr>
          <w:sz w:val="20"/>
          <w:szCs w:val="20"/>
          <w:color w:val="auto"/>
        </w:rPr>
      </w:pPr>
    </w:p>
    <w:p>
      <w:pPr>
        <w:ind w:left="40" w:right="799" w:firstLine="259"/>
        <w:spacing w:after="0" w:line="268" w:lineRule="auto"/>
        <w:rPr>
          <w:sz w:val="20"/>
          <w:szCs w:val="20"/>
          <w:color w:val="auto"/>
        </w:rPr>
      </w:pPr>
      <w:r>
        <w:rPr>
          <w:rFonts w:ascii="Times New Roman" w:cs="Times New Roman" w:eastAsia="Times New Roman" w:hAnsi="Times New Roman"/>
          <w:sz w:val="18"/>
          <w:szCs w:val="18"/>
          <w:color w:val="auto"/>
        </w:rPr>
        <w:t>Please see “</w:t>
      </w:r>
      <w:r>
        <w:rPr>
          <w:rFonts w:ascii="Times New Roman" w:cs="Times New Roman" w:eastAsia="Times New Roman" w:hAnsi="Times New Roman"/>
          <w:sz w:val="18"/>
          <w:szCs w:val="18"/>
          <w:i w:val="1"/>
          <w:iCs w:val="1"/>
          <w:color w:val="auto"/>
        </w:rPr>
        <w:t>Item 10. Directors, Executive Officers, and Corporate Governance—Insider Trading Policy</w:t>
      </w:r>
      <w:r>
        <w:rPr>
          <w:rFonts w:ascii="Times New Roman" w:cs="Times New Roman" w:eastAsia="Times New Roman" w:hAnsi="Times New Roman"/>
          <w:sz w:val="18"/>
          <w:szCs w:val="18"/>
          <w:color w:val="auto"/>
        </w:rPr>
        <w:t>” for a description of the Insider Trading Policy.</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Policies and practices for granting certain equity awards</w:t>
      </w:r>
    </w:p>
    <w:p>
      <w:pPr>
        <w:spacing w:after="0" w:line="148" w:lineRule="exact"/>
        <w:rPr>
          <w:sz w:val="20"/>
          <w:szCs w:val="20"/>
          <w:color w:val="auto"/>
        </w:rPr>
      </w:pPr>
    </w:p>
    <w:p>
      <w:pPr>
        <w:ind w:left="40" w:right="159" w:firstLine="259"/>
        <w:spacing w:after="0" w:line="235" w:lineRule="auto"/>
        <w:rPr>
          <w:sz w:val="20"/>
          <w:szCs w:val="20"/>
          <w:color w:val="auto"/>
        </w:rPr>
      </w:pPr>
      <w:r>
        <w:rPr>
          <w:rFonts w:ascii="Times New Roman" w:cs="Times New Roman" w:eastAsia="Times New Roman" w:hAnsi="Times New Roman"/>
          <w:sz w:val="18"/>
          <w:szCs w:val="18"/>
          <w:color w:val="auto"/>
        </w:rPr>
        <w:t>Our policies and practices regarding the granting of equity awards are carefully designed to ensure compliance with applicable securities laws and to maintain the integrity of our compensation program. The Compensation Committee is responsible for the timing and terms of equity awards to executives and other eligible employees. The Company regularly reviews its policies and practices related to equity awards to ensure they meet the evolving standards of corporate governance and continue to serve the best interests of the Company and its shareholders.</w:t>
      </w:r>
    </w:p>
    <w:p>
      <w:pPr>
        <w:spacing w:after="0" w:line="107" w:lineRule="exact"/>
        <w:rPr>
          <w:sz w:val="20"/>
          <w:szCs w:val="20"/>
          <w:color w:val="auto"/>
        </w:rPr>
      </w:pPr>
    </w:p>
    <w:p>
      <w:pPr>
        <w:ind w:left="40" w:right="79" w:firstLine="259"/>
        <w:spacing w:after="0"/>
        <w:rPr>
          <w:sz w:val="20"/>
          <w:szCs w:val="20"/>
          <w:color w:val="auto"/>
        </w:rPr>
      </w:pPr>
      <w:r>
        <w:rPr>
          <w:rFonts w:ascii="Times New Roman" w:cs="Times New Roman" w:eastAsia="Times New Roman" w:hAnsi="Times New Roman"/>
          <w:sz w:val="18"/>
          <w:szCs w:val="18"/>
          <w:color w:val="auto"/>
        </w:rPr>
        <w:t>During fiscal year 2025, the Company did not grant stock options (or similar awards) to any named executive officer or anyone else at any time including during any period beginning four business days before and ending one day after the filing of any Company periodic report on Form 10-Q or Form 10-K, or the filing or furnishing of any Company Form 8-K that disclosed any material non-public information.</w:t>
      </w:r>
    </w:p>
    <w:p>
      <w:pPr>
        <w:spacing w:after="0" w:line="117" w:lineRule="exact"/>
        <w:rPr>
          <w:sz w:val="20"/>
          <w:szCs w:val="20"/>
          <w:color w:val="auto"/>
        </w:rPr>
      </w:pPr>
    </w:p>
    <w:p>
      <w:pPr>
        <w:ind w:left="40" w:right="99" w:firstLine="259"/>
        <w:spacing w:after="0"/>
        <w:rPr>
          <w:sz w:val="20"/>
          <w:szCs w:val="20"/>
          <w:color w:val="auto"/>
        </w:rPr>
      </w:pPr>
      <w:r>
        <w:rPr>
          <w:rFonts w:ascii="Times New Roman" w:cs="Times New Roman" w:eastAsia="Times New Roman" w:hAnsi="Times New Roman"/>
          <w:sz w:val="18"/>
          <w:szCs w:val="18"/>
          <w:color w:val="auto"/>
        </w:rPr>
        <w:t>In certain years, the Company has granted stock options to its employees (other than executive officers) annually after a meeting of the Compensation Committee, and during an open trading window under the Company’s insider trading policy. The Company does not time nor does it plan to time the release of material, non-public information for the purpose of affecting the value of employee compensation.</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148" w:lineRule="exact"/>
        <w:rPr>
          <w:sz w:val="20"/>
          <w:szCs w:val="20"/>
          <w:color w:val="auto"/>
        </w:rPr>
      </w:pPr>
    </w:p>
    <w:p>
      <w:pPr>
        <w:ind w:left="40" w:right="219" w:firstLine="259"/>
        <w:spacing w:after="0" w:line="233" w:lineRule="auto"/>
        <w:rPr>
          <w:sz w:val="20"/>
          <w:szCs w:val="20"/>
          <w:color w:val="auto"/>
        </w:rPr>
      </w:pPr>
      <w:r>
        <w:rPr>
          <w:rFonts w:ascii="Times New Roman" w:cs="Times New Roman" w:eastAsia="Times New Roman" w:hAnsi="Times New Roman"/>
          <w:sz w:val="18"/>
          <w:szCs w:val="18"/>
          <w:color w:val="auto"/>
        </w:rPr>
        <w:t>Prior to the Tax Cuts and Jobs Act of 2017 (“TCJA”), Section 162(m) of the Internal Revenue Code of 1986, as amended (the “Code”) generally disallowed a tax deduction to publicly held companies for compensation paid to certain executive officers in excess of $1 million per officer in any year that did not qualify as performance based. Under the TCJA, the performance-based exception has been repealed and the $1 million deduction limit now applies to anyone serving (or who has served) as the chief executive officer or the chief financial officer at any time during a fiscal year and the top three other highest compensated executive officers serving at any fiscal year-end. While the Compensation Committee considers tax deductibility as one of many factors in determining executive compensation, the Compensation Committee will award compensation that it determines to be consistent with the goals of our executive compensation program even if such compensation is not fully tax deductible.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35" w:lineRule="exact"/>
        <w:rPr>
          <w:sz w:val="20"/>
          <w:szCs w:val="20"/>
          <w:color w:val="auto"/>
        </w:rPr>
      </w:pPr>
    </w:p>
    <w:p>
      <w:pPr>
        <w:ind w:left="40" w:right="139" w:firstLine="259"/>
        <w:spacing w:after="0" w:line="233" w:lineRule="auto"/>
        <w:rPr>
          <w:sz w:val="20"/>
          <w:szCs w:val="20"/>
          <w:color w:val="auto"/>
        </w:rPr>
      </w:pPr>
      <w:r>
        <w:rPr>
          <w:rFonts w:ascii="Times New Roman" w:cs="Times New Roman" w:eastAsia="Times New Roman" w:hAnsi="Times New Roman"/>
          <w:sz w:val="18"/>
          <w:szCs w:val="18"/>
          <w:color w:val="auto"/>
        </w:rPr>
        <w:t>Adjusted Net Income (loss) is defined as net income (loss) from continuing operations attributable to Calavo Growers, Inc. excluding (1) acquisition-related costs, (2) restructuring-related costs, including certain severance costs, (3) certain litigation, internal investigation and other related costs, (4) foreign currency loss (gain), (5) asset impairments, (6) impact of discrete tariff or other tax charges that are distortive to results, and (7) one-time items. Adjusted Net Income (loss) and the related measure of Adjusted Net Income (loss) per diluted share exclude certain items that are recognized and recorded under GAAP in particular periods but might be viewed as not necessarily coinciding with the underlying business operations for the periods in which they are so recognized and recorded. Management believes Adjusted Net Income (loss) affords investors a different view of the overall financial performance of the Company than Adjusted EBITDA and the GAAP measure of Net Income (loss) from continuing operations.</w:t>
      </w:r>
    </w:p>
    <w:p>
      <w:pPr>
        <w:spacing w:after="0" w:line="108" w:lineRule="exact"/>
        <w:rPr>
          <w:sz w:val="20"/>
          <w:szCs w:val="20"/>
          <w:color w:val="auto"/>
        </w:rPr>
      </w:pPr>
    </w:p>
    <w:p>
      <w:pPr>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Management believes this measure is useful to investors because they (i) help isolate unusual items not indicative of ongoing operations and (ii) reflect how management monitors operating performance and allocates resources.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40" w:right="79" w:firstLine="259"/>
        <w:spacing w:after="0" w:line="242" w:lineRule="auto"/>
        <w:rPr>
          <w:sz w:val="20"/>
          <w:szCs w:val="20"/>
          <w:color w:val="auto"/>
        </w:rPr>
      </w:pPr>
      <w:r>
        <w:rPr>
          <w:rFonts w:ascii="Times New Roman" w:cs="Times New Roman" w:eastAsia="Times New Roman" w:hAnsi="Times New Roman"/>
          <w:sz w:val="18"/>
          <w:szCs w:val="18"/>
          <w:color w:val="auto"/>
        </w:rPr>
        <w:t>The following table presents Adjusted Net Income (loss) and Adjusted Net Income (loss) per diluted share, each a non-GAAP measure, and reconciles them to Net Income (loss) attributable to Calavo Growers, Inc., and Diluted EPS, which are the most directly comparable GAAP measures.</w:t>
      </w:r>
    </w:p>
    <w:p>
      <w:pPr>
        <w:spacing w:after="0" w:line="204" w:lineRule="exact"/>
        <w:rPr>
          <w:sz w:val="20"/>
          <w:szCs w:val="20"/>
          <w:color w:val="auto"/>
        </w:rPr>
      </w:pPr>
    </w:p>
    <w:tbl>
      <w:tblPr>
        <w:tblLayout w:type="fixed"/>
        <w:tblInd w:w="380" w:type="dxa"/>
        <w:tblCellMar>
          <w:top w:w="0" w:type="dxa"/>
          <w:left w:w="0" w:type="dxa"/>
          <w:bottom w:w="0" w:type="dxa"/>
          <w:right w:w="0" w:type="dxa"/>
        </w:tblCellMar>
      </w:tblPr>
      <w:tr>
        <w:trPr>
          <w:trHeight w:val="173"/>
        </w:trPr>
        <w:tc>
          <w:tcPr>
            <w:tcW w:w="5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20" w:type="dxa"/>
            <w:vAlign w:val="bottom"/>
          </w:tcPr>
          <w:p>
            <w:pPr>
              <w:spacing w:after="0"/>
              <w:rPr>
                <w:sz w:val="15"/>
                <w:szCs w:val="15"/>
                <w:color w:val="auto"/>
              </w:rPr>
            </w:pPr>
          </w:p>
        </w:tc>
      </w:tr>
      <w:tr>
        <w:trPr>
          <w:trHeight w:val="142"/>
        </w:trPr>
        <w:tc>
          <w:tcPr>
            <w:tcW w:w="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60" w:type="dxa"/>
            <w:vAlign w:val="bottom"/>
            <w:gridSpan w:val="2"/>
          </w:tcPr>
          <w:p>
            <w:pPr>
              <w:jc w:val="right"/>
              <w:ind w:right="42"/>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October 31, 2025</w:t>
            </w:r>
          </w:p>
        </w:tc>
        <w:tc>
          <w:tcPr>
            <w:tcW w:w="20" w:type="dxa"/>
            <w:vAlign w:val="bottom"/>
          </w:tcPr>
          <w:p>
            <w:pPr>
              <w:spacing w:after="0"/>
              <w:rPr>
                <w:sz w:val="12"/>
                <w:szCs w:val="12"/>
                <w:color w:val="auto"/>
              </w:rPr>
            </w:pPr>
          </w:p>
        </w:tc>
      </w:tr>
      <w:tr>
        <w:trPr>
          <w:trHeight w:val="209"/>
        </w:trPr>
        <w:tc>
          <w:tcPr>
            <w:tcW w:w="560" w:type="dxa"/>
            <w:vAlign w:val="bottom"/>
          </w:tcPr>
          <w:p>
            <w:pPr>
              <w:spacing w:after="0"/>
              <w:rPr>
                <w:sz w:val="18"/>
                <w:szCs w:val="18"/>
                <w:color w:val="auto"/>
              </w:rPr>
            </w:pPr>
          </w:p>
        </w:tc>
        <w:tc>
          <w:tcPr>
            <w:tcW w:w="5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19,970</w:t>
            </w:r>
          </w:p>
        </w:tc>
        <w:tc>
          <w:tcPr>
            <w:tcW w:w="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18"/>
                <w:szCs w:val="18"/>
                <w:color w:val="auto"/>
              </w:rPr>
            </w:pPr>
          </w:p>
        </w:tc>
      </w:tr>
      <w:tr>
        <w:trPr>
          <w:trHeight w:val="198"/>
        </w:trPr>
        <w:tc>
          <w:tcPr>
            <w:tcW w:w="560" w:type="dxa"/>
            <w:vAlign w:val="bottom"/>
          </w:tcPr>
          <w:p>
            <w:pPr>
              <w:spacing w:after="0"/>
              <w:rPr>
                <w:sz w:val="17"/>
                <w:szCs w:val="17"/>
                <w:color w:val="auto"/>
              </w:rPr>
            </w:pPr>
          </w:p>
        </w:tc>
        <w:tc>
          <w:tcPr>
            <w:tcW w:w="54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from continuing operations attributable to Calavo</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560" w:type="dxa"/>
            <w:vAlign w:val="bottom"/>
          </w:tcPr>
          <w:p>
            <w:pPr>
              <w:spacing w:after="0"/>
              <w:rPr>
                <w:sz w:val="20"/>
                <w:szCs w:val="20"/>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Growers, Inc.</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20" w:type="dxa"/>
            <w:vAlign w:val="bottom"/>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 (a)</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fees related to internal investigation and related expenses (b)</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gain (c)</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Tariffs (d)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FDA regulatory hold-related charges (e)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tomato grower advances (f)</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 of adjustments (h)</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net income from continuing operations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28,907</w:t>
            </w:r>
          </w:p>
        </w:tc>
        <w:tc>
          <w:tcPr>
            <w:tcW w:w="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Calavo Growers, Inc.’s continuing operations per share: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 from continuing operations (GAAP)</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net income from continuing operations per diluted share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17,897</w:t>
            </w:r>
          </w:p>
        </w:tc>
        <w:tc>
          <w:tcPr>
            <w:tcW w:w="20" w:type="dxa"/>
            <w:vAlign w:val="bottom"/>
          </w:tcPr>
          <w:p>
            <w:pPr>
              <w:spacing w:after="0"/>
              <w:rPr>
                <w:sz w:val="18"/>
                <w:szCs w:val="18"/>
                <w:color w:val="auto"/>
              </w:rPr>
            </w:pPr>
          </w:p>
        </w:tc>
      </w:tr>
      <w:tr>
        <w:trPr>
          <w:trHeight w:val="95"/>
        </w:trPr>
        <w:tc>
          <w:tcPr>
            <w:tcW w:w="5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63" w:lineRule="exact"/>
        <w:rPr>
          <w:sz w:val="20"/>
          <w:szCs w:val="20"/>
          <w:color w:val="auto"/>
        </w:rPr>
      </w:pPr>
    </w:p>
    <w:p>
      <w:pPr>
        <w:ind w:left="720" w:right="79" w:hanging="325"/>
        <w:spacing w:after="0" w:line="255"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twelve months ended October 31, 2025, we incurred $2.0 million. “Mexican tax matters” refers to proceedings with the Mexican Tax Administration Service (SAT), including the recovery of value added tax (IVA) receivables, the 2013 assessment, and legal and advisory services connected to the recent court recognition of Calavo de México as a maquila. Additional information is provided in the Original Form 10-K.</w:t>
      </w:r>
    </w:p>
    <w:p>
      <w:pPr>
        <w:spacing w:after="0" w:line="2" w:lineRule="exact"/>
        <w:rPr>
          <w:rFonts w:ascii="Times New Roman" w:cs="Times New Roman" w:eastAsia="Times New Roman" w:hAnsi="Times New Roman"/>
          <w:sz w:val="18"/>
          <w:szCs w:val="18"/>
          <w:color w:val="auto"/>
        </w:rPr>
      </w:pPr>
    </w:p>
    <w:p>
      <w:pPr>
        <w:ind w:left="720" w:right="239" w:hanging="325"/>
        <w:spacing w:after="0" w:line="250"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twelve months ended October 31, 2025, we incurred $0.9 million of professional fee expenses related to the FCPA investigation in Mexico.</w:t>
      </w:r>
    </w:p>
    <w:p>
      <w:pPr>
        <w:ind w:left="720" w:right="619" w:hanging="325"/>
        <w:spacing w:after="0" w:line="250"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remeasurement gains, net of losses, were $1.8 million for the twelve-month period ended October 31, 2025.</w:t>
      </w:r>
    </w:p>
    <w:p>
      <w:pPr>
        <w:ind w:left="720" w:right="79" w:hanging="325"/>
        <w:spacing w:after="0" w:line="250"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twelve months ended October 31, 2025, we incurred less than $1.0 million in costs related to tariffs. These costs were primarily attributable to tariffs levied on United States-Mexico-Canada Agreement (USMCA) compliant goods sourced from Mexico during a discrete three-day period (March 4, 2025 through March 6, 2025) before being lifted. The remaining amounts relate primarily to tariffs on certain avocado imports that were also temporary in nature. We were unable to pass these costs on to customers, and we believe they are not indicative of our ongoing operating results.</w:t>
      </w:r>
    </w:p>
    <w:p>
      <w:pPr>
        <w:spacing w:after="0" w:line="2" w:lineRule="exact"/>
        <w:rPr>
          <w:rFonts w:ascii="Times New Roman" w:cs="Times New Roman" w:eastAsia="Times New Roman" w:hAnsi="Times New Roman"/>
          <w:sz w:val="18"/>
          <w:szCs w:val="18"/>
          <w:color w:val="auto"/>
        </w:rPr>
      </w:pPr>
    </w:p>
    <w:p>
      <w:pPr>
        <w:ind w:left="720" w:right="159" w:hanging="325"/>
        <w:spacing w:after="0" w:line="253"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third-party inspection and testing costs, incremental logistics/handling expenses, and inventory write-downs on fruit diverted or sold at distressed prices, resulting from the temporary FDA detention hold on certain avocado imports from Mexico during our third and fourth fiscal quarter of 2025. We view these costs as unusual and non-recurring.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39" w:hanging="325"/>
        <w:spacing w:after="0" w:line="257"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charge recorded in fiscal 2025 to resolve a grower advance balance associated with a tomato program from fiscal years 2021 through 2023. The charge reflects updated recovery considerations and is not indicative of current operations or sourcing activities.</w:t>
      </w:r>
    </w:p>
    <w:p>
      <w:pPr>
        <w:spacing w:after="0" w:line="1" w:lineRule="exact"/>
        <w:rPr>
          <w:rFonts w:ascii="Times New Roman" w:cs="Times New Roman" w:eastAsia="Times New Roman" w:hAnsi="Times New Roman"/>
          <w:sz w:val="18"/>
          <w:szCs w:val="18"/>
          <w:color w:val="auto"/>
        </w:rPr>
      </w:pPr>
    </w:p>
    <w:p>
      <w:pPr>
        <w:ind w:left="720" w:right="139" w:hanging="325"/>
        <w:spacing w:after="0" w:line="250"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other costs outside the normal course of operations, consisting primarily of finance organization recruiting and transition-related costs, legal settlement expenses, and professional fees and related costs incurred in connection with the activities of a special committee of the Board of Directors established to evaluate potential strategic transactions. We believe these costs are not indicative of our ongoing operating results.</w:t>
      </w:r>
    </w:p>
    <w:p>
      <w:pPr>
        <w:spacing w:after="0" w:line="1"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impact of non-GAAP adjustments are based on effective year-to-date tax rates.</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35" w:lineRule="exact"/>
        <w:rPr>
          <w:sz w:val="20"/>
          <w:szCs w:val="20"/>
          <w:color w:val="auto"/>
        </w:rPr>
      </w:pPr>
    </w:p>
    <w:p>
      <w:pPr>
        <w:ind w:left="40" w:right="359" w:firstLine="259"/>
        <w:spacing w:after="0"/>
        <w:rPr>
          <w:sz w:val="20"/>
          <w:szCs w:val="20"/>
          <w:color w:val="auto"/>
        </w:rPr>
      </w:pPr>
      <w:r>
        <w:rPr>
          <w:rFonts w:ascii="Times New Roman" w:cs="Times New Roman" w:eastAsia="Times New Roman" w:hAnsi="Times New Roman"/>
          <w:sz w:val="18"/>
          <w:szCs w:val="18"/>
          <w:color w:val="auto"/>
        </w:rPr>
        <w:t>The Compensation Committee of the Board of Directors of Calavo Growers, Inc. has reviewed and discussed the foregoing Compensation Discussion and Analysis with the management of the Company. Based on this review and discussion, the Compensation Committee unanimously recommends that the Compensation Discussion and Analysis be included in this Annual Report on Form 10-K, as amended.</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Steven Hollister, Chair</w:t>
      </w:r>
    </w:p>
    <w:p>
      <w:pPr>
        <w:ind w:left="40"/>
        <w:spacing w:after="0" w:line="234" w:lineRule="auto"/>
        <w:rPr>
          <w:sz w:val="20"/>
          <w:szCs w:val="20"/>
          <w:color w:val="auto"/>
        </w:rPr>
      </w:pPr>
      <w:r>
        <w:rPr>
          <w:rFonts w:ascii="Times New Roman" w:cs="Times New Roman" w:eastAsia="Times New Roman" w:hAnsi="Times New Roman"/>
          <w:sz w:val="18"/>
          <w:szCs w:val="18"/>
          <w:color w:val="auto"/>
        </w:rPr>
        <w:t>Michael DiGregorio</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Kathleen M. Holmgren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right="219" w:firstLine="259"/>
        <w:spacing w:after="0"/>
        <w:rPr>
          <w:sz w:val="20"/>
          <w:szCs w:val="20"/>
          <w:color w:val="auto"/>
        </w:rPr>
      </w:pPr>
      <w:r>
        <w:rPr>
          <w:rFonts w:ascii="Times New Roman" w:cs="Times New Roman" w:eastAsia="Times New Roman" w:hAnsi="Times New Roman"/>
          <w:sz w:val="18"/>
          <w:szCs w:val="18"/>
          <w:color w:val="auto"/>
        </w:rPr>
        <w:t>The following table presents the annual compensation for each individual who served as Chief Executive Officer or Chief Financial Officer during fiscal year 2025, as well as our three other highest-paid executive officers. This includes individuals who served in these capacities for only a portion of fiscal year 2025, as required by Item 402 of Regulation S-K.</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120"/>
              <w:spacing w:after="0" w:line="128" w:lineRule="exact"/>
              <w:rPr>
                <w:sz w:val="20"/>
                <w:szCs w:val="20"/>
                <w:color w:val="auto"/>
              </w:rPr>
            </w:pPr>
            <w:r>
              <w:rPr>
                <w:rFonts w:ascii="Times New Roman" w:cs="Times New Roman" w:eastAsia="Times New Roman" w:hAnsi="Times New Roman"/>
                <w:sz w:val="13"/>
                <w:szCs w:val="13"/>
                <w:b w:val="1"/>
                <w:bCs w:val="1"/>
                <w:color w:val="auto"/>
              </w:rPr>
              <w:t>Stock</w:t>
            </w: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w w:val="99"/>
              </w:rPr>
              <w:t xml:space="preserve">​​​Option Awards </w:t>
            </w:r>
            <w:r>
              <w:rPr>
                <w:rFonts w:ascii="Times New Roman" w:cs="Times New Roman" w:eastAsia="Times New Roman" w:hAnsi="Times New Roman"/>
                <w:sz w:val="13"/>
                <w:szCs w:val="13"/>
                <w:b w:val="1"/>
                <w:bCs w:val="1"/>
                <w:u w:val="single" w:color="auto"/>
                <w:color w:val="auto"/>
                <w:w w:val="99"/>
              </w:rPr>
              <w:t>($</w:t>
            </w:r>
            <w:r>
              <w:rPr>
                <w:rFonts w:ascii="Times New Roman" w:cs="Times New Roman" w:eastAsia="Times New Roman" w:hAnsi="Times New Roman"/>
                <w:sz w:val="13"/>
                <w:szCs w:val="13"/>
                <w:b w:val="1"/>
                <w:bCs w:val="1"/>
                <w:color w:val="auto"/>
                <w:w w:val="99"/>
              </w:rPr>
              <w:t>)</w:t>
            </w:r>
            <w:r>
              <w:rPr>
                <w:rFonts w:ascii="Times New Roman" w:cs="Times New Roman" w:eastAsia="Times New Roman" w:hAnsi="Times New Roman"/>
                <w:sz w:val="18"/>
                <w:szCs w:val="18"/>
                <w:b w:val="1"/>
                <w:bCs w:val="1"/>
                <w:color w:val="auto"/>
                <w:w w:val="99"/>
                <w:vertAlign w:val="superscript"/>
              </w:rPr>
              <w:t>(15)</w:t>
            </w:r>
          </w:p>
        </w:tc>
        <w:tc>
          <w:tcPr>
            <w:tcW w:w="100" w:type="dxa"/>
            <w:vAlign w:val="bottom"/>
          </w:tcPr>
          <w:p>
            <w:pPr>
              <w:spacing w:after="0"/>
              <w:rPr>
                <w:sz w:val="11"/>
                <w:szCs w:val="11"/>
                <w:color w:val="auto"/>
              </w:rPr>
            </w:pPr>
          </w:p>
        </w:tc>
        <w:tc>
          <w:tcPr>
            <w:tcW w:w="96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b w:val="1"/>
                <w:bCs w:val="1"/>
                <w:color w:val="auto"/>
              </w:rPr>
              <w:t>Incentive Plan</w:t>
            </w:r>
          </w:p>
        </w:tc>
        <w:tc>
          <w:tcPr>
            <w:tcW w:w="140" w:type="dxa"/>
            <w:vAlign w:val="bottom"/>
          </w:tcPr>
          <w:p>
            <w:pPr>
              <w:spacing w:after="0"/>
              <w:rPr>
                <w:sz w:val="11"/>
                <w:szCs w:val="11"/>
                <w:color w:val="auto"/>
              </w:rPr>
            </w:pPr>
          </w:p>
        </w:tc>
        <w:tc>
          <w:tcPr>
            <w:tcW w:w="980" w:type="dxa"/>
            <w:vAlign w:val="bottom"/>
          </w:tcPr>
          <w:p>
            <w:pPr>
              <w:jc w:val="right"/>
              <w:ind w:right="160"/>
              <w:spacing w:after="0" w:line="128" w:lineRule="exact"/>
              <w:rPr>
                <w:sz w:val="20"/>
                <w:szCs w:val="20"/>
                <w:color w:val="auto"/>
              </w:rPr>
            </w:pPr>
            <w:r>
              <w:rPr>
                <w:rFonts w:ascii="Times New Roman" w:cs="Times New Roman" w:eastAsia="Times New Roman" w:hAnsi="Times New Roman"/>
                <w:sz w:val="13"/>
                <w:szCs w:val="13"/>
                <w:b w:val="1"/>
                <w:bCs w:val="1"/>
                <w:color w:val="auto"/>
              </w:rPr>
              <w:t>All Other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​​​Year</w:t>
            </w:r>
          </w:p>
        </w:tc>
        <w:tc>
          <w:tcPr>
            <w:tcW w:w="1380" w:type="dxa"/>
            <w:vAlign w:val="bottom"/>
            <w:gridSpan w:val="6"/>
          </w:tcPr>
          <w:p>
            <w:pPr>
              <w:ind w:left="80"/>
              <w:spacing w:after="0"/>
              <w:rPr>
                <w:sz w:val="20"/>
                <w:szCs w:val="20"/>
                <w:color w:val="auto"/>
              </w:rPr>
            </w:pPr>
            <w:r>
              <w:rPr>
                <w:rFonts w:ascii="Times New Roman" w:cs="Times New Roman" w:eastAsia="Times New Roman" w:hAnsi="Times New Roman"/>
                <w:sz w:val="13"/>
                <w:szCs w:val="13"/>
                <w:b w:val="1"/>
                <w:bCs w:val="1"/>
                <w:color w:val="auto"/>
              </w:rPr>
              <w:t xml:space="preserve">​​​Salary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 xml:space="preserve">) ​​​Bonus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w:t>
            </w:r>
          </w:p>
        </w:tc>
        <w:tc>
          <w:tcPr>
            <w:tcW w:w="940" w:type="dxa"/>
            <w:vAlign w:val="bottom"/>
            <w:gridSpan w:val="4"/>
          </w:tcPr>
          <w:p>
            <w:pPr>
              <w:ind w:left="60"/>
              <w:spacing w:after="0" w:line="162" w:lineRule="exact"/>
              <w:rPr>
                <w:sz w:val="20"/>
                <w:szCs w:val="20"/>
                <w:color w:val="auto"/>
              </w:rPr>
            </w:pPr>
            <w:r>
              <w:rPr>
                <w:rFonts w:ascii="Times New Roman" w:cs="Times New Roman" w:eastAsia="Times New Roman" w:hAnsi="Times New Roman"/>
                <w:sz w:val="13"/>
                <w:szCs w:val="13"/>
                <w:b w:val="1"/>
                <w:bCs w:val="1"/>
                <w:color w:val="auto"/>
              </w:rPr>
              <w:t>​​​Awards ($)</w:t>
            </w:r>
            <w:r>
              <w:rPr>
                <w:rFonts w:ascii="Times New Roman" w:cs="Times New Roman" w:eastAsia="Times New Roman" w:hAnsi="Times New Roman"/>
                <w:sz w:val="18"/>
                <w:szCs w:val="18"/>
                <w:b w:val="1"/>
                <w:bCs w:val="1"/>
                <w:color w:val="auto"/>
                <w:vertAlign w:val="superscript"/>
              </w:rPr>
              <w:t>(15)</w:t>
            </w:r>
          </w:p>
        </w:tc>
        <w:tc>
          <w:tcPr>
            <w:tcW w:w="1300" w:type="dxa"/>
            <w:vAlign w:val="bottom"/>
            <w:gridSpan w:val="3"/>
            <w:vMerge w:val="continue"/>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 xml:space="preserve">​​​Compensation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w:t>
            </w:r>
          </w:p>
        </w:tc>
        <w:tc>
          <w:tcPr>
            <w:tcW w:w="18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​​​Compensation ($) ​​​ Total ($)</w:t>
            </w:r>
          </w:p>
        </w:tc>
        <w:tc>
          <w:tcPr>
            <w:tcW w:w="0" w:type="dxa"/>
            <w:vAlign w:val="bottom"/>
          </w:tcPr>
          <w:p>
            <w:pPr>
              <w:spacing w:after="0"/>
              <w:rPr>
                <w:sz w:val="1"/>
                <w:szCs w:val="1"/>
                <w:color w:val="auto"/>
              </w:rPr>
            </w:pPr>
          </w:p>
        </w:tc>
      </w:tr>
      <w:tr>
        <w:trPr>
          <w:trHeight w:val="110"/>
        </w:trPr>
        <w:tc>
          <w:tcPr>
            <w:tcW w:w="1940" w:type="dxa"/>
            <w:vAlign w:val="bottom"/>
            <w:tcBorders>
              <w:top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9"/>
                <w:szCs w:val="9"/>
                <w:b w:val="1"/>
                <w:bCs w:val="1"/>
                <w:color w:val="auto"/>
              </w:rPr>
              <w:t>Lecil Cole</w:t>
            </w:r>
            <w:r>
              <w:rPr>
                <w:rFonts w:ascii="Times New Roman" w:cs="Times New Roman" w:eastAsia="Times New Roman" w:hAnsi="Times New Roman"/>
                <w:sz w:val="12"/>
                <w:szCs w:val="12"/>
                <w:b w:val="1"/>
                <w:bCs w:val="1"/>
                <w:color w:val="auto"/>
                <w:vertAlign w:val="superscript"/>
              </w:rPr>
              <w:t>(1)</w:t>
            </w:r>
          </w:p>
        </w:tc>
        <w:tc>
          <w:tcPr>
            <w:tcW w:w="14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w w:val="99"/>
              </w:rPr>
              <w:t>2025</w:t>
            </w:r>
          </w:p>
        </w:tc>
        <w:tc>
          <w:tcPr>
            <w:tcW w:w="14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68,240</w:t>
            </w:r>
          </w:p>
        </w:tc>
        <w:tc>
          <w:tcPr>
            <w:tcW w:w="1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16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ind w:left="800"/>
              <w:spacing w:after="0" w:line="11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11,617</w:t>
            </w:r>
          </w:p>
        </w:tc>
        <w:tc>
          <w:tcPr>
            <w:tcW w:w="160" w:type="dxa"/>
            <w:vAlign w:val="bottom"/>
            <w:tcBorders>
              <w:top w:val="single" w:sz="8" w:color="CCEEFF"/>
            </w:tcBorders>
            <w:shd w:val="clear" w:color="auto" w:fill="CCEEFF"/>
          </w:tcPr>
          <w:p>
            <w:pPr>
              <w:spacing w:after="0" w:line="103" w:lineRule="exact"/>
              <w:rPr>
                <w:sz w:val="20"/>
                <w:szCs w:val="20"/>
                <w:color w:val="auto"/>
              </w:rPr>
            </w:pPr>
            <w:r>
              <w:rPr>
                <w:rFonts w:ascii="Times New Roman" w:cs="Times New Roman" w:eastAsia="Times New Roman" w:hAnsi="Times New Roman"/>
                <w:sz w:val="9"/>
                <w:szCs w:val="9"/>
                <w:color w:val="auto"/>
              </w:rPr>
              <w:t>(2)</w:t>
            </w:r>
          </w:p>
        </w:tc>
        <w:tc>
          <w:tcPr>
            <w:tcW w:w="56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79,857</w:t>
            </w: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Former Chief Executive Officer</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2"/>
              </w:rPr>
              <w:t>2024</w:t>
            </w:r>
          </w:p>
        </w:tc>
        <w:tc>
          <w:tcPr>
            <w:tcW w:w="6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66,160</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ind w:left="8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11,600</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77,760</w:t>
            </w:r>
          </w:p>
        </w:tc>
        <w:tc>
          <w:tcPr>
            <w:tcW w:w="0" w:type="dxa"/>
            <w:vAlign w:val="bottom"/>
          </w:tcPr>
          <w:p>
            <w:pPr>
              <w:spacing w:after="0"/>
              <w:rPr>
                <w:sz w:val="1"/>
                <w:szCs w:val="1"/>
                <w:color w:val="auto"/>
              </w:rPr>
            </w:pPr>
          </w:p>
        </w:tc>
      </w:tr>
      <w:tr>
        <w:trPr>
          <w:trHeight w:val="153"/>
        </w:trPr>
        <w:tc>
          <w:tcPr>
            <w:tcW w:w="1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2023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41,515</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1,840,000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9,819</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1,891,334</w:t>
            </w:r>
          </w:p>
        </w:tc>
        <w:tc>
          <w:tcPr>
            <w:tcW w:w="0" w:type="dxa"/>
            <w:vAlign w:val="bottom"/>
          </w:tcPr>
          <w:p>
            <w:pPr>
              <w:spacing w:after="0"/>
              <w:rPr>
                <w:sz w:val="1"/>
                <w:szCs w:val="1"/>
                <w:color w:val="auto"/>
              </w:rPr>
            </w:pPr>
          </w:p>
        </w:tc>
      </w:tr>
      <w:tr>
        <w:trPr>
          <w:trHeight w:val="117"/>
        </w:trPr>
        <w:tc>
          <w:tcPr>
            <w:tcW w:w="1940" w:type="dxa"/>
            <w:vAlign w:val="bottom"/>
          </w:tcPr>
          <w:p>
            <w:pPr>
              <w:spacing w:after="0" w:line="117" w:lineRule="exact"/>
              <w:rPr>
                <w:sz w:val="20"/>
                <w:szCs w:val="20"/>
                <w:color w:val="auto"/>
              </w:rPr>
            </w:pPr>
            <w:r>
              <w:rPr>
                <w:rFonts w:ascii="Times New Roman" w:cs="Times New Roman" w:eastAsia="Times New Roman" w:hAnsi="Times New Roman"/>
                <w:sz w:val="10"/>
                <w:szCs w:val="10"/>
                <w:b w:val="1"/>
                <w:bCs w:val="1"/>
                <w:color w:val="auto"/>
              </w:rPr>
              <w:t>Shawn Munsell</w:t>
            </w:r>
            <w:r>
              <w:rPr>
                <w:rFonts w:ascii="Times New Roman" w:cs="Times New Roman" w:eastAsia="Times New Roman" w:hAnsi="Times New Roman"/>
                <w:sz w:val="13"/>
                <w:szCs w:val="13"/>
                <w:b w:val="1"/>
                <w:bCs w:val="1"/>
                <w:color w:val="auto"/>
                <w:vertAlign w:val="superscript"/>
              </w:rPr>
              <w:t>(3)</w:t>
            </w:r>
          </w:p>
        </w:tc>
        <w:tc>
          <w:tcPr>
            <w:tcW w:w="140" w:type="dxa"/>
            <w:vAlign w:val="bottom"/>
          </w:tcPr>
          <w:p>
            <w:pPr>
              <w:spacing w:after="0"/>
              <w:rPr>
                <w:sz w:val="10"/>
                <w:szCs w:val="10"/>
                <w:color w:val="auto"/>
              </w:rPr>
            </w:pPr>
          </w:p>
        </w:tc>
        <w:tc>
          <w:tcPr>
            <w:tcW w:w="3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w w:val="92"/>
              </w:rPr>
              <w:t>2025</w:t>
            </w:r>
          </w:p>
        </w:tc>
        <w:tc>
          <w:tcPr>
            <w:tcW w:w="6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106,177</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94,629</w:t>
            </w:r>
          </w:p>
        </w:tc>
        <w:tc>
          <w:tcPr>
            <w:tcW w:w="20" w:type="dxa"/>
            <w:vAlign w:val="bottom"/>
          </w:tcPr>
          <w:p>
            <w:pPr>
              <w:spacing w:after="0"/>
              <w:rPr>
                <w:sz w:val="10"/>
                <w:szCs w:val="1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9"/>
                <w:szCs w:val="9"/>
                <w:color w:val="auto"/>
              </w:rPr>
              <w:t>(4)</w:t>
            </w:r>
          </w:p>
        </w:tc>
        <w:tc>
          <w:tcPr>
            <w:tcW w:w="100" w:type="dxa"/>
            <w:vAlign w:val="bottom"/>
          </w:tcPr>
          <w:p>
            <w:pPr>
              <w:spacing w:after="0"/>
              <w:rPr>
                <w:sz w:val="10"/>
                <w:szCs w:val="10"/>
                <w:color w:val="auto"/>
              </w:rPr>
            </w:pPr>
          </w:p>
        </w:tc>
        <w:tc>
          <w:tcPr>
            <w:tcW w:w="680" w:type="dxa"/>
            <w:vAlign w:val="bottom"/>
            <w:gridSpan w:val="2"/>
          </w:tcPr>
          <w:p>
            <w:pPr>
              <w:jc w:val="right"/>
              <w:ind w:right="80"/>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200" w:type="dxa"/>
            <w:vAlign w:val="bottom"/>
            <w:gridSpan w:val="2"/>
          </w:tcPr>
          <w:p>
            <w:pPr>
              <w:jc w:val="right"/>
              <w:ind w:right="80"/>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960" w:type="dxa"/>
            <w:vAlign w:val="bottom"/>
          </w:tcPr>
          <w:p>
            <w:pPr>
              <w:ind w:left="800"/>
              <w:spacing w:after="0" w:line="117"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2,870</w:t>
            </w:r>
          </w:p>
        </w:tc>
        <w:tc>
          <w:tcPr>
            <w:tcW w:w="160" w:type="dxa"/>
            <w:vAlign w:val="bottom"/>
          </w:tcPr>
          <w:p>
            <w:pPr>
              <w:spacing w:after="0"/>
              <w:rPr>
                <w:sz w:val="20"/>
                <w:szCs w:val="20"/>
                <w:color w:val="auto"/>
              </w:rPr>
            </w:pPr>
            <w:r>
              <w:rPr>
                <w:rFonts w:ascii="Times New Roman" w:cs="Times New Roman" w:eastAsia="Times New Roman" w:hAnsi="Times New Roman"/>
                <w:sz w:val="9"/>
                <w:szCs w:val="9"/>
                <w:color w:val="auto"/>
              </w:rPr>
              <w:t>(5)</w:t>
            </w: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203,676</w:t>
            </w:r>
          </w:p>
        </w:tc>
        <w:tc>
          <w:tcPr>
            <w:tcW w:w="0" w:type="dxa"/>
            <w:vAlign w:val="bottom"/>
          </w:tcPr>
          <w:p>
            <w:pPr>
              <w:spacing w:after="0"/>
              <w:rPr>
                <w:sz w:val="1"/>
                <w:szCs w:val="1"/>
                <w:color w:val="auto"/>
              </w:rPr>
            </w:pPr>
          </w:p>
        </w:tc>
      </w:tr>
      <w:tr>
        <w:trPr>
          <w:trHeight w:val="135"/>
        </w:trPr>
        <w:tc>
          <w:tcPr>
            <w:tcW w:w="1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Former Chief Financial Officer</w:t>
            </w:r>
          </w:p>
        </w:tc>
        <w:tc>
          <w:tcPr>
            <w:tcW w:w="4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430,000</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60" w:type="dxa"/>
            <w:vAlign w:val="bottom"/>
          </w:tcPr>
          <w:p>
            <w:pPr>
              <w:ind w:left="8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40,002</w:t>
            </w:r>
          </w:p>
        </w:tc>
        <w:tc>
          <w:tcPr>
            <w:tcW w:w="1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470,002</w:t>
            </w:r>
          </w:p>
        </w:tc>
        <w:tc>
          <w:tcPr>
            <w:tcW w:w="0" w:type="dxa"/>
            <w:vAlign w:val="bottom"/>
          </w:tcPr>
          <w:p>
            <w:pPr>
              <w:spacing w:after="0"/>
              <w:rPr>
                <w:sz w:val="1"/>
                <w:szCs w:val="1"/>
                <w:color w:val="auto"/>
              </w:rPr>
            </w:pPr>
          </w:p>
        </w:tc>
      </w:tr>
      <w:tr>
        <w:trPr>
          <w:trHeight w:val="153"/>
        </w:trPr>
        <w:tc>
          <w:tcPr>
            <w:tcW w:w="194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426,219</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249,000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38,870</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714,089</w:t>
            </w:r>
          </w:p>
        </w:tc>
        <w:tc>
          <w:tcPr>
            <w:tcW w:w="0" w:type="dxa"/>
            <w:vAlign w:val="bottom"/>
          </w:tcPr>
          <w:p>
            <w:pPr>
              <w:spacing w:after="0"/>
              <w:rPr>
                <w:sz w:val="1"/>
                <w:szCs w:val="1"/>
                <w:color w:val="auto"/>
              </w:rPr>
            </w:pPr>
          </w:p>
        </w:tc>
      </w:tr>
      <w:tr>
        <w:trPr>
          <w:trHeight w:val="117"/>
        </w:trPr>
        <w:tc>
          <w:tcPr>
            <w:tcW w:w="19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0"/>
                <w:szCs w:val="10"/>
                <w:b w:val="1"/>
                <w:bCs w:val="1"/>
                <w:color w:val="auto"/>
              </w:rPr>
              <w:t>Michael Browne</w:t>
            </w:r>
            <w:r>
              <w:rPr>
                <w:rFonts w:ascii="Times New Roman" w:cs="Times New Roman" w:eastAsia="Times New Roman" w:hAnsi="Times New Roman"/>
                <w:sz w:val="13"/>
                <w:szCs w:val="13"/>
                <w:b w:val="1"/>
                <w:bCs w:val="1"/>
                <w:color w:val="auto"/>
                <w:vertAlign w:val="superscript"/>
              </w:rPr>
              <w:t>(6)</w:t>
            </w:r>
          </w:p>
        </w:tc>
        <w:tc>
          <w:tcPr>
            <w:tcW w:w="440" w:type="dxa"/>
            <w:vAlign w:val="bottom"/>
            <w:gridSpan w:val="2"/>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2025</w:t>
            </w:r>
          </w:p>
        </w:tc>
        <w:tc>
          <w:tcPr>
            <w:tcW w:w="680" w:type="dxa"/>
            <w:vAlign w:val="bottom"/>
            <w:gridSpan w:val="2"/>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454,477</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w w:val="99"/>
              </w:rPr>
              <w:t>265,000</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(7)</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80"/>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ind w:left="800"/>
              <w:spacing w:after="0" w:line="117"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50,463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(8)</w:t>
            </w:r>
          </w:p>
        </w:tc>
        <w:tc>
          <w:tcPr>
            <w:tcW w:w="5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769,940</w:t>
            </w: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Former Executive Vice President</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Sales and Operations</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2"/>
              </w:rPr>
              <w:t>2024</w:t>
            </w:r>
          </w:p>
        </w:tc>
        <w:tc>
          <w:tcPr>
            <w:tcW w:w="6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430,000</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ind w:left="8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35,857</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515,857</w:t>
            </w:r>
          </w:p>
        </w:tc>
        <w:tc>
          <w:tcPr>
            <w:tcW w:w="0" w:type="dxa"/>
            <w:vAlign w:val="bottom"/>
          </w:tcPr>
          <w:p>
            <w:pPr>
              <w:spacing w:after="0"/>
              <w:rPr>
                <w:sz w:val="1"/>
                <w:szCs w:val="1"/>
                <w:color w:val="auto"/>
              </w:rPr>
            </w:pPr>
          </w:p>
        </w:tc>
      </w:tr>
      <w:tr>
        <w:trPr>
          <w:trHeight w:val="153"/>
        </w:trPr>
        <w:tc>
          <w:tcPr>
            <w:tcW w:w="1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2023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162,077</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10,678</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172,755</w:t>
            </w:r>
          </w:p>
        </w:tc>
        <w:tc>
          <w:tcPr>
            <w:tcW w:w="0" w:type="dxa"/>
            <w:vAlign w:val="bottom"/>
          </w:tcPr>
          <w:p>
            <w:pPr>
              <w:spacing w:after="0"/>
              <w:rPr>
                <w:sz w:val="1"/>
                <w:szCs w:val="1"/>
                <w:color w:val="auto"/>
              </w:rPr>
            </w:pPr>
          </w:p>
        </w:tc>
      </w:tr>
      <w:tr>
        <w:trPr>
          <w:trHeight w:val="117"/>
        </w:trPr>
        <w:tc>
          <w:tcPr>
            <w:tcW w:w="1940" w:type="dxa"/>
            <w:vAlign w:val="bottom"/>
          </w:tcPr>
          <w:p>
            <w:pPr>
              <w:spacing w:after="0" w:line="117" w:lineRule="exact"/>
              <w:rPr>
                <w:sz w:val="20"/>
                <w:szCs w:val="20"/>
                <w:color w:val="auto"/>
              </w:rPr>
            </w:pPr>
            <w:r>
              <w:rPr>
                <w:rFonts w:ascii="Times New Roman" w:cs="Times New Roman" w:eastAsia="Times New Roman" w:hAnsi="Times New Roman"/>
                <w:sz w:val="13"/>
                <w:szCs w:val="13"/>
                <w:b w:val="1"/>
                <w:bCs w:val="1"/>
                <w:color w:val="auto"/>
              </w:rPr>
              <w:t>Ronald Araiza</w:t>
            </w:r>
          </w:p>
        </w:tc>
        <w:tc>
          <w:tcPr>
            <w:tcW w:w="140" w:type="dxa"/>
            <w:vAlign w:val="bottom"/>
          </w:tcPr>
          <w:p>
            <w:pPr>
              <w:spacing w:after="0"/>
              <w:rPr>
                <w:sz w:val="10"/>
                <w:szCs w:val="10"/>
                <w:color w:val="auto"/>
              </w:rPr>
            </w:pPr>
          </w:p>
        </w:tc>
        <w:tc>
          <w:tcPr>
            <w:tcW w:w="3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w w:val="92"/>
              </w:rPr>
              <w:t>2025</w:t>
            </w:r>
          </w:p>
        </w:tc>
        <w:tc>
          <w:tcPr>
            <w:tcW w:w="6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441,908</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50,000</w:t>
            </w:r>
          </w:p>
        </w:tc>
        <w:tc>
          <w:tcPr>
            <w:tcW w:w="20" w:type="dxa"/>
            <w:vAlign w:val="bottom"/>
          </w:tcPr>
          <w:p>
            <w:pPr>
              <w:spacing w:after="0"/>
              <w:rPr>
                <w:sz w:val="10"/>
                <w:szCs w:val="1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9"/>
                <w:szCs w:val="9"/>
                <w:color w:val="auto"/>
              </w:rPr>
              <w:t>(9)</w:t>
            </w:r>
          </w:p>
        </w:tc>
        <w:tc>
          <w:tcPr>
            <w:tcW w:w="100" w:type="dxa"/>
            <w:vAlign w:val="bottom"/>
          </w:tcPr>
          <w:p>
            <w:pPr>
              <w:spacing w:after="0"/>
              <w:rPr>
                <w:sz w:val="10"/>
                <w:szCs w:val="10"/>
                <w:color w:val="auto"/>
              </w:rPr>
            </w:pPr>
          </w:p>
        </w:tc>
        <w:tc>
          <w:tcPr>
            <w:tcW w:w="680" w:type="dxa"/>
            <w:vAlign w:val="bottom"/>
            <w:gridSpan w:val="2"/>
          </w:tcPr>
          <w:p>
            <w:pPr>
              <w:jc w:val="right"/>
              <w:ind w:right="80"/>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200" w:type="dxa"/>
            <w:vAlign w:val="bottom"/>
            <w:gridSpan w:val="2"/>
          </w:tcPr>
          <w:p>
            <w:pPr>
              <w:jc w:val="right"/>
              <w:ind w:right="80"/>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960" w:type="dxa"/>
            <w:vAlign w:val="bottom"/>
          </w:tcPr>
          <w:p>
            <w:pPr>
              <w:ind w:left="800"/>
              <w:spacing w:after="0" w:line="117"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45,282</w:t>
            </w:r>
          </w:p>
        </w:tc>
        <w:tc>
          <w:tcPr>
            <w:tcW w:w="160" w:type="dxa"/>
            <w:vAlign w:val="bottom"/>
          </w:tcPr>
          <w:p>
            <w:pPr>
              <w:spacing w:after="0"/>
              <w:rPr>
                <w:sz w:val="20"/>
                <w:szCs w:val="20"/>
                <w:color w:val="auto"/>
              </w:rPr>
            </w:pPr>
            <w:r>
              <w:rPr>
                <w:rFonts w:ascii="Times New Roman" w:cs="Times New Roman" w:eastAsia="Times New Roman" w:hAnsi="Times New Roman"/>
                <w:sz w:val="9"/>
                <w:szCs w:val="9"/>
                <w:color w:val="auto"/>
                <w:w w:val="93"/>
              </w:rPr>
              <w:t>(10)</w:t>
            </w: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537,190</w:t>
            </w:r>
          </w:p>
        </w:tc>
        <w:tc>
          <w:tcPr>
            <w:tcW w:w="0" w:type="dxa"/>
            <w:vAlign w:val="bottom"/>
          </w:tcPr>
          <w:p>
            <w:pPr>
              <w:spacing w:after="0"/>
              <w:rPr>
                <w:sz w:val="1"/>
                <w:szCs w:val="1"/>
                <w:color w:val="auto"/>
              </w:rPr>
            </w:pPr>
          </w:p>
        </w:tc>
      </w:tr>
      <w:tr>
        <w:trPr>
          <w:trHeight w:val="135"/>
        </w:trPr>
        <w:tc>
          <w:tcPr>
            <w:tcW w:w="19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6"/>
              </w:rPr>
              <w:t>Executive Vice President Fresh Foods</w:t>
            </w:r>
          </w:p>
        </w:tc>
        <w:tc>
          <w:tcPr>
            <w:tcW w:w="4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430,000</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60" w:type="dxa"/>
            <w:vAlign w:val="bottom"/>
          </w:tcPr>
          <w:p>
            <w:pPr>
              <w:ind w:left="8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43,473</w:t>
            </w:r>
          </w:p>
        </w:tc>
        <w:tc>
          <w:tcPr>
            <w:tcW w:w="1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523,473</w:t>
            </w:r>
          </w:p>
        </w:tc>
        <w:tc>
          <w:tcPr>
            <w:tcW w:w="0" w:type="dxa"/>
            <w:vAlign w:val="bottom"/>
          </w:tcPr>
          <w:p>
            <w:pPr>
              <w:spacing w:after="0"/>
              <w:rPr>
                <w:sz w:val="1"/>
                <w:szCs w:val="1"/>
                <w:color w:val="auto"/>
              </w:rPr>
            </w:pPr>
          </w:p>
        </w:tc>
      </w:tr>
      <w:tr>
        <w:trPr>
          <w:trHeight w:val="135"/>
        </w:trPr>
        <w:tc>
          <w:tcPr>
            <w:tcW w:w="19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James Snyder</w:t>
            </w:r>
            <w:r>
              <w:rPr>
                <w:rFonts w:ascii="Times New Roman" w:cs="Times New Roman" w:eastAsia="Times New Roman" w:hAnsi="Times New Roman"/>
                <w:sz w:val="18"/>
                <w:szCs w:val="18"/>
                <w:b w:val="1"/>
                <w:bCs w:val="1"/>
                <w:color w:val="auto"/>
                <w:vertAlign w:val="superscript"/>
              </w:rPr>
              <w:t>(11)</w:t>
            </w:r>
          </w:p>
        </w:tc>
        <w:tc>
          <w:tcPr>
            <w:tcW w:w="4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2023</w:t>
            </w: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190,849</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9"/>
                <w:szCs w:val="9"/>
                <w:color w:val="auto"/>
                <w:w w:val="93"/>
              </w:rPr>
              <w:t>(12)</w:t>
            </w:r>
          </w:p>
        </w:tc>
        <w:tc>
          <w:tcPr>
            <w:tcW w:w="5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9"/>
                <w:szCs w:val="9"/>
                <w:color w:val="auto"/>
              </w:rPr>
              <w:t>(13)</w:t>
            </w: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60" w:type="dxa"/>
            <w:vAlign w:val="bottom"/>
          </w:tcPr>
          <w:p>
            <w:pPr>
              <w:ind w:left="8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18,708</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9"/>
                <w:szCs w:val="9"/>
                <w:color w:val="auto"/>
                <w:w w:val="93"/>
              </w:rPr>
              <w:t>(14)</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209,557</w:t>
            </w:r>
          </w:p>
        </w:tc>
        <w:tc>
          <w:tcPr>
            <w:tcW w:w="0" w:type="dxa"/>
            <w:vAlign w:val="bottom"/>
          </w:tcPr>
          <w:p>
            <w:pPr>
              <w:spacing w:after="0"/>
              <w:rPr>
                <w:sz w:val="1"/>
                <w:szCs w:val="1"/>
                <w:color w:val="auto"/>
              </w:rPr>
            </w:pPr>
          </w:p>
        </w:tc>
      </w:tr>
      <w:tr>
        <w:trPr>
          <w:trHeight w:val="149"/>
        </w:trPr>
        <w:tc>
          <w:tcPr>
            <w:tcW w:w="1940" w:type="dxa"/>
            <w:vAlign w:val="bottom"/>
            <w:vMerge w:val="continue"/>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392,292</w:t>
            </w:r>
          </w:p>
        </w:tc>
        <w:tc>
          <w:tcPr>
            <w:tcW w:w="200" w:type="dxa"/>
            <w:vAlign w:val="bottom"/>
            <w:gridSpan w:val="2"/>
            <w:vMerge w:val="continue"/>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20" w:type="dxa"/>
            <w:vAlign w:val="bottom"/>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96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24,703</w:t>
            </w:r>
          </w:p>
        </w:tc>
        <w:tc>
          <w:tcPr>
            <w:tcW w:w="160" w:type="dxa"/>
            <w:vAlign w:val="bottom"/>
            <w:vMerge w:val="continue"/>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426,995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-82550</wp:posOffset>
            </wp:positionV>
            <wp:extent cx="565785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53340</wp:posOffset>
            </wp:positionV>
            <wp:extent cx="14141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8" w:lineRule="exact"/>
        <w:rPr>
          <w:sz w:val="20"/>
          <w:szCs w:val="20"/>
          <w:color w:val="auto"/>
        </w:rPr>
      </w:pPr>
    </w:p>
    <w:p>
      <w:pPr>
        <w:ind w:left="400" w:hanging="356"/>
        <w:spacing w:after="0"/>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Cole retired from his position with the Company effective December 8, 2025.</w:t>
      </w:r>
    </w:p>
    <w:p>
      <w:pPr>
        <w:spacing w:after="0" w:line="63" w:lineRule="exact"/>
        <w:rPr>
          <w:rFonts w:ascii="Times New Roman" w:cs="Times New Roman" w:eastAsia="Times New Roman" w:hAnsi="Times New Roman"/>
          <w:sz w:val="18"/>
          <w:szCs w:val="18"/>
          <w:color w:val="auto"/>
        </w:rPr>
      </w:pPr>
    </w:p>
    <w:p>
      <w:pPr>
        <w:jc w:val="both"/>
        <w:ind w:left="400" w:right="99" w:hanging="356"/>
        <w:spacing w:after="0" w:line="242" w:lineRule="auto"/>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consists of (i) $405 we paid on behalf of Mr. Cole related to health insurance, (ii) $11,196 we paid to Mr. Cole related to a car allowance, (iii) and $16 we paid on behalf of Mr. Cole related to life insurance which is a benefit provided to all employees.</w:t>
      </w:r>
    </w:p>
    <w:p>
      <w:pPr>
        <w:spacing w:after="0" w:line="35" w:lineRule="exact"/>
        <w:rPr>
          <w:rFonts w:ascii="Times New Roman" w:cs="Times New Roman" w:eastAsia="Times New Roman" w:hAnsi="Times New Roman"/>
          <w:sz w:val="18"/>
          <w:szCs w:val="18"/>
          <w:color w:val="auto"/>
        </w:rPr>
      </w:pPr>
    </w:p>
    <w:p>
      <w:pPr>
        <w:ind w:left="400" w:right="739" w:hanging="356"/>
        <w:spacing w:after="0" w:line="266" w:lineRule="auto"/>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11, 2024, Mr. Munsell, Former Chief Financial Officer, gave notice of his resignation effective December 1, 2024.</w:t>
      </w:r>
    </w:p>
    <w:p>
      <w:pPr>
        <w:spacing w:after="0" w:line="13" w:lineRule="exact"/>
        <w:rPr>
          <w:rFonts w:ascii="Times New Roman" w:cs="Times New Roman" w:eastAsia="Times New Roman" w:hAnsi="Times New Roman"/>
          <w:sz w:val="18"/>
          <w:szCs w:val="18"/>
          <w:color w:val="auto"/>
        </w:rPr>
      </w:pPr>
    </w:p>
    <w:p>
      <w:pPr>
        <w:ind w:left="400" w:right="159" w:hanging="356"/>
        <w:spacing w:after="0" w:line="242" w:lineRule="auto"/>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awarded Mr. Munsell a discretionary cash bonus of $94,629 for 2025. For additional information regarding such discretionary cash bonus, see “</w:t>
      </w:r>
      <w:r>
        <w:rPr>
          <w:rFonts w:ascii="Times New Roman" w:cs="Times New Roman" w:eastAsia="Times New Roman" w:hAnsi="Times New Roman"/>
          <w:sz w:val="18"/>
          <w:szCs w:val="18"/>
          <w:i w:val="1"/>
          <w:iCs w:val="1"/>
          <w:color w:val="auto"/>
        </w:rPr>
        <w:t>—Executive Compensation: Compensation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Analysis—Annual Performance-Based Awards; Discretionary Retention-Based Bonuses</w:t>
      </w:r>
      <w:r>
        <w:rPr>
          <w:rFonts w:ascii="Times New Roman" w:cs="Times New Roman" w:eastAsia="Times New Roman" w:hAnsi="Times New Roman"/>
          <w:sz w:val="18"/>
          <w:szCs w:val="18"/>
          <w:color w:val="auto"/>
        </w:rPr>
        <w:t>.”</w:t>
      </w:r>
    </w:p>
    <w:p>
      <w:pPr>
        <w:spacing w:after="0" w:line="35" w:lineRule="exact"/>
        <w:rPr>
          <w:rFonts w:ascii="Times New Roman" w:cs="Times New Roman" w:eastAsia="Times New Roman" w:hAnsi="Times New Roman"/>
          <w:sz w:val="18"/>
          <w:szCs w:val="18"/>
          <w:color w:val="auto"/>
        </w:rPr>
      </w:pPr>
    </w:p>
    <w:p>
      <w:pPr>
        <w:jc w:val="both"/>
        <w:ind w:left="400" w:right="179" w:hanging="356"/>
        <w:spacing w:after="0" w:line="242" w:lineRule="auto"/>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consists of (i) $724 we paid on behalf of Mr. Munsell related to health insurance, (ii) $1,866 we paid to Mr. Munsell related to a car allowance, (iii) $40 we paid on behalf of Mr. Munsell related to life insurance which is a benefit provided to all employees and (iv) $240 we paid to Mr. Munsell for a phone allowance.</w:t>
      </w:r>
    </w:p>
    <w:p>
      <w:pPr>
        <w:spacing w:after="0" w:line="35" w:lineRule="exact"/>
        <w:rPr>
          <w:rFonts w:ascii="Times New Roman" w:cs="Times New Roman" w:eastAsia="Times New Roman" w:hAnsi="Times New Roman"/>
          <w:sz w:val="18"/>
          <w:szCs w:val="18"/>
          <w:color w:val="auto"/>
        </w:rPr>
      </w:pPr>
    </w:p>
    <w:p>
      <w:pPr>
        <w:ind w:left="400" w:hanging="356"/>
        <w:spacing w:after="0"/>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Browne retired from his position with the Company effective December 1, 2025.</w:t>
      </w:r>
    </w:p>
    <w:p>
      <w:pPr>
        <w:spacing w:after="0" w:line="63" w:lineRule="exact"/>
        <w:rPr>
          <w:rFonts w:ascii="Times New Roman" w:cs="Times New Roman" w:eastAsia="Times New Roman" w:hAnsi="Times New Roman"/>
          <w:sz w:val="18"/>
          <w:szCs w:val="18"/>
          <w:color w:val="auto"/>
        </w:rPr>
      </w:pPr>
    </w:p>
    <w:p>
      <w:pPr>
        <w:jc w:val="both"/>
        <w:ind w:left="400" w:right="139" w:hanging="356"/>
        <w:spacing w:after="0" w:line="242" w:lineRule="auto"/>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Compensation Committee awarded Mr. Browne a discretionary cash bonus of $265,000 for 2025. For additional information regarding such discretionary cash bonus, see </w:t>
      </w:r>
      <w:r>
        <w:rPr>
          <w:rFonts w:ascii="Times New Roman" w:cs="Times New Roman" w:eastAsia="Times New Roman" w:hAnsi="Times New Roman"/>
          <w:sz w:val="18"/>
          <w:szCs w:val="18"/>
          <w:i w:val="1"/>
          <w:iCs w:val="1"/>
          <w:color w:val="auto"/>
        </w:rPr>
        <w:t>“—Executive Compensation: Compensation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Analysis—Annual Performance-Based Awards; Discretionary Retention-Based Bonuses</w:t>
      </w:r>
      <w:r>
        <w:rPr>
          <w:rFonts w:ascii="Times New Roman" w:cs="Times New Roman" w:eastAsia="Times New Roman" w:hAnsi="Times New Roman"/>
          <w:sz w:val="18"/>
          <w:szCs w:val="18"/>
          <w:color w:val="auto"/>
        </w:rPr>
        <w:t>.”</w:t>
      </w:r>
    </w:p>
    <w:p>
      <w:pPr>
        <w:spacing w:after="0" w:line="35" w:lineRule="exact"/>
        <w:rPr>
          <w:rFonts w:ascii="Times New Roman" w:cs="Times New Roman" w:eastAsia="Times New Roman" w:hAnsi="Times New Roman"/>
          <w:sz w:val="18"/>
          <w:szCs w:val="18"/>
          <w:color w:val="auto"/>
        </w:rPr>
      </w:pPr>
    </w:p>
    <w:p>
      <w:pPr>
        <w:ind w:left="400" w:hanging="356"/>
        <w:spacing w:after="0"/>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consists of (i) $17,095 we paid on behalf of Mr. Browne related to health insurance,</w:t>
      </w:r>
    </w:p>
    <w:p>
      <w:pPr>
        <w:spacing w:after="0" w:line="15" w:lineRule="exact"/>
        <w:rPr>
          <w:rFonts w:ascii="Times New Roman" w:cs="Times New Roman" w:eastAsia="Times New Roman" w:hAnsi="Times New Roman"/>
          <w:sz w:val="18"/>
          <w:szCs w:val="18"/>
          <w:color w:val="auto"/>
        </w:rPr>
      </w:pPr>
    </w:p>
    <w:p>
      <w:pPr>
        <w:ind w:left="400" w:right="139" w:hanging="5"/>
        <w:spacing w:after="0" w:line="234" w:lineRule="auto"/>
        <w:tabs>
          <w:tab w:leader="none" w:pos="66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$11,196 we paid to Mr. Browne related to a car allowance, (iii) $6,246 we paid on behalf of Mr. Browne related to life insurance which is a benefit provided to all employees and (iv) $1,320 we paid to Mr. Browne for a phone allowance and (v) $14,030 of contributions made by us to our 401(k) plan on behalf of Mr. Browne.</w:t>
      </w:r>
    </w:p>
    <w:p>
      <w:pPr>
        <w:spacing w:after="0" w:line="36" w:lineRule="exact"/>
        <w:rPr>
          <w:rFonts w:ascii="Times New Roman" w:cs="Times New Roman" w:eastAsia="Times New Roman" w:hAnsi="Times New Roman"/>
          <w:sz w:val="18"/>
          <w:szCs w:val="18"/>
          <w:color w:val="auto"/>
        </w:rPr>
      </w:pPr>
    </w:p>
    <w:p>
      <w:pPr>
        <w:ind w:left="400" w:right="159" w:hanging="356"/>
        <w:spacing w:after="0" w:line="242" w:lineRule="auto"/>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awarded Mr. Araiza a discretionary cash bonus of $50,000 for 2025. For additional information regarding such discretionary cash bonus, see “</w:t>
      </w:r>
      <w:r>
        <w:rPr>
          <w:rFonts w:ascii="Times New Roman" w:cs="Times New Roman" w:eastAsia="Times New Roman" w:hAnsi="Times New Roman"/>
          <w:sz w:val="18"/>
          <w:szCs w:val="18"/>
          <w:i w:val="1"/>
          <w:iCs w:val="1"/>
          <w:color w:val="auto"/>
        </w:rPr>
        <w:t>—Executive Compensation: Compensation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Analysis—Annual Performance-Based Awards; Discretionary Retention-Based Bonuses</w:t>
      </w:r>
      <w:r>
        <w:rPr>
          <w:rFonts w:ascii="Times New Roman" w:cs="Times New Roman" w:eastAsia="Times New Roman" w:hAnsi="Times New Roman"/>
          <w:sz w:val="18"/>
          <w:szCs w:val="18"/>
          <w:color w:val="auto"/>
        </w:rPr>
        <w:t>.”</w:t>
      </w:r>
    </w:p>
    <w:p>
      <w:pPr>
        <w:spacing w:after="0" w:line="35" w:lineRule="exact"/>
        <w:rPr>
          <w:rFonts w:ascii="Times New Roman" w:cs="Times New Roman" w:eastAsia="Times New Roman" w:hAnsi="Times New Roman"/>
          <w:sz w:val="18"/>
          <w:szCs w:val="18"/>
          <w:color w:val="auto"/>
        </w:rPr>
      </w:pPr>
    </w:p>
    <w:p>
      <w:pPr>
        <w:ind w:left="400" w:hanging="356"/>
        <w:spacing w:after="0"/>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consists of (i) $13,820 we paid on behalf of Mr. Araiza related to health insurance,</w:t>
      </w:r>
    </w:p>
    <w:p>
      <w:pPr>
        <w:spacing w:after="0" w:line="15" w:lineRule="exact"/>
        <w:rPr>
          <w:rFonts w:ascii="Times New Roman" w:cs="Times New Roman" w:eastAsia="Times New Roman" w:hAnsi="Times New Roman"/>
          <w:sz w:val="18"/>
          <w:szCs w:val="18"/>
          <w:color w:val="auto"/>
        </w:rPr>
      </w:pPr>
    </w:p>
    <w:p>
      <w:pPr>
        <w:ind w:left="400" w:right="119" w:hanging="5"/>
        <w:spacing w:after="0"/>
        <w:tabs>
          <w:tab w:leader="none" w:pos="665"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$11,196 we paid to Mr. Araiza related to a car allowance, (iii) $5,726 we paid on behalf of Mr. Araiza related to life insurance which is a benefit provided to all employees, (iv) $540 we paid to Mr. Araiza for a phone allowance and</w:t>
      </w:r>
    </w:p>
    <w:p>
      <w:pPr>
        <w:ind w:left="640" w:hanging="245"/>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$14,000 of contributions made by us to our 401(k) plan on behalf of Mr. Araiza.</w:t>
      </w:r>
    </w:p>
    <w:p>
      <w:pPr>
        <w:spacing w:after="0" w:line="43" w:lineRule="exact"/>
        <w:rPr>
          <w:rFonts w:ascii="Times New Roman" w:cs="Times New Roman" w:eastAsia="Times New Roman" w:hAnsi="Times New Roman"/>
          <w:sz w:val="18"/>
          <w:szCs w:val="18"/>
          <w:color w:val="auto"/>
        </w:rPr>
      </w:pPr>
    </w:p>
    <w:p>
      <w:pPr>
        <w:ind w:left="400" w:right="99" w:hanging="356"/>
        <w:spacing w:after="0" w:line="266" w:lineRule="auto"/>
        <w:tabs>
          <w:tab w:leader="none" w:pos="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15, 2024, James Snyder was appointed Chief Financial Officer of Calavo, with his service commencing on December 2, 2024.</w:t>
      </w:r>
    </w:p>
    <w:p>
      <w:pPr>
        <w:spacing w:after="0" w:line="94" w:lineRule="exact"/>
        <w:rPr>
          <w:rFonts w:ascii="Times New Roman" w:cs="Times New Roman" w:eastAsia="Times New Roman" w:hAnsi="Times New Roman"/>
          <w:sz w:val="18"/>
          <w:szCs w:val="18"/>
          <w:color w:val="auto"/>
        </w:rPr>
      </w:pPr>
    </w:p>
    <w:p>
      <w:pPr>
        <w:ind w:left="400" w:hanging="356"/>
        <w:spacing w:after="0"/>
        <w:tabs>
          <w:tab w:leader="none" w:pos="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Snyder’s initial annual base salary was set at $430,000.</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 w:right="159" w:hanging="356"/>
        <w:spacing w:after="0" w:line="242" w:lineRule="auto"/>
        <w:tabs>
          <w:tab w:leader="none" w:pos="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awarded Mr. Snyder a discretionary cash bonus of $10,000 for 2025. For additional information regarding such discretionary cash bonus, see “</w:t>
      </w:r>
      <w:r>
        <w:rPr>
          <w:rFonts w:ascii="Times New Roman" w:cs="Times New Roman" w:eastAsia="Times New Roman" w:hAnsi="Times New Roman"/>
          <w:sz w:val="18"/>
          <w:szCs w:val="18"/>
          <w:i w:val="1"/>
          <w:iCs w:val="1"/>
          <w:color w:val="auto"/>
        </w:rPr>
        <w:t>—Executive Compensation: Compensation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Analysis—Annual Performance-Based Awards; Discretionary Retention-Based Bonuses</w:t>
      </w:r>
      <w:r>
        <w:rPr>
          <w:rFonts w:ascii="Times New Roman" w:cs="Times New Roman" w:eastAsia="Times New Roman" w:hAnsi="Times New Roman"/>
          <w:sz w:val="18"/>
          <w:szCs w:val="18"/>
          <w:color w:val="auto"/>
        </w:rPr>
        <w:t>.”</w:t>
      </w:r>
    </w:p>
    <w:p>
      <w:pPr>
        <w:spacing w:after="0" w:line="129" w:lineRule="exact"/>
        <w:rPr>
          <w:rFonts w:ascii="Times New Roman" w:cs="Times New Roman" w:eastAsia="Times New Roman" w:hAnsi="Times New Roman"/>
          <w:sz w:val="18"/>
          <w:szCs w:val="18"/>
          <w:color w:val="auto"/>
        </w:rPr>
      </w:pPr>
    </w:p>
    <w:p>
      <w:pPr>
        <w:ind w:left="400" w:hanging="356"/>
        <w:spacing w:after="0"/>
        <w:tabs>
          <w:tab w:leader="none" w:pos="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consists of (i) $13,711 we paid on behalf of Mr. Snyder related to health insurance,</w:t>
      </w:r>
    </w:p>
    <w:p>
      <w:pPr>
        <w:spacing w:after="0" w:line="15" w:lineRule="exact"/>
        <w:rPr>
          <w:rFonts w:ascii="Times New Roman" w:cs="Times New Roman" w:eastAsia="Times New Roman" w:hAnsi="Times New Roman"/>
          <w:sz w:val="18"/>
          <w:szCs w:val="18"/>
          <w:color w:val="auto"/>
        </w:rPr>
      </w:pPr>
    </w:p>
    <w:p>
      <w:pPr>
        <w:ind w:left="400" w:right="179"/>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(ii) $9,330 we paid to Mr. Snyder related to a car allowance, (iii) $822 we paid on behalf of Mr. Snyder related to life insurance which is a benefit provided to all employees and (iv) $840 we paid to Mr. Snyder for a phone allowance.</w:t>
      </w:r>
    </w:p>
    <w:p>
      <w:pPr>
        <w:spacing w:after="0" w:line="119" w:lineRule="exact"/>
        <w:rPr>
          <w:rFonts w:ascii="Times New Roman" w:cs="Times New Roman" w:eastAsia="Times New Roman" w:hAnsi="Times New Roman"/>
          <w:sz w:val="18"/>
          <w:szCs w:val="18"/>
          <w:color w:val="auto"/>
        </w:rPr>
      </w:pPr>
    </w:p>
    <w:p>
      <w:pPr>
        <w:ind w:left="400" w:right="119" w:hanging="356"/>
        <w:spacing w:after="0" w:line="235" w:lineRule="auto"/>
        <w:tabs>
          <w:tab w:leader="none" w:pos="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grant date values for the above stock awards were computed in accordance with FASB ASC Topic 718. These amounts reflect our financial accounting expense for these awards in accordance with FASB ASC Topic 718 and will not necessarily reflect the actual value that may be realized by the grantees with respect to these awards. This value of a stock award is determined based on the number of shares granted multiplied by the closing share price of our common stock on the date of grant. Further discussion and assumptions utilized with respect to these valuations are set forth in Note 12 (Stock-Based Compensation) to our consolidated financial statements contained in our Original Form 10-K filed on January 14, 2026, for the fiscal year ended October 31, 2025.</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GRANTS OF PLAN-BASED AWARDS IN FISCAL YEAR 2025</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6"/>
          </w:tcPr>
          <w:p>
            <w:pPr>
              <w:jc w:val="center"/>
              <w:ind w:right="397"/>
              <w:spacing w:after="0"/>
              <w:rPr>
                <w:sz w:val="20"/>
                <w:szCs w:val="20"/>
                <w:color w:val="auto"/>
              </w:rPr>
            </w:pPr>
            <w:r>
              <w:rPr>
                <w:rFonts w:ascii="Times New Roman" w:cs="Times New Roman" w:eastAsia="Times New Roman" w:hAnsi="Times New Roman"/>
                <w:sz w:val="13"/>
                <w:szCs w:val="13"/>
                <w:b w:val="1"/>
                <w:bCs w:val="1"/>
                <w:color w:val="auto"/>
                <w:w w:val="96"/>
              </w:rPr>
              <w:t>Estimated Future Payouts</w:t>
            </w:r>
          </w:p>
        </w:tc>
        <w:tc>
          <w:tcPr>
            <w:tcW w:w="120" w:type="dxa"/>
            <w:vAlign w:val="bottom"/>
          </w:tcPr>
          <w:p>
            <w:pPr>
              <w:spacing w:after="0"/>
              <w:rPr>
                <w:sz w:val="12"/>
                <w:szCs w:val="12"/>
                <w:color w:val="auto"/>
              </w:rPr>
            </w:pPr>
          </w:p>
        </w:tc>
        <w:tc>
          <w:tcPr>
            <w:tcW w:w="180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Estimated Future Payouts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4"/>
          </w:tcPr>
          <w:p>
            <w:pPr>
              <w:jc w:val="center"/>
              <w:ind w:left="137"/>
              <w:spacing w:after="0" w:line="128" w:lineRule="exact"/>
              <w:rPr>
                <w:sz w:val="20"/>
                <w:szCs w:val="20"/>
                <w:color w:val="auto"/>
              </w:rPr>
            </w:pPr>
            <w:r>
              <w:rPr>
                <w:rFonts w:ascii="Times New Roman" w:cs="Times New Roman" w:eastAsia="Times New Roman" w:hAnsi="Times New Roman"/>
                <w:sz w:val="13"/>
                <w:szCs w:val="13"/>
                <w:b w:val="1"/>
                <w:bCs w:val="1"/>
                <w:color w:val="auto"/>
                <w:w w:val="96"/>
              </w:rPr>
              <w:t>Under Non-Equity</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6"/>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Under Equity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center"/>
              <w:ind w:right="397"/>
              <w:spacing w:after="0" w:line="162" w:lineRule="exact"/>
              <w:rPr>
                <w:sz w:val="20"/>
                <w:szCs w:val="20"/>
                <w:color w:val="auto"/>
              </w:rPr>
            </w:pPr>
            <w:r>
              <w:rPr>
                <w:rFonts w:ascii="Times New Roman" w:cs="Times New Roman" w:eastAsia="Times New Roman" w:hAnsi="Times New Roman"/>
                <w:sz w:val="13"/>
                <w:szCs w:val="13"/>
                <w:b w:val="1"/>
                <w:bCs w:val="1"/>
                <w:color w:val="auto"/>
                <w:w w:val="93"/>
              </w:rPr>
              <w:t>Incentive Plan Awards</w:t>
            </w:r>
            <w:r>
              <w:rPr>
                <w:rFonts w:ascii="Times New Roman" w:cs="Times New Roman" w:eastAsia="Times New Roman" w:hAnsi="Times New Roman"/>
                <w:sz w:val="18"/>
                <w:szCs w:val="18"/>
                <w:b w:val="1"/>
                <w:bCs w:val="1"/>
                <w:color w:val="auto"/>
                <w:w w:val="93"/>
                <w:vertAlign w:val="superscript"/>
              </w:rPr>
              <w:t>(1)</w:t>
            </w:r>
          </w:p>
        </w:tc>
        <w:tc>
          <w:tcPr>
            <w:tcW w:w="120" w:type="dxa"/>
            <w:vAlign w:val="bottom"/>
          </w:tcPr>
          <w:p>
            <w:pPr>
              <w:spacing w:after="0"/>
              <w:rPr>
                <w:sz w:val="14"/>
                <w:szCs w:val="14"/>
                <w:color w:val="auto"/>
              </w:rPr>
            </w:pPr>
          </w:p>
        </w:tc>
        <w:tc>
          <w:tcPr>
            <w:tcW w:w="1800" w:type="dxa"/>
            <w:vAlign w:val="bottom"/>
            <w:tcBorders>
              <w:bottom w:val="single" w:sz="8" w:color="auto"/>
            </w:tcBorders>
            <w:gridSpan w:val="6"/>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w w:val="95"/>
              </w:rPr>
              <w:t>Incentive Plan Awards</w:t>
            </w:r>
            <w:r>
              <w:rPr>
                <w:rFonts w:ascii="Times New Roman" w:cs="Times New Roman" w:eastAsia="Times New Roman" w:hAnsi="Times New Roman"/>
                <w:sz w:val="18"/>
                <w:szCs w:val="18"/>
                <w:b w:val="1"/>
                <w:bCs w:val="1"/>
                <w:color w:val="auto"/>
                <w:w w:val="95"/>
                <w:vertAlign w:val="superscript"/>
              </w:rPr>
              <w:t>(1)</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All other</w:t>
            </w:r>
          </w:p>
        </w:tc>
        <w:tc>
          <w:tcPr>
            <w:tcW w:w="0" w:type="dxa"/>
            <w:vAlign w:val="bottom"/>
          </w:tcPr>
          <w:p>
            <w:pPr>
              <w:spacing w:after="0"/>
              <w:rPr>
                <w:sz w:val="1"/>
                <w:szCs w:val="1"/>
                <w:color w:val="auto"/>
              </w:rPr>
            </w:pPr>
          </w:p>
        </w:tc>
      </w:tr>
      <w:tr>
        <w:trPr>
          <w:trHeight w:val="95"/>
        </w:trPr>
        <w:tc>
          <w:tcPr>
            <w:tcW w:w="1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 awards:</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Grant date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Grant</w:t>
            </w: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Threshold</w:t>
            </w:r>
          </w:p>
        </w:tc>
        <w:tc>
          <w:tcPr>
            <w:tcW w:w="120" w:type="dxa"/>
            <w:vAlign w:val="bottom"/>
          </w:tcPr>
          <w:p>
            <w:pPr>
              <w:spacing w:after="0"/>
              <w:rPr>
                <w:sz w:val="11"/>
                <w:szCs w:val="11"/>
                <w:color w:val="auto"/>
              </w:rPr>
            </w:pPr>
          </w:p>
        </w:tc>
        <w:tc>
          <w:tcPr>
            <w:tcW w:w="5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Target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2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Threshold</w:t>
            </w:r>
          </w:p>
        </w:tc>
        <w:tc>
          <w:tcPr>
            <w:tcW w:w="140" w:type="dxa"/>
            <w:vAlign w:val="bottom"/>
          </w:tcPr>
          <w:p>
            <w:pPr>
              <w:spacing w:after="0"/>
              <w:rPr>
                <w:sz w:val="11"/>
                <w:szCs w:val="11"/>
                <w:color w:val="auto"/>
              </w:rPr>
            </w:pPr>
          </w:p>
        </w:tc>
        <w:tc>
          <w:tcPr>
            <w:tcW w:w="4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Target</w:t>
            </w:r>
          </w:p>
        </w:tc>
        <w:tc>
          <w:tcPr>
            <w:tcW w:w="1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1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0" w:type="dxa"/>
            <w:vAlign w:val="bottom"/>
          </w:tcPr>
          <w:p>
            <w:pPr>
              <w:spacing w:after="0"/>
              <w:rPr>
                <w:sz w:val="1"/>
                <w:szCs w:val="1"/>
                <w:color w:val="auto"/>
              </w:rPr>
            </w:pPr>
          </w:p>
        </w:tc>
      </w:tr>
      <w:tr>
        <w:trPr>
          <w:trHeight w:val="155"/>
        </w:trPr>
        <w:tc>
          <w:tcPr>
            <w:tcW w:w="286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Name/Award Type</w:t>
            </w:r>
          </w:p>
        </w:tc>
        <w:tc>
          <w:tcPr>
            <w:tcW w:w="5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 Date</w:t>
            </w:r>
          </w:p>
        </w:tc>
        <w:tc>
          <w:tcPr>
            <w:tcW w:w="68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   ($)</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  ($)</w:t>
            </w:r>
          </w:p>
        </w:tc>
        <w:tc>
          <w:tcPr>
            <w:tcW w:w="66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   ($)</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w:t>
            </w:r>
          </w:p>
        </w:tc>
        <w:tc>
          <w:tcPr>
            <w:tcW w:w="5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 (#)</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xml:space="preserve">​​​awards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or units</w:t>
            </w:r>
          </w:p>
        </w:tc>
        <w:tc>
          <w:tcPr>
            <w:tcW w:w="0" w:type="dxa"/>
            <w:vAlign w:val="bottom"/>
          </w:tcPr>
          <w:p>
            <w:pPr>
              <w:spacing w:after="0"/>
              <w:rPr>
                <w:sz w:val="1"/>
                <w:szCs w:val="1"/>
                <w:color w:val="auto"/>
              </w:rPr>
            </w:pPr>
          </w:p>
        </w:tc>
      </w:tr>
      <w:tr>
        <w:trPr>
          <w:trHeight w:val="110"/>
        </w:trPr>
        <w:tc>
          <w:tcPr>
            <w:tcW w:w="2860" w:type="dxa"/>
            <w:vAlign w:val="bottom"/>
            <w:tcBorders>
              <w:top w:val="single" w:sz="8" w:color="auto"/>
            </w:tcBorders>
            <w:gridSpan w:val="7"/>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Lecil Cole,</w:t>
            </w:r>
          </w:p>
        </w:tc>
        <w:tc>
          <w:tcPr>
            <w:tcW w:w="14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620" w:type="dxa"/>
            <w:vAlign w:val="bottom"/>
            <w:tcBorders>
              <w:bottom w:val="single" w:sz="8" w:color="auto"/>
            </w:tcBorders>
            <w:gridSpan w:val="3"/>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w w:val="96"/>
              </w:rPr>
              <w:t>Former Chief Executive Officer</w:t>
            </w:r>
          </w:p>
        </w:tc>
        <w:tc>
          <w:tcPr>
            <w:tcW w:w="1240" w:type="dxa"/>
            <w:vAlign w:val="bottom"/>
            <w:tcBorders>
              <w:bottom w:val="single" w:sz="8" w:color="CCEEFF"/>
            </w:tcBorders>
            <w:gridSpan w:val="4"/>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00"/>
              <w:spacing w:after="0" w:line="14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ind w:left="40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ind w:left="18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ind w:left="40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860" w:type="dxa"/>
            <w:vAlign w:val="bottom"/>
            <w:gridSpan w:val="7"/>
          </w:tcPr>
          <w:p>
            <w:pPr>
              <w:spacing w:after="0" w:line="110" w:lineRule="exact"/>
              <w:rPr>
                <w:sz w:val="20"/>
                <w:szCs w:val="20"/>
                <w:color w:val="auto"/>
              </w:rPr>
            </w:pPr>
            <w:r>
              <w:rPr>
                <w:rFonts w:ascii="Times New Roman" w:cs="Times New Roman" w:eastAsia="Times New Roman" w:hAnsi="Times New Roman"/>
                <w:sz w:val="9"/>
                <w:szCs w:val="9"/>
                <w:color w:val="auto"/>
              </w:rPr>
              <w:t>Shawn Munsell</w:t>
            </w:r>
            <w:r>
              <w:rPr>
                <w:rFonts w:ascii="Times New Roman" w:cs="Times New Roman" w:eastAsia="Times New Roman" w:hAnsi="Times New Roman"/>
                <w:sz w:val="12"/>
                <w:szCs w:val="12"/>
                <w:color w:val="auto"/>
                <w:vertAlign w:val="superscript"/>
              </w:rPr>
              <w:t>(2)</w:t>
            </w:r>
            <w:r>
              <w:rPr>
                <w:rFonts w:ascii="Times New Roman" w:cs="Times New Roman" w:eastAsia="Times New Roman" w:hAnsi="Times New Roman"/>
                <w:sz w:val="9"/>
                <w:szCs w:val="9"/>
                <w:color w:val="auto"/>
              </w:rPr>
              <w:t>,</w:t>
            </w: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860" w:type="dxa"/>
            <w:vAlign w:val="bottom"/>
            <w:gridSpan w:val="7"/>
          </w:tcPr>
          <w:p>
            <w:pPr>
              <w:spacing w:after="0" w:line="140" w:lineRule="exact"/>
              <w:rPr>
                <w:sz w:val="20"/>
                <w:szCs w:val="20"/>
                <w:color w:val="auto"/>
              </w:rPr>
            </w:pPr>
            <w:r>
              <w:rPr>
                <w:rFonts w:ascii="Times New Roman" w:cs="Times New Roman" w:eastAsia="Times New Roman" w:hAnsi="Times New Roman"/>
                <w:sz w:val="13"/>
                <w:szCs w:val="13"/>
                <w:color w:val="auto"/>
              </w:rPr>
              <w:t>Former Chief Financial Officer  – Cash Incentive</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3"/>
                <w:szCs w:val="13"/>
                <w:color w:val="auto"/>
              </w:rPr>
              <w:t>215,000</w:t>
            </w:r>
          </w:p>
        </w:tc>
        <w:tc>
          <w:tcPr>
            <w:tcW w:w="60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3"/>
                <w:szCs w:val="13"/>
                <w:color w:val="auto"/>
              </w:rPr>
              <w:t>430,000</w:t>
            </w:r>
          </w:p>
        </w:tc>
        <w:tc>
          <w:tcPr>
            <w:tcW w:w="60" w:type="dxa"/>
            <w:vAlign w:val="bottom"/>
          </w:tcPr>
          <w:p>
            <w:pPr>
              <w:spacing w:after="0"/>
              <w:rPr>
                <w:sz w:val="12"/>
                <w:szCs w:val="12"/>
                <w:color w:val="auto"/>
              </w:rPr>
            </w:pPr>
          </w:p>
        </w:tc>
        <w:tc>
          <w:tcPr>
            <w:tcW w:w="66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3"/>
                <w:szCs w:val="13"/>
                <w:color w:val="auto"/>
              </w:rPr>
              <w:t>860,000</w:t>
            </w:r>
          </w:p>
        </w:tc>
        <w:tc>
          <w:tcPr>
            <w:tcW w:w="120" w:type="dxa"/>
            <w:vAlign w:val="bottom"/>
          </w:tcPr>
          <w:p>
            <w:pPr>
              <w:spacing w:after="0"/>
              <w:rPr>
                <w:sz w:val="12"/>
                <w:szCs w:val="12"/>
                <w:color w:val="auto"/>
              </w:rPr>
            </w:pPr>
          </w:p>
        </w:tc>
        <w:tc>
          <w:tcPr>
            <w:tcW w:w="580" w:type="dxa"/>
            <w:vAlign w:val="bottom"/>
          </w:tcPr>
          <w:p>
            <w:pPr>
              <w:ind w:left="40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400" w:type="dxa"/>
            <w:vAlign w:val="bottom"/>
            <w:gridSpan w:val="2"/>
          </w:tcPr>
          <w:p>
            <w:pPr>
              <w:ind w:left="18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80" w:type="dxa"/>
            <w:vAlign w:val="bottom"/>
          </w:tcPr>
          <w:p>
            <w:pPr>
              <w:ind w:left="40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ind w:left="540"/>
              <w:spacing w:after="0" w:line="140"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0"/>
        </w:trPr>
        <w:tc>
          <w:tcPr>
            <w:tcW w:w="1600" w:type="dxa"/>
            <w:vAlign w:val="bottom"/>
            <w:tcBorders>
              <w:top w:val="single" w:sz="8" w:color="auto"/>
            </w:tcBorders>
            <w:gridSpan w:val="2"/>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Michael Browne,</w:t>
            </w:r>
          </w:p>
        </w:tc>
        <w:tc>
          <w:tcPr>
            <w:tcW w:w="1260" w:type="dxa"/>
            <w:vAlign w:val="bottom"/>
            <w:gridSpan w:val="5"/>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860" w:type="dxa"/>
            <w:vAlign w:val="bottom"/>
            <w:gridSpan w:val="7"/>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Executive Vice President Sales &amp; Operations  – Cash</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232,200</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464,400</w:t>
            </w:r>
          </w:p>
        </w:tc>
        <w:tc>
          <w:tcPr>
            <w:tcW w:w="6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928,800</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300" w:type="dxa"/>
            <w:vAlign w:val="bottom"/>
            <w:tcBorders>
              <w:top w:val="single" w:sz="8" w:color="auto"/>
            </w:tcBorders>
            <w:gridSpan w:val="6"/>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Incentive</w:t>
            </w:r>
          </w:p>
        </w:tc>
        <w:tc>
          <w:tcPr>
            <w:tcW w:w="5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gridSpan w:val="2"/>
            <w:vMerge w:val="continue"/>
            <w:shd w:val="clear" w:color="auto" w:fill="CCEEFF"/>
          </w:tcPr>
          <w:p>
            <w:pPr>
              <w:spacing w:after="0"/>
              <w:rPr>
                <w:sz w:val="11"/>
                <w:szCs w:val="11"/>
                <w:color w:val="auto"/>
              </w:rPr>
            </w:pPr>
          </w:p>
        </w:tc>
        <w:tc>
          <w:tcPr>
            <w:tcW w:w="600" w:type="dxa"/>
            <w:vAlign w:val="bottom"/>
            <w:tcBorders>
              <w:top w:val="single" w:sz="8" w:color="CCEEFF"/>
            </w:tcBorders>
            <w:gridSpan w:val="2"/>
            <w:vMerge w:val="continue"/>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gridSpan w:val="2"/>
            <w:vMerge w:val="continue"/>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vMerge w:val="continue"/>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gridSpan w:val="2"/>
            <w:vMerge w:val="continue"/>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vMerge w:val="continue"/>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60" w:type="dxa"/>
            <w:vAlign w:val="bottom"/>
            <w:gridSpan w:val="7"/>
          </w:tcPr>
          <w:p>
            <w:pPr>
              <w:spacing w:after="0" w:line="117" w:lineRule="exact"/>
              <w:rPr>
                <w:sz w:val="20"/>
                <w:szCs w:val="20"/>
                <w:color w:val="auto"/>
              </w:rPr>
            </w:pPr>
            <w:r>
              <w:rPr>
                <w:rFonts w:ascii="Times New Roman" w:cs="Times New Roman" w:eastAsia="Times New Roman" w:hAnsi="Times New Roman"/>
                <w:sz w:val="13"/>
                <w:szCs w:val="13"/>
                <w:color w:val="auto"/>
              </w:rPr>
              <w:t>Ronald Araiza,</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60" w:type="dxa"/>
            <w:vAlign w:val="bottom"/>
            <w:gridSpan w:val="7"/>
          </w:tcPr>
          <w:p>
            <w:pPr>
              <w:spacing w:after="0" w:line="140" w:lineRule="exact"/>
              <w:rPr>
                <w:sz w:val="20"/>
                <w:szCs w:val="20"/>
                <w:color w:val="auto"/>
              </w:rPr>
            </w:pPr>
            <w:r>
              <w:rPr>
                <w:rFonts w:ascii="Times New Roman" w:cs="Times New Roman" w:eastAsia="Times New Roman" w:hAnsi="Times New Roman"/>
                <w:sz w:val="13"/>
                <w:szCs w:val="13"/>
                <w:color w:val="auto"/>
                <w:w w:val="97"/>
              </w:rPr>
              <w:t>Executive Vice President Fresh Foods  – Cash Incentive</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3"/>
                <w:szCs w:val="13"/>
                <w:color w:val="auto"/>
              </w:rPr>
              <w:t>223,600</w:t>
            </w:r>
          </w:p>
        </w:tc>
        <w:tc>
          <w:tcPr>
            <w:tcW w:w="60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3"/>
                <w:szCs w:val="13"/>
                <w:color w:val="auto"/>
              </w:rPr>
              <w:t>447,200</w:t>
            </w:r>
          </w:p>
        </w:tc>
        <w:tc>
          <w:tcPr>
            <w:tcW w:w="60" w:type="dxa"/>
            <w:vAlign w:val="bottom"/>
          </w:tcPr>
          <w:p>
            <w:pPr>
              <w:spacing w:after="0"/>
              <w:rPr>
                <w:sz w:val="12"/>
                <w:szCs w:val="12"/>
                <w:color w:val="auto"/>
              </w:rPr>
            </w:pPr>
          </w:p>
        </w:tc>
        <w:tc>
          <w:tcPr>
            <w:tcW w:w="66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3"/>
                <w:szCs w:val="13"/>
                <w:color w:val="auto"/>
              </w:rPr>
              <w:t>894,400</w:t>
            </w:r>
          </w:p>
        </w:tc>
        <w:tc>
          <w:tcPr>
            <w:tcW w:w="120" w:type="dxa"/>
            <w:vAlign w:val="bottom"/>
          </w:tcPr>
          <w:p>
            <w:pPr>
              <w:spacing w:after="0"/>
              <w:rPr>
                <w:sz w:val="12"/>
                <w:szCs w:val="12"/>
                <w:color w:val="auto"/>
              </w:rPr>
            </w:pPr>
          </w:p>
        </w:tc>
        <w:tc>
          <w:tcPr>
            <w:tcW w:w="580" w:type="dxa"/>
            <w:vAlign w:val="bottom"/>
          </w:tcPr>
          <w:p>
            <w:pPr>
              <w:ind w:left="40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400" w:type="dxa"/>
            <w:vAlign w:val="bottom"/>
            <w:gridSpan w:val="2"/>
          </w:tcPr>
          <w:p>
            <w:pPr>
              <w:ind w:left="18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80" w:type="dxa"/>
            <w:vAlign w:val="bottom"/>
          </w:tcPr>
          <w:p>
            <w:pPr>
              <w:ind w:left="40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ind w:left="540"/>
              <w:spacing w:after="0" w:line="140"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0"/>
        </w:trPr>
        <w:tc>
          <w:tcPr>
            <w:tcW w:w="1940" w:type="dxa"/>
            <w:vAlign w:val="bottom"/>
            <w:tcBorders>
              <w:top w:val="single" w:sz="8" w:color="auto"/>
            </w:tcBorders>
            <w:gridSpan w:val="4"/>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James Snyder,</w:t>
            </w:r>
          </w:p>
        </w:tc>
        <w:tc>
          <w:tcPr>
            <w:tcW w:w="920" w:type="dxa"/>
            <w:vAlign w:val="bottom"/>
            <w:gridSpan w:val="3"/>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860" w:type="dxa"/>
            <w:vAlign w:val="bottom"/>
            <w:gridSpan w:val="7"/>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Chief Financial Officer  – Cash Incentive</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223,600</w:t>
            </w:r>
          </w:p>
        </w:tc>
        <w:tc>
          <w:tcPr>
            <w:tcW w:w="600" w:type="dxa"/>
            <w:vAlign w:val="bottom"/>
            <w:gridSpan w:val="2"/>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447,200</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894,400</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ind w:left="40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8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ind w:left="40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ind w:left="540"/>
              <w:spacing w:after="0" w:line="140"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88"/>
        </w:trPr>
        <w:tc>
          <w:tcPr>
            <w:tcW w:w="120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CCEEFF"/>
              <w:bottom w:val="single" w:sz="8" w:color="auto"/>
            </w:tcBorders>
          </w:tcPr>
          <w:p>
            <w:pPr>
              <w:spacing w:after="0"/>
              <w:rPr>
                <w:sz w:val="7"/>
                <w:szCs w:val="7"/>
                <w:color w:val="auto"/>
              </w:rPr>
            </w:pPr>
          </w:p>
        </w:tc>
        <w:tc>
          <w:tcPr>
            <w:tcW w:w="20" w:type="dxa"/>
            <w:vAlign w:val="bottom"/>
            <w:tcBorders>
              <w:top w:val="single" w:sz="8" w:color="CCEEFF"/>
              <w:bottom w:val="single" w:sz="8" w:color="auto"/>
            </w:tcBorders>
          </w:tcPr>
          <w:p>
            <w:pPr>
              <w:spacing w:after="0"/>
              <w:rPr>
                <w:sz w:val="7"/>
                <w:szCs w:val="7"/>
                <w:color w:val="auto"/>
              </w:rPr>
            </w:pPr>
          </w:p>
        </w:tc>
        <w:tc>
          <w:tcPr>
            <w:tcW w:w="320" w:type="dxa"/>
            <w:vAlign w:val="bottom"/>
            <w:tcBorders>
              <w:top w:val="single" w:sz="8" w:color="CCEEFF"/>
              <w:bottom w:val="single" w:sz="8" w:color="auto"/>
            </w:tcBorders>
          </w:tcPr>
          <w:p>
            <w:pPr>
              <w:spacing w:after="0"/>
              <w:rPr>
                <w:sz w:val="7"/>
                <w:szCs w:val="7"/>
                <w:color w:val="auto"/>
              </w:rPr>
            </w:pPr>
          </w:p>
        </w:tc>
        <w:tc>
          <w:tcPr>
            <w:tcW w:w="300" w:type="dxa"/>
            <w:vAlign w:val="bottom"/>
            <w:tcBorders>
              <w:top w:val="single" w:sz="8" w:color="CCEEFF"/>
              <w:bottom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560" w:type="dxa"/>
            <w:vAlign w:val="bottom"/>
            <w:tcBorders>
              <w:top w:val="single" w:sz="8" w:color="CCEEFF"/>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320" w:type="dxa"/>
            <w:vAlign w:val="bottom"/>
            <w:tcBorders>
              <w:top w:val="single" w:sz="8" w:color="CCEE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58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480" w:type="dxa"/>
            <w:vAlign w:val="bottom"/>
            <w:tcBorders>
              <w:top w:val="single" w:sz="8" w:color="CCEE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58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580" w:type="dxa"/>
            <w:vAlign w:val="bottom"/>
            <w:tcBorders>
              <w:top w:val="single" w:sz="8" w:color="CCEEFF"/>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360" w:type="dxa"/>
            <w:vAlign w:val="bottom"/>
            <w:tcBorders>
              <w:top w:val="single" w:sz="8" w:color="CCEEFF"/>
            </w:tcBorders>
          </w:tcPr>
          <w:p>
            <w:pPr>
              <w:spacing w:after="0"/>
              <w:rPr>
                <w:sz w:val="7"/>
                <w:szCs w:val="7"/>
                <w:color w:val="auto"/>
              </w:rPr>
            </w:pPr>
          </w:p>
        </w:tc>
        <w:tc>
          <w:tcPr>
            <w:tcW w:w="4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58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62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700" w:type="dxa"/>
            <w:vAlign w:val="bottom"/>
            <w:tcBorders>
              <w:top w:val="single" w:sz="8" w:color="CCEEF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00" w:right="159" w:hanging="356"/>
        <w:spacing w:after="0" w:line="236" w:lineRule="auto"/>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set forth above reflect the threshold, target and the maximum amounts that each of our named executive officers could have earned under our performance-based bonus plan for services performed in fiscal 2025, assuming Calavo had attained the respective Adjusted Net Income levels described in the Compensation Discussion and Analysis. These amounts represent the performance-based opportunities established at the beginning of fiscal 2025. The Compensation Committee reserved the right to pay up to 50% of any earned bonuses in RSUs to vest over</w:t>
      </w:r>
    </w:p>
    <w:p>
      <w:pPr>
        <w:spacing w:after="0" w:line="1"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months.</w:t>
      </w:r>
    </w:p>
    <w:p>
      <w:pPr>
        <w:spacing w:after="0" w:line="43" w:lineRule="exact"/>
        <w:rPr>
          <w:rFonts w:ascii="Times New Roman" w:cs="Times New Roman" w:eastAsia="Times New Roman" w:hAnsi="Times New Roman"/>
          <w:sz w:val="18"/>
          <w:szCs w:val="18"/>
          <w:color w:val="auto"/>
        </w:rPr>
      </w:pPr>
    </w:p>
    <w:p>
      <w:pPr>
        <w:ind w:left="400" w:hanging="356"/>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Munsell resigned effective December 1,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35" w:lineRule="exact"/>
        <w:rPr>
          <w:sz w:val="20"/>
          <w:szCs w:val="20"/>
          <w:color w:val="auto"/>
        </w:rPr>
      </w:pPr>
    </w:p>
    <w:p>
      <w:pPr>
        <w:ind w:left="40" w:right="99" w:firstLine="259"/>
        <w:spacing w:after="0" w:line="250" w:lineRule="auto"/>
        <w:rPr>
          <w:sz w:val="20"/>
          <w:szCs w:val="20"/>
          <w:color w:val="auto"/>
        </w:rPr>
      </w:pPr>
      <w:r>
        <w:rPr>
          <w:rFonts w:ascii="Times New Roman" w:cs="Times New Roman" w:eastAsia="Times New Roman" w:hAnsi="Times New Roman"/>
          <w:sz w:val="18"/>
          <w:szCs w:val="18"/>
          <w:color w:val="auto"/>
        </w:rPr>
        <w:t>The following table provides the outstanding equity awards for each named executive officer as of October 31, 2025. Other than as reported in the tables below, no other named executive officer held any unvested shares or stock options as of October 31, 2025.</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Option Awards</w:t>
      </w:r>
    </w:p>
    <w:p>
      <w:pPr>
        <w:spacing w:after="0" w:line="12" w:lineRule="exact"/>
        <w:rPr>
          <w:sz w:val="20"/>
          <w:szCs w:val="20"/>
          <w:color w:val="auto"/>
        </w:rPr>
      </w:pPr>
    </w:p>
    <w:tbl>
      <w:tblPr>
        <w:tblLayout w:type="fixed"/>
        <w:tblInd w:w="940" w:type="dxa"/>
        <w:tblCellMar>
          <w:top w:w="0" w:type="dxa"/>
          <w:left w:w="0" w:type="dxa"/>
          <w:bottom w:w="0" w:type="dxa"/>
          <w:right w:w="0" w:type="dxa"/>
        </w:tblCellMar>
      </w:tblPr>
      <w:tr>
        <w:trPr>
          <w:trHeight w:val="117"/>
        </w:trPr>
        <w:tc>
          <w:tcPr>
            <w:tcW w:w="1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 incentive</w:t>
            </w: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underlying</w:t>
            </w:r>
          </w:p>
        </w:tc>
        <w:tc>
          <w:tcPr>
            <w:tcW w:w="1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underlying</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underlying</w:t>
            </w:r>
          </w:p>
        </w:tc>
        <w:tc>
          <w:tcPr>
            <w:tcW w:w="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1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16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unearned</w:t>
            </w:r>
          </w:p>
        </w:tc>
        <w:tc>
          <w:tcPr>
            <w:tcW w:w="1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1140" w:type="dxa"/>
            <w:vAlign w:val="bottom"/>
            <w:vMerge w:val="continue"/>
          </w:tcPr>
          <w:p>
            <w:pPr>
              <w:spacing w:after="0"/>
              <w:rPr>
                <w:sz w:val="15"/>
                <w:szCs w:val="15"/>
                <w:color w:val="auto"/>
              </w:rPr>
            </w:pPr>
          </w:p>
        </w:tc>
        <w:tc>
          <w:tcPr>
            <w:tcW w:w="1440" w:type="dxa"/>
            <w:vAlign w:val="bottom"/>
            <w:gridSpan w:val="2"/>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  (#) exercisable</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 unexercisable</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date</w:t>
            </w:r>
          </w:p>
        </w:tc>
        <w:tc>
          <w:tcPr>
            <w:tcW w:w="0" w:type="dxa"/>
            <w:vAlign w:val="bottom"/>
          </w:tcPr>
          <w:p>
            <w:pPr>
              <w:spacing w:after="0"/>
              <w:rPr>
                <w:sz w:val="1"/>
                <w:szCs w:val="1"/>
                <w:color w:val="auto"/>
              </w:rPr>
            </w:pPr>
          </w:p>
        </w:tc>
      </w:tr>
      <w:tr>
        <w:trPr>
          <w:trHeight w:val="210"/>
        </w:trPr>
        <w:tc>
          <w:tcPr>
            <w:tcW w:w="1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Lecil Cole</w:t>
            </w: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24.39</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3/10/2033</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options were originally scheduled to vest in four tranches based on the following performance milestones:</w:t>
      </w:r>
    </w:p>
    <w:p>
      <w:pPr>
        <w:spacing w:after="0" w:line="144" w:lineRule="exact"/>
        <w:rPr>
          <w:sz w:val="20"/>
          <w:szCs w:val="20"/>
          <w:color w:val="auto"/>
        </w:rPr>
      </w:pPr>
    </w:p>
    <w:p>
      <w:pPr>
        <w:ind w:left="740" w:hanging="345"/>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shares vested on March 10, 2024, based on continued service through that date.</w:t>
      </w:r>
    </w:p>
    <w:p>
      <w:pPr>
        <w:spacing w:after="0" w:line="130" w:lineRule="exact"/>
        <w:rPr>
          <w:rFonts w:ascii="Times New Roman" w:cs="Times New Roman" w:eastAsia="Times New Roman" w:hAnsi="Times New Roman"/>
          <w:sz w:val="18"/>
          <w:szCs w:val="18"/>
          <w:color w:val="auto"/>
        </w:rPr>
      </w:pPr>
    </w:p>
    <w:p>
      <w:pPr>
        <w:ind w:left="740" w:hanging="345"/>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shares vest upon:</w:t>
      </w:r>
    </w:p>
    <w:p>
      <w:pPr>
        <w:spacing w:after="0" w:line="130" w:lineRule="exact"/>
        <w:rPr>
          <w:rFonts w:ascii="Times New Roman" w:cs="Times New Roman" w:eastAsia="Times New Roman" w:hAnsi="Times New Roman"/>
          <w:sz w:val="18"/>
          <w:szCs w:val="18"/>
          <w:color w:val="auto"/>
        </w:rPr>
      </w:pPr>
    </w:p>
    <w:p>
      <w:pPr>
        <w:ind w:left="1120" w:hanging="361"/>
        <w:spacing w:after="0"/>
        <w:tabs>
          <w:tab w:leader="none" w:pos="11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 reaching a closing price of $50.00 or higher on Nasdaq.</w:t>
      </w:r>
    </w:p>
    <w:p>
      <w:pPr>
        <w:spacing w:after="0" w:line="130" w:lineRule="exact"/>
        <w:rPr>
          <w:rFonts w:ascii="Times New Roman" w:cs="Times New Roman" w:eastAsia="Times New Roman" w:hAnsi="Times New Roman"/>
          <w:sz w:val="18"/>
          <w:szCs w:val="18"/>
          <w:color w:val="auto"/>
        </w:rPr>
      </w:pPr>
    </w:p>
    <w:p>
      <w:pPr>
        <w:ind w:left="1120" w:hanging="361"/>
        <w:spacing w:after="0"/>
        <w:tabs>
          <w:tab w:leader="none" w:pos="11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30-day average closing price following this milestone also being $50.00 or higher.</w:t>
      </w:r>
    </w:p>
    <w:p>
      <w:pPr>
        <w:spacing w:after="0" w:line="130" w:lineRule="exact"/>
        <w:rPr>
          <w:rFonts w:ascii="Times New Roman" w:cs="Times New Roman" w:eastAsia="Times New Roman" w:hAnsi="Times New Roman"/>
          <w:sz w:val="18"/>
          <w:szCs w:val="18"/>
          <w:color w:val="auto"/>
        </w:rPr>
      </w:pPr>
    </w:p>
    <w:p>
      <w:pPr>
        <w:ind w:left="740" w:hanging="345"/>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shares vest upon:</w:t>
      </w:r>
    </w:p>
    <w:p>
      <w:pPr>
        <w:spacing w:after="0" w:line="130" w:lineRule="exact"/>
        <w:rPr>
          <w:rFonts w:ascii="Times New Roman" w:cs="Times New Roman" w:eastAsia="Times New Roman" w:hAnsi="Times New Roman"/>
          <w:sz w:val="18"/>
          <w:szCs w:val="18"/>
          <w:color w:val="auto"/>
        </w:rPr>
      </w:pPr>
    </w:p>
    <w:p>
      <w:pPr>
        <w:ind w:left="1120" w:hanging="361"/>
        <w:spacing w:after="0"/>
        <w:tabs>
          <w:tab w:leader="none" w:pos="11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 reaching a closing price of $50.00 or higher.</w:t>
      </w:r>
    </w:p>
    <w:p>
      <w:pPr>
        <w:spacing w:after="0" w:line="130" w:lineRule="exact"/>
        <w:rPr>
          <w:rFonts w:ascii="Times New Roman" w:cs="Times New Roman" w:eastAsia="Times New Roman" w:hAnsi="Times New Roman"/>
          <w:sz w:val="18"/>
          <w:szCs w:val="18"/>
          <w:color w:val="auto"/>
        </w:rPr>
      </w:pPr>
    </w:p>
    <w:p>
      <w:pPr>
        <w:ind w:left="1120" w:hanging="361"/>
        <w:spacing w:after="0"/>
        <w:tabs>
          <w:tab w:leader="none" w:pos="11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30-day average closing price reaching $60.00 or higher.</w:t>
      </w:r>
    </w:p>
    <w:p>
      <w:pPr>
        <w:spacing w:after="0" w:line="130" w:lineRule="exact"/>
        <w:rPr>
          <w:rFonts w:ascii="Times New Roman" w:cs="Times New Roman" w:eastAsia="Times New Roman" w:hAnsi="Times New Roman"/>
          <w:sz w:val="18"/>
          <w:szCs w:val="18"/>
          <w:color w:val="auto"/>
        </w:rPr>
      </w:pPr>
    </w:p>
    <w:p>
      <w:pPr>
        <w:ind w:left="740" w:hanging="345"/>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shares vest upon:</w:t>
      </w:r>
    </w:p>
    <w:p>
      <w:pPr>
        <w:spacing w:after="0" w:line="130" w:lineRule="exact"/>
        <w:rPr>
          <w:rFonts w:ascii="Times New Roman" w:cs="Times New Roman" w:eastAsia="Times New Roman" w:hAnsi="Times New Roman"/>
          <w:sz w:val="18"/>
          <w:szCs w:val="18"/>
          <w:color w:val="auto"/>
        </w:rPr>
      </w:pPr>
    </w:p>
    <w:p>
      <w:pPr>
        <w:ind w:left="1120" w:hanging="361"/>
        <w:spacing w:after="0"/>
        <w:tabs>
          <w:tab w:leader="none" w:pos="11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 reaching a closing price of $50.00 or higher.</w:t>
      </w:r>
    </w:p>
    <w:p>
      <w:pPr>
        <w:spacing w:after="0" w:line="130" w:lineRule="exact"/>
        <w:rPr>
          <w:rFonts w:ascii="Times New Roman" w:cs="Times New Roman" w:eastAsia="Times New Roman" w:hAnsi="Times New Roman"/>
          <w:sz w:val="18"/>
          <w:szCs w:val="18"/>
          <w:color w:val="auto"/>
        </w:rPr>
      </w:pPr>
    </w:p>
    <w:p>
      <w:pPr>
        <w:ind w:left="1120" w:hanging="361"/>
        <w:spacing w:after="0"/>
        <w:tabs>
          <w:tab w:leader="none" w:pos="11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30-day average closing price reaching $70.00 or higher.</w:t>
      </w:r>
    </w:p>
    <w:p>
      <w:pPr>
        <w:spacing w:after="0" w:line="198" w:lineRule="exact"/>
        <w:rPr>
          <w:sz w:val="20"/>
          <w:szCs w:val="20"/>
          <w:color w:val="auto"/>
        </w:rPr>
      </w:pPr>
    </w:p>
    <w:p>
      <w:pPr>
        <w:ind w:left="40" w:right="79" w:firstLine="259"/>
        <w:spacing w:after="0" w:line="235" w:lineRule="auto"/>
        <w:rPr>
          <w:sz w:val="20"/>
          <w:szCs w:val="20"/>
          <w:color w:val="auto"/>
        </w:rPr>
      </w:pPr>
      <w:r>
        <w:rPr>
          <w:rFonts w:ascii="Times New Roman" w:cs="Times New Roman" w:eastAsia="Times New Roman" w:hAnsi="Times New Roman"/>
          <w:sz w:val="18"/>
          <w:szCs w:val="18"/>
          <w:color w:val="auto"/>
        </w:rPr>
        <w:t>Vesting of milestone-based tranches was originally contingent upon Mr. Cole’s continued service as President and Chief Executive Officer. On December 8, 2025, in connection with Mr. Cole’s retirement, the Company entered into a letter agreement amending the Stock Option, pursuant to which the remaining, unvested 300,000 shares underlying the award became vested and exercisable as of such date. Following Mr. Cole’s retirement, 200,000 shares subject to such option shall remain exercisable until July 31, 2026 and 300,000 shares subject to such option shall remain exercisable until December 8, 2026.</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FISCAL YEAR 2025</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shows shares of restricted stock held by named executive officers which vested in fiscal year 2025.</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There were no stock option exercises by any named executive officer in fiscal year 2025.</w:t>
      </w:r>
    </w:p>
    <w:p>
      <w:pPr>
        <w:spacing w:after="0" w:line="131" w:lineRule="exact"/>
        <w:rPr>
          <w:sz w:val="20"/>
          <w:szCs w:val="20"/>
          <w:color w:val="auto"/>
        </w:rPr>
      </w:pPr>
    </w:p>
    <w:tbl>
      <w:tblPr>
        <w:tblLayout w:type="fixed"/>
        <w:tblInd w:w="3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220" w:type="dxa"/>
            <w:vAlign w:val="bottom"/>
            <w:gridSpan w:val="4"/>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Acquired</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Vesting (#)</w:t>
            </w:r>
          </w:p>
        </w:tc>
        <w:tc>
          <w:tcPr>
            <w:tcW w:w="240" w:type="dxa"/>
            <w:vAlign w:val="bottom"/>
            <w:gridSpan w:val="2"/>
            <w:vMerge w:val="continue"/>
          </w:tcPr>
          <w:p>
            <w:pPr>
              <w:spacing w:after="0"/>
              <w:rPr>
                <w:sz w:val="15"/>
                <w:szCs w:val="15"/>
                <w:color w:val="auto"/>
              </w:rPr>
            </w:pPr>
          </w:p>
        </w:tc>
        <w:tc>
          <w:tcPr>
            <w:tcW w:w="100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on Vesting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Munsell</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32,517</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0" w:right="79" w:firstLine="259"/>
        <w:spacing w:after="0" w:line="266" w:lineRule="auto"/>
        <w:rPr>
          <w:sz w:val="20"/>
          <w:szCs w:val="20"/>
          <w:color w:val="auto"/>
        </w:rPr>
      </w:pPr>
      <w:r>
        <w:rPr>
          <w:rFonts w:ascii="Times New Roman" w:cs="Times New Roman" w:eastAsia="Times New Roman" w:hAnsi="Times New Roman"/>
          <w:sz w:val="18"/>
          <w:szCs w:val="18"/>
          <w:color w:val="auto"/>
        </w:rPr>
        <w:t>Calavo currently does not maintain a non-qualified defined contribution plan, non-qualified deferred compensation plan or pension plan, for any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135" w:lineRule="exact"/>
        <w:rPr>
          <w:sz w:val="20"/>
          <w:szCs w:val="20"/>
          <w:color w:val="auto"/>
        </w:rPr>
      </w:pPr>
    </w:p>
    <w:p>
      <w:pPr>
        <w:ind w:left="40" w:right="199" w:firstLine="259"/>
        <w:spacing w:after="0" w:line="238" w:lineRule="auto"/>
        <w:rPr>
          <w:sz w:val="20"/>
          <w:szCs w:val="20"/>
          <w:color w:val="auto"/>
        </w:rPr>
      </w:pPr>
      <w:r>
        <w:rPr>
          <w:rFonts w:ascii="Times New Roman" w:cs="Times New Roman" w:eastAsia="Times New Roman" w:hAnsi="Times New Roman"/>
          <w:sz w:val="18"/>
          <w:szCs w:val="18"/>
          <w:color w:val="auto"/>
        </w:rPr>
        <w:t>Below is a summary of the employment agreements that were in effect for our named executive officers for fiscal year 2025: Lecil Cole and Shawn Munsell. These agreements were not modified in fiscal year 2025. On November 12, 2025, the Company announced that Mr. Cole would retire effective December 8, 2025, and Mr. Cole retired as an employee and officer of the Company effective December 8, 2025. In connection with his retirement, on December 8, 2025, Mr. Cole entered into a letter agreement with the Company amending certain equity award terms. None of the other named executive officers were a party to an employment agreement during fiscal year 2025.</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Lecil Cole</w:t>
      </w:r>
    </w:p>
    <w:p>
      <w:pPr>
        <w:spacing w:after="0" w:line="146" w:lineRule="exact"/>
        <w:rPr>
          <w:sz w:val="20"/>
          <w:szCs w:val="20"/>
          <w:color w:val="auto"/>
        </w:rPr>
      </w:pPr>
    </w:p>
    <w:p>
      <w:pPr>
        <w:ind w:left="40" w:right="79" w:firstLine="259"/>
        <w:spacing w:after="0" w:line="235" w:lineRule="auto"/>
        <w:rPr>
          <w:sz w:val="20"/>
          <w:szCs w:val="20"/>
          <w:color w:val="auto"/>
        </w:rPr>
      </w:pPr>
      <w:r>
        <w:rPr>
          <w:rFonts w:ascii="Times New Roman" w:cs="Times New Roman" w:eastAsia="Times New Roman" w:hAnsi="Times New Roman"/>
          <w:sz w:val="18"/>
          <w:szCs w:val="18"/>
          <w:color w:val="auto"/>
        </w:rPr>
        <w:t>Pursuant to an Employment Agreement dated March 10, 2023, between Calavo and Mr. Cole (the “Employment Agreement”), Mr. Cole receives an annual base salary of $64,480, subject to increases as required by law to meet the minimum wage for an exempt employee. In lieu of participating in the long-term incentive program offered to other executives, Mr. Cole was granted a stock option under the 2020 Plan to purchase 500,000 shares of Calavo’s common stock (the “Option”), which vests as described in the Outstanding Equity Awards table.</w:t>
      </w:r>
    </w:p>
    <w:p>
      <w:pPr>
        <w:spacing w:after="0" w:line="107"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Upon termination of employment for any reason, Mr. Cole is not entitled to additional base salary payments, except for any earned but unpaid salary and, if required by law, accrued vacation pay or paid time off as of the termination date.</w:t>
      </w:r>
    </w:p>
    <w:p>
      <w:pPr>
        <w:spacing w:after="0" w:line="81" w:lineRule="exact"/>
        <w:rPr>
          <w:sz w:val="20"/>
          <w:szCs w:val="20"/>
          <w:color w:val="auto"/>
        </w:rPr>
      </w:pPr>
    </w:p>
    <w:p>
      <w:pPr>
        <w:ind w:left="40" w:right="139" w:firstLine="259"/>
        <w:spacing w:after="0" w:line="250" w:lineRule="auto"/>
        <w:rPr>
          <w:sz w:val="20"/>
          <w:szCs w:val="20"/>
          <w:color w:val="auto"/>
        </w:rPr>
      </w:pPr>
      <w:r>
        <w:rPr>
          <w:rFonts w:ascii="Times New Roman" w:cs="Times New Roman" w:eastAsia="Times New Roman" w:hAnsi="Times New Roman"/>
          <w:sz w:val="18"/>
          <w:szCs w:val="18"/>
          <w:color w:val="auto"/>
        </w:rPr>
        <w:t>If Calavo terminates Mr. Cole’s employment without Cause (as defined in the Employment Agreement) or if he resigns for Good Reason (as defined in the Employment Agreement), and he executes a Separation and Release Agreement, then Mr. Cole is entitled to:</w:t>
      </w:r>
    </w:p>
    <w:p>
      <w:pPr>
        <w:spacing w:after="0" w:line="96" w:lineRule="exact"/>
        <w:rPr>
          <w:sz w:val="20"/>
          <w:szCs w:val="20"/>
          <w:color w:val="auto"/>
        </w:rPr>
      </w:pPr>
    </w:p>
    <w:p>
      <w:pPr>
        <w:ind w:left="740" w:right="679" w:hanging="345"/>
        <w:spacing w:after="0" w:line="266" w:lineRule="auto"/>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Mr. Cole with one additional year of service for purposes of determining the vesting of the Option, effective immediately prior to his termination.</w:t>
      </w:r>
    </w:p>
    <w:p>
      <w:pPr>
        <w:spacing w:after="0" w:line="81" w:lineRule="exact"/>
        <w:rPr>
          <w:rFonts w:ascii="Times New Roman" w:cs="Times New Roman" w:eastAsia="Times New Roman" w:hAnsi="Times New Roman"/>
          <w:sz w:val="18"/>
          <w:szCs w:val="18"/>
          <w:color w:val="auto"/>
        </w:rPr>
      </w:pPr>
    </w:p>
    <w:p>
      <w:pPr>
        <w:ind w:left="740" w:right="79" w:hanging="345"/>
        <w:spacing w:after="0" w:line="266" w:lineRule="auto"/>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COBRA premiums to maintain his group health benefits (including medical, dental, and vision insurance) for one year. During this period, Mr. Cole will be treated as an active employee for benefits continuation.</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Cole retired without Good Reason effective December 8, 2025.</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Shawn Munsell</w:t>
      </w:r>
    </w:p>
    <w:p>
      <w:pPr>
        <w:spacing w:after="0" w:line="133" w:lineRule="exact"/>
        <w:rPr>
          <w:sz w:val="20"/>
          <w:szCs w:val="20"/>
          <w:color w:val="auto"/>
        </w:rPr>
      </w:pPr>
    </w:p>
    <w:p>
      <w:pPr>
        <w:ind w:left="40" w:right="499" w:firstLine="259"/>
        <w:spacing w:after="0" w:line="250" w:lineRule="auto"/>
        <w:rPr>
          <w:sz w:val="20"/>
          <w:szCs w:val="20"/>
          <w:color w:val="auto"/>
        </w:rPr>
      </w:pPr>
      <w:r>
        <w:rPr>
          <w:rFonts w:ascii="Times New Roman" w:cs="Times New Roman" w:eastAsia="Times New Roman" w:hAnsi="Times New Roman"/>
          <w:sz w:val="18"/>
          <w:szCs w:val="18"/>
          <w:color w:val="auto"/>
        </w:rPr>
        <w:t>Pursuant to an Employment Agreement dated June 9, 2022, between Calavo and Mr. Munsell (the “Munsell Employment Agreement”), Mr. Munsell receives an annual base salary of $415,000, subject to annual increases at the discretion of Calavo’s Compensation Committee. In February 2024, his base salary increased to $430,000.</w:t>
      </w:r>
    </w:p>
    <w:p>
      <w:pPr>
        <w:spacing w:after="0" w:line="96" w:lineRule="exact"/>
        <w:rPr>
          <w:sz w:val="20"/>
          <w:szCs w:val="20"/>
          <w:color w:val="auto"/>
        </w:rPr>
      </w:pPr>
    </w:p>
    <w:p>
      <w:pPr>
        <w:ind w:left="40" w:right="219" w:firstLine="259"/>
        <w:spacing w:after="0" w:line="242" w:lineRule="auto"/>
        <w:rPr>
          <w:sz w:val="20"/>
          <w:szCs w:val="20"/>
          <w:color w:val="auto"/>
        </w:rPr>
      </w:pPr>
      <w:r>
        <w:rPr>
          <w:rFonts w:ascii="Times New Roman" w:cs="Times New Roman" w:eastAsia="Times New Roman" w:hAnsi="Times New Roman"/>
          <w:sz w:val="18"/>
          <w:szCs w:val="18"/>
          <w:color w:val="auto"/>
        </w:rPr>
        <w:t>Beginning in fiscal 2022, Mr. Munsell became eligible for a performance bonus of 60% of his annual base salary, contingent on Calavo achieving annual performance targets established by the Compensation Committee. The Committee may also award him a discretionary bonus.</w:t>
      </w:r>
    </w:p>
    <w:p>
      <w:pPr>
        <w:spacing w:after="0" w:line="116" w:lineRule="exact"/>
        <w:rPr>
          <w:sz w:val="20"/>
          <w:szCs w:val="20"/>
          <w:color w:val="auto"/>
        </w:rPr>
      </w:pPr>
    </w:p>
    <w:p>
      <w:pPr>
        <w:ind w:left="40" w:right="139" w:firstLine="259"/>
        <w:spacing w:after="0" w:line="242" w:lineRule="auto"/>
        <w:rPr>
          <w:sz w:val="20"/>
          <w:szCs w:val="20"/>
          <w:color w:val="auto"/>
        </w:rPr>
      </w:pPr>
      <w:r>
        <w:rPr>
          <w:rFonts w:ascii="Times New Roman" w:cs="Times New Roman" w:eastAsia="Times New Roman" w:hAnsi="Times New Roman"/>
          <w:sz w:val="18"/>
          <w:szCs w:val="18"/>
          <w:color w:val="auto"/>
        </w:rPr>
        <w:t>Upon commencing employment, Mr. Munsell received a signing bonus in the form of RSUs valued at $350,000. These RSUs vest in three equal annual installments, with the first installment vesting on the first anniversary of his start date. Calavo also reimburses Mr. Munsell for travel expenses.</w:t>
      </w:r>
    </w:p>
    <w:p>
      <w:pPr>
        <w:spacing w:after="0" w:line="103" w:lineRule="exact"/>
        <w:rPr>
          <w:sz w:val="20"/>
          <w:szCs w:val="20"/>
          <w:color w:val="auto"/>
        </w:rPr>
      </w:pPr>
    </w:p>
    <w:p>
      <w:pPr>
        <w:ind w:left="40" w:right="119" w:firstLine="259"/>
        <w:spacing w:after="0" w:line="266" w:lineRule="auto"/>
        <w:rPr>
          <w:sz w:val="20"/>
          <w:szCs w:val="20"/>
          <w:color w:val="auto"/>
        </w:rPr>
      </w:pPr>
      <w:r>
        <w:rPr>
          <w:rFonts w:ascii="Times New Roman" w:cs="Times New Roman" w:eastAsia="Times New Roman" w:hAnsi="Times New Roman"/>
          <w:sz w:val="18"/>
          <w:szCs w:val="18"/>
          <w:color w:val="auto"/>
        </w:rPr>
        <w:t>Mr. Munsell resigned without Good Reason (as defined in the Munsell Employment Agreement) from his position with the Company effective December 1, 2024.</w:t>
      </w:r>
    </w:p>
    <w:p>
      <w:pPr>
        <w:spacing w:after="0" w:line="81" w:lineRule="exact"/>
        <w:rPr>
          <w:sz w:val="20"/>
          <w:szCs w:val="20"/>
          <w:color w:val="auto"/>
        </w:rPr>
      </w:pPr>
    </w:p>
    <w:p>
      <w:pPr>
        <w:ind w:left="40" w:right="199" w:firstLine="259"/>
        <w:spacing w:after="0" w:line="266" w:lineRule="auto"/>
        <w:rPr>
          <w:sz w:val="20"/>
          <w:szCs w:val="20"/>
          <w:color w:val="auto"/>
        </w:rPr>
      </w:pPr>
      <w:r>
        <w:rPr>
          <w:rFonts w:ascii="Times New Roman" w:cs="Times New Roman" w:eastAsia="Times New Roman" w:hAnsi="Times New Roman"/>
          <w:sz w:val="18"/>
          <w:szCs w:val="18"/>
          <w:color w:val="auto"/>
        </w:rPr>
        <w:t>If Calavo had terminated Mr. Munsell’s employment without Cause or if he had resigned for Good Reason (as defined in the Munsell Employment Agreement), he would have been entitled to:</w:t>
      </w:r>
    </w:p>
    <w:p>
      <w:pPr>
        <w:spacing w:after="0" w:line="14" w:lineRule="exact"/>
        <w:rPr>
          <w:sz w:val="20"/>
          <w:szCs w:val="20"/>
          <w:color w:val="auto"/>
        </w:rPr>
      </w:pPr>
    </w:p>
    <w:p>
      <w:pPr>
        <w:ind w:left="740" w:hanging="345"/>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equal to one year of his base salary.</w:t>
      </w:r>
    </w:p>
    <w:p>
      <w:pPr>
        <w:spacing w:after="0" w:line="63" w:lineRule="exact"/>
        <w:rPr>
          <w:rFonts w:ascii="Times New Roman" w:cs="Times New Roman" w:eastAsia="Times New Roman" w:hAnsi="Times New Roman"/>
          <w:sz w:val="18"/>
          <w:szCs w:val="18"/>
          <w:color w:val="auto"/>
        </w:rPr>
      </w:pPr>
    </w:p>
    <w:p>
      <w:pPr>
        <w:ind w:left="740" w:hanging="345"/>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Calavo-paid health benefits for one year.</w:t>
      </w:r>
    </w:p>
    <w:p>
      <w:pPr>
        <w:spacing w:after="0" w:line="63" w:lineRule="exact"/>
        <w:rPr>
          <w:rFonts w:ascii="Times New Roman" w:cs="Times New Roman" w:eastAsia="Times New Roman" w:hAnsi="Times New Roman"/>
          <w:sz w:val="18"/>
          <w:szCs w:val="18"/>
          <w:color w:val="auto"/>
        </w:rPr>
      </w:pPr>
    </w:p>
    <w:p>
      <w:pPr>
        <w:ind w:left="740" w:hanging="345"/>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portion of his annual bonus.</w:t>
      </w:r>
    </w:p>
    <w:p>
      <w:pPr>
        <w:spacing w:after="0" w:line="63" w:lineRule="exact"/>
        <w:rPr>
          <w:rFonts w:ascii="Times New Roman" w:cs="Times New Roman" w:eastAsia="Times New Roman" w:hAnsi="Times New Roman"/>
          <w:sz w:val="18"/>
          <w:szCs w:val="18"/>
          <w:color w:val="auto"/>
        </w:rPr>
      </w:pPr>
    </w:p>
    <w:p>
      <w:pPr>
        <w:ind w:left="740" w:hanging="345"/>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vesting of the RSUs granted as his signing bonus.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Certain Employment Agreement Definitions</w:t>
      </w:r>
    </w:p>
    <w:p>
      <w:pPr>
        <w:spacing w:after="0" w:line="133" w:lineRule="exact"/>
        <w:rPr>
          <w:sz w:val="20"/>
          <w:szCs w:val="20"/>
          <w:color w:val="auto"/>
        </w:rPr>
      </w:pPr>
    </w:p>
    <w:p>
      <w:pPr>
        <w:jc w:val="both"/>
        <w:ind w:left="40" w:right="439" w:firstLine="259"/>
        <w:spacing w:after="0" w:line="250" w:lineRule="auto"/>
        <w:rPr>
          <w:sz w:val="20"/>
          <w:szCs w:val="20"/>
          <w:color w:val="auto"/>
        </w:rPr>
      </w:pPr>
      <w:r>
        <w:rPr>
          <w:rFonts w:ascii="Times New Roman" w:cs="Times New Roman" w:eastAsia="Times New Roman" w:hAnsi="Times New Roman"/>
          <w:sz w:val="18"/>
          <w:szCs w:val="18"/>
          <w:color w:val="auto"/>
        </w:rPr>
        <w:t>The terms “Cause,” “Good Reason,” and “Change in Control” are defined in the employment agreements between Calavo and its named executive officers, as well as in the 2020 Plan. These definitions govern executive compensation arrangements related to severance, termination, and change-in-control benefits.</w:t>
      </w:r>
    </w:p>
    <w:p>
      <w:pPr>
        <w:spacing w:after="0" w:line="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reference:</w:t>
      </w:r>
    </w:p>
    <w:p>
      <w:pPr>
        <w:spacing w:after="0" w:line="104" w:lineRule="exact"/>
        <w:rPr>
          <w:sz w:val="20"/>
          <w:szCs w:val="20"/>
          <w:color w:val="auto"/>
        </w:rPr>
      </w:pPr>
    </w:p>
    <w:p>
      <w:pPr>
        <w:ind w:left="580" w:right="459" w:hanging="185"/>
        <w:spacing w:after="0" w:line="250" w:lineRule="auto"/>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generally includes willful misconduct, refusal to perform duties, conviction of certain crimes, theft, or other material breaches of the employment agreement or company policies.</w:t>
      </w:r>
    </w:p>
    <w:p>
      <w:pPr>
        <w:spacing w:after="0" w:line="68" w:lineRule="exact"/>
        <w:rPr>
          <w:rFonts w:ascii="Times New Roman" w:cs="Times New Roman" w:eastAsia="Times New Roman" w:hAnsi="Times New Roman"/>
          <w:sz w:val="18"/>
          <w:szCs w:val="18"/>
          <w:color w:val="auto"/>
        </w:rPr>
      </w:pPr>
    </w:p>
    <w:p>
      <w:pPr>
        <w:ind w:left="580" w:right="439" w:hanging="185"/>
        <w:spacing w:after="0" w:line="242" w:lineRule="auto"/>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generally includes material adverse changes to an executive’s role, salary reductions below a specified threshold, certain breaches of the employment agreement by the Company, or a failure by a successor entity to assume contractual obligations.</w:t>
      </w:r>
    </w:p>
    <w:p>
      <w:pPr>
        <w:spacing w:after="0" w:line="75" w:lineRule="exact"/>
        <w:rPr>
          <w:rFonts w:ascii="Times New Roman" w:cs="Times New Roman" w:eastAsia="Times New Roman" w:hAnsi="Times New Roman"/>
          <w:sz w:val="18"/>
          <w:szCs w:val="18"/>
          <w:color w:val="auto"/>
        </w:rPr>
      </w:pPr>
    </w:p>
    <w:p>
      <w:pPr>
        <w:ind w:left="580" w:right="299" w:hanging="185"/>
        <w:spacing w:after="0" w:line="250" w:lineRule="auto"/>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is defined in the 2020 Plan or as defined in the executive’s employment agreement for those named executive officers who are party to an employment agreement.</w:t>
      </w:r>
    </w:p>
    <w:p>
      <w:pPr>
        <w:spacing w:after="0" w:line="95" w:lineRule="exact"/>
        <w:rPr>
          <w:sz w:val="20"/>
          <w:szCs w:val="20"/>
          <w:color w:val="auto"/>
        </w:rPr>
      </w:pPr>
    </w:p>
    <w:p>
      <w:pPr>
        <w:ind w:left="40" w:right="719" w:firstLine="259"/>
        <w:spacing w:after="0" w:line="266" w:lineRule="auto"/>
        <w:rPr>
          <w:sz w:val="20"/>
          <w:szCs w:val="20"/>
          <w:color w:val="auto"/>
        </w:rPr>
      </w:pPr>
      <w:r>
        <w:rPr>
          <w:rFonts w:ascii="Times New Roman" w:cs="Times New Roman" w:eastAsia="Times New Roman" w:hAnsi="Times New Roman"/>
          <w:sz w:val="18"/>
          <w:szCs w:val="18"/>
          <w:color w:val="auto"/>
        </w:rPr>
        <w:t>These definitions remain unchanged from prior years and can be reviewed in full in the applicable employment agreements and the 2020 Plan.</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Potential Payments Upon Termination or Change in Control:</w:t>
      </w:r>
    </w:p>
    <w:p>
      <w:pPr>
        <w:spacing w:after="0" w:line="133" w:lineRule="exact"/>
        <w:rPr>
          <w:sz w:val="20"/>
          <w:szCs w:val="20"/>
          <w:color w:val="auto"/>
        </w:rPr>
      </w:pPr>
    </w:p>
    <w:p>
      <w:pPr>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If a Change in Control of Calavo occurs and the agreement governing the transaction does not provide for one of the following:</w:t>
      </w:r>
    </w:p>
    <w:p>
      <w:pPr>
        <w:spacing w:after="0" w:line="41" w:lineRule="exact"/>
        <w:rPr>
          <w:sz w:val="20"/>
          <w:szCs w:val="20"/>
          <w:color w:val="auto"/>
        </w:rPr>
      </w:pPr>
    </w:p>
    <w:p>
      <w:pPr>
        <w:ind w:left="580" w:hanging="185"/>
        <w:spacing w:after="0"/>
        <w:tabs>
          <w:tab w:leader="none" w:pos="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outstanding awards,</w:t>
      </w:r>
    </w:p>
    <w:p>
      <w:pPr>
        <w:spacing w:after="0" w:line="103" w:lineRule="exact"/>
        <w:rPr>
          <w:rFonts w:ascii="Times New Roman" w:cs="Times New Roman" w:eastAsia="Times New Roman" w:hAnsi="Times New Roman"/>
          <w:sz w:val="18"/>
          <w:szCs w:val="18"/>
          <w:color w:val="auto"/>
        </w:rPr>
      </w:pPr>
    </w:p>
    <w:p>
      <w:pPr>
        <w:ind w:left="580" w:hanging="185"/>
        <w:spacing w:after="0"/>
        <w:tabs>
          <w:tab w:leader="none" w:pos="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outstanding awards by the successor entity, or</w:t>
      </w:r>
    </w:p>
    <w:p>
      <w:pPr>
        <w:spacing w:after="0" w:line="103" w:lineRule="exact"/>
        <w:rPr>
          <w:rFonts w:ascii="Times New Roman" w:cs="Times New Roman" w:eastAsia="Times New Roman" w:hAnsi="Times New Roman"/>
          <w:sz w:val="18"/>
          <w:szCs w:val="18"/>
          <w:color w:val="auto"/>
        </w:rPr>
      </w:pPr>
    </w:p>
    <w:p>
      <w:pPr>
        <w:ind w:left="580" w:right="319" w:hanging="185"/>
        <w:spacing w:after="0" w:line="266" w:lineRule="auto"/>
        <w:tabs>
          <w:tab w:leader="none" w:pos="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Substitution of new awards with substantially similar terms, including adjustments for securities of the successor entity,</w:t>
      </w:r>
    </w:p>
    <w:p>
      <w:pPr>
        <w:spacing w:after="0" w:line="81" w:lineRule="exact"/>
        <w:rPr>
          <w:sz w:val="20"/>
          <w:szCs w:val="20"/>
          <w:color w:val="auto"/>
        </w:rPr>
      </w:pPr>
    </w:p>
    <w:p>
      <w:pPr>
        <w:ind w:left="40" w:right="479" w:firstLine="259"/>
        <w:spacing w:after="0" w:line="250" w:lineRule="auto"/>
        <w:rPr>
          <w:sz w:val="20"/>
          <w:szCs w:val="20"/>
          <w:color w:val="auto"/>
        </w:rPr>
      </w:pPr>
      <w:r>
        <w:rPr>
          <w:rFonts w:ascii="Times New Roman" w:cs="Times New Roman" w:eastAsia="Times New Roman" w:hAnsi="Times New Roman"/>
          <w:sz w:val="18"/>
          <w:szCs w:val="18"/>
          <w:color w:val="auto"/>
        </w:rPr>
        <w:t>then the following adjustments to outstanding awards will take effect immediately prior to, but conditioned on, the consummation of the Change in Control:</w:t>
      </w:r>
    </w:p>
    <w:p>
      <w:pPr>
        <w:spacing w:after="0" w:line="109" w:lineRule="exact"/>
        <w:rPr>
          <w:sz w:val="20"/>
          <w:szCs w:val="20"/>
          <w:color w:val="auto"/>
        </w:rPr>
      </w:pPr>
    </w:p>
    <w:p>
      <w:pPr>
        <w:ind w:left="740" w:hanging="345"/>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&amp; Stock Appreciation Rights (SARs)</w:t>
      </w:r>
    </w:p>
    <w:p>
      <w:pPr>
        <w:spacing w:after="0" w:line="90" w:lineRule="exact"/>
        <w:rPr>
          <w:rFonts w:ascii="Times New Roman" w:cs="Times New Roman" w:eastAsia="Times New Roman" w:hAnsi="Times New Roman"/>
          <w:sz w:val="18"/>
          <w:szCs w:val="18"/>
          <w:color w:val="auto"/>
        </w:rPr>
      </w:pPr>
    </w:p>
    <w:p>
      <w:pPr>
        <w:ind w:left="940" w:hanging="181"/>
        <w:spacing w:after="0"/>
        <w:tabs>
          <w:tab w:leader="none" w:pos="9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unexercisable or unvested Options or SARs will automatically vest and become exercisable.</w:t>
      </w:r>
    </w:p>
    <w:p>
      <w:pPr>
        <w:spacing w:after="0" w:line="144" w:lineRule="exact"/>
        <w:rPr>
          <w:rFonts w:ascii="Times New Roman" w:cs="Times New Roman" w:eastAsia="Times New Roman" w:hAnsi="Times New Roman"/>
          <w:sz w:val="18"/>
          <w:szCs w:val="18"/>
          <w:color w:val="auto"/>
        </w:rPr>
      </w:pPr>
    </w:p>
    <w:p>
      <w:pPr>
        <w:ind w:left="740" w:hanging="345"/>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Awards</w:t>
      </w:r>
    </w:p>
    <w:p>
      <w:pPr>
        <w:spacing w:after="0" w:line="90" w:lineRule="exact"/>
        <w:rPr>
          <w:rFonts w:ascii="Times New Roman" w:cs="Times New Roman" w:eastAsia="Times New Roman" w:hAnsi="Times New Roman"/>
          <w:sz w:val="18"/>
          <w:szCs w:val="18"/>
          <w:color w:val="auto"/>
        </w:rPr>
      </w:pPr>
    </w:p>
    <w:p>
      <w:pPr>
        <w:ind w:left="940" w:right="399" w:hanging="181"/>
        <w:spacing w:after="0" w:line="266" w:lineRule="auto"/>
        <w:tabs>
          <w:tab w:leader="none" w:pos="9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 will be paid out as if the Change in Control date were the last day of the Performance Period, with performance assumed at target levels.</w:t>
      </w:r>
    </w:p>
    <w:p>
      <w:pPr>
        <w:spacing w:after="0" w:line="40" w:lineRule="exact"/>
        <w:rPr>
          <w:rFonts w:ascii="Times New Roman" w:cs="Times New Roman" w:eastAsia="Times New Roman" w:hAnsi="Times New Roman"/>
          <w:sz w:val="18"/>
          <w:szCs w:val="18"/>
          <w:color w:val="auto"/>
        </w:rPr>
      </w:pPr>
    </w:p>
    <w:p>
      <w:pPr>
        <w:ind w:left="940" w:right="319" w:hanging="181"/>
        <w:spacing w:after="0" w:line="266" w:lineRule="auto"/>
        <w:tabs>
          <w:tab w:leader="none" w:pos="9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the Compensation Committee may cancel outstanding Incentive Cash Awards without payment if the Change in Control occurs before 50% of the Performance Period is complete.</w:t>
      </w:r>
    </w:p>
    <w:p>
      <w:pPr>
        <w:spacing w:after="0" w:line="81" w:lineRule="exact"/>
        <w:rPr>
          <w:rFonts w:ascii="Times New Roman" w:cs="Times New Roman" w:eastAsia="Times New Roman" w:hAnsi="Times New Roman"/>
          <w:sz w:val="18"/>
          <w:szCs w:val="18"/>
          <w:color w:val="auto"/>
        </w:rPr>
      </w:pPr>
    </w:p>
    <w:p>
      <w:pPr>
        <w:ind w:left="740" w:hanging="345"/>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Outstanding Awards (RSUs, Restricted Shares, etc.)</w:t>
      </w:r>
    </w:p>
    <w:p>
      <w:pPr>
        <w:spacing w:after="0" w:line="90" w:lineRule="exact"/>
        <w:rPr>
          <w:rFonts w:ascii="Times New Roman" w:cs="Times New Roman" w:eastAsia="Times New Roman" w:hAnsi="Times New Roman"/>
          <w:sz w:val="18"/>
          <w:szCs w:val="18"/>
          <w:color w:val="auto"/>
        </w:rPr>
      </w:pPr>
    </w:p>
    <w:p>
      <w:pPr>
        <w:ind w:left="940" w:hanging="181"/>
        <w:spacing w:after="0"/>
        <w:tabs>
          <w:tab w:leader="none" w:pos="9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unvested or restricted awards will automatically vest, and all forfeiture provisions will lapse.</w:t>
      </w:r>
    </w:p>
    <w:p>
      <w:pPr>
        <w:spacing w:after="0" w:line="144" w:lineRule="exact"/>
        <w:rPr>
          <w:sz w:val="20"/>
          <w:szCs w:val="20"/>
          <w:color w:val="auto"/>
        </w:rPr>
      </w:pPr>
    </w:p>
    <w:p>
      <w:pPr>
        <w:ind w:left="40" w:right="99" w:firstLine="259"/>
        <w:spacing w:after="0" w:line="235" w:lineRule="auto"/>
        <w:rPr>
          <w:sz w:val="20"/>
          <w:szCs w:val="20"/>
          <w:color w:val="auto"/>
        </w:rPr>
      </w:pPr>
      <w:r>
        <w:rPr>
          <w:rFonts w:ascii="Times New Roman" w:cs="Times New Roman" w:eastAsia="Times New Roman" w:hAnsi="Times New Roman"/>
          <w:sz w:val="18"/>
          <w:szCs w:val="18"/>
          <w:color w:val="auto"/>
        </w:rPr>
        <w:t>The table below summarizes, as of October 31, 2025, the compensation that would have been provided to the named executive officers if their employment had hypothetically been terminated without Cause or Good Reason on such date and using the closing price of our common shares on October 31, 2025 of $22.19. Under the Company’s severance policy, executive officers, unless otherwise contracted, are eligible for severance pay in the event of a termination without cause or for good reason. The severance package includes:</w:t>
      </w:r>
    </w:p>
    <w:p>
      <w:pPr>
        <w:spacing w:after="0" w:line="121" w:lineRule="exact"/>
        <w:rPr>
          <w:sz w:val="20"/>
          <w:szCs w:val="20"/>
          <w:color w:val="auto"/>
        </w:rPr>
      </w:pPr>
    </w:p>
    <w:p>
      <w:pPr>
        <w:ind w:left="740" w:right="359" w:hanging="345"/>
        <w:spacing w:after="0" w:line="250" w:lineRule="auto"/>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Severance: A minimum of 26 weeks of base salary, plus one additional week for each completed year of service, up to a maximum of 36 weeks; and</w:t>
      </w:r>
    </w:p>
    <w:p>
      <w:pPr>
        <w:spacing w:after="0" w:line="108" w:lineRule="exact"/>
        <w:rPr>
          <w:rFonts w:ascii="Times New Roman" w:cs="Times New Roman" w:eastAsia="Times New Roman" w:hAnsi="Times New Roman"/>
          <w:sz w:val="18"/>
          <w:szCs w:val="18"/>
          <w:color w:val="auto"/>
        </w:rPr>
      </w:pPr>
    </w:p>
    <w:p>
      <w:pPr>
        <w:ind w:left="740" w:hanging="345"/>
        <w:spacing w:after="0"/>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Benefits: Up to six months of continued health benefit coverage paid by the company.</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right="119" w:firstLine="259"/>
        <w:spacing w:after="0" w:line="266" w:lineRule="auto"/>
        <w:rPr>
          <w:sz w:val="20"/>
          <w:szCs w:val="20"/>
          <w:color w:val="auto"/>
        </w:rPr>
      </w:pPr>
      <w:r>
        <w:rPr>
          <w:rFonts w:ascii="Times New Roman" w:cs="Times New Roman" w:eastAsia="Times New Roman" w:hAnsi="Times New Roman"/>
          <w:sz w:val="18"/>
          <w:szCs w:val="18"/>
          <w:color w:val="auto"/>
        </w:rPr>
        <w:t>The company’s policy does not preclude re-hired employees from receiving severance again, though consideration may be given to the most recent period of employment when determining severance eligibility.</w:t>
      </w:r>
    </w:p>
    <w:p>
      <w:pPr>
        <w:spacing w:after="0" w:line="8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60" w:type="dxa"/>
            <w:vAlign w:val="bottom"/>
          </w:tcPr>
          <w:p>
            <w:pPr>
              <w:spacing w:after="0"/>
              <w:rPr>
                <w:sz w:val="13"/>
                <w:szCs w:val="13"/>
                <w:color w:val="auto"/>
              </w:rPr>
            </w:pPr>
          </w:p>
        </w:tc>
        <w:tc>
          <w:tcPr>
            <w:tcW w:w="64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Health</w:t>
            </w:r>
          </w:p>
        </w:tc>
        <w:tc>
          <w:tcPr>
            <w:tcW w:w="16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160" w:type="dxa"/>
            <w:vAlign w:val="bottom"/>
          </w:tcPr>
          <w:p>
            <w:pPr>
              <w:spacing w:after="0"/>
              <w:rPr>
                <w:sz w:val="12"/>
                <w:szCs w:val="12"/>
                <w:color w:val="auto"/>
              </w:rPr>
            </w:pPr>
          </w:p>
        </w:tc>
        <w:tc>
          <w:tcPr>
            <w:tcW w:w="66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160" w:type="dxa"/>
            <w:vAlign w:val="bottom"/>
          </w:tcPr>
          <w:p>
            <w:pPr>
              <w:spacing w:after="0"/>
              <w:rPr>
                <w:sz w:val="12"/>
                <w:szCs w:val="12"/>
                <w:color w:val="auto"/>
              </w:rPr>
            </w:pPr>
          </w:p>
        </w:tc>
        <w:tc>
          <w:tcPr>
            <w:tcW w:w="5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00" w:type="dxa"/>
            <w:vAlign w:val="bottom"/>
            <w:gridSpan w:val="4"/>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gridSpan w:val="2"/>
            <w:vMerge w:val="continue"/>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Lecil Cole</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68,640</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Shawn Munsell</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Mike Browne</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191,111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50,149</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Ronald Araiza</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33,880</w:t>
            </w:r>
          </w:p>
        </w:tc>
        <w:tc>
          <w:tcPr>
            <w:tcW w:w="16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Snyder</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481,374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720" w:right="79" w:hanging="325"/>
        <w:spacing w:after="0" w:line="250"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Munsell resigned effective December 1, 2024 and was not employed by the Company as of October 31, 2025. Accordingly, as of the assumed termination or change in control date, no payments or accelerated vesting would have been payable to him.</w:t>
      </w:r>
    </w:p>
    <w:p>
      <w:pPr>
        <w:spacing w:after="0" w:line="96" w:lineRule="exact"/>
        <w:rPr>
          <w:sz w:val="20"/>
          <w:szCs w:val="20"/>
          <w:color w:val="auto"/>
        </w:rPr>
      </w:pPr>
    </w:p>
    <w:p>
      <w:pPr>
        <w:ind w:left="40" w:right="179" w:firstLine="259"/>
        <w:spacing w:after="0" w:line="242" w:lineRule="auto"/>
        <w:rPr>
          <w:sz w:val="20"/>
          <w:szCs w:val="20"/>
          <w:color w:val="auto"/>
        </w:rPr>
      </w:pPr>
      <w:r>
        <w:rPr>
          <w:rFonts w:ascii="Times New Roman" w:cs="Times New Roman" w:eastAsia="Times New Roman" w:hAnsi="Times New Roman"/>
          <w:sz w:val="18"/>
          <w:szCs w:val="18"/>
          <w:color w:val="auto"/>
        </w:rPr>
        <w:t>The table below summarizes as of October 31, 2025, the shares that would vest upon a change in control if a change in control had hypothetically occurred on such date, and the market value of such shares based on the closing price on October 31, 2025 of $22.19.</w:t>
      </w:r>
    </w:p>
    <w:p>
      <w:pPr>
        <w:spacing w:after="0" w:line="204" w:lineRule="exact"/>
        <w:rPr>
          <w:sz w:val="20"/>
          <w:szCs w:val="20"/>
          <w:color w:val="auto"/>
        </w:rPr>
      </w:pPr>
    </w:p>
    <w:tbl>
      <w:tblPr>
        <w:tblLayout w:type="fixed"/>
        <w:tblInd w:w="320" w:type="dxa"/>
        <w:tblCellMar>
          <w:top w:w="0" w:type="dxa"/>
          <w:left w:w="0" w:type="dxa"/>
          <w:bottom w:w="0" w:type="dxa"/>
          <w:right w:w="0" w:type="dxa"/>
        </w:tblCellMar>
      </w:tblPr>
      <w:tr>
        <w:trPr>
          <w:trHeight w:val="173"/>
        </w:trPr>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Borders>
              <w:bottom w:val="single" w:sz="8" w:color="auto"/>
            </w:tcBorders>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0"/>
                <w:szCs w:val="10"/>
                <w:color w:val="auto"/>
              </w:rPr>
            </w:pPr>
          </w:p>
        </w:tc>
        <w:tc>
          <w:tcPr>
            <w:tcW w:w="640" w:type="dxa"/>
            <w:vAlign w:val="bottom"/>
          </w:tcPr>
          <w:p>
            <w:pPr>
              <w:jc w:val="right"/>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Value of</w:t>
            </w:r>
          </w:p>
        </w:tc>
        <w:tc>
          <w:tcPr>
            <w:tcW w:w="0" w:type="dxa"/>
            <w:vAlign w:val="bottom"/>
          </w:tcPr>
          <w:p>
            <w:pPr>
              <w:spacing w:after="0"/>
              <w:rPr>
                <w:sz w:val="1"/>
                <w:szCs w:val="1"/>
                <w:color w:val="auto"/>
              </w:rPr>
            </w:pPr>
          </w:p>
        </w:tc>
      </w:tr>
      <w:tr>
        <w:trPr>
          <w:trHeight w:val="148"/>
        </w:trPr>
        <w:tc>
          <w:tcPr>
            <w:tcW w:w="6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Which</w:t>
            </w:r>
          </w:p>
        </w:tc>
        <w:tc>
          <w:tcPr>
            <w:tcW w:w="220" w:type="dxa"/>
            <w:vAlign w:val="bottom"/>
          </w:tcPr>
          <w:p>
            <w:pPr>
              <w:spacing w:after="0"/>
              <w:rPr>
                <w:sz w:val="12"/>
                <w:szCs w:val="12"/>
                <w:color w:val="auto"/>
              </w:rPr>
            </w:pPr>
          </w:p>
        </w:tc>
        <w:tc>
          <w:tcPr>
            <w:tcW w:w="640" w:type="dxa"/>
            <w:vAlign w:val="bottom"/>
          </w:tcPr>
          <w:p>
            <w:pPr>
              <w:jc w:val="right"/>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0" w:type="dxa"/>
            <w:vAlign w:val="bottom"/>
          </w:tcPr>
          <w:p>
            <w:pPr>
              <w:spacing w:after="0"/>
              <w:rPr>
                <w:sz w:val="1"/>
                <w:szCs w:val="1"/>
                <w:color w:val="auto"/>
              </w:rPr>
            </w:pPr>
          </w:p>
        </w:tc>
      </w:tr>
      <w:tr>
        <w:trPr>
          <w:trHeight w:val="173"/>
        </w:trPr>
        <w:tc>
          <w:tcPr>
            <w:tcW w:w="636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Vest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0" w:type="dxa"/>
            <w:vAlign w:val="bottom"/>
          </w:tcPr>
          <w:p>
            <w:pPr>
              <w:spacing w:after="0"/>
              <w:rPr>
                <w:sz w:val="1"/>
                <w:szCs w:val="1"/>
                <w:color w:val="auto"/>
              </w:rPr>
            </w:pPr>
          </w:p>
        </w:tc>
      </w:tr>
      <w:tr>
        <w:trPr>
          <w:trHeight w:val="20"/>
        </w:trPr>
        <w:tc>
          <w:tcPr>
            <w:tcW w:w="60" w:type="dxa"/>
            <w:vAlign w:val="bottom"/>
            <w:tcBorders>
              <w:right w:val="single" w:sz="8" w:color="auto"/>
            </w:tcBorders>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Borders>
              <w:right w:val="single" w:sz="8" w:color="CCEEFF"/>
            </w:tcBorders>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Lecil Cole</w:t>
            </w:r>
          </w:p>
        </w:tc>
        <w:tc>
          <w:tcPr>
            <w:tcW w:w="2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3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Shawn Munsell</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Mike Browne</w:t>
            </w:r>
          </w:p>
        </w:tc>
        <w:tc>
          <w:tcPr>
            <w:tcW w:w="24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Araiza</w:t>
            </w:r>
          </w:p>
        </w:tc>
        <w:tc>
          <w:tcPr>
            <w:tcW w:w="24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Snyder</w:t>
            </w:r>
          </w:p>
        </w:tc>
        <w:tc>
          <w:tcPr>
            <w:tcW w:w="24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Mr. Munsell resigned effective December 1, 2024.</w:t>
      </w:r>
    </w:p>
    <w:p>
      <w:pPr>
        <w:spacing w:after="0" w:line="266" w:lineRule="exact"/>
        <w:rPr>
          <w:sz w:val="20"/>
          <w:szCs w:val="20"/>
          <w:color w:val="auto"/>
        </w:rPr>
      </w:pPr>
    </w:p>
    <w:p>
      <w:pPr>
        <w:ind w:left="40" w:right="219" w:firstLine="259"/>
        <w:spacing w:after="0" w:line="252" w:lineRule="auto"/>
        <w:rPr>
          <w:sz w:val="20"/>
          <w:szCs w:val="20"/>
          <w:color w:val="auto"/>
        </w:rPr>
      </w:pPr>
      <w:r>
        <w:rPr>
          <w:rFonts w:ascii="Times New Roman" w:cs="Times New Roman" w:eastAsia="Times New Roman" w:hAnsi="Times New Roman"/>
          <w:sz w:val="17"/>
          <w:szCs w:val="17"/>
          <w:color w:val="auto"/>
        </w:rPr>
        <w:t>Following the end of fiscal year 2025, each of James Snyder and Ronald Araiza, entered into Executive Retention Agreements with Calavo, which amend, in part, the compensatory provisions of their existing offer letters to provide that,</w:t>
      </w:r>
    </w:p>
    <w:p>
      <w:pPr>
        <w:spacing w:after="0" w:line="1" w:lineRule="exact"/>
        <w:rPr>
          <w:sz w:val="20"/>
          <w:szCs w:val="20"/>
          <w:color w:val="auto"/>
        </w:rPr>
      </w:pPr>
    </w:p>
    <w:p>
      <w:pPr>
        <w:ind w:left="40" w:right="79" w:firstLine="4"/>
        <w:spacing w:after="0" w:line="231" w:lineRule="auto"/>
        <w:tabs>
          <w:tab w:leader="none" w:pos="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such named executive officer’s continued employment with the Company through the earlier of the first anniversary of their acceptance of the applicable Executive Retention Agreement (the “Anniversary Date”) and the date upon which the Company consummates a Change in Control (as defined in the 2020 Plan) (such date, the “Change in Control Date” and the earlier of the Change in Control Date and the Anniversary Date, the “Earn Date”), Messrs. Snyder and Araiza will be entitled to receive a one-time retention bonus payment in the amount of $559,000 and $447,200, respectively, on the next regular payroll following the Earn Date, subject to applicable tax withholdings, (ii) in the event either Messrs. Snyder and Araiza resign for Good Reason (as defined in the applicable Executive Retention Agreement) or their employment is terminated by the Company without Good Cause (as defined in the applicable Executive Retention Agreement), Messrs. Snyder and Araiza will be entitled to a lump-sum cash payment equal to one year of their then-current annual base salary, subject to the applicable executive’s execution of a release in a form acceptable to the Company and applicable tax withholdings and (iii) in the event of a Change in Control during Messrs. Snyder and Araiza’s employment, Messrs. Snyder and Araiza will be entitled to a one-time bonus payment equal to 50% of their then-current annualized base salary, subject to applicable tax withholdings.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COMPENSATION RISK</w:t>
      </w:r>
    </w:p>
    <w:p>
      <w:pPr>
        <w:spacing w:after="0" w:line="135" w:lineRule="exact"/>
        <w:rPr>
          <w:sz w:val="20"/>
          <w:szCs w:val="20"/>
          <w:color w:val="auto"/>
        </w:rPr>
      </w:pPr>
    </w:p>
    <w:p>
      <w:pPr>
        <w:ind w:left="40" w:right="199" w:firstLine="259"/>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reviewed Calavo’s compensation policies and practices to assess any potential material impact on the Company. This review considered whether these policies or practices:</w:t>
      </w:r>
    </w:p>
    <w:p>
      <w:pPr>
        <w:spacing w:after="0" w:line="54" w:lineRule="exact"/>
        <w:rPr>
          <w:sz w:val="20"/>
          <w:szCs w:val="20"/>
          <w:color w:val="auto"/>
        </w:rPr>
      </w:pPr>
    </w:p>
    <w:p>
      <w:pPr>
        <w:ind w:left="580" w:hanging="185"/>
        <w:spacing w:after="0"/>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inappropriate risk-taking,</w:t>
      </w:r>
    </w:p>
    <w:p>
      <w:pPr>
        <w:spacing w:after="0" w:line="103" w:lineRule="exact"/>
        <w:rPr>
          <w:rFonts w:ascii="Times New Roman" w:cs="Times New Roman" w:eastAsia="Times New Roman" w:hAnsi="Times New Roman"/>
          <w:sz w:val="18"/>
          <w:szCs w:val="18"/>
          <w:color w:val="auto"/>
        </w:rPr>
      </w:pPr>
    </w:p>
    <w:p>
      <w:pPr>
        <w:ind w:left="580" w:hanging="185"/>
        <w:spacing w:after="0"/>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Pose risks reasonably likely to have a material adverse effect on Calavo, and</w:t>
      </w:r>
    </w:p>
    <w:p>
      <w:pPr>
        <w:spacing w:after="0" w:line="103" w:lineRule="exact"/>
        <w:rPr>
          <w:rFonts w:ascii="Times New Roman" w:cs="Times New Roman" w:eastAsia="Times New Roman" w:hAnsi="Times New Roman"/>
          <w:sz w:val="18"/>
          <w:szCs w:val="18"/>
          <w:color w:val="auto"/>
        </w:rPr>
      </w:pPr>
    </w:p>
    <w:p>
      <w:pPr>
        <w:ind w:left="580" w:hanging="185"/>
        <w:spacing w:after="0"/>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modifications to mitigate any identified risks.</w:t>
      </w:r>
    </w:p>
    <w:p>
      <w:pPr>
        <w:spacing w:after="0" w:line="131" w:lineRule="exact"/>
        <w:rPr>
          <w:sz w:val="20"/>
          <w:szCs w:val="20"/>
          <w:color w:val="auto"/>
        </w:rPr>
      </w:pPr>
    </w:p>
    <w:p>
      <w:pPr>
        <w:ind w:left="40" w:right="79" w:firstLine="259"/>
        <w:spacing w:after="0"/>
        <w:rPr>
          <w:sz w:val="20"/>
          <w:szCs w:val="20"/>
          <w:color w:val="auto"/>
        </w:rPr>
      </w:pPr>
      <w:r>
        <w:rPr>
          <w:rFonts w:ascii="Times New Roman" w:cs="Times New Roman" w:eastAsia="Times New Roman" w:hAnsi="Times New Roman"/>
          <w:sz w:val="18"/>
          <w:szCs w:val="18"/>
          <w:color w:val="auto"/>
        </w:rPr>
        <w:t>The Committee also evaluated risk-mitigating controls, including senior management and committee oversight, as well as internal controls governing compensation programs. Based on this review, the Compensation Committee determined that Calavo’s compensation policies and practices do not pose risks that are reasonably likely to have a material adverse effect on the Company.</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35" w:lineRule="exact"/>
        <w:rPr>
          <w:sz w:val="20"/>
          <w:szCs w:val="20"/>
          <w:color w:val="auto"/>
        </w:rPr>
      </w:pPr>
    </w:p>
    <w:p>
      <w:pPr>
        <w:ind w:left="40" w:right="99" w:firstLine="259"/>
        <w:spacing w:after="0" w:line="235" w:lineRule="auto"/>
        <w:rPr>
          <w:sz w:val="20"/>
          <w:szCs w:val="20"/>
          <w:color w:val="auto"/>
        </w:rPr>
      </w:pPr>
      <w:r>
        <w:rPr>
          <w:rFonts w:ascii="Times New Roman" w:cs="Times New Roman" w:eastAsia="Times New Roman" w:hAnsi="Times New Roman"/>
          <w:sz w:val="18"/>
          <w:szCs w:val="18"/>
          <w:color w:val="auto"/>
        </w:rPr>
        <w:t>Steven W. Hollister, Kathleen M. Holmgren, and B. John Lindeman served as members of our Compensation Committee during all or part of fiscal year 2025. None of these committee members (1) was an officer or employee of Calavo or any of our subsidiaries during the time they served on the Compensation Committee or (2) had any relationship requiring disclosure by us pursuant to Item 404 of Regulation S-K. None of the Company’s executive officers serves on the board of directors or the compensation committee of a company that has an executive officer that serves as or served as a member of our Board or Compensation Committee.</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135" w:lineRule="exact"/>
        <w:rPr>
          <w:sz w:val="20"/>
          <w:szCs w:val="20"/>
          <w:color w:val="auto"/>
        </w:rPr>
      </w:pPr>
    </w:p>
    <w:p>
      <w:pPr>
        <w:ind w:left="40" w:right="139" w:firstLine="259"/>
        <w:spacing w:after="0" w:line="250" w:lineRule="auto"/>
        <w:rPr>
          <w:sz w:val="20"/>
          <w:szCs w:val="20"/>
          <w:color w:val="auto"/>
        </w:rPr>
      </w:pPr>
      <w:r>
        <w:rPr>
          <w:rFonts w:ascii="Times New Roman" w:cs="Times New Roman" w:eastAsia="Times New Roman" w:hAnsi="Times New Roman"/>
          <w:sz w:val="17"/>
          <w:szCs w:val="17"/>
          <w:color w:val="auto"/>
        </w:rPr>
        <w:t>We are required by SEC rules to disclose the following information regarding compensation paid to our Principal Executive Officers (PEOs) and name executive officers (NEOs) as compared to the Company’s performance. The amounts set forth below under the headings “Compensation Actually Paid to PEO” and “Average Compensation Actually Paid to Non-PEO NEOs” have been calculated in a manner consistent with Item 402(v) of Regulation S-K. Footnotes (2) and</w:t>
      </w:r>
    </w:p>
    <w:p>
      <w:pPr>
        <w:spacing w:after="0" w:line="2" w:lineRule="exact"/>
        <w:rPr>
          <w:sz w:val="20"/>
          <w:szCs w:val="20"/>
          <w:color w:val="auto"/>
        </w:rPr>
      </w:pPr>
    </w:p>
    <w:p>
      <w:pPr>
        <w:ind w:left="40" w:right="259" w:firstLine="4"/>
        <w:spacing w:after="0" w:line="234" w:lineRule="auto"/>
        <w:tabs>
          <w:tab w:leader="none" w:pos="2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discuss the adjustments from the Total Compensation for each NEO reported in the Summary Compensation Table above to derive the “compensation actually paid” (“CAP”) to each NEO. The following table sets forth additional compensation information of our PEO and our non-PEO NEOs along with total shareholder return (“TSR”), Net Income, and Adjusted Net Income performance results for fiscal years 2021, 2022, 2023, 2024, and 2025:</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92"/>
        </w:trPr>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7"/>
          </w:tcPr>
          <w:p>
            <w:pPr>
              <w:jc w:val="center"/>
              <w:ind w:left="200"/>
              <w:spacing w:after="0"/>
              <w:rPr>
                <w:sz w:val="20"/>
                <w:szCs w:val="20"/>
                <w:color w:val="auto"/>
              </w:rPr>
            </w:pPr>
            <w:r>
              <w:rPr>
                <w:rFonts w:ascii="Times New Roman" w:cs="Times New Roman" w:eastAsia="Times New Roman" w:hAnsi="Times New Roman"/>
                <w:sz w:val="8"/>
                <w:szCs w:val="8"/>
                <w:b w:val="1"/>
                <w:bCs w:val="1"/>
                <w:color w:val="auto"/>
              </w:rPr>
              <w:t>Value of Initial Fixed $100</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8"/>
                <w:szCs w:val="8"/>
                <w:b w:val="1"/>
                <w:bCs w:val="1"/>
                <w:color w:val="auto"/>
                <w:w w:val="98"/>
              </w:rPr>
              <w:t>Average</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restart"/>
          </w:tcPr>
          <w:p>
            <w:pPr>
              <w:jc w:val="center"/>
              <w:ind w:right="21"/>
              <w:spacing w:after="0"/>
              <w:rPr>
                <w:sz w:val="20"/>
                <w:szCs w:val="20"/>
                <w:color w:val="auto"/>
              </w:rPr>
            </w:pPr>
            <w:r>
              <w:rPr>
                <w:rFonts w:ascii="Times New Roman" w:cs="Times New Roman" w:eastAsia="Times New Roman" w:hAnsi="Times New Roman"/>
                <w:sz w:val="8"/>
                <w:szCs w:val="8"/>
                <w:b w:val="1"/>
                <w:bCs w:val="1"/>
                <w:color w:val="auto"/>
              </w:rPr>
              <w:t>Average</w:t>
            </w: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6"/>
          </w:tcPr>
          <w:p>
            <w:pPr>
              <w:jc w:val="center"/>
              <w:ind w:right="85"/>
              <w:spacing w:after="0"/>
              <w:rPr>
                <w:sz w:val="20"/>
                <w:szCs w:val="20"/>
                <w:color w:val="auto"/>
              </w:rPr>
            </w:pPr>
            <w:r>
              <w:rPr>
                <w:rFonts w:ascii="Times New Roman" w:cs="Times New Roman" w:eastAsia="Times New Roman" w:hAnsi="Times New Roman"/>
                <w:sz w:val="8"/>
                <w:szCs w:val="8"/>
                <w:b w:val="1"/>
                <w:bCs w:val="1"/>
                <w:color w:val="auto"/>
              </w:rPr>
              <w:t>Investment Based On</w:t>
            </w:r>
          </w:p>
        </w:tc>
        <w:tc>
          <w:tcPr>
            <w:tcW w:w="3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Summary</w:t>
            </w: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Summary</w:t>
            </w:r>
          </w:p>
        </w:tc>
        <w:tc>
          <w:tcPr>
            <w:tcW w:w="80" w:type="dxa"/>
            <w:vAlign w:val="bottom"/>
          </w:tcPr>
          <w:p>
            <w:pPr>
              <w:spacing w:after="0"/>
              <w:rPr>
                <w:sz w:val="4"/>
                <w:szCs w:val="4"/>
                <w:color w:val="auto"/>
              </w:rPr>
            </w:pPr>
          </w:p>
        </w:tc>
        <w:tc>
          <w:tcPr>
            <w:tcW w:w="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Summary</w:t>
            </w: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vMerge w:val="restart"/>
          </w:tcPr>
          <w:p>
            <w:pPr>
              <w:jc w:val="center"/>
              <w:ind w:right="1"/>
              <w:spacing w:after="0"/>
              <w:rPr>
                <w:sz w:val="20"/>
                <w:szCs w:val="20"/>
                <w:color w:val="auto"/>
              </w:rPr>
            </w:pPr>
            <w:r>
              <w:rPr>
                <w:rFonts w:ascii="Times New Roman" w:cs="Times New Roman" w:eastAsia="Times New Roman" w:hAnsi="Times New Roman"/>
                <w:sz w:val="8"/>
                <w:szCs w:val="8"/>
                <w:b w:val="1"/>
                <w:bCs w:val="1"/>
                <w:color w:val="auto"/>
              </w:rPr>
              <w:t>New</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vMerge w:val="restart"/>
          </w:tcPr>
          <w:p>
            <w:pPr>
              <w:jc w:val="center"/>
              <w:ind w:right="80"/>
              <w:spacing w:after="0"/>
              <w:rPr>
                <w:sz w:val="20"/>
                <w:szCs w:val="20"/>
                <w:color w:val="auto"/>
              </w:rPr>
            </w:pPr>
            <w:r>
              <w:rPr>
                <w:rFonts w:ascii="Times New Roman" w:cs="Times New Roman" w:eastAsia="Times New Roman" w:hAnsi="Times New Roman"/>
                <w:sz w:val="8"/>
                <w:szCs w:val="8"/>
                <w:b w:val="1"/>
                <w:bCs w:val="1"/>
                <w:color w:val="auto"/>
                <w:w w:val="92"/>
              </w:rPr>
              <w:t>Old</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Summary</w:t>
            </w: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8"/>
                <w:szCs w:val="8"/>
                <w:b w:val="1"/>
                <w:bCs w:val="1"/>
                <w:color w:val="auto"/>
              </w:rPr>
              <w:t>Compensation</w:t>
            </w:r>
          </w:p>
        </w:tc>
        <w:tc>
          <w:tcPr>
            <w:tcW w:w="60" w:type="dxa"/>
            <w:vAlign w:val="bottom"/>
          </w:tcPr>
          <w:p>
            <w:pPr>
              <w:spacing w:after="0"/>
              <w:rPr>
                <w:sz w:val="7"/>
                <w:szCs w:val="7"/>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Compensation</w:t>
            </w:r>
          </w:p>
        </w:tc>
        <w:tc>
          <w:tcPr>
            <w:tcW w:w="100" w:type="dxa"/>
            <w:vAlign w:val="bottom"/>
          </w:tcPr>
          <w:p>
            <w:pPr>
              <w:spacing w:after="0"/>
              <w:rPr>
                <w:sz w:val="7"/>
                <w:szCs w:val="7"/>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Compensation</w:t>
            </w:r>
          </w:p>
        </w:tc>
        <w:tc>
          <w:tcPr>
            <w:tcW w:w="80" w:type="dxa"/>
            <w:vAlign w:val="bottom"/>
          </w:tcPr>
          <w:p>
            <w:pPr>
              <w:spacing w:after="0"/>
              <w:rPr>
                <w:sz w:val="7"/>
                <w:szCs w:val="7"/>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Compensation</w:t>
            </w:r>
          </w:p>
        </w:tc>
        <w:tc>
          <w:tcPr>
            <w:tcW w:w="80" w:type="dxa"/>
            <w:vAlign w:val="bottom"/>
          </w:tcPr>
          <w:p>
            <w:pPr>
              <w:spacing w:after="0"/>
              <w:rPr>
                <w:sz w:val="7"/>
                <w:szCs w:val="7"/>
                <w:color w:val="auto"/>
              </w:rPr>
            </w:pPr>
          </w:p>
        </w:tc>
        <w:tc>
          <w:tcPr>
            <w:tcW w:w="520" w:type="dxa"/>
            <w:vAlign w:val="bottom"/>
            <w:gridSpan w:val="2"/>
          </w:tcPr>
          <w:p>
            <w:pPr>
              <w:jc w:val="center"/>
              <w:ind w:right="20"/>
              <w:spacing w:after="0" w:line="81" w:lineRule="exact"/>
              <w:rPr>
                <w:sz w:val="20"/>
                <w:szCs w:val="20"/>
                <w:color w:val="auto"/>
              </w:rPr>
            </w:pPr>
            <w:r>
              <w:rPr>
                <w:rFonts w:ascii="Times New Roman" w:cs="Times New Roman" w:eastAsia="Times New Roman" w:hAnsi="Times New Roman"/>
                <w:sz w:val="8"/>
                <w:szCs w:val="8"/>
                <w:b w:val="1"/>
                <w:bCs w:val="1"/>
                <w:color w:val="auto"/>
              </w:rPr>
              <w:t>Summary</w:t>
            </w:r>
          </w:p>
        </w:tc>
        <w:tc>
          <w:tcPr>
            <w:tcW w:w="60" w:type="dxa"/>
            <w:vAlign w:val="bottom"/>
          </w:tcPr>
          <w:p>
            <w:pPr>
              <w:spacing w:after="0"/>
              <w:rPr>
                <w:sz w:val="7"/>
                <w:szCs w:val="7"/>
                <w:color w:val="auto"/>
              </w:rPr>
            </w:pPr>
          </w:p>
        </w:tc>
        <w:tc>
          <w:tcPr>
            <w:tcW w:w="500" w:type="dxa"/>
            <w:vAlign w:val="bottom"/>
            <w:gridSpan w:val="2"/>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rPr>
              <w:t>Compensation</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vMerge w:val="restart"/>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Net</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600" w:type="dxa"/>
            <w:vAlign w:val="bottom"/>
            <w:gridSpan w:val="4"/>
          </w:tcPr>
          <w:p>
            <w:pPr>
              <w:jc w:val="center"/>
              <w:ind w:left="23"/>
              <w:spacing w:after="0" w:line="81" w:lineRule="exact"/>
              <w:rPr>
                <w:sz w:val="20"/>
                <w:szCs w:val="20"/>
                <w:color w:val="auto"/>
              </w:rPr>
            </w:pPr>
            <w:r>
              <w:rPr>
                <w:rFonts w:ascii="Times New Roman" w:cs="Times New Roman" w:eastAsia="Times New Roman" w:hAnsi="Times New Roman"/>
                <w:sz w:val="8"/>
                <w:szCs w:val="8"/>
                <w:b w:val="1"/>
                <w:bCs w:val="1"/>
                <w:color w:val="auto"/>
              </w:rPr>
              <w:t>Compensation</w:t>
            </w:r>
          </w:p>
        </w:tc>
        <w:tc>
          <w:tcPr>
            <w:tcW w:w="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rPr>
              <w:t>Compensation</w:t>
            </w:r>
          </w:p>
        </w:tc>
        <w:tc>
          <w:tcPr>
            <w:tcW w:w="80" w:type="dxa"/>
            <w:vAlign w:val="bottom"/>
          </w:tcPr>
          <w:p>
            <w:pPr>
              <w:spacing w:after="0"/>
              <w:rPr>
                <w:sz w:val="7"/>
                <w:szCs w:val="7"/>
                <w:color w:val="auto"/>
              </w:rPr>
            </w:pPr>
          </w:p>
        </w:tc>
        <w:tc>
          <w:tcPr>
            <w:tcW w:w="540" w:type="dxa"/>
            <w:vAlign w:val="bottom"/>
            <w:gridSpan w:val="2"/>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rPr>
              <w:t>Compensation</w:t>
            </w:r>
          </w:p>
        </w:tc>
        <w:tc>
          <w:tcPr>
            <w:tcW w:w="8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tcPr>
          <w:p>
            <w:pPr>
              <w:spacing w:after="0" w:line="81" w:lineRule="exact"/>
              <w:rPr>
                <w:sz w:val="20"/>
                <w:szCs w:val="20"/>
                <w:color w:val="auto"/>
              </w:rPr>
            </w:pPr>
            <w:r>
              <w:rPr>
                <w:rFonts w:ascii="Times New Roman" w:cs="Times New Roman" w:eastAsia="Times New Roman" w:hAnsi="Times New Roman"/>
                <w:sz w:val="8"/>
                <w:szCs w:val="8"/>
                <w:b w:val="1"/>
                <w:bCs w:val="1"/>
                <w:color w:val="auto"/>
              </w:rPr>
              <w:t>Compensation</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jc w:val="center"/>
              <w:ind w:right="41"/>
              <w:spacing w:after="0" w:line="81" w:lineRule="exact"/>
              <w:rPr>
                <w:sz w:val="20"/>
                <w:szCs w:val="20"/>
                <w:color w:val="auto"/>
              </w:rPr>
            </w:pPr>
            <w:r>
              <w:rPr>
                <w:rFonts w:ascii="Times New Roman" w:cs="Times New Roman" w:eastAsia="Times New Roman" w:hAnsi="Times New Roman"/>
                <w:sz w:val="8"/>
                <w:szCs w:val="8"/>
                <w:b w:val="1"/>
                <w:bCs w:val="1"/>
                <w:color w:val="auto"/>
                <w:w w:val="96"/>
              </w:rPr>
              <w:t>Actually</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restart"/>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Total</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jc w:val="center"/>
              <w:ind w:right="1"/>
              <w:spacing w:after="0" w:line="81" w:lineRule="exact"/>
              <w:rPr>
                <w:sz w:val="20"/>
                <w:szCs w:val="20"/>
                <w:color w:val="auto"/>
              </w:rPr>
            </w:pPr>
            <w:r>
              <w:rPr>
                <w:rFonts w:ascii="Times New Roman" w:cs="Times New Roman" w:eastAsia="Times New Roman" w:hAnsi="Times New Roman"/>
                <w:sz w:val="8"/>
                <w:szCs w:val="8"/>
                <w:b w:val="1"/>
                <w:bCs w:val="1"/>
                <w:color w:val="auto"/>
                <w:w w:val="99"/>
              </w:rPr>
              <w:t>Peer Group</w:t>
            </w:r>
          </w:p>
        </w:tc>
        <w:tc>
          <w:tcPr>
            <w:tcW w:w="80" w:type="dxa"/>
            <w:vAlign w:val="bottom"/>
          </w:tcPr>
          <w:p>
            <w:pPr>
              <w:spacing w:after="0"/>
              <w:rPr>
                <w:sz w:val="7"/>
                <w:szCs w:val="7"/>
                <w:color w:val="auto"/>
              </w:rPr>
            </w:pPr>
          </w:p>
        </w:tc>
        <w:tc>
          <w:tcPr>
            <w:tcW w:w="460" w:type="dxa"/>
            <w:vAlign w:val="bottom"/>
            <w:gridSpan w:val="2"/>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w w:val="99"/>
              </w:rPr>
              <w:t>Peer Group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8"/>
                <w:szCs w:val="8"/>
                <w:b w:val="1"/>
                <w:bCs w:val="1"/>
                <w:color w:val="auto"/>
              </w:rPr>
              <w:t>Adjusted</w:t>
            </w: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gridSpan w:val="2"/>
          </w:tcPr>
          <w:p>
            <w:pPr>
              <w:jc w:val="center"/>
              <w:ind w:right="80"/>
              <w:spacing w:after="0" w:line="81" w:lineRule="exact"/>
              <w:rPr>
                <w:sz w:val="20"/>
                <w:szCs w:val="20"/>
                <w:color w:val="auto"/>
              </w:rPr>
            </w:pPr>
            <w:r>
              <w:rPr>
                <w:rFonts w:ascii="Times New Roman" w:cs="Times New Roman" w:eastAsia="Times New Roman" w:hAnsi="Times New Roman"/>
                <w:sz w:val="8"/>
                <w:szCs w:val="8"/>
                <w:b w:val="1"/>
                <w:bCs w:val="1"/>
                <w:color w:val="auto"/>
                <w:w w:val="91"/>
              </w:rPr>
              <w:t>Table</w:t>
            </w:r>
          </w:p>
        </w:tc>
        <w:tc>
          <w:tcPr>
            <w:tcW w:w="60" w:type="dxa"/>
            <w:vAlign w:val="bottom"/>
          </w:tcPr>
          <w:p>
            <w:pPr>
              <w:spacing w:after="0"/>
              <w:rPr>
                <w:sz w:val="7"/>
                <w:szCs w:val="7"/>
                <w:color w:val="auto"/>
              </w:rPr>
            </w:pPr>
          </w:p>
        </w:tc>
        <w:tc>
          <w:tcPr>
            <w:tcW w:w="520" w:type="dxa"/>
            <w:vAlign w:val="bottom"/>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rPr>
              <w:t>Compensation</w:t>
            </w:r>
          </w:p>
        </w:tc>
        <w:tc>
          <w:tcPr>
            <w:tcW w:w="80" w:type="dxa"/>
            <w:vAlign w:val="bottom"/>
          </w:tcPr>
          <w:p>
            <w:pPr>
              <w:spacing w:after="0"/>
              <w:rPr>
                <w:sz w:val="7"/>
                <w:szCs w:val="7"/>
                <w:color w:val="auto"/>
              </w:rPr>
            </w:pPr>
          </w:p>
        </w:tc>
        <w:tc>
          <w:tcPr>
            <w:tcW w:w="520" w:type="dxa"/>
            <w:vAlign w:val="bottom"/>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w w:val="99"/>
              </w:rPr>
              <w:t>on Table</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jc w:val="center"/>
              <w:ind w:right="80"/>
              <w:spacing w:after="0" w:line="81" w:lineRule="exact"/>
              <w:rPr>
                <w:sz w:val="20"/>
                <w:szCs w:val="20"/>
                <w:color w:val="auto"/>
              </w:rPr>
            </w:pPr>
            <w:r>
              <w:rPr>
                <w:rFonts w:ascii="Times New Roman" w:cs="Times New Roman" w:eastAsia="Times New Roman" w:hAnsi="Times New Roman"/>
                <w:sz w:val="8"/>
                <w:szCs w:val="8"/>
                <w:b w:val="1"/>
                <w:bCs w:val="1"/>
                <w:color w:val="auto"/>
                <w:w w:val="99"/>
              </w:rPr>
              <w:t>on Table</w:t>
            </w:r>
          </w:p>
        </w:tc>
        <w:tc>
          <w:tcPr>
            <w:tcW w:w="80" w:type="dxa"/>
            <w:vAlign w:val="bottom"/>
          </w:tcPr>
          <w:p>
            <w:pPr>
              <w:spacing w:after="0"/>
              <w:rPr>
                <w:sz w:val="7"/>
                <w:szCs w:val="7"/>
                <w:color w:val="auto"/>
              </w:rPr>
            </w:pPr>
          </w:p>
        </w:tc>
        <w:tc>
          <w:tcPr>
            <w:tcW w:w="520" w:type="dxa"/>
            <w:vAlign w:val="bottom"/>
            <w:gridSpan w:val="2"/>
          </w:tcPr>
          <w:p>
            <w:pPr>
              <w:ind w:left="80"/>
              <w:spacing w:after="0" w:line="81" w:lineRule="exact"/>
              <w:rPr>
                <w:sz w:val="20"/>
                <w:szCs w:val="20"/>
                <w:color w:val="auto"/>
              </w:rPr>
            </w:pPr>
            <w:r>
              <w:rPr>
                <w:rFonts w:ascii="Times New Roman" w:cs="Times New Roman" w:eastAsia="Times New Roman" w:hAnsi="Times New Roman"/>
                <w:sz w:val="8"/>
                <w:szCs w:val="8"/>
                <w:b w:val="1"/>
                <w:bCs w:val="1"/>
                <w:color w:val="auto"/>
              </w:rPr>
              <w:t>Actually</w:t>
            </w:r>
          </w:p>
        </w:tc>
        <w:tc>
          <w:tcPr>
            <w:tcW w:w="60" w:type="dxa"/>
            <w:vAlign w:val="bottom"/>
          </w:tcPr>
          <w:p>
            <w:pPr>
              <w:spacing w:after="0"/>
              <w:rPr>
                <w:sz w:val="7"/>
                <w:szCs w:val="7"/>
                <w:color w:val="auto"/>
              </w:rPr>
            </w:pPr>
          </w:p>
        </w:tc>
        <w:tc>
          <w:tcPr>
            <w:tcW w:w="500" w:type="dxa"/>
            <w:vAlign w:val="bottom"/>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w w:val="98"/>
              </w:rPr>
              <w:t>Actually Paid</w:t>
            </w:r>
          </w:p>
        </w:tc>
        <w:tc>
          <w:tcPr>
            <w:tcW w:w="100" w:type="dxa"/>
            <w:vAlign w:val="bottom"/>
          </w:tcPr>
          <w:p>
            <w:pPr>
              <w:spacing w:after="0"/>
              <w:rPr>
                <w:sz w:val="7"/>
                <w:szCs w:val="7"/>
                <w:color w:val="auto"/>
              </w:rPr>
            </w:pPr>
          </w:p>
        </w:tc>
        <w:tc>
          <w:tcPr>
            <w:tcW w:w="520" w:type="dxa"/>
            <w:vAlign w:val="bottom"/>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w w:val="98"/>
              </w:rPr>
              <w:t>Actually Paid</w:t>
            </w:r>
          </w:p>
        </w:tc>
        <w:tc>
          <w:tcPr>
            <w:tcW w:w="80" w:type="dxa"/>
            <w:vAlign w:val="bottom"/>
          </w:tcPr>
          <w:p>
            <w:pPr>
              <w:spacing w:after="0"/>
              <w:rPr>
                <w:sz w:val="7"/>
                <w:szCs w:val="7"/>
                <w:color w:val="auto"/>
              </w:rPr>
            </w:pPr>
          </w:p>
        </w:tc>
        <w:tc>
          <w:tcPr>
            <w:tcW w:w="520" w:type="dxa"/>
            <w:vAlign w:val="bottom"/>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w w:val="98"/>
              </w:rPr>
              <w:t>Actually Paid</w:t>
            </w:r>
          </w:p>
        </w:tc>
        <w:tc>
          <w:tcPr>
            <w:tcW w:w="80" w:type="dxa"/>
            <w:vAlign w:val="bottom"/>
          </w:tcPr>
          <w:p>
            <w:pPr>
              <w:spacing w:after="0"/>
              <w:rPr>
                <w:sz w:val="7"/>
                <w:szCs w:val="7"/>
                <w:color w:val="auto"/>
              </w:rPr>
            </w:pPr>
          </w:p>
        </w:tc>
        <w:tc>
          <w:tcPr>
            <w:tcW w:w="520" w:type="dxa"/>
            <w:vAlign w:val="bottom"/>
            <w:gridSpan w:val="2"/>
          </w:tcPr>
          <w:p>
            <w:pPr>
              <w:jc w:val="center"/>
              <w:ind w:right="60"/>
              <w:spacing w:after="0" w:line="81" w:lineRule="exact"/>
              <w:rPr>
                <w:sz w:val="20"/>
                <w:szCs w:val="20"/>
                <w:color w:val="auto"/>
              </w:rPr>
            </w:pPr>
            <w:r>
              <w:rPr>
                <w:rFonts w:ascii="Times New Roman" w:cs="Times New Roman" w:eastAsia="Times New Roman" w:hAnsi="Times New Roman"/>
                <w:sz w:val="8"/>
                <w:szCs w:val="8"/>
                <w:b w:val="1"/>
                <w:bCs w:val="1"/>
                <w:color w:val="auto"/>
                <w:w w:val="95"/>
              </w:rPr>
              <w:t>Table Total</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jc w:val="center"/>
              <w:ind w:right="21"/>
              <w:spacing w:after="0" w:line="81" w:lineRule="exact"/>
              <w:rPr>
                <w:sz w:val="20"/>
                <w:szCs w:val="20"/>
                <w:color w:val="auto"/>
              </w:rPr>
            </w:pPr>
            <w:r>
              <w:rPr>
                <w:rFonts w:ascii="Times New Roman" w:cs="Times New Roman" w:eastAsia="Times New Roman" w:hAnsi="Times New Roman"/>
                <w:sz w:val="8"/>
                <w:szCs w:val="8"/>
                <w:b w:val="1"/>
                <w:bCs w:val="1"/>
                <w:color w:val="auto"/>
              </w:rPr>
              <w:t>Paid to</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jc w:val="center"/>
              <w:ind w:right="21"/>
              <w:spacing w:after="0" w:line="81" w:lineRule="exact"/>
              <w:rPr>
                <w:sz w:val="20"/>
                <w:szCs w:val="20"/>
                <w:color w:val="auto"/>
              </w:rPr>
            </w:pPr>
            <w:r>
              <w:rPr>
                <w:rFonts w:ascii="Times New Roman" w:cs="Times New Roman" w:eastAsia="Times New Roman" w:hAnsi="Times New Roman"/>
                <w:sz w:val="8"/>
                <w:szCs w:val="8"/>
                <w:b w:val="1"/>
                <w:bCs w:val="1"/>
                <w:color w:val="auto"/>
                <w:w w:val="98"/>
              </w:rPr>
              <w:t>Total</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jc w:val="center"/>
              <w:ind w:right="100"/>
              <w:spacing w:after="0" w:line="81" w:lineRule="exact"/>
              <w:rPr>
                <w:sz w:val="20"/>
                <w:szCs w:val="20"/>
                <w:color w:val="auto"/>
              </w:rPr>
            </w:pPr>
            <w:r>
              <w:rPr>
                <w:rFonts w:ascii="Times New Roman" w:cs="Times New Roman" w:eastAsia="Times New Roman" w:hAnsi="Times New Roman"/>
                <w:sz w:val="8"/>
                <w:szCs w:val="8"/>
                <w:b w:val="1"/>
                <w:bCs w:val="1"/>
                <w:color w:val="auto"/>
                <w:w w:val="98"/>
              </w:rPr>
              <w:t>Total</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jc w:val="center"/>
              <w:ind w:right="40"/>
              <w:spacing w:after="0" w:line="81" w:lineRule="exact"/>
              <w:rPr>
                <w:sz w:val="20"/>
                <w:szCs w:val="20"/>
                <w:color w:val="auto"/>
              </w:rPr>
            </w:pPr>
            <w:r>
              <w:rPr>
                <w:rFonts w:ascii="Times New Roman" w:cs="Times New Roman" w:eastAsia="Times New Roman" w:hAnsi="Times New Roman"/>
                <w:sz w:val="8"/>
                <w:szCs w:val="8"/>
                <w:b w:val="1"/>
                <w:bCs w:val="1"/>
                <w:color w:val="auto"/>
              </w:rPr>
              <w:t>Income</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6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Year</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gridSpan w:val="2"/>
          </w:tcPr>
          <w:p>
            <w:pPr>
              <w:jc w:val="center"/>
              <w:ind w:right="80"/>
              <w:spacing w:after="0" w:line="81" w:lineRule="exact"/>
              <w:rPr>
                <w:sz w:val="20"/>
                <w:szCs w:val="20"/>
                <w:color w:val="auto"/>
              </w:rPr>
            </w:pPr>
            <w:r>
              <w:rPr>
                <w:rFonts w:ascii="Times New Roman" w:cs="Times New Roman" w:eastAsia="Times New Roman" w:hAnsi="Times New Roman"/>
                <w:sz w:val="8"/>
                <w:szCs w:val="8"/>
                <w:b w:val="1"/>
                <w:bCs w:val="1"/>
                <w:color w:val="auto"/>
                <w:w w:val="98"/>
              </w:rPr>
              <w:t>Total for</w:t>
            </w:r>
          </w:p>
        </w:tc>
        <w:tc>
          <w:tcPr>
            <w:tcW w:w="60" w:type="dxa"/>
            <w:vAlign w:val="bottom"/>
          </w:tcPr>
          <w:p>
            <w:pPr>
              <w:spacing w:after="0"/>
              <w:rPr>
                <w:sz w:val="7"/>
                <w:szCs w:val="7"/>
                <w:color w:val="auto"/>
              </w:rPr>
            </w:pPr>
          </w:p>
        </w:tc>
        <w:tc>
          <w:tcPr>
            <w:tcW w:w="520" w:type="dxa"/>
            <w:vAlign w:val="bottom"/>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rPr>
              <w:t>Table for</w:t>
            </w:r>
          </w:p>
        </w:tc>
        <w:tc>
          <w:tcPr>
            <w:tcW w:w="80" w:type="dxa"/>
            <w:vAlign w:val="bottom"/>
          </w:tcPr>
          <w:p>
            <w:pPr>
              <w:spacing w:after="0"/>
              <w:rPr>
                <w:sz w:val="7"/>
                <w:szCs w:val="7"/>
                <w:color w:val="auto"/>
              </w:rPr>
            </w:pPr>
          </w:p>
        </w:tc>
        <w:tc>
          <w:tcPr>
            <w:tcW w:w="520" w:type="dxa"/>
            <w:vAlign w:val="bottom"/>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w w:val="99"/>
              </w:rPr>
              <w:t>for Third</w:t>
            </w:r>
          </w:p>
        </w:tc>
        <w:tc>
          <w:tcPr>
            <w:tcW w:w="80" w:type="dxa"/>
            <w:vAlign w:val="bottom"/>
          </w:tcPr>
          <w:p>
            <w:pPr>
              <w:spacing w:after="0"/>
              <w:rPr>
                <w:sz w:val="7"/>
                <w:szCs w:val="7"/>
                <w:color w:val="auto"/>
              </w:rPr>
            </w:pPr>
          </w:p>
        </w:tc>
        <w:tc>
          <w:tcPr>
            <w:tcW w:w="540" w:type="dxa"/>
            <w:vAlign w:val="bottom"/>
            <w:gridSpan w:val="2"/>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rPr>
              <w:t>for Fourth</w:t>
            </w:r>
          </w:p>
        </w:tc>
        <w:tc>
          <w:tcPr>
            <w:tcW w:w="80" w:type="dxa"/>
            <w:vAlign w:val="bottom"/>
          </w:tcPr>
          <w:p>
            <w:pPr>
              <w:spacing w:after="0"/>
              <w:rPr>
                <w:sz w:val="7"/>
                <w:szCs w:val="7"/>
                <w:color w:val="auto"/>
              </w:rPr>
            </w:pPr>
          </w:p>
        </w:tc>
        <w:tc>
          <w:tcPr>
            <w:tcW w:w="520" w:type="dxa"/>
            <w:vAlign w:val="bottom"/>
            <w:gridSpan w:val="2"/>
          </w:tcPr>
          <w:p>
            <w:pPr>
              <w:jc w:val="center"/>
              <w:ind w:right="40"/>
              <w:spacing w:after="0" w:line="81" w:lineRule="exact"/>
              <w:rPr>
                <w:sz w:val="20"/>
                <w:szCs w:val="20"/>
                <w:color w:val="auto"/>
              </w:rPr>
            </w:pPr>
            <w:r>
              <w:rPr>
                <w:rFonts w:ascii="Times New Roman" w:cs="Times New Roman" w:eastAsia="Times New Roman" w:hAnsi="Times New Roman"/>
                <w:sz w:val="8"/>
                <w:szCs w:val="8"/>
                <w:b w:val="1"/>
                <w:bCs w:val="1"/>
                <w:color w:val="auto"/>
                <w:w w:val="98"/>
              </w:rPr>
              <w:t>Paid to</w:t>
            </w:r>
          </w:p>
        </w:tc>
        <w:tc>
          <w:tcPr>
            <w:tcW w:w="60" w:type="dxa"/>
            <w:vAlign w:val="bottom"/>
          </w:tcPr>
          <w:p>
            <w:pPr>
              <w:spacing w:after="0"/>
              <w:rPr>
                <w:sz w:val="7"/>
                <w:szCs w:val="7"/>
                <w:color w:val="auto"/>
              </w:rPr>
            </w:pPr>
          </w:p>
        </w:tc>
        <w:tc>
          <w:tcPr>
            <w:tcW w:w="500" w:type="dxa"/>
            <w:vAlign w:val="bottom"/>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rPr>
              <w:t>to Second</w:t>
            </w:r>
          </w:p>
        </w:tc>
        <w:tc>
          <w:tcPr>
            <w:tcW w:w="100" w:type="dxa"/>
            <w:vAlign w:val="bottom"/>
          </w:tcPr>
          <w:p>
            <w:pPr>
              <w:spacing w:after="0"/>
              <w:rPr>
                <w:sz w:val="7"/>
                <w:szCs w:val="7"/>
                <w:color w:val="auto"/>
              </w:rPr>
            </w:pPr>
          </w:p>
        </w:tc>
        <w:tc>
          <w:tcPr>
            <w:tcW w:w="520" w:type="dxa"/>
            <w:vAlign w:val="bottom"/>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rPr>
              <w:t>to Third</w:t>
            </w:r>
          </w:p>
        </w:tc>
        <w:tc>
          <w:tcPr>
            <w:tcW w:w="80" w:type="dxa"/>
            <w:vAlign w:val="bottom"/>
          </w:tcPr>
          <w:p>
            <w:pPr>
              <w:spacing w:after="0"/>
              <w:rPr>
                <w:sz w:val="7"/>
                <w:szCs w:val="7"/>
                <w:color w:val="auto"/>
              </w:rPr>
            </w:pPr>
          </w:p>
        </w:tc>
        <w:tc>
          <w:tcPr>
            <w:tcW w:w="520" w:type="dxa"/>
            <w:vAlign w:val="bottom"/>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rPr>
              <w:t>to Fourth</w:t>
            </w:r>
          </w:p>
        </w:tc>
        <w:tc>
          <w:tcPr>
            <w:tcW w:w="80" w:type="dxa"/>
            <w:vAlign w:val="bottom"/>
          </w:tcPr>
          <w:p>
            <w:pPr>
              <w:spacing w:after="0"/>
              <w:rPr>
                <w:sz w:val="7"/>
                <w:szCs w:val="7"/>
                <w:color w:val="auto"/>
              </w:rPr>
            </w:pPr>
          </w:p>
        </w:tc>
        <w:tc>
          <w:tcPr>
            <w:tcW w:w="520" w:type="dxa"/>
            <w:vAlign w:val="bottom"/>
            <w:gridSpan w:val="2"/>
          </w:tcPr>
          <w:p>
            <w:pPr>
              <w:jc w:val="center"/>
              <w:ind w:right="40"/>
              <w:spacing w:after="0" w:line="81" w:lineRule="exact"/>
              <w:rPr>
                <w:sz w:val="20"/>
                <w:szCs w:val="20"/>
                <w:color w:val="auto"/>
              </w:rPr>
            </w:pPr>
            <w:r>
              <w:rPr>
                <w:rFonts w:ascii="Times New Roman" w:cs="Times New Roman" w:eastAsia="Times New Roman" w:hAnsi="Times New Roman"/>
                <w:sz w:val="8"/>
                <w:szCs w:val="8"/>
                <w:b w:val="1"/>
                <w:bCs w:val="1"/>
                <w:color w:val="auto"/>
                <w:w w:val="96"/>
              </w:rPr>
              <w:t>for Non-</w:t>
            </w:r>
          </w:p>
        </w:tc>
        <w:tc>
          <w:tcPr>
            <w:tcW w:w="120" w:type="dxa"/>
            <w:vAlign w:val="bottom"/>
            <w:gridSpan w:val="2"/>
            <w:vMerge w:val="restart"/>
          </w:tcPr>
          <w:p>
            <w:pPr>
              <w:jc w:val="right"/>
              <w:ind w:right="7"/>
              <w:spacing w:after="0"/>
              <w:rPr>
                <w:sz w:val="20"/>
                <w:szCs w:val="20"/>
                <w:color w:val="auto"/>
              </w:rPr>
            </w:pPr>
            <w:r>
              <w:rPr>
                <w:rFonts w:ascii="Times New Roman" w:cs="Times New Roman" w:eastAsia="Times New Roman" w:hAnsi="Times New Roman"/>
                <w:sz w:val="8"/>
                <w:szCs w:val="8"/>
                <w:color w:val="auto"/>
              </w:rPr>
              <w:t>​​​</w:t>
            </w:r>
          </w:p>
        </w:tc>
        <w:tc>
          <w:tcPr>
            <w:tcW w:w="440" w:type="dxa"/>
            <w:vAlign w:val="bottom"/>
          </w:tcPr>
          <w:p>
            <w:pPr>
              <w:jc w:val="center"/>
              <w:ind w:right="41"/>
              <w:spacing w:after="0" w:line="81" w:lineRule="exact"/>
              <w:rPr>
                <w:sz w:val="20"/>
                <w:szCs w:val="20"/>
                <w:color w:val="auto"/>
              </w:rPr>
            </w:pPr>
            <w:r>
              <w:rPr>
                <w:rFonts w:ascii="Times New Roman" w:cs="Times New Roman" w:eastAsia="Times New Roman" w:hAnsi="Times New Roman"/>
                <w:sz w:val="8"/>
                <w:szCs w:val="8"/>
                <w:b w:val="1"/>
                <w:bCs w:val="1"/>
                <w:color w:val="auto"/>
                <w:w w:val="95"/>
              </w:rPr>
              <w:t>Non-PEO</w:t>
            </w:r>
          </w:p>
        </w:tc>
        <w:tc>
          <w:tcPr>
            <w:tcW w:w="80" w:type="dxa"/>
            <w:vAlign w:val="bottom"/>
          </w:tcPr>
          <w:p>
            <w:pPr>
              <w:spacing w:after="0"/>
              <w:rPr>
                <w:sz w:val="7"/>
                <w:szCs w:val="7"/>
                <w:color w:val="auto"/>
              </w:rPr>
            </w:pPr>
          </w:p>
        </w:tc>
        <w:tc>
          <w:tcPr>
            <w:tcW w:w="600" w:type="dxa"/>
            <w:vAlign w:val="bottom"/>
            <w:gridSpan w:val="5"/>
          </w:tcPr>
          <w:p>
            <w:pPr>
              <w:jc w:val="right"/>
              <w:ind w:right="135"/>
              <w:spacing w:after="0" w:line="81" w:lineRule="exact"/>
              <w:rPr>
                <w:sz w:val="20"/>
                <w:szCs w:val="20"/>
                <w:color w:val="auto"/>
              </w:rPr>
            </w:pPr>
            <w:r>
              <w:rPr>
                <w:rFonts w:ascii="Times New Roman" w:cs="Times New Roman" w:eastAsia="Times New Roman" w:hAnsi="Times New Roman"/>
                <w:sz w:val="8"/>
                <w:szCs w:val="8"/>
                <w:b w:val="1"/>
                <w:bCs w:val="1"/>
                <w:color w:val="auto"/>
                <w:w w:val="99"/>
              </w:rPr>
              <w:t>Shareholder</w:t>
            </w:r>
          </w:p>
        </w:tc>
        <w:tc>
          <w:tcPr>
            <w:tcW w:w="480" w:type="dxa"/>
            <w:vAlign w:val="bottom"/>
          </w:tcPr>
          <w:p>
            <w:pPr>
              <w:jc w:val="center"/>
              <w:ind w:right="21"/>
              <w:spacing w:after="0" w:line="81" w:lineRule="exact"/>
              <w:rPr>
                <w:sz w:val="20"/>
                <w:szCs w:val="20"/>
                <w:color w:val="auto"/>
              </w:rPr>
            </w:pPr>
            <w:r>
              <w:rPr>
                <w:rFonts w:ascii="Times New Roman" w:cs="Times New Roman" w:eastAsia="Times New Roman" w:hAnsi="Times New Roman"/>
                <w:sz w:val="8"/>
                <w:szCs w:val="8"/>
                <w:b w:val="1"/>
                <w:bCs w:val="1"/>
                <w:color w:val="auto"/>
                <w:w w:val="99"/>
              </w:rPr>
              <w:t>Shareholder</w:t>
            </w:r>
          </w:p>
        </w:tc>
        <w:tc>
          <w:tcPr>
            <w:tcW w:w="80" w:type="dxa"/>
            <w:vAlign w:val="bottom"/>
          </w:tcPr>
          <w:p>
            <w:pPr>
              <w:spacing w:after="0"/>
              <w:rPr>
                <w:sz w:val="7"/>
                <w:szCs w:val="7"/>
                <w:color w:val="auto"/>
              </w:rPr>
            </w:pPr>
          </w:p>
        </w:tc>
        <w:tc>
          <w:tcPr>
            <w:tcW w:w="460" w:type="dxa"/>
            <w:vAlign w:val="bottom"/>
            <w:gridSpan w:val="2"/>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rPr>
              <w:t>Shareholder</w:t>
            </w:r>
          </w:p>
        </w:tc>
        <w:tc>
          <w:tcPr>
            <w:tcW w:w="16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8"/>
                <w:szCs w:val="8"/>
                <w:color w:val="auto"/>
              </w:rPr>
              <w:t>​​​</w:t>
            </w:r>
          </w:p>
        </w:tc>
        <w:tc>
          <w:tcPr>
            <w:tcW w:w="380" w:type="dxa"/>
            <w:vAlign w:val="bottom"/>
          </w:tcPr>
          <w:p>
            <w:pPr>
              <w:jc w:val="center"/>
              <w:ind w:right="40"/>
              <w:spacing w:after="0" w:line="81" w:lineRule="exact"/>
              <w:rPr>
                <w:sz w:val="20"/>
                <w:szCs w:val="20"/>
                <w:color w:val="auto"/>
              </w:rPr>
            </w:pPr>
            <w:r>
              <w:rPr>
                <w:rFonts w:ascii="Times New Roman" w:cs="Times New Roman" w:eastAsia="Times New Roman" w:hAnsi="Times New Roman"/>
                <w:sz w:val="8"/>
                <w:szCs w:val="8"/>
                <w:b w:val="1"/>
                <w:bCs w:val="1"/>
                <w:color w:val="auto"/>
              </w:rPr>
              <w:t>(loss)</w:t>
            </w:r>
          </w:p>
        </w:tc>
        <w:tc>
          <w:tcPr>
            <w:tcW w:w="80" w:type="dxa"/>
            <w:vAlign w:val="bottom"/>
          </w:tcPr>
          <w:p>
            <w:pPr>
              <w:spacing w:after="0"/>
              <w:rPr>
                <w:sz w:val="7"/>
                <w:szCs w:val="7"/>
                <w:color w:val="auto"/>
              </w:rPr>
            </w:pPr>
          </w:p>
        </w:tc>
        <w:tc>
          <w:tcPr>
            <w:tcW w:w="400" w:type="dxa"/>
            <w:vAlign w:val="bottom"/>
            <w:gridSpan w:val="2"/>
          </w:tcPr>
          <w:p>
            <w:pPr>
              <w:jc w:val="center"/>
              <w:spacing w:after="0" w:line="81" w:lineRule="exact"/>
              <w:rPr>
                <w:sz w:val="20"/>
                <w:szCs w:val="20"/>
                <w:color w:val="auto"/>
              </w:rPr>
            </w:pPr>
            <w:r>
              <w:rPr>
                <w:rFonts w:ascii="Times New Roman" w:cs="Times New Roman" w:eastAsia="Times New Roman" w:hAnsi="Times New Roman"/>
                <w:sz w:val="8"/>
                <w:szCs w:val="8"/>
                <w:b w:val="1"/>
                <w:bCs w:val="1"/>
                <w:color w:val="auto"/>
              </w:rPr>
              <w:t>Net Income</w:t>
            </w:r>
          </w:p>
        </w:tc>
        <w:tc>
          <w:tcPr>
            <w:tcW w:w="0" w:type="dxa"/>
            <w:vAlign w:val="bottom"/>
          </w:tcPr>
          <w:p>
            <w:pPr>
              <w:spacing w:after="0"/>
              <w:rPr>
                <w:sz w:val="1"/>
                <w:szCs w:val="1"/>
                <w:color w:val="auto"/>
              </w:rPr>
            </w:pPr>
          </w:p>
        </w:tc>
      </w:tr>
      <w:tr>
        <w:trPr>
          <w:trHeight w:val="95"/>
        </w:trPr>
        <w:tc>
          <w:tcPr>
            <w:tcW w:w="260" w:type="dxa"/>
            <w:vAlign w:val="bottom"/>
            <w:vMerge w:val="continue"/>
          </w:tcPr>
          <w:p>
            <w:pPr>
              <w:spacing w:after="0"/>
              <w:rPr>
                <w:sz w:val="8"/>
                <w:szCs w:val="8"/>
                <w:color w:val="auto"/>
              </w:rPr>
            </w:pPr>
          </w:p>
        </w:tc>
        <w:tc>
          <w:tcPr>
            <w:tcW w:w="600" w:type="dxa"/>
            <w:vAlign w:val="bottom"/>
            <w:gridSpan w:val="4"/>
          </w:tcPr>
          <w:p>
            <w:pPr>
              <w:ind w:left="40"/>
              <w:spacing w:after="0" w:line="95" w:lineRule="exact"/>
              <w:rPr>
                <w:sz w:val="20"/>
                <w:szCs w:val="20"/>
                <w:color w:val="auto"/>
              </w:rPr>
            </w:pPr>
            <w:r>
              <w:rPr>
                <w:rFonts w:ascii="Times New Roman" w:cs="Times New Roman" w:eastAsia="Times New Roman" w:hAnsi="Times New Roman"/>
                <w:sz w:val="7"/>
                <w:szCs w:val="7"/>
                <w:color w:val="auto"/>
              </w:rPr>
              <w:t xml:space="preserve">​​​ </w:t>
            </w:r>
            <w:r>
              <w:rPr>
                <w:rFonts w:ascii="Times New Roman" w:cs="Times New Roman" w:eastAsia="Times New Roman" w:hAnsi="Times New Roman"/>
                <w:sz w:val="7"/>
                <w:szCs w:val="7"/>
                <w:b w:val="1"/>
                <w:bCs w:val="1"/>
                <w:color w:val="auto"/>
              </w:rPr>
              <w:t>First PEO</w:t>
            </w:r>
            <w:r>
              <w:rPr>
                <w:rFonts w:ascii="Times New Roman" w:cs="Times New Roman" w:eastAsia="Times New Roman" w:hAnsi="Times New Roman"/>
                <w:sz w:val="10"/>
                <w:szCs w:val="10"/>
                <w:b w:val="1"/>
                <w:bCs w:val="1"/>
                <w:color w:val="auto"/>
                <w:vertAlign w:val="superscript"/>
              </w:rPr>
              <w:t>(1)</w:t>
            </w:r>
          </w:p>
        </w:tc>
        <w:tc>
          <w:tcPr>
            <w:tcW w:w="5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7"/>
                <w:szCs w:val="7"/>
                <w:color w:val="auto"/>
              </w:rPr>
              <w:t>​​​</w:t>
            </w:r>
            <w:r>
              <w:rPr>
                <w:rFonts w:ascii="Times New Roman" w:cs="Times New Roman" w:eastAsia="Times New Roman" w:hAnsi="Times New Roman"/>
                <w:sz w:val="7"/>
                <w:szCs w:val="7"/>
                <w:b w:val="1"/>
                <w:bCs w:val="1"/>
                <w:color w:val="auto"/>
              </w:rPr>
              <w:t>Second PEO</w:t>
            </w:r>
            <w:r>
              <w:rPr>
                <w:rFonts w:ascii="Times New Roman" w:cs="Times New Roman" w:eastAsia="Times New Roman" w:hAnsi="Times New Roman"/>
                <w:sz w:val="10"/>
                <w:szCs w:val="10"/>
                <w:b w:val="1"/>
                <w:bCs w:val="1"/>
                <w:color w:val="auto"/>
                <w:vertAlign w:val="superscript"/>
              </w:rPr>
              <w:t>(1)</w:t>
            </w:r>
          </w:p>
        </w:tc>
        <w:tc>
          <w:tcPr>
            <w:tcW w:w="600" w:type="dxa"/>
            <w:vAlign w:val="bottom"/>
            <w:gridSpan w:val="2"/>
          </w:tcPr>
          <w:p>
            <w:pPr>
              <w:jc w:val="right"/>
              <w:ind w:right="100"/>
              <w:spacing w:after="0" w:line="95" w:lineRule="exact"/>
              <w:rPr>
                <w:sz w:val="20"/>
                <w:szCs w:val="20"/>
                <w:color w:val="auto"/>
              </w:rPr>
            </w:pPr>
            <w:r>
              <w:rPr>
                <w:rFonts w:ascii="Times New Roman" w:cs="Times New Roman" w:eastAsia="Times New Roman" w:hAnsi="Times New Roman"/>
                <w:sz w:val="7"/>
                <w:szCs w:val="7"/>
                <w:color w:val="auto"/>
              </w:rPr>
              <w:t xml:space="preserve">​​​   </w:t>
            </w:r>
            <w:r>
              <w:rPr>
                <w:rFonts w:ascii="Times New Roman" w:cs="Times New Roman" w:eastAsia="Times New Roman" w:hAnsi="Times New Roman"/>
                <w:sz w:val="7"/>
                <w:szCs w:val="7"/>
                <w:b w:val="1"/>
                <w:bCs w:val="1"/>
                <w:color w:val="auto"/>
              </w:rPr>
              <w:t>PEO</w:t>
            </w:r>
            <w:r>
              <w:rPr>
                <w:rFonts w:ascii="Times New Roman" w:cs="Times New Roman" w:eastAsia="Times New Roman" w:hAnsi="Times New Roman"/>
                <w:sz w:val="10"/>
                <w:szCs w:val="10"/>
                <w:b w:val="1"/>
                <w:bCs w:val="1"/>
                <w:color w:val="auto"/>
                <w:vertAlign w:val="superscript"/>
              </w:rPr>
              <w:t>(1)</w:t>
            </w:r>
          </w:p>
        </w:tc>
        <w:tc>
          <w:tcPr>
            <w:tcW w:w="620" w:type="dxa"/>
            <w:vAlign w:val="bottom"/>
            <w:gridSpan w:val="3"/>
          </w:tcPr>
          <w:p>
            <w:pPr>
              <w:jc w:val="right"/>
              <w:ind w:right="100"/>
              <w:spacing w:after="0" w:line="95" w:lineRule="exact"/>
              <w:rPr>
                <w:sz w:val="20"/>
                <w:szCs w:val="20"/>
                <w:color w:val="auto"/>
              </w:rPr>
            </w:pPr>
            <w:r>
              <w:rPr>
                <w:rFonts w:ascii="Times New Roman" w:cs="Times New Roman" w:eastAsia="Times New Roman" w:hAnsi="Times New Roman"/>
                <w:sz w:val="7"/>
                <w:szCs w:val="7"/>
                <w:color w:val="auto"/>
              </w:rPr>
              <w:t xml:space="preserve">​​​   </w:t>
            </w:r>
            <w:r>
              <w:rPr>
                <w:rFonts w:ascii="Times New Roman" w:cs="Times New Roman" w:eastAsia="Times New Roman" w:hAnsi="Times New Roman"/>
                <w:sz w:val="7"/>
                <w:szCs w:val="7"/>
                <w:b w:val="1"/>
                <w:bCs w:val="1"/>
                <w:color w:val="auto"/>
              </w:rPr>
              <w:t>PEO</w:t>
            </w:r>
            <w:r>
              <w:rPr>
                <w:rFonts w:ascii="Times New Roman" w:cs="Times New Roman" w:eastAsia="Times New Roman" w:hAnsi="Times New Roman"/>
                <w:sz w:val="10"/>
                <w:szCs w:val="10"/>
                <w:b w:val="1"/>
                <w:bCs w:val="1"/>
                <w:color w:val="auto"/>
                <w:vertAlign w:val="superscript"/>
              </w:rPr>
              <w:t>(1)</w:t>
            </w:r>
          </w:p>
        </w:tc>
        <w:tc>
          <w:tcPr>
            <w:tcW w:w="600" w:type="dxa"/>
            <w:vAlign w:val="bottom"/>
            <w:gridSpan w:val="3"/>
          </w:tcPr>
          <w:p>
            <w:pPr>
              <w:ind w:left="40"/>
              <w:spacing w:after="0" w:line="95" w:lineRule="exact"/>
              <w:rPr>
                <w:sz w:val="20"/>
                <w:szCs w:val="20"/>
                <w:color w:val="auto"/>
              </w:rPr>
            </w:pPr>
            <w:r>
              <w:rPr>
                <w:rFonts w:ascii="Times New Roman" w:cs="Times New Roman" w:eastAsia="Times New Roman" w:hAnsi="Times New Roman"/>
                <w:sz w:val="7"/>
                <w:szCs w:val="7"/>
                <w:color w:val="auto"/>
              </w:rPr>
              <w:t xml:space="preserve">​​​ </w:t>
            </w:r>
            <w:r>
              <w:rPr>
                <w:rFonts w:ascii="Times New Roman" w:cs="Times New Roman" w:eastAsia="Times New Roman" w:hAnsi="Times New Roman"/>
                <w:sz w:val="7"/>
                <w:szCs w:val="7"/>
                <w:b w:val="1"/>
                <w:bCs w:val="1"/>
                <w:color w:val="auto"/>
              </w:rPr>
              <w:t>First PEO</w:t>
            </w:r>
            <w:r>
              <w:rPr>
                <w:rFonts w:ascii="Times New Roman" w:cs="Times New Roman" w:eastAsia="Times New Roman" w:hAnsi="Times New Roman"/>
                <w:sz w:val="10"/>
                <w:szCs w:val="10"/>
                <w:b w:val="1"/>
                <w:bCs w:val="1"/>
                <w:color w:val="auto"/>
                <w:vertAlign w:val="superscript"/>
              </w:rPr>
              <w:t>(2)</w:t>
            </w:r>
          </w:p>
        </w:tc>
        <w:tc>
          <w:tcPr>
            <w:tcW w:w="560" w:type="dxa"/>
            <w:vAlign w:val="bottom"/>
            <w:gridSpan w:val="2"/>
          </w:tcPr>
          <w:p>
            <w:pPr>
              <w:jc w:val="right"/>
              <w:ind w:right="80"/>
              <w:spacing w:after="0" w:line="95" w:lineRule="exact"/>
              <w:rPr>
                <w:sz w:val="20"/>
                <w:szCs w:val="20"/>
                <w:color w:val="auto"/>
              </w:rPr>
            </w:pPr>
            <w:r>
              <w:rPr>
                <w:rFonts w:ascii="Times New Roman" w:cs="Times New Roman" w:eastAsia="Times New Roman" w:hAnsi="Times New Roman"/>
                <w:sz w:val="7"/>
                <w:szCs w:val="7"/>
                <w:color w:val="auto"/>
              </w:rPr>
              <w:t xml:space="preserve">​​​   </w:t>
            </w:r>
            <w:r>
              <w:rPr>
                <w:rFonts w:ascii="Times New Roman" w:cs="Times New Roman" w:eastAsia="Times New Roman" w:hAnsi="Times New Roman"/>
                <w:sz w:val="7"/>
                <w:szCs w:val="7"/>
                <w:b w:val="1"/>
                <w:bCs w:val="1"/>
                <w:color w:val="auto"/>
              </w:rPr>
              <w:t>PEO</w:t>
            </w:r>
            <w:r>
              <w:rPr>
                <w:rFonts w:ascii="Times New Roman" w:cs="Times New Roman" w:eastAsia="Times New Roman" w:hAnsi="Times New Roman"/>
                <w:sz w:val="10"/>
                <w:szCs w:val="10"/>
                <w:b w:val="1"/>
                <w:bCs w:val="1"/>
                <w:color w:val="auto"/>
                <w:vertAlign w:val="superscript"/>
              </w:rPr>
              <w:t>(2)</w:t>
            </w:r>
          </w:p>
        </w:tc>
        <w:tc>
          <w:tcPr>
            <w:tcW w:w="620" w:type="dxa"/>
            <w:vAlign w:val="bottom"/>
            <w:gridSpan w:val="2"/>
          </w:tcPr>
          <w:p>
            <w:pPr>
              <w:jc w:val="right"/>
              <w:ind w:right="100"/>
              <w:spacing w:after="0" w:line="95" w:lineRule="exact"/>
              <w:rPr>
                <w:sz w:val="20"/>
                <w:szCs w:val="20"/>
                <w:color w:val="auto"/>
              </w:rPr>
            </w:pPr>
            <w:r>
              <w:rPr>
                <w:rFonts w:ascii="Times New Roman" w:cs="Times New Roman" w:eastAsia="Times New Roman" w:hAnsi="Times New Roman"/>
                <w:sz w:val="7"/>
                <w:szCs w:val="7"/>
                <w:color w:val="auto"/>
              </w:rPr>
              <w:t xml:space="preserve">​​​   </w:t>
            </w:r>
            <w:r>
              <w:rPr>
                <w:rFonts w:ascii="Times New Roman" w:cs="Times New Roman" w:eastAsia="Times New Roman" w:hAnsi="Times New Roman"/>
                <w:sz w:val="7"/>
                <w:szCs w:val="7"/>
                <w:b w:val="1"/>
                <w:bCs w:val="1"/>
                <w:color w:val="auto"/>
              </w:rPr>
              <w:t>PEO</w:t>
            </w:r>
            <w:r>
              <w:rPr>
                <w:rFonts w:ascii="Times New Roman" w:cs="Times New Roman" w:eastAsia="Times New Roman" w:hAnsi="Times New Roman"/>
                <w:sz w:val="10"/>
                <w:szCs w:val="10"/>
                <w:b w:val="1"/>
                <w:bCs w:val="1"/>
                <w:color w:val="auto"/>
                <w:vertAlign w:val="superscript"/>
              </w:rPr>
              <w:t>(2)</w:t>
            </w:r>
          </w:p>
        </w:tc>
        <w:tc>
          <w:tcPr>
            <w:tcW w:w="600" w:type="dxa"/>
            <w:vAlign w:val="bottom"/>
            <w:gridSpan w:val="2"/>
          </w:tcPr>
          <w:p>
            <w:pPr>
              <w:jc w:val="right"/>
              <w:ind w:right="100"/>
              <w:spacing w:after="0" w:line="95" w:lineRule="exact"/>
              <w:rPr>
                <w:sz w:val="20"/>
                <w:szCs w:val="20"/>
                <w:color w:val="auto"/>
              </w:rPr>
            </w:pPr>
            <w:r>
              <w:rPr>
                <w:rFonts w:ascii="Times New Roman" w:cs="Times New Roman" w:eastAsia="Times New Roman" w:hAnsi="Times New Roman"/>
                <w:sz w:val="7"/>
                <w:szCs w:val="7"/>
                <w:color w:val="auto"/>
              </w:rPr>
              <w:t xml:space="preserve">​​​   </w:t>
            </w:r>
            <w:r>
              <w:rPr>
                <w:rFonts w:ascii="Times New Roman" w:cs="Times New Roman" w:eastAsia="Times New Roman" w:hAnsi="Times New Roman"/>
                <w:sz w:val="7"/>
                <w:szCs w:val="7"/>
                <w:b w:val="1"/>
                <w:bCs w:val="1"/>
                <w:color w:val="auto"/>
              </w:rPr>
              <w:t>PEO</w:t>
            </w:r>
            <w:r>
              <w:rPr>
                <w:rFonts w:ascii="Times New Roman" w:cs="Times New Roman" w:eastAsia="Times New Roman" w:hAnsi="Times New Roman"/>
                <w:sz w:val="10"/>
                <w:szCs w:val="10"/>
                <w:b w:val="1"/>
                <w:bCs w:val="1"/>
                <w:color w:val="auto"/>
                <w:vertAlign w:val="superscript"/>
              </w:rPr>
              <w:t>(2)</w:t>
            </w:r>
          </w:p>
        </w:tc>
        <w:tc>
          <w:tcPr>
            <w:tcW w:w="600" w:type="dxa"/>
            <w:vAlign w:val="bottom"/>
            <w:gridSpan w:val="3"/>
          </w:tcPr>
          <w:p>
            <w:pPr>
              <w:ind w:left="40"/>
              <w:spacing w:after="0" w:line="95" w:lineRule="exact"/>
              <w:rPr>
                <w:sz w:val="20"/>
                <w:szCs w:val="20"/>
                <w:color w:val="auto"/>
              </w:rPr>
            </w:pPr>
            <w:r>
              <w:rPr>
                <w:rFonts w:ascii="Times New Roman" w:cs="Times New Roman" w:eastAsia="Times New Roman" w:hAnsi="Times New Roman"/>
                <w:sz w:val="7"/>
                <w:szCs w:val="7"/>
                <w:color w:val="auto"/>
              </w:rPr>
              <w:t>​​​</w:t>
            </w:r>
            <w:r>
              <w:rPr>
                <w:rFonts w:ascii="Times New Roman" w:cs="Times New Roman" w:eastAsia="Times New Roman" w:hAnsi="Times New Roman"/>
                <w:sz w:val="7"/>
                <w:szCs w:val="7"/>
                <w:b w:val="1"/>
                <w:bCs w:val="1"/>
                <w:color w:val="auto"/>
              </w:rPr>
              <w:t>PEO NEOs</w:t>
            </w:r>
            <w:r>
              <w:rPr>
                <w:rFonts w:ascii="Times New Roman" w:cs="Times New Roman" w:eastAsia="Times New Roman" w:hAnsi="Times New Roman"/>
                <w:sz w:val="10"/>
                <w:szCs w:val="10"/>
                <w:b w:val="1"/>
                <w:bCs w:val="1"/>
                <w:color w:val="auto"/>
                <w:vertAlign w:val="superscript"/>
              </w:rPr>
              <w:t>(3)</w:t>
            </w:r>
          </w:p>
        </w:tc>
        <w:tc>
          <w:tcPr>
            <w:tcW w:w="120" w:type="dxa"/>
            <w:vAlign w:val="bottom"/>
            <w:gridSpan w:val="2"/>
            <w:vMerge w:val="continue"/>
          </w:tcPr>
          <w:p>
            <w:pPr>
              <w:spacing w:after="0"/>
              <w:rPr>
                <w:sz w:val="8"/>
                <w:szCs w:val="8"/>
                <w:color w:val="auto"/>
              </w:rPr>
            </w:pPr>
          </w:p>
        </w:tc>
        <w:tc>
          <w:tcPr>
            <w:tcW w:w="440" w:type="dxa"/>
            <w:vAlign w:val="bottom"/>
          </w:tcPr>
          <w:p>
            <w:pPr>
              <w:jc w:val="center"/>
              <w:ind w:right="21"/>
              <w:spacing w:after="0" w:line="95" w:lineRule="exact"/>
              <w:rPr>
                <w:sz w:val="20"/>
                <w:szCs w:val="20"/>
                <w:color w:val="auto"/>
              </w:rPr>
            </w:pPr>
            <w:r>
              <w:rPr>
                <w:rFonts w:ascii="Times New Roman" w:cs="Times New Roman" w:eastAsia="Times New Roman" w:hAnsi="Times New Roman"/>
                <w:sz w:val="10"/>
                <w:szCs w:val="10"/>
                <w:b w:val="1"/>
                <w:bCs w:val="1"/>
                <w:color w:val="auto"/>
                <w:vertAlign w:val="subscript"/>
              </w:rPr>
              <w:t>NEOs</w:t>
            </w:r>
            <w:r>
              <w:rPr>
                <w:rFonts w:ascii="Times New Roman" w:cs="Times New Roman" w:eastAsia="Times New Roman" w:hAnsi="Times New Roman"/>
                <w:sz w:val="5"/>
                <w:szCs w:val="5"/>
                <w:b w:val="1"/>
                <w:bCs w:val="1"/>
                <w:color w:val="auto"/>
              </w:rPr>
              <w:t>(2)(3)</w:t>
            </w:r>
          </w:p>
        </w:tc>
        <w:tc>
          <w:tcPr>
            <w:tcW w:w="52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7"/>
                <w:szCs w:val="7"/>
                <w:color w:val="auto"/>
              </w:rPr>
              <w:t xml:space="preserve">​​​ </w:t>
            </w:r>
            <w:r>
              <w:rPr>
                <w:rFonts w:ascii="Times New Roman" w:cs="Times New Roman" w:eastAsia="Times New Roman" w:hAnsi="Times New Roman"/>
                <w:sz w:val="7"/>
                <w:szCs w:val="7"/>
                <w:b w:val="1"/>
                <w:bCs w:val="1"/>
                <w:color w:val="auto"/>
              </w:rPr>
              <w:t>Return</w:t>
            </w:r>
            <w:r>
              <w:rPr>
                <w:rFonts w:ascii="Times New Roman" w:cs="Times New Roman" w:eastAsia="Times New Roman" w:hAnsi="Times New Roman"/>
                <w:sz w:val="10"/>
                <w:szCs w:val="10"/>
                <w:b w:val="1"/>
                <w:bCs w:val="1"/>
                <w:color w:val="auto"/>
                <w:vertAlign w:val="superscript"/>
              </w:rPr>
              <w:t>(3)(4)</w:t>
            </w:r>
          </w:p>
        </w:tc>
        <w:tc>
          <w:tcPr>
            <w:tcW w:w="20" w:type="dxa"/>
            <w:vAlign w:val="bottom"/>
          </w:tcPr>
          <w:p>
            <w:pPr>
              <w:spacing w:after="0"/>
              <w:rPr>
                <w:sz w:val="8"/>
                <w:szCs w:val="8"/>
                <w:color w:val="auto"/>
              </w:rPr>
            </w:pPr>
          </w:p>
        </w:tc>
        <w:tc>
          <w:tcPr>
            <w:tcW w:w="140" w:type="dxa"/>
            <w:vAlign w:val="bottom"/>
            <w:gridSpan w:val="2"/>
          </w:tcPr>
          <w:p>
            <w:pPr>
              <w:jc w:val="right"/>
              <w:ind w:right="15"/>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jc w:val="center"/>
              <w:ind w:right="1"/>
              <w:spacing w:after="0" w:line="95" w:lineRule="exact"/>
              <w:rPr>
                <w:sz w:val="20"/>
                <w:szCs w:val="20"/>
                <w:color w:val="auto"/>
              </w:rPr>
            </w:pPr>
            <w:r>
              <w:rPr>
                <w:rFonts w:ascii="Times New Roman" w:cs="Times New Roman" w:eastAsia="Times New Roman" w:hAnsi="Times New Roman"/>
                <w:sz w:val="10"/>
                <w:szCs w:val="10"/>
                <w:b w:val="1"/>
                <w:bCs w:val="1"/>
                <w:color w:val="auto"/>
                <w:vertAlign w:val="subscript"/>
              </w:rPr>
              <w:t>Return</w:t>
            </w:r>
            <w:r>
              <w:rPr>
                <w:rFonts w:ascii="Times New Roman" w:cs="Times New Roman" w:eastAsia="Times New Roman" w:hAnsi="Times New Roman"/>
                <w:sz w:val="5"/>
                <w:szCs w:val="5"/>
                <w:b w:val="1"/>
                <w:bCs w:val="1"/>
                <w:color w:val="auto"/>
              </w:rPr>
              <w:t>(3)(4)</w:t>
            </w:r>
          </w:p>
        </w:tc>
        <w:tc>
          <w:tcPr>
            <w:tcW w:w="540" w:type="dxa"/>
            <w:vAlign w:val="bottom"/>
            <w:gridSpan w:val="3"/>
          </w:tcPr>
          <w:p>
            <w:pPr>
              <w:jc w:val="right"/>
              <w:spacing w:after="0" w:line="95" w:lineRule="exact"/>
              <w:rPr>
                <w:sz w:val="20"/>
                <w:szCs w:val="20"/>
                <w:color w:val="auto"/>
              </w:rPr>
            </w:pPr>
            <w:r>
              <w:rPr>
                <w:rFonts w:ascii="Times New Roman" w:cs="Times New Roman" w:eastAsia="Times New Roman" w:hAnsi="Times New Roman"/>
                <w:sz w:val="7"/>
                <w:szCs w:val="7"/>
                <w:b w:val="1"/>
                <w:bCs w:val="1"/>
                <w:color w:val="auto"/>
              </w:rPr>
              <w:t>​​​ Return</w:t>
            </w:r>
            <w:r>
              <w:rPr>
                <w:rFonts w:ascii="Times New Roman" w:cs="Times New Roman" w:eastAsia="Times New Roman" w:hAnsi="Times New Roman"/>
                <w:sz w:val="10"/>
                <w:szCs w:val="10"/>
                <w:b w:val="1"/>
                <w:bCs w:val="1"/>
                <w:color w:val="auto"/>
                <w:vertAlign w:val="superscript"/>
              </w:rPr>
              <w:t>(3)(4)</w:t>
            </w:r>
          </w:p>
        </w:tc>
        <w:tc>
          <w:tcPr>
            <w:tcW w:w="160" w:type="dxa"/>
            <w:vAlign w:val="bottom"/>
            <w:gridSpan w:val="2"/>
            <w:vMerge w:val="continue"/>
          </w:tcPr>
          <w:p>
            <w:pPr>
              <w:spacing w:after="0"/>
              <w:rPr>
                <w:sz w:val="8"/>
                <w:szCs w:val="8"/>
                <w:color w:val="auto"/>
              </w:rPr>
            </w:pPr>
          </w:p>
        </w:tc>
        <w:tc>
          <w:tcPr>
            <w:tcW w:w="380" w:type="dxa"/>
            <w:vAlign w:val="bottom"/>
          </w:tcPr>
          <w:p>
            <w:pPr>
              <w:jc w:val="center"/>
              <w:ind w:right="40"/>
              <w:spacing w:after="0"/>
              <w:rPr>
                <w:sz w:val="20"/>
                <w:szCs w:val="20"/>
                <w:color w:val="auto"/>
              </w:rPr>
            </w:pPr>
            <w:r>
              <w:rPr>
                <w:rFonts w:ascii="Times New Roman" w:cs="Times New Roman" w:eastAsia="Times New Roman" w:hAnsi="Times New Roman"/>
                <w:sz w:val="8"/>
                <w:szCs w:val="8"/>
                <w:b w:val="1"/>
                <w:bCs w:val="1"/>
                <w:color w:val="auto"/>
              </w:rPr>
              <w:t>(000)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360" w:type="dxa"/>
            <w:vAlign w:val="bottom"/>
          </w:tcPr>
          <w:p>
            <w:pPr>
              <w:jc w:val="center"/>
              <w:spacing w:after="0" w:line="95" w:lineRule="exact"/>
              <w:rPr>
                <w:sz w:val="20"/>
                <w:szCs w:val="20"/>
                <w:color w:val="auto"/>
              </w:rPr>
            </w:pPr>
            <w:r>
              <w:rPr>
                <w:rFonts w:ascii="Times New Roman" w:cs="Times New Roman" w:eastAsia="Times New Roman" w:hAnsi="Times New Roman"/>
                <w:sz w:val="7"/>
                <w:szCs w:val="7"/>
                <w:b w:val="1"/>
                <w:bCs w:val="1"/>
                <w:color w:val="auto"/>
              </w:rPr>
              <w:t>(000)</w:t>
            </w:r>
            <w:r>
              <w:rPr>
                <w:rFonts w:ascii="Times New Roman" w:cs="Times New Roman" w:eastAsia="Times New Roman" w:hAnsi="Times New Roman"/>
                <w:sz w:val="10"/>
                <w:szCs w:val="10"/>
                <w:b w:val="1"/>
                <w:bCs w:val="1"/>
                <w:color w:val="auto"/>
                <w:vertAlign w:val="superscript"/>
              </w:rPr>
              <w:t>(5)</w:t>
            </w:r>
          </w:p>
        </w:tc>
        <w:tc>
          <w:tcPr>
            <w:tcW w:w="0" w:type="dxa"/>
            <w:vAlign w:val="bottom"/>
          </w:tcPr>
          <w:p>
            <w:pPr>
              <w:spacing w:after="0"/>
              <w:rPr>
                <w:sz w:val="1"/>
                <w:szCs w:val="1"/>
                <w:color w:val="auto"/>
              </w:rPr>
            </w:pPr>
          </w:p>
        </w:tc>
      </w:tr>
      <w:tr>
        <w:trPr>
          <w:trHeight w:val="75"/>
        </w:trPr>
        <w:tc>
          <w:tcPr>
            <w:tcW w:w="260" w:type="dxa"/>
            <w:vAlign w:val="bottom"/>
            <w:tcBorders>
              <w:top w:val="single" w:sz="8" w:color="auto"/>
            </w:tcBorders>
            <w:shd w:val="clear" w:color="auto" w:fill="CCEEFF"/>
          </w:tcPr>
          <w:p>
            <w:pPr>
              <w:spacing w:after="0" w:line="75" w:lineRule="exact"/>
              <w:rPr>
                <w:sz w:val="20"/>
                <w:szCs w:val="20"/>
                <w:color w:val="auto"/>
              </w:rPr>
            </w:pPr>
            <w:r>
              <w:rPr>
                <w:rFonts w:ascii="Times New Roman" w:cs="Times New Roman" w:eastAsia="Times New Roman" w:hAnsi="Times New Roman"/>
                <w:sz w:val="8"/>
                <w:szCs w:val="8"/>
                <w:color w:val="auto"/>
              </w:rPr>
              <w:t>2025</w:t>
            </w: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79,857</w:t>
            </w: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jc w:val="right"/>
              <w:ind w:right="20"/>
              <w:spacing w:after="0" w:line="75"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jc w:val="right"/>
              <w:ind w:right="20"/>
              <w:spacing w:after="0" w:line="75"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jc w:val="center"/>
              <w:spacing w:after="0" w:line="75" w:lineRule="exact"/>
              <w:rPr>
                <w:sz w:val="20"/>
                <w:szCs w:val="20"/>
                <w:color w:val="auto"/>
              </w:rPr>
            </w:pPr>
            <w:r>
              <w:rPr>
                <w:rFonts w:ascii="Times New Roman" w:cs="Times New Roman" w:eastAsia="Times New Roman" w:hAnsi="Times New Roman"/>
                <w:sz w:val="8"/>
                <w:szCs w:val="8"/>
                <w:color w:val="auto"/>
              </w:rPr>
              <w:t>$  (1,352,143)</w:t>
            </w: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jc w:val="right"/>
              <w:ind w:right="20"/>
              <w:spacing w:after="0" w:line="75"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jc w:val="right"/>
              <w:ind w:right="20"/>
              <w:spacing w:after="0" w:line="75"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jc w:val="right"/>
              <w:ind w:right="25"/>
              <w:spacing w:after="0" w:line="75" w:lineRule="exact"/>
              <w:rPr>
                <w:sz w:val="20"/>
                <w:szCs w:val="20"/>
                <w:color w:val="auto"/>
              </w:rPr>
            </w:pPr>
            <w:r>
              <w:rPr>
                <w:rFonts w:ascii="Times New Roman" w:cs="Times New Roman" w:eastAsia="Times New Roman" w:hAnsi="Times New Roman"/>
                <w:sz w:val="8"/>
                <w:szCs w:val="8"/>
                <w:color w:val="auto"/>
                <w:w w:val="99"/>
              </w:rPr>
              <w:t>$484,450</w:t>
            </w: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tcBorders>
            <w:shd w:val="clear" w:color="auto" w:fill="CCEEFF"/>
          </w:tcPr>
          <w:p>
            <w:pPr>
              <w:jc w:val="right"/>
              <w:ind w:right="1"/>
              <w:spacing w:after="0" w:line="75" w:lineRule="exact"/>
              <w:rPr>
                <w:sz w:val="20"/>
                <w:szCs w:val="20"/>
                <w:color w:val="auto"/>
              </w:rPr>
            </w:pPr>
            <w:r>
              <w:rPr>
                <w:rFonts w:ascii="Times New Roman" w:cs="Times New Roman" w:eastAsia="Times New Roman" w:hAnsi="Times New Roman"/>
                <w:sz w:val="8"/>
                <w:szCs w:val="8"/>
                <w:color w:val="auto"/>
              </w:rPr>
              <w:t>455,521</w:t>
            </w: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37.04</w:t>
            </w:r>
          </w:p>
        </w:tc>
        <w:tc>
          <w:tcPr>
            <w:tcW w:w="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tcBorders>
            <w:shd w:val="clear" w:color="auto" w:fill="CCEEFF"/>
          </w:tcPr>
          <w:p>
            <w:pPr>
              <w:jc w:val="right"/>
              <w:ind w:right="1"/>
              <w:spacing w:after="0" w:line="75" w:lineRule="exact"/>
              <w:rPr>
                <w:sz w:val="20"/>
                <w:szCs w:val="20"/>
                <w:color w:val="auto"/>
              </w:rPr>
            </w:pPr>
            <w:r>
              <w:rPr>
                <w:rFonts w:ascii="Times New Roman" w:cs="Times New Roman" w:eastAsia="Times New Roman" w:hAnsi="Times New Roman"/>
                <w:sz w:val="8"/>
                <w:szCs w:val="8"/>
                <w:color w:val="auto"/>
              </w:rPr>
              <w:t>89.97</w:t>
            </w: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tcBorders>
              <w:top w:val="single" w:sz="8" w:color="auto"/>
            </w:tcBorders>
            <w:shd w:val="clear" w:color="auto" w:fill="CCEEFF"/>
          </w:tcPr>
          <w:p>
            <w:pPr>
              <w:jc w:val="right"/>
              <w:spacing w:after="0" w:line="75" w:lineRule="exact"/>
              <w:rPr>
                <w:sz w:val="20"/>
                <w:szCs w:val="20"/>
                <w:color w:val="auto"/>
              </w:rPr>
            </w:pPr>
            <w:r>
              <w:rPr>
                <w:rFonts w:ascii="Times New Roman" w:cs="Times New Roman" w:eastAsia="Times New Roman" w:hAnsi="Times New Roman"/>
                <w:sz w:val="8"/>
                <w:szCs w:val="8"/>
                <w:color w:val="auto"/>
              </w:rPr>
              <w:t>41.92</w:t>
            </w: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Borders>
              <w:top w:val="single" w:sz="8" w:color="auto"/>
            </w:tcBorders>
            <w:shd w:val="clear" w:color="auto" w:fill="CCEEFF"/>
          </w:tcPr>
          <w:p>
            <w:pPr>
              <w:jc w:val="right"/>
              <w:ind w:right="20"/>
              <w:spacing w:after="0" w:line="75" w:lineRule="exact"/>
              <w:rPr>
                <w:sz w:val="20"/>
                <w:szCs w:val="20"/>
                <w:color w:val="auto"/>
              </w:rPr>
            </w:pPr>
            <w:r>
              <w:rPr>
                <w:rFonts w:ascii="Times New Roman" w:cs="Times New Roman" w:eastAsia="Times New Roman" w:hAnsi="Times New Roman"/>
                <w:sz w:val="8"/>
                <w:szCs w:val="8"/>
                <w:color w:val="auto"/>
              </w:rPr>
              <w:t>19,796</w:t>
            </w: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top w:val="single" w:sz="8" w:color="auto"/>
            </w:tcBorders>
            <w:shd w:val="clear" w:color="auto" w:fill="CCEEFF"/>
          </w:tcPr>
          <w:p>
            <w:pPr>
              <w:jc w:val="right"/>
              <w:ind w:right="20"/>
              <w:spacing w:after="0" w:line="75" w:lineRule="exact"/>
              <w:rPr>
                <w:sz w:val="20"/>
                <w:szCs w:val="20"/>
                <w:color w:val="auto"/>
              </w:rPr>
            </w:pPr>
            <w:r>
              <w:rPr>
                <w:rFonts w:ascii="Times New Roman" w:cs="Times New Roman" w:eastAsia="Times New Roman" w:hAnsi="Times New Roman"/>
                <w:sz w:val="8"/>
                <w:szCs w:val="8"/>
                <w:color w:val="auto"/>
              </w:rPr>
              <w:t>28,907</w:t>
            </w:r>
          </w:p>
        </w:tc>
        <w:tc>
          <w:tcPr>
            <w:tcW w:w="0" w:type="dxa"/>
            <w:vAlign w:val="bottom"/>
          </w:tcPr>
          <w:p>
            <w:pPr>
              <w:spacing w:after="0"/>
              <w:rPr>
                <w:sz w:val="1"/>
                <w:szCs w:val="1"/>
                <w:color w:val="auto"/>
              </w:rPr>
            </w:pPr>
          </w:p>
        </w:tc>
      </w:tr>
      <w:tr>
        <w:trPr>
          <w:trHeight w:val="81"/>
        </w:trPr>
        <w:tc>
          <w:tcPr>
            <w:tcW w:w="260" w:type="dxa"/>
            <w:vAlign w:val="bottom"/>
          </w:tcPr>
          <w:p>
            <w:pPr>
              <w:spacing w:after="0" w:line="81" w:lineRule="exact"/>
              <w:rPr>
                <w:sz w:val="20"/>
                <w:szCs w:val="20"/>
                <w:color w:val="auto"/>
              </w:rPr>
            </w:pPr>
            <w:r>
              <w:rPr>
                <w:rFonts w:ascii="Times New Roman" w:cs="Times New Roman" w:eastAsia="Times New Roman" w:hAnsi="Times New Roman"/>
                <w:sz w:val="8"/>
                <w:szCs w:val="8"/>
                <w:color w:val="auto"/>
              </w:rPr>
              <w:t>2024</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jc w:val="right"/>
              <w:spacing w:after="0" w:line="81" w:lineRule="exact"/>
              <w:rPr>
                <w:sz w:val="20"/>
                <w:szCs w:val="20"/>
                <w:color w:val="auto"/>
              </w:rPr>
            </w:pPr>
            <w:r>
              <w:rPr>
                <w:rFonts w:ascii="Times New Roman" w:cs="Times New Roman" w:eastAsia="Times New Roman" w:hAnsi="Times New Roman"/>
                <w:sz w:val="8"/>
                <w:szCs w:val="8"/>
                <w:color w:val="auto"/>
              </w:rPr>
              <w:t>77,760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jc w:val="right"/>
              <w:ind w:right="20"/>
              <w:spacing w:after="0" w:line="81"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520" w:type="dxa"/>
            <w:vAlign w:val="bottom"/>
          </w:tcPr>
          <w:p>
            <w:pPr>
              <w:jc w:val="right"/>
              <w:spacing w:after="0" w:line="81"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jc w:val="right"/>
              <w:ind w:right="20"/>
              <w:spacing w:after="0" w:line="81"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gridSpan w:val="2"/>
          </w:tcPr>
          <w:p>
            <w:pPr>
              <w:jc w:val="right"/>
              <w:ind w:right="20"/>
              <w:spacing w:after="0" w:line="81" w:lineRule="exact"/>
              <w:rPr>
                <w:sz w:val="20"/>
                <w:szCs w:val="20"/>
                <w:color w:val="auto"/>
              </w:rPr>
            </w:pPr>
            <w:r>
              <w:rPr>
                <w:rFonts w:ascii="Times New Roman" w:cs="Times New Roman" w:eastAsia="Times New Roman" w:hAnsi="Times New Roman"/>
                <w:sz w:val="8"/>
                <w:szCs w:val="8"/>
                <w:color w:val="auto"/>
              </w:rPr>
              <w:t>830,876</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jc w:val="right"/>
              <w:spacing w:after="0" w:line="81"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520" w:type="dxa"/>
            <w:vAlign w:val="bottom"/>
          </w:tcPr>
          <w:p>
            <w:pPr>
              <w:jc w:val="right"/>
              <w:ind w:right="20"/>
              <w:spacing w:after="0" w:line="81"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520" w:type="dxa"/>
            <w:vAlign w:val="bottom"/>
          </w:tcPr>
          <w:p>
            <w:pPr>
              <w:jc w:val="right"/>
              <w:ind w:right="20"/>
              <w:spacing w:after="0" w:line="81"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gridSpan w:val="2"/>
          </w:tcPr>
          <w:p>
            <w:pPr>
              <w:jc w:val="right"/>
              <w:ind w:right="25"/>
              <w:spacing w:after="0" w:line="81" w:lineRule="exact"/>
              <w:rPr>
                <w:sz w:val="20"/>
                <w:szCs w:val="20"/>
                <w:color w:val="auto"/>
              </w:rPr>
            </w:pPr>
            <w:r>
              <w:rPr>
                <w:rFonts w:ascii="Times New Roman" w:cs="Times New Roman" w:eastAsia="Times New Roman" w:hAnsi="Times New Roman"/>
                <w:sz w:val="8"/>
                <w:szCs w:val="8"/>
                <w:color w:val="auto"/>
              </w:rPr>
              <w:t>484,928</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jc w:val="right"/>
              <w:ind w:right="1"/>
              <w:spacing w:after="0" w:line="81" w:lineRule="exact"/>
              <w:rPr>
                <w:sz w:val="20"/>
                <w:szCs w:val="20"/>
                <w:color w:val="auto"/>
              </w:rPr>
            </w:pPr>
            <w:r>
              <w:rPr>
                <w:rFonts w:ascii="Times New Roman" w:cs="Times New Roman" w:eastAsia="Times New Roman" w:hAnsi="Times New Roman"/>
                <w:sz w:val="8"/>
                <w:szCs w:val="8"/>
                <w:color w:val="auto"/>
              </w:rPr>
              <w:t>486,094</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jc w:val="right"/>
              <w:spacing w:after="0" w:line="81" w:lineRule="exact"/>
              <w:rPr>
                <w:sz w:val="20"/>
                <w:szCs w:val="20"/>
                <w:color w:val="auto"/>
              </w:rPr>
            </w:pPr>
            <w:r>
              <w:rPr>
                <w:rFonts w:ascii="Times New Roman" w:cs="Times New Roman" w:eastAsia="Times New Roman" w:hAnsi="Times New Roman"/>
                <w:sz w:val="8"/>
                <w:szCs w:val="8"/>
                <w:color w:val="auto"/>
              </w:rPr>
              <w:t>42.94</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jc w:val="right"/>
              <w:ind w:right="1"/>
              <w:spacing w:after="0" w:line="81" w:lineRule="exact"/>
              <w:rPr>
                <w:sz w:val="20"/>
                <w:szCs w:val="20"/>
                <w:color w:val="auto"/>
              </w:rPr>
            </w:pPr>
            <w:r>
              <w:rPr>
                <w:rFonts w:ascii="Times New Roman" w:cs="Times New Roman" w:eastAsia="Times New Roman" w:hAnsi="Times New Roman"/>
                <w:sz w:val="8"/>
                <w:szCs w:val="8"/>
                <w:color w:val="auto"/>
              </w:rPr>
              <w:t>100.16</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jc w:val="right"/>
              <w:spacing w:after="0" w:line="81" w:lineRule="exact"/>
              <w:rPr>
                <w:sz w:val="20"/>
                <w:szCs w:val="20"/>
                <w:color w:val="auto"/>
              </w:rPr>
            </w:pPr>
            <w:r>
              <w:rPr>
                <w:rFonts w:ascii="Times New Roman" w:cs="Times New Roman" w:eastAsia="Times New Roman" w:hAnsi="Times New Roman"/>
                <w:sz w:val="8"/>
                <w:szCs w:val="8"/>
                <w:color w:val="auto"/>
              </w:rPr>
              <w:t>57.65</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jc w:val="right"/>
              <w:ind w:right="20"/>
              <w:spacing w:after="0" w:line="81" w:lineRule="exact"/>
              <w:rPr>
                <w:sz w:val="20"/>
                <w:szCs w:val="20"/>
                <w:color w:val="auto"/>
              </w:rPr>
            </w:pPr>
            <w:r>
              <w:rPr>
                <w:rFonts w:ascii="Times New Roman" w:cs="Times New Roman" w:eastAsia="Times New Roman" w:hAnsi="Times New Roman"/>
                <w:sz w:val="8"/>
                <w:szCs w:val="8"/>
                <w:color w:val="auto"/>
              </w:rPr>
              <w:t>(1,024)</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jc w:val="right"/>
              <w:ind w:right="20"/>
              <w:spacing w:after="0" w:line="81" w:lineRule="exact"/>
              <w:rPr>
                <w:sz w:val="20"/>
                <w:szCs w:val="20"/>
                <w:color w:val="auto"/>
              </w:rPr>
            </w:pPr>
            <w:r>
              <w:rPr>
                <w:rFonts w:ascii="Times New Roman" w:cs="Times New Roman" w:eastAsia="Times New Roman" w:hAnsi="Times New Roman"/>
                <w:sz w:val="8"/>
                <w:szCs w:val="8"/>
                <w:color w:val="auto"/>
              </w:rPr>
              <w:t>18,678</w:t>
            </w:r>
          </w:p>
        </w:tc>
        <w:tc>
          <w:tcPr>
            <w:tcW w:w="0" w:type="dxa"/>
            <w:vAlign w:val="bottom"/>
          </w:tcPr>
          <w:p>
            <w:pPr>
              <w:spacing w:after="0"/>
              <w:rPr>
                <w:sz w:val="1"/>
                <w:szCs w:val="1"/>
                <w:color w:val="auto"/>
              </w:rPr>
            </w:pPr>
          </w:p>
        </w:tc>
      </w:tr>
      <w:tr>
        <w:trPr>
          <w:trHeight w:val="81"/>
        </w:trPr>
        <w:tc>
          <w:tcPr>
            <w:tcW w:w="260" w:type="dxa"/>
            <w:vAlign w:val="bottom"/>
            <w:shd w:val="clear" w:color="auto" w:fill="CCEEFF"/>
          </w:tcPr>
          <w:p>
            <w:pPr>
              <w:spacing w:after="0" w:line="81" w:lineRule="exact"/>
              <w:rPr>
                <w:sz w:val="20"/>
                <w:szCs w:val="20"/>
                <w:color w:val="auto"/>
              </w:rPr>
            </w:pPr>
            <w:r>
              <w:rPr>
                <w:rFonts w:ascii="Times New Roman" w:cs="Times New Roman" w:eastAsia="Times New Roman" w:hAnsi="Times New Roman"/>
                <w:sz w:val="8"/>
                <w:szCs w:val="8"/>
                <w:color w:val="auto"/>
              </w:rPr>
              <w:t>2023</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8"/>
                <w:szCs w:val="8"/>
                <w:color w:val="auto"/>
              </w:rPr>
              <w:t>1,891,334</w:t>
            </w:r>
          </w:p>
        </w:tc>
        <w:tc>
          <w:tcPr>
            <w:tcW w:w="2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20"/>
              <w:spacing w:after="0" w:line="81" w:lineRule="exact"/>
              <w:rPr>
                <w:sz w:val="20"/>
                <w:szCs w:val="20"/>
                <w:color w:val="auto"/>
              </w:rPr>
            </w:pPr>
            <w:r>
              <w:rPr>
                <w:rFonts w:ascii="Times New Roman" w:cs="Times New Roman" w:eastAsia="Times New Roman" w:hAnsi="Times New Roman"/>
                <w:sz w:val="8"/>
                <w:szCs w:val="8"/>
                <w:color w:val="auto"/>
              </w:rPr>
              <w:t>2,214,492</w:t>
            </w: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jc w:val="right"/>
              <w:ind w:right="20"/>
              <w:spacing w:after="0" w:line="81"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gridSpan w:val="2"/>
            <w:shd w:val="clear" w:color="auto" w:fill="CCEEFF"/>
          </w:tcPr>
          <w:p>
            <w:pPr>
              <w:jc w:val="right"/>
              <w:ind w:right="20"/>
              <w:spacing w:after="0" w:line="81" w:lineRule="exact"/>
              <w:rPr>
                <w:sz w:val="20"/>
                <w:szCs w:val="20"/>
                <w:color w:val="auto"/>
              </w:rPr>
            </w:pPr>
            <w:r>
              <w:rPr>
                <w:rFonts w:ascii="Times New Roman" w:cs="Times New Roman" w:eastAsia="Times New Roman" w:hAnsi="Times New Roman"/>
                <w:sz w:val="8"/>
                <w:szCs w:val="8"/>
                <w:color w:val="auto"/>
              </w:rPr>
              <w:t>441,934</w:t>
            </w:r>
          </w:p>
        </w:tc>
        <w:tc>
          <w:tcPr>
            <w:tcW w:w="2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8"/>
                <w:szCs w:val="8"/>
                <w:color w:val="auto"/>
              </w:rPr>
              <w:t>1,211,019</w:t>
            </w: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jc w:val="right"/>
              <w:ind w:right="20"/>
              <w:spacing w:after="0" w:line="81"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jc w:val="right"/>
              <w:ind w:right="20"/>
              <w:spacing w:after="0" w:line="81"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gridSpan w:val="2"/>
            <w:shd w:val="clear" w:color="auto" w:fill="CCEEFF"/>
          </w:tcPr>
          <w:p>
            <w:pPr>
              <w:jc w:val="right"/>
              <w:ind w:right="25"/>
              <w:spacing w:after="0" w:line="81" w:lineRule="exact"/>
              <w:rPr>
                <w:sz w:val="20"/>
                <w:szCs w:val="20"/>
                <w:color w:val="auto"/>
              </w:rPr>
            </w:pPr>
            <w:r>
              <w:rPr>
                <w:rFonts w:ascii="Times New Roman" w:cs="Times New Roman" w:eastAsia="Times New Roman" w:hAnsi="Times New Roman"/>
                <w:sz w:val="8"/>
                <w:szCs w:val="8"/>
                <w:color w:val="auto"/>
              </w:rPr>
              <w:t>627,738</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jc w:val="right"/>
              <w:ind w:right="1"/>
              <w:spacing w:after="0" w:line="81" w:lineRule="exact"/>
              <w:rPr>
                <w:sz w:val="20"/>
                <w:szCs w:val="20"/>
                <w:color w:val="auto"/>
              </w:rPr>
            </w:pPr>
            <w:r>
              <w:rPr>
                <w:rFonts w:ascii="Times New Roman" w:cs="Times New Roman" w:eastAsia="Times New Roman" w:hAnsi="Times New Roman"/>
                <w:sz w:val="8"/>
                <w:szCs w:val="8"/>
                <w:color w:val="auto"/>
              </w:rPr>
              <w:t>479,726</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8"/>
                <w:szCs w:val="8"/>
                <w:color w:val="auto"/>
              </w:rPr>
              <w:t>40.18</w:t>
            </w: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jc w:val="right"/>
              <w:ind w:right="1"/>
              <w:spacing w:after="0" w:line="81" w:lineRule="exact"/>
              <w:rPr>
                <w:sz w:val="20"/>
                <w:szCs w:val="20"/>
                <w:color w:val="auto"/>
              </w:rPr>
            </w:pPr>
            <w:r>
              <w:rPr>
                <w:rFonts w:ascii="Times New Roman" w:cs="Times New Roman" w:eastAsia="Times New Roman" w:hAnsi="Times New Roman"/>
                <w:sz w:val="8"/>
                <w:szCs w:val="8"/>
                <w:color w:val="auto"/>
              </w:rPr>
              <w:t>91.42</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8"/>
                <w:szCs w:val="8"/>
                <w:color w:val="auto"/>
              </w:rPr>
              <w:t>59.54</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jc w:val="right"/>
              <w:ind w:right="20"/>
              <w:spacing w:after="0" w:line="81" w:lineRule="exact"/>
              <w:rPr>
                <w:sz w:val="20"/>
                <w:szCs w:val="20"/>
                <w:color w:val="auto"/>
              </w:rPr>
            </w:pPr>
            <w:r>
              <w:rPr>
                <w:rFonts w:ascii="Times New Roman" w:cs="Times New Roman" w:eastAsia="Times New Roman" w:hAnsi="Times New Roman"/>
                <w:sz w:val="8"/>
                <w:szCs w:val="8"/>
                <w:color w:val="auto"/>
              </w:rPr>
              <w:t>(7,967)</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jc w:val="right"/>
              <w:ind w:right="20"/>
              <w:spacing w:after="0" w:line="81" w:lineRule="exact"/>
              <w:rPr>
                <w:sz w:val="20"/>
                <w:szCs w:val="20"/>
                <w:color w:val="auto"/>
              </w:rPr>
            </w:pPr>
            <w:r>
              <w:rPr>
                <w:rFonts w:ascii="Times New Roman" w:cs="Times New Roman" w:eastAsia="Times New Roman" w:hAnsi="Times New Roman"/>
                <w:sz w:val="8"/>
                <w:szCs w:val="8"/>
                <w:color w:val="auto"/>
              </w:rPr>
              <w:t>11,466</w:t>
            </w:r>
          </w:p>
        </w:tc>
        <w:tc>
          <w:tcPr>
            <w:tcW w:w="0" w:type="dxa"/>
            <w:vAlign w:val="bottom"/>
          </w:tcPr>
          <w:p>
            <w:pPr>
              <w:spacing w:after="0"/>
              <w:rPr>
                <w:sz w:val="1"/>
                <w:szCs w:val="1"/>
                <w:color w:val="auto"/>
              </w:rPr>
            </w:pPr>
          </w:p>
        </w:tc>
      </w:tr>
      <w:tr>
        <w:trPr>
          <w:trHeight w:val="81"/>
        </w:trPr>
        <w:tc>
          <w:tcPr>
            <w:tcW w:w="260" w:type="dxa"/>
            <w:vAlign w:val="bottom"/>
          </w:tcPr>
          <w:p>
            <w:pPr>
              <w:spacing w:after="0" w:line="81" w:lineRule="exact"/>
              <w:rPr>
                <w:sz w:val="20"/>
                <w:szCs w:val="20"/>
                <w:color w:val="auto"/>
              </w:rPr>
            </w:pPr>
            <w:r>
              <w:rPr>
                <w:rFonts w:ascii="Times New Roman" w:cs="Times New Roman" w:eastAsia="Times New Roman" w:hAnsi="Times New Roman"/>
                <w:sz w:val="8"/>
                <w:szCs w:val="8"/>
                <w:color w:val="auto"/>
              </w:rPr>
              <w:t>2022</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gridSpan w:val="2"/>
          </w:tcPr>
          <w:p>
            <w:pPr>
              <w:jc w:val="right"/>
              <w:ind w:right="60"/>
              <w:spacing w:after="0" w:line="81"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gridSpan w:val="2"/>
          </w:tcPr>
          <w:p>
            <w:pPr>
              <w:jc w:val="right"/>
              <w:ind w:right="20"/>
              <w:spacing w:after="0" w:line="81" w:lineRule="exact"/>
              <w:rPr>
                <w:sz w:val="20"/>
                <w:szCs w:val="20"/>
                <w:color w:val="auto"/>
              </w:rPr>
            </w:pPr>
            <w:r>
              <w:rPr>
                <w:rFonts w:ascii="Times New Roman" w:cs="Times New Roman" w:eastAsia="Times New Roman" w:hAnsi="Times New Roman"/>
                <w:sz w:val="8"/>
                <w:szCs w:val="8"/>
                <w:color w:val="auto"/>
              </w:rPr>
              <w:t>3,076,429</w:t>
            </w:r>
          </w:p>
        </w:tc>
        <w:tc>
          <w:tcPr>
            <w:tcW w:w="60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8"/>
                <w:szCs w:val="8"/>
                <w:color w:val="auto"/>
              </w:rPr>
              <w:t>150,000</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jc w:val="right"/>
              <w:ind w:right="20"/>
              <w:spacing w:after="0" w:line="81"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520" w:type="dxa"/>
            <w:vAlign w:val="bottom"/>
            <w:gridSpan w:val="2"/>
          </w:tcPr>
          <w:p>
            <w:pPr>
              <w:jc w:val="right"/>
              <w:ind w:right="80"/>
              <w:spacing w:after="0" w:line="81"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8"/>
                <w:szCs w:val="8"/>
                <w:color w:val="auto"/>
              </w:rPr>
              <w:t>2,717,447</w:t>
            </w:r>
          </w:p>
        </w:tc>
        <w:tc>
          <w:tcPr>
            <w:tcW w:w="620" w:type="dxa"/>
            <w:vAlign w:val="bottom"/>
            <w:gridSpan w:val="2"/>
          </w:tcPr>
          <w:p>
            <w:pPr>
              <w:jc w:val="right"/>
              <w:ind w:right="20"/>
              <w:spacing w:after="0" w:line="81" w:lineRule="exact"/>
              <w:rPr>
                <w:sz w:val="20"/>
                <w:szCs w:val="20"/>
                <w:color w:val="auto"/>
              </w:rPr>
            </w:pPr>
            <w:r>
              <w:rPr>
                <w:rFonts w:ascii="Times New Roman" w:cs="Times New Roman" w:eastAsia="Times New Roman" w:hAnsi="Times New Roman"/>
                <w:sz w:val="8"/>
                <w:szCs w:val="8"/>
                <w:color w:val="auto"/>
              </w:rPr>
              <w:t>181,671</w:t>
            </w:r>
          </w:p>
        </w:tc>
        <w:tc>
          <w:tcPr>
            <w:tcW w:w="80" w:type="dxa"/>
            <w:vAlign w:val="bottom"/>
          </w:tcPr>
          <w:p>
            <w:pPr>
              <w:spacing w:after="0"/>
              <w:rPr>
                <w:sz w:val="7"/>
                <w:szCs w:val="7"/>
                <w:color w:val="auto"/>
              </w:rPr>
            </w:pPr>
          </w:p>
        </w:tc>
        <w:tc>
          <w:tcPr>
            <w:tcW w:w="520" w:type="dxa"/>
            <w:vAlign w:val="bottom"/>
          </w:tcPr>
          <w:p>
            <w:pPr>
              <w:jc w:val="right"/>
              <w:ind w:right="20"/>
              <w:spacing w:after="0" w:line="81"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gridSpan w:val="2"/>
          </w:tcPr>
          <w:p>
            <w:pPr>
              <w:jc w:val="right"/>
              <w:ind w:right="25"/>
              <w:spacing w:after="0" w:line="81" w:lineRule="exact"/>
              <w:rPr>
                <w:sz w:val="20"/>
                <w:szCs w:val="20"/>
                <w:color w:val="auto"/>
              </w:rPr>
            </w:pPr>
            <w:r>
              <w:rPr>
                <w:rFonts w:ascii="Times New Roman" w:cs="Times New Roman" w:eastAsia="Times New Roman" w:hAnsi="Times New Roman"/>
                <w:sz w:val="8"/>
                <w:szCs w:val="8"/>
                <w:color w:val="auto"/>
              </w:rPr>
              <w:t>466,912</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jc w:val="right"/>
              <w:ind w:right="1"/>
              <w:spacing w:after="0" w:line="81" w:lineRule="exact"/>
              <w:rPr>
                <w:sz w:val="20"/>
                <w:szCs w:val="20"/>
                <w:color w:val="auto"/>
              </w:rPr>
            </w:pPr>
            <w:r>
              <w:rPr>
                <w:rFonts w:ascii="Times New Roman" w:cs="Times New Roman" w:eastAsia="Times New Roman" w:hAnsi="Times New Roman"/>
                <w:sz w:val="8"/>
                <w:szCs w:val="8"/>
                <w:color w:val="auto"/>
              </w:rPr>
              <w:t>402,619</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jc w:val="right"/>
              <w:spacing w:after="0" w:line="81" w:lineRule="exact"/>
              <w:rPr>
                <w:sz w:val="20"/>
                <w:szCs w:val="20"/>
                <w:color w:val="auto"/>
              </w:rPr>
            </w:pPr>
            <w:r>
              <w:rPr>
                <w:rFonts w:ascii="Times New Roman" w:cs="Times New Roman" w:eastAsia="Times New Roman" w:hAnsi="Times New Roman"/>
                <w:sz w:val="8"/>
                <w:szCs w:val="8"/>
                <w:color w:val="auto"/>
              </w:rPr>
              <w:t>53.83</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jc w:val="right"/>
              <w:ind w:right="1"/>
              <w:spacing w:after="0" w:line="81" w:lineRule="exact"/>
              <w:rPr>
                <w:sz w:val="20"/>
                <w:szCs w:val="20"/>
                <w:color w:val="auto"/>
              </w:rPr>
            </w:pPr>
            <w:r>
              <w:rPr>
                <w:rFonts w:ascii="Times New Roman" w:cs="Times New Roman" w:eastAsia="Times New Roman" w:hAnsi="Times New Roman"/>
                <w:sz w:val="8"/>
                <w:szCs w:val="8"/>
                <w:color w:val="auto"/>
              </w:rPr>
              <w:t>113.90</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jc w:val="right"/>
              <w:spacing w:after="0" w:line="81" w:lineRule="exact"/>
              <w:rPr>
                <w:sz w:val="20"/>
                <w:szCs w:val="20"/>
                <w:color w:val="auto"/>
              </w:rPr>
            </w:pPr>
            <w:r>
              <w:rPr>
                <w:rFonts w:ascii="Times New Roman" w:cs="Times New Roman" w:eastAsia="Times New Roman" w:hAnsi="Times New Roman"/>
                <w:sz w:val="8"/>
                <w:szCs w:val="8"/>
                <w:color w:val="auto"/>
              </w:rPr>
              <w:t>63.18</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jc w:val="right"/>
              <w:ind w:right="20"/>
              <w:spacing w:after="0" w:line="81" w:lineRule="exact"/>
              <w:rPr>
                <w:sz w:val="20"/>
                <w:szCs w:val="20"/>
                <w:color w:val="auto"/>
              </w:rPr>
            </w:pPr>
            <w:r>
              <w:rPr>
                <w:rFonts w:ascii="Times New Roman" w:cs="Times New Roman" w:eastAsia="Times New Roman" w:hAnsi="Times New Roman"/>
                <w:sz w:val="8"/>
                <w:szCs w:val="8"/>
                <w:color w:val="auto"/>
              </w:rPr>
              <w:t>(6,602)</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jc w:val="right"/>
              <w:ind w:right="20"/>
              <w:spacing w:after="0" w:line="81" w:lineRule="exact"/>
              <w:rPr>
                <w:sz w:val="20"/>
                <w:szCs w:val="20"/>
                <w:color w:val="auto"/>
              </w:rPr>
            </w:pPr>
            <w:r>
              <w:rPr>
                <w:rFonts w:ascii="Times New Roman" w:cs="Times New Roman" w:eastAsia="Times New Roman" w:hAnsi="Times New Roman"/>
                <w:sz w:val="8"/>
                <w:szCs w:val="8"/>
                <w:color w:val="auto"/>
              </w:rPr>
              <w:t>8,869</w:t>
            </w:r>
          </w:p>
        </w:tc>
        <w:tc>
          <w:tcPr>
            <w:tcW w:w="0" w:type="dxa"/>
            <w:vAlign w:val="bottom"/>
          </w:tcPr>
          <w:p>
            <w:pPr>
              <w:spacing w:after="0"/>
              <w:rPr>
                <w:sz w:val="1"/>
                <w:szCs w:val="1"/>
                <w:color w:val="auto"/>
              </w:rPr>
            </w:pPr>
          </w:p>
        </w:tc>
      </w:tr>
      <w:tr>
        <w:trPr>
          <w:trHeight w:val="81"/>
        </w:trPr>
        <w:tc>
          <w:tcPr>
            <w:tcW w:w="260" w:type="dxa"/>
            <w:vAlign w:val="bottom"/>
            <w:shd w:val="clear" w:color="auto" w:fill="CCEEFF"/>
          </w:tcPr>
          <w:p>
            <w:pPr>
              <w:spacing w:after="0" w:line="81" w:lineRule="exact"/>
              <w:rPr>
                <w:sz w:val="20"/>
                <w:szCs w:val="20"/>
                <w:color w:val="auto"/>
              </w:rPr>
            </w:pPr>
            <w:r>
              <w:rPr>
                <w:rFonts w:ascii="Times New Roman" w:cs="Times New Roman" w:eastAsia="Times New Roman" w:hAnsi="Times New Roman"/>
                <w:sz w:val="8"/>
                <w:szCs w:val="8"/>
                <w:color w:val="auto"/>
              </w:rPr>
              <w:t>2021</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60"/>
              <w:spacing w:after="0" w:line="81"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jc w:val="right"/>
              <w:ind w:right="20"/>
              <w:spacing w:after="0" w:line="81"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8"/>
                <w:szCs w:val="8"/>
                <w:color w:val="auto"/>
              </w:rPr>
              <w:t>323,882</w:t>
            </w:r>
          </w:p>
        </w:tc>
        <w:tc>
          <w:tcPr>
            <w:tcW w:w="620" w:type="dxa"/>
            <w:vAlign w:val="bottom"/>
            <w:gridSpan w:val="3"/>
            <w:shd w:val="clear" w:color="auto" w:fill="CCEEFF"/>
          </w:tcPr>
          <w:p>
            <w:pPr>
              <w:jc w:val="right"/>
              <w:ind w:right="20"/>
              <w:spacing w:after="0" w:line="81" w:lineRule="exact"/>
              <w:rPr>
                <w:sz w:val="20"/>
                <w:szCs w:val="20"/>
                <w:color w:val="auto"/>
              </w:rPr>
            </w:pPr>
            <w:r>
              <w:rPr>
                <w:rFonts w:ascii="Times New Roman" w:cs="Times New Roman" w:eastAsia="Times New Roman" w:hAnsi="Times New Roman"/>
                <w:sz w:val="8"/>
                <w:szCs w:val="8"/>
                <w:color w:val="auto"/>
              </w:rPr>
              <w:t>1,031,283</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80"/>
              <w:spacing w:after="0" w:line="81"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8"/>
                <w:szCs w:val="8"/>
                <w:color w:val="auto"/>
              </w:rPr>
              <w:t>—</w:t>
            </w:r>
          </w:p>
        </w:tc>
        <w:tc>
          <w:tcPr>
            <w:tcW w:w="620" w:type="dxa"/>
            <w:vAlign w:val="bottom"/>
            <w:gridSpan w:val="2"/>
            <w:shd w:val="clear" w:color="auto" w:fill="CCEEFF"/>
          </w:tcPr>
          <w:p>
            <w:pPr>
              <w:jc w:val="right"/>
              <w:ind w:right="20"/>
              <w:spacing w:after="0" w:line="81" w:lineRule="exact"/>
              <w:rPr>
                <w:sz w:val="20"/>
                <w:szCs w:val="20"/>
                <w:color w:val="auto"/>
              </w:rPr>
            </w:pPr>
            <w:r>
              <w:rPr>
                <w:rFonts w:ascii="Times New Roman" w:cs="Times New Roman" w:eastAsia="Times New Roman" w:hAnsi="Times New Roman"/>
                <w:sz w:val="8"/>
                <w:szCs w:val="8"/>
                <w:color w:val="auto"/>
              </w:rPr>
              <w:t>182,192</w:t>
            </w:r>
          </w:p>
        </w:tc>
        <w:tc>
          <w:tcPr>
            <w:tcW w:w="600" w:type="dxa"/>
            <w:vAlign w:val="bottom"/>
            <w:gridSpan w:val="2"/>
            <w:shd w:val="clear" w:color="auto" w:fill="CCEEFF"/>
          </w:tcPr>
          <w:p>
            <w:pPr>
              <w:jc w:val="right"/>
              <w:ind w:right="20"/>
              <w:spacing w:after="0" w:line="81" w:lineRule="exact"/>
              <w:rPr>
                <w:sz w:val="20"/>
                <w:szCs w:val="20"/>
                <w:color w:val="auto"/>
              </w:rPr>
            </w:pPr>
            <w:r>
              <w:rPr>
                <w:rFonts w:ascii="Times New Roman" w:cs="Times New Roman" w:eastAsia="Times New Roman" w:hAnsi="Times New Roman"/>
                <w:sz w:val="8"/>
                <w:szCs w:val="8"/>
                <w:color w:val="auto"/>
              </w:rPr>
              <w:t>876,182</w:t>
            </w:r>
          </w:p>
        </w:tc>
        <w:tc>
          <w:tcPr>
            <w:tcW w:w="580" w:type="dxa"/>
            <w:vAlign w:val="bottom"/>
            <w:gridSpan w:val="2"/>
            <w:shd w:val="clear" w:color="auto" w:fill="CCEEFF"/>
          </w:tcPr>
          <w:p>
            <w:pPr>
              <w:jc w:val="right"/>
              <w:ind w:right="25"/>
              <w:spacing w:after="0" w:line="81" w:lineRule="exact"/>
              <w:rPr>
                <w:sz w:val="20"/>
                <w:szCs w:val="20"/>
                <w:color w:val="auto"/>
              </w:rPr>
            </w:pPr>
            <w:r>
              <w:rPr>
                <w:rFonts w:ascii="Times New Roman" w:cs="Times New Roman" w:eastAsia="Times New Roman" w:hAnsi="Times New Roman"/>
                <w:sz w:val="8"/>
                <w:szCs w:val="8"/>
                <w:color w:val="auto"/>
              </w:rPr>
              <w:t>477,954</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jc w:val="right"/>
              <w:ind w:right="1"/>
              <w:spacing w:after="0" w:line="81" w:lineRule="exact"/>
              <w:rPr>
                <w:sz w:val="20"/>
                <w:szCs w:val="20"/>
                <w:color w:val="auto"/>
              </w:rPr>
            </w:pPr>
            <w:r>
              <w:rPr>
                <w:rFonts w:ascii="Times New Roman" w:cs="Times New Roman" w:eastAsia="Times New Roman" w:hAnsi="Times New Roman"/>
                <w:sz w:val="8"/>
                <w:szCs w:val="8"/>
                <w:color w:val="auto"/>
              </w:rPr>
              <w:t>389,979</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8"/>
                <w:szCs w:val="8"/>
                <w:color w:val="auto"/>
              </w:rPr>
              <w:t>60.85</w:t>
            </w: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jc w:val="right"/>
              <w:ind w:right="1"/>
              <w:spacing w:after="0" w:line="81" w:lineRule="exact"/>
              <w:rPr>
                <w:sz w:val="20"/>
                <w:szCs w:val="20"/>
                <w:color w:val="auto"/>
              </w:rPr>
            </w:pPr>
            <w:r>
              <w:rPr>
                <w:rFonts w:ascii="Times New Roman" w:cs="Times New Roman" w:eastAsia="Times New Roman" w:hAnsi="Times New Roman"/>
                <w:sz w:val="8"/>
                <w:szCs w:val="8"/>
                <w:color w:val="auto"/>
              </w:rPr>
              <w:t>104.48</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8"/>
                <w:szCs w:val="8"/>
                <w:color w:val="auto"/>
              </w:rPr>
              <w:t>85.00</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jc w:val="right"/>
              <w:ind w:right="20"/>
              <w:spacing w:after="0" w:line="81" w:lineRule="exact"/>
              <w:rPr>
                <w:sz w:val="20"/>
                <w:szCs w:val="20"/>
                <w:color w:val="auto"/>
              </w:rPr>
            </w:pPr>
            <w:r>
              <w:rPr>
                <w:rFonts w:ascii="Times New Roman" w:cs="Times New Roman" w:eastAsia="Times New Roman" w:hAnsi="Times New Roman"/>
                <w:sz w:val="8"/>
                <w:szCs w:val="8"/>
                <w:color w:val="auto"/>
              </w:rPr>
              <w:t>(11,922)</w:t>
            </w: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jc w:val="right"/>
              <w:ind w:right="20"/>
              <w:spacing w:after="0" w:line="81" w:lineRule="exact"/>
              <w:rPr>
                <w:sz w:val="20"/>
                <w:szCs w:val="20"/>
                <w:color w:val="auto"/>
              </w:rPr>
            </w:pPr>
            <w:r>
              <w:rPr>
                <w:rFonts w:ascii="Times New Roman" w:cs="Times New Roman" w:eastAsia="Times New Roman" w:hAnsi="Times New Roman"/>
                <w:sz w:val="8"/>
                <w:szCs w:val="8"/>
                <w:color w:val="auto"/>
              </w:rPr>
              <w:t>6,220</w:t>
            </w:r>
          </w:p>
        </w:tc>
        <w:tc>
          <w:tcPr>
            <w:tcW w:w="0" w:type="dxa"/>
            <w:vAlign w:val="bottom"/>
          </w:tcPr>
          <w:p>
            <w:pPr>
              <w:spacing w:after="0"/>
              <w:rPr>
                <w:sz w:val="1"/>
                <w:szCs w:val="1"/>
                <w:color w:val="auto"/>
              </w:rPr>
            </w:pPr>
          </w:p>
        </w:tc>
      </w:tr>
      <w:tr>
        <w:trPr>
          <w:trHeight w:val="94"/>
        </w:trPr>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00" w:right="839" w:hanging="356"/>
        <w:spacing w:after="0" w:line="250" w:lineRule="auto"/>
        <w:tabs>
          <w:tab w:leader="none" w:pos="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are the amounts of total compensation reported for our PEO(s) in the Summary Compensation Table for the last five fiscal years.</w:t>
      </w:r>
    </w:p>
    <w:p>
      <w:pPr>
        <w:spacing w:after="0" w:line="54" w:lineRule="exact"/>
        <w:rPr>
          <w:rFonts w:ascii="Times New Roman" w:cs="Times New Roman" w:eastAsia="Times New Roman" w:hAnsi="Times New Roman"/>
          <w:sz w:val="18"/>
          <w:szCs w:val="18"/>
          <w:color w:val="auto"/>
        </w:rPr>
      </w:pPr>
    </w:p>
    <w:p>
      <w:pPr>
        <w:ind w:left="400" w:right="79" w:hanging="356"/>
        <w:spacing w:after="0" w:line="235" w:lineRule="auto"/>
        <w:tabs>
          <w:tab w:leader="none" w:pos="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CAP, as computed in accordance with SEC rules. The dollar amounts do not reflect the actual amounts of compensation paid to our PEO(s) or other non-PEO NEOs during the applicable year, but also include (i) the year-end value of equity awards granted during the reported year, and (ii) the change in the value of equity awards that were unvested at the end of the prior year, measured through the date the awards vested or were forfeited, or through the end of the reported fiscal year along with changes in pension value and nonqualified deferred compensation earnings. The tables below provide fuller details.</w:t>
      </w:r>
    </w:p>
    <w:p>
      <w:pPr>
        <w:spacing w:after="0" w:line="66" w:lineRule="exact"/>
        <w:rPr>
          <w:rFonts w:ascii="Times New Roman" w:cs="Times New Roman" w:eastAsia="Times New Roman" w:hAnsi="Times New Roman"/>
          <w:sz w:val="18"/>
          <w:szCs w:val="18"/>
          <w:color w:val="auto"/>
        </w:rPr>
      </w:pPr>
    </w:p>
    <w:p>
      <w:pPr>
        <w:ind w:left="400" w:right="459" w:hanging="356"/>
        <w:spacing w:after="0" w:line="250" w:lineRule="auto"/>
        <w:tabs>
          <w:tab w:leader="none" w:pos="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numbers in these columns have been revised from the numbers previously reported in last year’s “Pay versus Performance Table” in order to correct an administrative error.</w:t>
      </w:r>
    </w:p>
    <w:p>
      <w:pPr>
        <w:spacing w:after="0" w:line="54" w:lineRule="exact"/>
        <w:rPr>
          <w:rFonts w:ascii="Times New Roman" w:cs="Times New Roman" w:eastAsia="Times New Roman" w:hAnsi="Times New Roman"/>
          <w:sz w:val="18"/>
          <w:szCs w:val="18"/>
          <w:color w:val="auto"/>
        </w:rPr>
      </w:pPr>
    </w:p>
    <w:p>
      <w:pPr>
        <w:ind w:left="400" w:right="339" w:hanging="356"/>
        <w:spacing w:after="0" w:line="242" w:lineRule="auto"/>
        <w:tabs>
          <w:tab w:leader="none" w:pos="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Peer Group total shareholder return as shown in last year's disclosure has been adjusted to reflect the weighted average TSR. Our 2025 Peer Group Index includes the companies of: BRC, Inc., Bridgeford Foods Corporation, John B Sanfilippo &amp; Son, Inc., Limoneira Company, MGP Ingredients, Inc., Mission Produce, Inc.,</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 w:right="119"/>
        <w:spacing w:after="0" w:line="239" w:lineRule="auto"/>
        <w:rPr>
          <w:sz w:val="20"/>
          <w:szCs w:val="20"/>
          <w:color w:val="auto"/>
        </w:rPr>
      </w:pPr>
      <w:r>
        <w:rPr>
          <w:rFonts w:ascii="Times New Roman" w:cs="Times New Roman" w:eastAsia="Times New Roman" w:hAnsi="Times New Roman"/>
          <w:sz w:val="18"/>
          <w:szCs w:val="18"/>
          <w:color w:val="auto"/>
        </w:rPr>
        <w:t>SunOpta, Inc., The Duckhorn Portfolio, Inc., The Vita Coco Company, Inc., Tootsie Roll Industries, Inc., Utz Brands, Inc., Vital Farms, Inc., and Westrock Coffee Company, LLC. The Duckhorn Portfolio was acquired on December 24, 2024, and, as a result, did not have a market value at the end of fiscal year 2025. The comparable cumulative total shareholder return for the prior 2024 peer group for the period starting on October 31, 2020 and ending on October 31 of the following years would be: 2021 ($85.00), 2022 ($63.18), 2023 ($59.54), 2024 ($57.65), and 2025 ($41.92).</w:t>
      </w:r>
    </w:p>
    <w:p>
      <w:pPr>
        <w:spacing w:after="0" w:line="49" w:lineRule="exact"/>
        <w:rPr>
          <w:sz w:val="20"/>
          <w:szCs w:val="20"/>
          <w:color w:val="auto"/>
        </w:rPr>
      </w:pPr>
    </w:p>
    <w:p>
      <w:pPr>
        <w:ind w:left="400" w:right="99"/>
        <w:spacing w:after="0" w:line="235" w:lineRule="auto"/>
        <w:rPr>
          <w:sz w:val="20"/>
          <w:szCs w:val="20"/>
          <w:color w:val="auto"/>
        </w:rPr>
      </w:pPr>
      <w:r>
        <w:rPr>
          <w:rFonts w:ascii="Times New Roman" w:cs="Times New Roman" w:eastAsia="Times New Roman" w:hAnsi="Times New Roman"/>
          <w:sz w:val="18"/>
          <w:szCs w:val="18"/>
          <w:color w:val="auto"/>
        </w:rPr>
        <w:t>Peer Group Changes: The current 2025 Peer Group Index represents the set of companies selected as being most comparable to Calavo’s business profile and market capitalization as of the beginning of fiscal year 2025, and it replaces the prior peer group used in last year’s disclosures. The following companies are omitted from the 2025 Peer Group Index which were included in the prior peer group: Andersons, Inc., B&amp;G Foods, Inc., Boston Beer Company, Inc., Fresh Del Monte Produce, Inc., Hain Celestial Group, Inc., J&amp;J Snack Foods, Corp., and Lifecore Biomedical, Inc</w:t>
      </w:r>
    </w:p>
    <w:p>
      <w:pPr>
        <w:spacing w:after="0" w:line="66" w:lineRule="exact"/>
        <w:rPr>
          <w:sz w:val="20"/>
          <w:szCs w:val="20"/>
          <w:color w:val="auto"/>
        </w:rPr>
      </w:pPr>
    </w:p>
    <w:p>
      <w:pPr>
        <w:jc w:val="both"/>
        <w:ind w:left="400" w:right="119" w:hanging="356"/>
        <w:spacing w:after="0" w:line="242" w:lineRule="auto"/>
        <w:tabs>
          <w:tab w:leader="none" w:pos="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is the financial measure that the Company believes to be the most important measure (that is not otherwise required to be disclosed in the table) it used in the most recent fiscal year to link CAP to all of the NEOs as reported below.</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PEOs and other NEOs included in the above compensation columns are comprised of the following:</w:t>
      </w:r>
    </w:p>
    <w:p>
      <w:pPr>
        <w:spacing w:after="0" w:line="151" w:lineRule="exact"/>
        <w:rPr>
          <w:sz w:val="20"/>
          <w:szCs w:val="20"/>
          <w:color w:val="auto"/>
        </w:rPr>
      </w:pPr>
    </w:p>
    <w:tbl>
      <w:tblPr>
        <w:tblLayout w:type="fixed"/>
        <w:tblInd w:w="320" w:type="dxa"/>
        <w:tblCellMar>
          <w:top w:w="0" w:type="dxa"/>
          <w:left w:w="0" w:type="dxa"/>
          <w:bottom w:w="0" w:type="dxa"/>
          <w:right w:w="0" w:type="dxa"/>
        </w:tblCellMar>
      </w:tblPr>
      <w:tr>
        <w:trPr>
          <w:trHeight w:val="187"/>
        </w:trPr>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248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PEOs</w:t>
            </w: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2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NON-PEO NEOs</w:t>
            </w:r>
          </w:p>
        </w:tc>
      </w:tr>
      <w:tr>
        <w:trPr>
          <w:trHeight w:val="209"/>
        </w:trPr>
        <w:tc>
          <w:tcPr>
            <w:tcW w:w="20" w:type="dxa"/>
            <w:vAlign w:val="bottom"/>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Lecil Cole (First PEO)</w:t>
            </w:r>
          </w:p>
        </w:tc>
        <w:tc>
          <w:tcPr>
            <w:tcW w:w="180" w:type="dxa"/>
            <w:vAlign w:val="bottom"/>
            <w:tcBorders>
              <w:top w:val="single" w:sz="8" w:color="CCEEFF"/>
            </w:tcBorders>
            <w:shd w:val="clear" w:color="auto" w:fill="CCEEFF"/>
          </w:tcPr>
          <w:p>
            <w:pPr>
              <w:spacing w:after="0"/>
              <w:rPr>
                <w:sz w:val="18"/>
                <w:szCs w:val="18"/>
                <w:color w:val="auto"/>
              </w:rPr>
            </w:pPr>
          </w:p>
        </w:tc>
        <w:tc>
          <w:tcPr>
            <w:tcW w:w="50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Munsell, Ronald Araiza, Michael Browne, James Snyder</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Lecil Cole</w:t>
            </w:r>
          </w:p>
        </w:tc>
        <w:tc>
          <w:tcPr>
            <w:tcW w:w="5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Shawn Munsell, Ronald Araiza, Paul Harrison, Michael Browne</w:t>
            </w:r>
          </w:p>
        </w:tc>
      </w:tr>
      <w:tr>
        <w:trPr>
          <w:trHeight w:val="171"/>
        </w:trPr>
        <w:tc>
          <w:tcPr>
            <w:tcW w:w="20" w:type="dxa"/>
            <w:vAlign w:val="bottom"/>
          </w:tcPr>
          <w:p>
            <w:pPr>
              <w:spacing w:after="0"/>
              <w:rPr>
                <w:sz w:val="14"/>
                <w:szCs w:val="14"/>
                <w:color w:val="auto"/>
              </w:rPr>
            </w:pPr>
          </w:p>
        </w:tc>
        <w:tc>
          <w:tcPr>
            <w:tcW w:w="5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4"/>
                <w:szCs w:val="14"/>
                <w:color w:val="auto"/>
              </w:rPr>
            </w:pPr>
          </w:p>
        </w:tc>
        <w:tc>
          <w:tcPr>
            <w:tcW w:w="250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Lecil Cole, Brian Kocher (Second</w:t>
            </w:r>
          </w:p>
        </w:tc>
        <w:tc>
          <w:tcPr>
            <w:tcW w:w="5180" w:type="dxa"/>
            <w:vAlign w:val="bottom"/>
            <w:gridSpan w:val="3"/>
            <w:shd w:val="clear" w:color="auto" w:fill="CCEEFF"/>
          </w:tcPr>
          <w:p>
            <w:pPr>
              <w:ind w:left="180"/>
              <w:spacing w:after="0" w:line="170" w:lineRule="exact"/>
              <w:rPr>
                <w:sz w:val="20"/>
                <w:szCs w:val="20"/>
                <w:color w:val="auto"/>
              </w:rPr>
            </w:pPr>
            <w:r>
              <w:rPr>
                <w:rFonts w:ascii="Times New Roman" w:cs="Times New Roman" w:eastAsia="Times New Roman" w:hAnsi="Times New Roman"/>
                <w:sz w:val="18"/>
                <w:szCs w:val="18"/>
                <w:color w:val="auto"/>
              </w:rPr>
              <w:t>Shawn Munsell, Graciela Montgomery, Ronald Araiza, Paul</w:t>
            </w:r>
          </w:p>
        </w:tc>
      </w:tr>
      <w:tr>
        <w:trPr>
          <w:trHeight w:val="221"/>
        </w:trPr>
        <w:tc>
          <w:tcPr>
            <w:tcW w:w="2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PEO)</w:t>
            </w:r>
          </w:p>
        </w:tc>
        <w:tc>
          <w:tcPr>
            <w:tcW w:w="5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Harrison, Danny Dumas, Helen Kurtz</w:t>
            </w:r>
          </w:p>
        </w:tc>
      </w:tr>
      <w:tr>
        <w:trPr>
          <w:trHeight w:val="171"/>
        </w:trPr>
        <w:tc>
          <w:tcPr>
            <w:tcW w:w="20" w:type="dxa"/>
            <w:vAlign w:val="bottom"/>
          </w:tcPr>
          <w:p>
            <w:pPr>
              <w:spacing w:after="0"/>
              <w:rPr>
                <w:sz w:val="14"/>
                <w:szCs w:val="14"/>
                <w:color w:val="auto"/>
              </w:rPr>
            </w:pPr>
          </w:p>
        </w:tc>
        <w:tc>
          <w:tcPr>
            <w:tcW w:w="5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4"/>
                <w:szCs w:val="14"/>
                <w:color w:val="auto"/>
              </w:rPr>
            </w:pPr>
          </w:p>
        </w:tc>
        <w:tc>
          <w:tcPr>
            <w:tcW w:w="250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8"/>
                <w:szCs w:val="18"/>
                <w:color w:val="auto"/>
              </w:rPr>
              <w:t>Brian Kocher, Steven Hollister</w:t>
            </w:r>
          </w:p>
        </w:tc>
        <w:tc>
          <w:tcPr>
            <w:tcW w:w="5180" w:type="dxa"/>
            <w:vAlign w:val="bottom"/>
            <w:gridSpan w:val="3"/>
          </w:tcPr>
          <w:p>
            <w:pPr>
              <w:ind w:left="180"/>
              <w:spacing w:after="0" w:line="170" w:lineRule="exact"/>
              <w:rPr>
                <w:sz w:val="20"/>
                <w:szCs w:val="20"/>
                <w:color w:val="auto"/>
              </w:rPr>
            </w:pPr>
            <w:r>
              <w:rPr>
                <w:rFonts w:ascii="Times New Roman" w:cs="Times New Roman" w:eastAsia="Times New Roman" w:hAnsi="Times New Roman"/>
                <w:sz w:val="18"/>
                <w:szCs w:val="18"/>
                <w:color w:val="auto"/>
              </w:rPr>
              <w:t>Shawn Munsell, Mariela Matute, Graciela Montgomery, Robert</w:t>
            </w:r>
          </w:p>
        </w:tc>
      </w:tr>
      <w:tr>
        <w:trPr>
          <w:trHeight w:val="221"/>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(Third PEO)</w:t>
            </w:r>
          </w:p>
        </w:tc>
        <w:tc>
          <w:tcPr>
            <w:tcW w:w="5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Wedin, Ronald Araiza, Danny Dumas, Helen Kurtz</w:t>
            </w:r>
          </w:p>
        </w:tc>
      </w:tr>
      <w:tr>
        <w:trPr>
          <w:trHeight w:val="171"/>
        </w:trPr>
        <w:tc>
          <w:tcPr>
            <w:tcW w:w="20" w:type="dxa"/>
            <w:vAlign w:val="bottom"/>
          </w:tcPr>
          <w:p>
            <w:pPr>
              <w:spacing w:after="0"/>
              <w:rPr>
                <w:sz w:val="14"/>
                <w:szCs w:val="14"/>
                <w:color w:val="auto"/>
              </w:rPr>
            </w:pPr>
          </w:p>
        </w:tc>
        <w:tc>
          <w:tcPr>
            <w:tcW w:w="5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2021</w:t>
            </w:r>
          </w:p>
        </w:tc>
        <w:tc>
          <w:tcPr>
            <w:tcW w:w="160" w:type="dxa"/>
            <w:vAlign w:val="bottom"/>
            <w:shd w:val="clear" w:color="auto" w:fill="CCEEFF"/>
          </w:tcPr>
          <w:p>
            <w:pPr>
              <w:spacing w:after="0"/>
              <w:rPr>
                <w:sz w:val="14"/>
                <w:szCs w:val="14"/>
                <w:color w:val="auto"/>
              </w:rPr>
            </w:pPr>
          </w:p>
        </w:tc>
        <w:tc>
          <w:tcPr>
            <w:tcW w:w="250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James Gibson (Fourth PEO),</w:t>
            </w:r>
          </w:p>
        </w:tc>
        <w:tc>
          <w:tcPr>
            <w:tcW w:w="5180" w:type="dxa"/>
            <w:vAlign w:val="bottom"/>
            <w:gridSpan w:val="3"/>
            <w:shd w:val="clear" w:color="auto" w:fill="CCEEFF"/>
          </w:tcPr>
          <w:p>
            <w:pPr>
              <w:ind w:left="180"/>
              <w:spacing w:after="0" w:line="170" w:lineRule="exact"/>
              <w:rPr>
                <w:sz w:val="20"/>
                <w:szCs w:val="20"/>
                <w:color w:val="auto"/>
              </w:rPr>
            </w:pPr>
            <w:r>
              <w:rPr>
                <w:rFonts w:ascii="Times New Roman" w:cs="Times New Roman" w:eastAsia="Times New Roman" w:hAnsi="Times New Roman"/>
                <w:sz w:val="18"/>
                <w:szCs w:val="18"/>
                <w:color w:val="auto"/>
              </w:rPr>
              <w:t>Mariela Matute, Kevin Manion, Robert Wedin, Ronald Araiza, Mark</w:t>
            </w:r>
          </w:p>
        </w:tc>
      </w:tr>
      <w:tr>
        <w:trPr>
          <w:trHeight w:val="221"/>
        </w:trPr>
        <w:tc>
          <w:tcPr>
            <w:tcW w:w="2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Steven Hollister</w:t>
            </w:r>
          </w:p>
        </w:tc>
        <w:tc>
          <w:tcPr>
            <w:tcW w:w="1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Lodge, Farha Aslam</w:t>
            </w:r>
          </w:p>
        </w:tc>
        <w:tc>
          <w:tcPr>
            <w:tcW w:w="3280" w:type="dxa"/>
            <w:vAlign w:val="bottom"/>
            <w:shd w:val="clear" w:color="auto" w:fill="CCEEFF"/>
          </w:tcPr>
          <w:p>
            <w:pPr>
              <w:spacing w:after="0"/>
              <w:rPr>
                <w:sz w:val="19"/>
                <w:szCs w:val="19"/>
                <w:color w:val="auto"/>
              </w:rPr>
            </w:pPr>
          </w:p>
        </w:tc>
      </w:tr>
    </w:tbl>
    <w:p>
      <w:pPr>
        <w:spacing w:after="0" w:line="198"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To calculate the amounts in the “Compensation Actually Paid to PEO” column in the Pay versus Performance table above, the following amounts were deducted from and added to (as applicable) the “Total” compensation of our PEOs for each applicable year, as reported in the Summary Compensation Table above.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Actually Paid to PEOs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Plus Reported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62"/>
              <w:spacing w:after="0" w:line="146"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Minus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102"/>
              <w:spacing w:after="0" w:line="137"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Plus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62"/>
              <w:spacing w:after="0" w:line="146" w:lineRule="exact"/>
              <w:rPr>
                <w:sz w:val="20"/>
                <w:szCs w:val="20"/>
                <w:color w:val="auto"/>
              </w:rPr>
            </w:pPr>
            <w:r>
              <w:rPr>
                <w:rFonts w:ascii="Times New Roman" w:cs="Times New Roman" w:eastAsia="Times New Roman" w:hAnsi="Times New Roman"/>
                <w:sz w:val="14"/>
                <w:szCs w:val="14"/>
                <w:b w:val="1"/>
                <w:bCs w:val="1"/>
                <w:color w:val="auto"/>
              </w:rPr>
              <w:t>Value and Non-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qualified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37"/>
        </w:trPr>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122"/>
              <w:spacing w:after="0" w:line="137"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79"/>
              <w:spacing w:after="0" w:line="137" w:lineRule="exact"/>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62"/>
              <w:spacing w:after="0" w:line="137"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22"/>
              <w:spacing w:after="0" w:line="146"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9"/>
              <w:spacing w:after="0" w:line="146" w:lineRule="exact"/>
              <w:rPr>
                <w:sz w:val="20"/>
                <w:szCs w:val="20"/>
                <w:color w:val="auto"/>
              </w:rPr>
            </w:pPr>
            <w:r>
              <w:rPr>
                <w:rFonts w:ascii="Times New Roman" w:cs="Times New Roman" w:eastAsia="Times New Roman" w:hAnsi="Times New Roman"/>
                <w:sz w:val="14"/>
                <w:szCs w:val="14"/>
                <w:b w:val="1"/>
                <w:bCs w:val="1"/>
                <w:color w:val="auto"/>
              </w:rPr>
              <w:t>Award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62"/>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98"/>
              <w:spacing w:after="0" w:line="146" w:lineRule="exact"/>
              <w:rPr>
                <w:sz w:val="20"/>
                <w:szCs w:val="20"/>
                <w:color w:val="auto"/>
              </w:rPr>
            </w:pPr>
            <w:r>
              <w:rPr>
                <w:rFonts w:ascii="Times New Roman" w:cs="Times New Roman" w:eastAsia="Times New Roman" w:hAnsi="Times New Roman"/>
                <w:sz w:val="14"/>
                <w:szCs w:val="14"/>
                <w:b w:val="1"/>
                <w:bCs w:val="1"/>
                <w:color w:val="auto"/>
              </w:rPr>
              <w:t>Actually</w:t>
            </w:r>
          </w:p>
        </w:tc>
        <w:tc>
          <w:tcPr>
            <w:tcW w:w="0" w:type="dxa"/>
            <w:vAlign w:val="bottom"/>
          </w:tcPr>
          <w:p>
            <w:pPr>
              <w:spacing w:after="0"/>
              <w:rPr>
                <w:sz w:val="1"/>
                <w:szCs w:val="1"/>
                <w:color w:val="auto"/>
              </w:rPr>
            </w:pPr>
          </w:p>
        </w:tc>
      </w:tr>
      <w:tr>
        <w:trPr>
          <w:trHeight w:val="148"/>
        </w:trPr>
        <w:tc>
          <w:tcPr>
            <w:tcW w:w="2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8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28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 for</w:t>
            </w:r>
          </w:p>
        </w:tc>
        <w:tc>
          <w:tcPr>
            <w:tcW w:w="2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6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Paid to</w:t>
            </w:r>
          </w:p>
        </w:tc>
        <w:tc>
          <w:tcPr>
            <w:tcW w:w="0" w:type="dxa"/>
            <w:vAlign w:val="bottom"/>
          </w:tcPr>
          <w:p>
            <w:pPr>
              <w:spacing w:after="0"/>
              <w:rPr>
                <w:sz w:val="1"/>
                <w:szCs w:val="1"/>
                <w:color w:val="auto"/>
              </w:rPr>
            </w:pPr>
          </w:p>
        </w:tc>
      </w:tr>
      <w:tr>
        <w:trPr>
          <w:trHeight w:val="175"/>
        </w:trPr>
        <w:tc>
          <w:tcPr>
            <w:tcW w:w="212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980" w:type="dxa"/>
            <w:vAlign w:val="bottom"/>
          </w:tcPr>
          <w:p>
            <w:pPr>
              <w:jc w:val="center"/>
              <w:ind w:right="77"/>
              <w:spacing w:after="0" w:line="176" w:lineRule="exact"/>
              <w:rPr>
                <w:sz w:val="20"/>
                <w:szCs w:val="20"/>
                <w:color w:val="auto"/>
              </w:rPr>
            </w:pPr>
            <w:r>
              <w:rPr>
                <w:rFonts w:ascii="Times New Roman" w:cs="Times New Roman" w:eastAsia="Times New Roman" w:hAnsi="Times New Roman"/>
                <w:sz w:val="14"/>
                <w:szCs w:val="14"/>
                <w:b w:val="1"/>
                <w:bCs w:val="1"/>
                <w:color w:val="auto"/>
                <w:w w:val="98"/>
              </w:rPr>
              <w:t>for PEO</w:t>
            </w:r>
            <w:r>
              <w:rPr>
                <w:rFonts w:ascii="Times New Roman" w:cs="Times New Roman" w:eastAsia="Times New Roman" w:hAnsi="Times New Roman"/>
                <w:sz w:val="20"/>
                <w:szCs w:val="20"/>
                <w:b w:val="1"/>
                <w:bCs w:val="1"/>
                <w:color w:val="auto"/>
                <w:w w:val="98"/>
                <w:vertAlign w:val="superscript"/>
              </w:rPr>
              <w:t>(i)</w:t>
            </w:r>
          </w:p>
        </w:tc>
        <w:tc>
          <w:tcPr>
            <w:tcW w:w="280" w:type="dxa"/>
            <w:vAlign w:val="bottom"/>
            <w:gridSpan w:val="2"/>
            <w:vMerge w:val="continue"/>
          </w:tcPr>
          <w:p>
            <w:pPr>
              <w:spacing w:after="0"/>
              <w:rPr>
                <w:sz w:val="15"/>
                <w:szCs w:val="15"/>
                <w:color w:val="auto"/>
              </w:rPr>
            </w:pPr>
          </w:p>
        </w:tc>
        <w:tc>
          <w:tcPr>
            <w:tcW w:w="1020" w:type="dxa"/>
            <w:vAlign w:val="bottom"/>
          </w:tcPr>
          <w:p>
            <w:pPr>
              <w:jc w:val="center"/>
              <w:ind w:right="82"/>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PEO</w:t>
            </w:r>
            <w:r>
              <w:rPr>
                <w:rFonts w:ascii="Times New Roman" w:cs="Times New Roman" w:eastAsia="Times New Roman" w:hAnsi="Times New Roman"/>
                <w:sz w:val="9"/>
                <w:szCs w:val="9"/>
                <w:b w:val="1"/>
                <w:bCs w:val="1"/>
                <w:color w:val="auto"/>
              </w:rPr>
              <w:t>(ii)</w:t>
            </w:r>
          </w:p>
        </w:tc>
        <w:tc>
          <w:tcPr>
            <w:tcW w:w="280" w:type="dxa"/>
            <w:vAlign w:val="bottom"/>
            <w:gridSpan w:val="2"/>
            <w:vMerge w:val="continue"/>
          </w:tcPr>
          <w:p>
            <w:pPr>
              <w:spacing w:after="0"/>
              <w:rPr>
                <w:sz w:val="15"/>
                <w:szCs w:val="15"/>
                <w:color w:val="auto"/>
              </w:rPr>
            </w:pPr>
          </w:p>
        </w:tc>
        <w:tc>
          <w:tcPr>
            <w:tcW w:w="1020" w:type="dxa"/>
            <w:vAlign w:val="bottom"/>
          </w:tcPr>
          <w:p>
            <w:pPr>
              <w:jc w:val="center"/>
              <w:ind w:right="59"/>
              <w:spacing w:after="0" w:line="176" w:lineRule="exact"/>
              <w:rPr>
                <w:sz w:val="20"/>
                <w:szCs w:val="20"/>
                <w:color w:val="auto"/>
              </w:rPr>
            </w:pPr>
            <w:r>
              <w:rPr>
                <w:rFonts w:ascii="Times New Roman" w:cs="Times New Roman" w:eastAsia="Times New Roman" w:hAnsi="Times New Roman"/>
                <w:sz w:val="14"/>
                <w:szCs w:val="14"/>
                <w:b w:val="1"/>
                <w:bCs w:val="1"/>
                <w:color w:val="auto"/>
                <w:w w:val="96"/>
              </w:rPr>
              <w:t>for PEO</w:t>
            </w:r>
            <w:r>
              <w:rPr>
                <w:rFonts w:ascii="Times New Roman" w:cs="Times New Roman" w:eastAsia="Times New Roman" w:hAnsi="Times New Roman"/>
                <w:sz w:val="20"/>
                <w:szCs w:val="20"/>
                <w:b w:val="1"/>
                <w:bCs w:val="1"/>
                <w:color w:val="auto"/>
                <w:w w:val="96"/>
                <w:vertAlign w:val="superscript"/>
              </w:rPr>
              <w:t>(iii)</w:t>
            </w:r>
          </w:p>
        </w:tc>
        <w:tc>
          <w:tcPr>
            <w:tcW w:w="280" w:type="dxa"/>
            <w:vAlign w:val="bottom"/>
            <w:gridSpan w:val="2"/>
            <w:vMerge w:val="continue"/>
          </w:tcPr>
          <w:p>
            <w:pPr>
              <w:spacing w:after="0"/>
              <w:rPr>
                <w:sz w:val="15"/>
                <w:szCs w:val="15"/>
                <w:color w:val="auto"/>
              </w:rPr>
            </w:pPr>
          </w:p>
        </w:tc>
        <w:tc>
          <w:tcPr>
            <w:tcW w:w="13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gridSpan w:val="2"/>
            <w:vMerge w:val="continue"/>
          </w:tcPr>
          <w:p>
            <w:pPr>
              <w:spacing w:after="0"/>
              <w:rPr>
                <w:sz w:val="15"/>
                <w:szCs w:val="15"/>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PEO</w:t>
            </w:r>
          </w:p>
        </w:tc>
        <w:tc>
          <w:tcPr>
            <w:tcW w:w="0" w:type="dxa"/>
            <w:vAlign w:val="bottom"/>
          </w:tcPr>
          <w:p>
            <w:pPr>
              <w:spacing w:after="0"/>
              <w:rPr>
                <w:sz w:val="1"/>
                <w:szCs w:val="1"/>
                <w:color w:val="auto"/>
              </w:rPr>
            </w:pPr>
          </w:p>
        </w:tc>
      </w:tr>
      <w:tr>
        <w:trPr>
          <w:trHeight w:val="210"/>
        </w:trPr>
        <w:tc>
          <w:tcPr>
            <w:tcW w:w="2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79,857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(1,352,143)</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753,116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830,876</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4,105,826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1,652,953</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3,226,429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1,772,690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2,899,119</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1,355,165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196850</wp:posOffset>
            </wp:positionV>
            <wp:extent cx="14141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00" w:right="959" w:hanging="356"/>
        <w:spacing w:after="0" w:line="258" w:lineRule="auto"/>
        <w:tabs>
          <w:tab w:leader="none" w:pos="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are the amounts of total compensation reported for our PEOs in the Summary Compensation Table for fiscal years 2025, 2024, 2023, 2022, and 2021.</w:t>
      </w:r>
    </w:p>
    <w:p>
      <w:pPr>
        <w:ind w:left="400" w:right="79" w:hanging="356"/>
        <w:spacing w:after="0" w:line="258" w:lineRule="auto"/>
        <w:tabs>
          <w:tab w:leader="none" w:pos="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the equity awards to our PEOs, as reported in the “Stock Awards” column in the Summary Compensation Table for each applicable year.</w:t>
      </w:r>
    </w:p>
    <w:p>
      <w:pPr>
        <w:ind w:left="400" w:right="219" w:hanging="356"/>
        <w:spacing w:after="0" w:line="250" w:lineRule="auto"/>
        <w:tabs>
          <w:tab w:leader="none" w:pos="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year-over-year change in the fair value of equity awards to our PEOs, as itemized in the table below. Fair value or change in fair value, as applicable, of equity awards in the “Compensation Actually Paid” columns was determined by reference to (a) for RSU awards, closing price on applicable year-end dates (b) for PRSU</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 w:right="259"/>
        <w:spacing w:after="0" w:line="266" w:lineRule="auto"/>
        <w:rPr>
          <w:sz w:val="20"/>
          <w:szCs w:val="20"/>
          <w:color w:val="auto"/>
        </w:rPr>
      </w:pPr>
      <w:r>
        <w:rPr>
          <w:rFonts w:ascii="Times New Roman" w:cs="Times New Roman" w:eastAsia="Times New Roman" w:hAnsi="Times New Roman"/>
          <w:sz w:val="18"/>
          <w:szCs w:val="18"/>
          <w:color w:val="auto"/>
        </w:rPr>
        <w:t>awards, the same valuation methodology as RSU awards above except year-end share amounts are multiplied by the probability of achievement as of each such date.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Award Adjustments for PEOs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Fair Value of Equity Awards for PEOs</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1"/>
        </w:trPr>
        <w:tc>
          <w:tcPr>
            <w:tcW w:w="35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Plus as of year-end fair value for awards granted</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during the fiscal year that are outstanding and</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4"/>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the end of the fiscal year</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512,295</w:t>
            </w:r>
          </w:p>
        </w:tc>
        <w:tc>
          <w:tcPr>
            <w:tcW w:w="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1,741,019</w:t>
            </w:r>
          </w:p>
        </w:tc>
        <w:tc>
          <w:tcPr>
            <w:tcW w:w="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198"/>
        </w:trPr>
        <w:tc>
          <w:tcPr>
            <w:tcW w:w="3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Plus year-over-year change in fair value of</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unvested awards granted in previous fiscal years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and outstanding and unvested as of the end of</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the fiscal year</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(1,432,000)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Plus vesting date change in fair value of awards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prior fiscal year-end for which all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applicable vesting conditions were satisfied at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4"/>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end of or during the fiscal year</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580,116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(334,932)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(186,557)</w:t>
            </w:r>
          </w:p>
        </w:tc>
      </w:tr>
      <w:tr>
        <w:trPr>
          <w:trHeight w:val="198"/>
        </w:trPr>
        <w:tc>
          <w:tcPr>
            <w:tcW w:w="3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fair value at the end of prior fiscal year of</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awards granted in prior fiscal years that fail to</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meet vesting conditions during the fiscal year</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(200,207)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Plus dollar value of any dividends or other</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paid on stock or option awards in the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4"/>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209,971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31,456</w:t>
            </w:r>
          </w:p>
        </w:tc>
      </w:t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award adjustments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(1,432,000)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753,116</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187,127</w:t>
            </w:r>
          </w:p>
        </w:tc>
        <w:tc>
          <w:tcPr>
            <w:tcW w:w="2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1,772,690</w:t>
            </w:r>
          </w:p>
        </w:tc>
        <w:tc>
          <w:tcPr>
            <w:tcW w:w="2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(150,101)</w:t>
            </w:r>
          </w:p>
        </w:tc>
      </w:tr>
    </w:tbl>
    <w:p>
      <w:pPr>
        <w:spacing w:after="0" w:line="162" w:lineRule="exact"/>
        <w:rPr>
          <w:sz w:val="20"/>
          <w:szCs w:val="20"/>
          <w:color w:val="auto"/>
        </w:rPr>
      </w:pPr>
    </w:p>
    <w:p>
      <w:pPr>
        <w:ind w:left="40" w:right="279" w:firstLine="259"/>
        <w:spacing w:after="0"/>
        <w:rPr>
          <w:sz w:val="20"/>
          <w:szCs w:val="20"/>
          <w:color w:val="auto"/>
        </w:rPr>
      </w:pPr>
      <w:r>
        <w:rPr>
          <w:rFonts w:ascii="Times New Roman" w:cs="Times New Roman" w:eastAsia="Times New Roman" w:hAnsi="Times New Roman"/>
          <w:sz w:val="18"/>
          <w:szCs w:val="18"/>
          <w:color w:val="auto"/>
        </w:rPr>
        <w:t>To calculate the amounts in the “Average Compensation Actually Paid to Non-PEO NEOs” column in the Pay versus Performance table above, the following amounts were deducted from and added to (as applicable) the average of the “Total” compensation of our non-PEO NEOs for each applicable year, as reported in the Summary Compensation Table above.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Average Compensation Actually Paid to Non-PEO NEOs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Plus Average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Minus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Reported Change in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Plus</w:t>
            </w:r>
          </w:p>
        </w:tc>
        <w:tc>
          <w:tcPr>
            <w:tcW w:w="150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Pension Value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50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and Non- qualified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50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w w:val="99"/>
              </w:rPr>
              <w:t>Table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15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Earnings for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Actually</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w w:val="97"/>
              </w:rPr>
              <w:t>Total for</w:t>
            </w:r>
          </w:p>
        </w:tc>
        <w:tc>
          <w:tcPr>
            <w:tcW w:w="1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 for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50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 to</w:t>
            </w:r>
          </w:p>
        </w:tc>
        <w:tc>
          <w:tcPr>
            <w:tcW w:w="0" w:type="dxa"/>
            <w:vAlign w:val="bottom"/>
          </w:tcPr>
          <w:p>
            <w:pPr>
              <w:spacing w:after="0"/>
              <w:rPr>
                <w:sz w:val="1"/>
                <w:szCs w:val="1"/>
                <w:color w:val="auto"/>
              </w:rPr>
            </w:pPr>
          </w:p>
        </w:tc>
      </w:tr>
      <w:tr>
        <w:trPr>
          <w:trHeight w:val="146"/>
        </w:trPr>
        <w:tc>
          <w:tcPr>
            <w:tcW w:w="2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40" w:type="dxa"/>
            <w:vAlign w:val="bottom"/>
          </w:tcPr>
          <w:p>
            <w:pPr>
              <w:spacing w:after="0"/>
              <w:rPr>
                <w:sz w:val="12"/>
                <w:szCs w:val="12"/>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ind w:right="61"/>
              <w:spacing w:after="0" w:line="146" w:lineRule="exact"/>
              <w:rPr>
                <w:sz w:val="20"/>
                <w:szCs w:val="20"/>
                <w:color w:val="auto"/>
              </w:rPr>
            </w:pPr>
            <w:r>
              <w:rPr>
                <w:rFonts w:ascii="Times New Roman" w:cs="Times New Roman" w:eastAsia="Times New Roman" w:hAnsi="Times New Roman"/>
                <w:sz w:val="14"/>
                <w:szCs w:val="14"/>
                <w:b w:val="1"/>
                <w:bCs w:val="1"/>
                <w:color w:val="auto"/>
              </w:rPr>
              <w:t>Non-PEO</w:t>
            </w:r>
          </w:p>
        </w:tc>
        <w:tc>
          <w:tcPr>
            <w:tcW w:w="26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ind w:right="23"/>
              <w:spacing w:after="0" w:line="146" w:lineRule="exact"/>
              <w:rPr>
                <w:sz w:val="20"/>
                <w:szCs w:val="20"/>
                <w:color w:val="auto"/>
              </w:rPr>
            </w:pPr>
            <w:r>
              <w:rPr>
                <w:rFonts w:ascii="Times New Roman" w:cs="Times New Roman" w:eastAsia="Times New Roman" w:hAnsi="Times New Roman"/>
                <w:sz w:val="14"/>
                <w:szCs w:val="14"/>
                <w:b w:val="1"/>
                <w:bCs w:val="1"/>
                <w:color w:val="auto"/>
              </w:rPr>
              <w:t>Non-PEO</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for Non-</w:t>
            </w:r>
          </w:p>
        </w:tc>
        <w:tc>
          <w:tcPr>
            <w:tcW w:w="1500" w:type="dxa"/>
            <w:vAlign w:val="bottom"/>
          </w:tcPr>
          <w:p>
            <w:pPr>
              <w:jc w:val="center"/>
              <w:ind w:right="82"/>
              <w:spacing w:after="0" w:line="146" w:lineRule="exact"/>
              <w:rPr>
                <w:sz w:val="20"/>
                <w:szCs w:val="20"/>
                <w:color w:val="auto"/>
              </w:rPr>
            </w:pPr>
            <w:r>
              <w:rPr>
                <w:rFonts w:ascii="Times New Roman" w:cs="Times New Roman" w:eastAsia="Times New Roman" w:hAnsi="Times New Roman"/>
                <w:sz w:val="14"/>
                <w:szCs w:val="14"/>
                <w:b w:val="1"/>
                <w:bCs w:val="1"/>
                <w:color w:val="auto"/>
              </w:rPr>
              <w:t>NEOs</w:t>
            </w:r>
          </w:p>
        </w:tc>
        <w:tc>
          <w:tcPr>
            <w:tcW w:w="26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76"/>
        </w:trPr>
        <w:tc>
          <w:tcPr>
            <w:tcW w:w="22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1100" w:type="dxa"/>
            <w:vAlign w:val="bottom"/>
          </w:tcPr>
          <w:p>
            <w:pPr>
              <w:jc w:val="center"/>
              <w:ind w:right="61"/>
              <w:spacing w:after="0" w:line="176" w:lineRule="exact"/>
              <w:rPr>
                <w:sz w:val="20"/>
                <w:szCs w:val="20"/>
                <w:color w:val="auto"/>
              </w:rPr>
            </w:pPr>
            <w:r>
              <w:rPr>
                <w:rFonts w:ascii="Times New Roman" w:cs="Times New Roman" w:eastAsia="Times New Roman" w:hAnsi="Times New Roman"/>
                <w:sz w:val="14"/>
                <w:szCs w:val="14"/>
                <w:b w:val="1"/>
                <w:bCs w:val="1"/>
                <w:color w:val="auto"/>
                <w:w w:val="99"/>
              </w:rPr>
              <w:t>NEOs</w:t>
            </w:r>
            <w:r>
              <w:rPr>
                <w:rFonts w:ascii="Times New Roman" w:cs="Times New Roman" w:eastAsia="Times New Roman" w:hAnsi="Times New Roman"/>
                <w:sz w:val="20"/>
                <w:szCs w:val="20"/>
                <w:b w:val="1"/>
                <w:bCs w:val="1"/>
                <w:color w:val="auto"/>
                <w:w w:val="99"/>
                <w:vertAlign w:val="superscript"/>
              </w:rPr>
              <w:t>(i)</w:t>
            </w:r>
          </w:p>
        </w:tc>
        <w:tc>
          <w:tcPr>
            <w:tcW w:w="260" w:type="dxa"/>
            <w:vAlign w:val="bottom"/>
            <w:gridSpan w:val="2"/>
            <w:vMerge w:val="continue"/>
          </w:tcPr>
          <w:p>
            <w:pPr>
              <w:spacing w:after="0"/>
              <w:rPr>
                <w:sz w:val="15"/>
                <w:szCs w:val="15"/>
                <w:color w:val="auto"/>
              </w:rPr>
            </w:pPr>
          </w:p>
        </w:tc>
        <w:tc>
          <w:tcPr>
            <w:tcW w:w="780" w:type="dxa"/>
            <w:vAlign w:val="bottom"/>
          </w:tcPr>
          <w:p>
            <w:pPr>
              <w:jc w:val="center"/>
              <w:ind w:right="43"/>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NEOs</w:t>
            </w:r>
            <w:r>
              <w:rPr>
                <w:rFonts w:ascii="Times New Roman" w:cs="Times New Roman" w:eastAsia="Times New Roman" w:hAnsi="Times New Roman"/>
                <w:sz w:val="9"/>
                <w:szCs w:val="9"/>
                <w:b w:val="1"/>
                <w:bCs w:val="1"/>
                <w:color w:val="auto"/>
              </w:rPr>
              <w:t>(ii)</w:t>
            </w:r>
          </w:p>
        </w:tc>
        <w:tc>
          <w:tcPr>
            <w:tcW w:w="240" w:type="dxa"/>
            <w:vAlign w:val="bottom"/>
            <w:gridSpan w:val="2"/>
            <w:vMerge w:val="continue"/>
          </w:tcPr>
          <w:p>
            <w:pPr>
              <w:spacing w:after="0"/>
              <w:rPr>
                <w:sz w:val="15"/>
                <w:szCs w:val="15"/>
                <w:color w:val="auto"/>
              </w:rPr>
            </w:pPr>
          </w:p>
        </w:tc>
        <w:tc>
          <w:tcPr>
            <w:tcW w:w="1200" w:type="dxa"/>
            <w:vAlign w:val="bottom"/>
            <w:gridSpan w:val="3"/>
          </w:tcPr>
          <w:p>
            <w:pPr>
              <w:spacing w:after="0" w:line="176" w:lineRule="exact"/>
              <w:rPr>
                <w:sz w:val="20"/>
                <w:szCs w:val="20"/>
                <w:color w:val="auto"/>
              </w:rPr>
            </w:pPr>
            <w:r>
              <w:rPr>
                <w:rFonts w:ascii="Times New Roman" w:cs="Times New Roman" w:eastAsia="Times New Roman" w:hAnsi="Times New Roman"/>
                <w:sz w:val="14"/>
                <w:szCs w:val="14"/>
                <w:b w:val="1"/>
                <w:bCs w:val="1"/>
                <w:color w:val="auto"/>
              </w:rPr>
              <w:t>PEO NEOs</w:t>
            </w:r>
            <w:r>
              <w:rPr>
                <w:rFonts w:ascii="Times New Roman" w:cs="Times New Roman" w:eastAsia="Times New Roman" w:hAnsi="Times New Roman"/>
                <w:sz w:val="20"/>
                <w:szCs w:val="20"/>
                <w:b w:val="1"/>
                <w:bCs w:val="1"/>
                <w:color w:val="auto"/>
                <w:vertAlign w:val="superscript"/>
              </w:rPr>
              <w:t>(iii)</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15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vMerge w:val="continue"/>
          </w:tcPr>
          <w:p>
            <w:pPr>
              <w:spacing w:after="0"/>
              <w:rPr>
                <w:sz w:val="15"/>
                <w:szCs w:val="15"/>
                <w:color w:val="auto"/>
              </w:rPr>
            </w:pPr>
          </w:p>
        </w:tc>
        <w:tc>
          <w:tcPr>
            <w:tcW w:w="114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0" w:type="dxa"/>
            <w:vAlign w:val="bottom"/>
          </w:tcPr>
          <w:p>
            <w:pPr>
              <w:spacing w:after="0"/>
              <w:rPr>
                <w:sz w:val="1"/>
                <w:szCs w:val="1"/>
                <w:color w:val="auto"/>
              </w:rPr>
            </w:pPr>
          </w:p>
        </w:tc>
      </w:tr>
      <w:tr>
        <w:trPr>
          <w:trHeight w:val="209"/>
        </w:trPr>
        <w:tc>
          <w:tcPr>
            <w:tcW w:w="2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484,450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455,521</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486,094</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479,726</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402,619</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389,979</w:t>
            </w:r>
          </w:p>
        </w:tc>
        <w:tc>
          <w:tcPr>
            <w:tcW w:w="0" w:type="dxa"/>
            <w:vAlign w:val="bottom"/>
          </w:tcPr>
          <w:p>
            <w:pPr>
              <w:spacing w:after="0"/>
              <w:rPr>
                <w:sz w:val="1"/>
                <w:szCs w:val="1"/>
                <w:color w:val="auto"/>
              </w:rPr>
            </w:pPr>
          </w:p>
        </w:tc>
      </w:tr>
      <w:tr>
        <w:trPr>
          <w:trHeight w:val="95"/>
        </w:trPr>
        <w:tc>
          <w:tcPr>
            <w:tcW w:w="2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00" w:right="219" w:hanging="356"/>
        <w:spacing w:after="0" w:line="250" w:lineRule="auto"/>
        <w:tabs>
          <w:tab w:leader="none" w:pos="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is the average of the amounts of total compensation reported for our Non-PEO NEOs in the Summary Compensation Table for fiscal years 2025, 2024, 2023, 2022 and 2021.</w:t>
      </w:r>
    </w:p>
    <w:p>
      <w:pPr>
        <w:spacing w:after="0" w:line="54" w:lineRule="exact"/>
        <w:rPr>
          <w:rFonts w:ascii="Times New Roman" w:cs="Times New Roman" w:eastAsia="Times New Roman" w:hAnsi="Times New Roman"/>
          <w:sz w:val="18"/>
          <w:szCs w:val="18"/>
          <w:color w:val="auto"/>
        </w:rPr>
      </w:pPr>
    </w:p>
    <w:p>
      <w:pPr>
        <w:ind w:left="400" w:right="319" w:hanging="356"/>
        <w:spacing w:after="0" w:line="250" w:lineRule="auto"/>
        <w:tabs>
          <w:tab w:leader="none" w:pos="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the equity awards to our Non-PEO NEOs, as reported in the “Stock Awards” column in the Summary Compensation Table for each applicable year.</w:t>
      </w:r>
    </w:p>
    <w:p>
      <w:pPr>
        <w:spacing w:after="0" w:line="54" w:lineRule="exact"/>
        <w:rPr>
          <w:rFonts w:ascii="Times New Roman" w:cs="Times New Roman" w:eastAsia="Times New Roman" w:hAnsi="Times New Roman"/>
          <w:sz w:val="18"/>
          <w:szCs w:val="18"/>
          <w:color w:val="auto"/>
        </w:rPr>
      </w:pPr>
    </w:p>
    <w:p>
      <w:pPr>
        <w:ind w:left="400" w:right="439" w:hanging="356"/>
        <w:spacing w:after="0" w:line="264" w:lineRule="auto"/>
        <w:tabs>
          <w:tab w:leader="none" w:pos="4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year-over-year change in the fair value of equity awards to our Non-PEO NEOs, as itemized in the table below. No awards vested in the year they were granted. Fair value or change in fair value, as applicable, of equity awards in the “Compensation Actually Paid” columns was determined by reference to (a) for RSU awards,</w:t>
      </w:r>
    </w:p>
    <w:p>
      <w:pPr>
        <w:sectPr>
          <w:pgSz w:w="11900" w:h="16838" w:orient="portrait"/>
          <w:cols w:equalWidth="0" w:num="1">
            <w:col w:w="9019"/>
          </w:cols>
          <w:pgMar w:left="1440" w:top="513"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 w:right="459"/>
        <w:spacing w:after="0" w:line="296" w:lineRule="auto"/>
        <w:rPr>
          <w:sz w:val="20"/>
          <w:szCs w:val="20"/>
          <w:color w:val="auto"/>
        </w:rPr>
      </w:pPr>
      <w:r>
        <w:rPr>
          <w:rFonts w:ascii="Times New Roman" w:cs="Times New Roman" w:eastAsia="Times New Roman" w:hAnsi="Times New Roman"/>
          <w:sz w:val="17"/>
          <w:szCs w:val="17"/>
          <w:color w:val="auto"/>
        </w:rPr>
        <w:t>closing price on applicable year-end dates (b) for PRSU awards, the same valuation methodology as RSU awards above except year-end share amounts are multiplied by the probability of achievement as of each such date.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Award Adjustments for Non-PEO NEOs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4"/>
        </w:trPr>
        <w:tc>
          <w:tcPr>
            <w:tcW w:w="20" w:type="dxa"/>
            <w:vAlign w:val="bottom"/>
          </w:tcPr>
          <w:p>
            <w:pPr>
              <w:spacing w:after="0"/>
              <w:rPr>
                <w:sz w:val="15"/>
                <w:szCs w:val="15"/>
                <w:color w:val="auto"/>
              </w:rPr>
            </w:pPr>
          </w:p>
        </w:tc>
        <w:tc>
          <w:tcPr>
            <w:tcW w:w="43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Fair Value of Average Equity Awards for Non-PEO</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r>
      <w:tr>
        <w:trPr>
          <w:trHeight w:val="238"/>
        </w:trPr>
        <w:tc>
          <w:tcPr>
            <w:tcW w:w="20" w:type="dxa"/>
            <w:vAlign w:val="bottom"/>
          </w:tcPr>
          <w:p>
            <w:pPr>
              <w:spacing w:after="0"/>
              <w:rPr>
                <w:sz w:val="20"/>
                <w:szCs w:val="20"/>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NEOs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Plus as of year-end fair value for awards granted during the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 that are outstanding and unvested as of the end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fiscal year</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144,482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79,181</w:t>
            </w:r>
          </w:p>
        </w:tc>
      </w:tr>
      <w:tr>
        <w:trPr>
          <w:trHeight w:val="198"/>
        </w:trPr>
        <w:tc>
          <w:tcPr>
            <w:tcW w:w="20" w:type="dxa"/>
            <w:vAlign w:val="bottom"/>
          </w:tcPr>
          <w:p>
            <w:pPr>
              <w:spacing w:after="0"/>
              <w:rPr>
                <w:sz w:val="17"/>
                <w:szCs w:val="17"/>
                <w:color w:val="auto"/>
              </w:rPr>
            </w:pPr>
          </w:p>
        </w:tc>
        <w:tc>
          <w:tcPr>
            <w:tcW w:w="4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Plus year-over-year change in fair value of unvested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granted in previous fiscal years and outstanding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unvested as of the end of the fiscal year</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(31,104)</w:t>
            </w:r>
          </w:p>
        </w:tc>
      </w:tr>
      <w:tr>
        <w:trPr>
          <w:trHeight w:val="198"/>
        </w:trPr>
        <w:tc>
          <w:tcPr>
            <w:tcW w:w="20" w:type="dxa"/>
            <w:vAlign w:val="bottom"/>
          </w:tcPr>
          <w:p>
            <w:pPr>
              <w:spacing w:after="0"/>
              <w:rPr>
                <w:sz w:val="17"/>
                <w:szCs w:val="17"/>
                <w:color w:val="auto"/>
              </w:rPr>
            </w:pPr>
          </w:p>
        </w:tc>
        <w:tc>
          <w:tcPr>
            <w:tcW w:w="4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Plus vesting date change in fair value of awards from prior</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year-end for which all applicable vesting conditions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were satisfied at the end of or during the fiscal year</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(1,672)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r>
      <w:tr>
        <w:trPr>
          <w:trHeight w:val="198"/>
        </w:trPr>
        <w:tc>
          <w:tcPr>
            <w:tcW w:w="20" w:type="dxa"/>
            <w:vAlign w:val="bottom"/>
          </w:tcPr>
          <w:p>
            <w:pPr>
              <w:spacing w:after="0"/>
              <w:rPr>
                <w:sz w:val="17"/>
                <w:szCs w:val="17"/>
                <w:color w:val="auto"/>
              </w:rPr>
            </w:pPr>
          </w:p>
        </w:tc>
        <w:tc>
          <w:tcPr>
            <w:tcW w:w="4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fair value at the end of prior fiscal year of awards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in prior fiscal years that fail to meet vesting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conditions during the fiscal year</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(52,076)</w:t>
            </w:r>
          </w:p>
        </w:tc>
      </w:tr>
      <w:tr>
        <w:trPr>
          <w:trHeight w:val="198"/>
        </w:trPr>
        <w:tc>
          <w:tcPr>
            <w:tcW w:w="20" w:type="dxa"/>
            <w:vAlign w:val="bottom"/>
          </w:tcPr>
          <w:p>
            <w:pPr>
              <w:spacing w:after="0"/>
              <w:rPr>
                <w:sz w:val="17"/>
                <w:szCs w:val="17"/>
                <w:color w:val="auto"/>
              </w:rPr>
            </w:pPr>
          </w:p>
        </w:tc>
        <w:tc>
          <w:tcPr>
            <w:tcW w:w="4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Plus dollar value of any dividends or other earnings paid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stock or option awards in the fiscal year</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7,341</w:t>
            </w: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average equity award adjustments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94,564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w:t>
            </w:r>
          </w:p>
        </w:tc>
      </w:tr>
    </w:tbl>
    <w:p>
      <w:pPr>
        <w:spacing w:after="0" w:line="184" w:lineRule="exact"/>
        <w:rPr>
          <w:sz w:val="20"/>
          <w:szCs w:val="20"/>
          <w:color w:val="auto"/>
        </w:rPr>
      </w:pPr>
    </w:p>
    <w:p>
      <w:pPr>
        <w:ind w:left="40" w:right="59" w:firstLine="259"/>
        <w:spacing w:after="0"/>
        <w:rPr>
          <w:sz w:val="20"/>
          <w:szCs w:val="20"/>
          <w:color w:val="auto"/>
        </w:rPr>
      </w:pPr>
      <w:r>
        <w:rPr>
          <w:rFonts w:ascii="Times New Roman" w:cs="Times New Roman" w:eastAsia="Times New Roman" w:hAnsi="Times New Roman"/>
          <w:sz w:val="18"/>
          <w:szCs w:val="18"/>
          <w:color w:val="auto"/>
        </w:rPr>
        <w:t>The following graphs illustrate the relationship of the average CAP for our PEO (for years in which more than one individual served as PEO, the amount reflects the average CAP of those individuals) and the average CAP for our Non-PEO NEOs in relation to our TSR, Net Loss, and Adjusted Net Income (the Company Selected Measure). Additionally, the graphs also describe the relationship between our own TSR versus our Peer Group TSR.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Actually Paid Versus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148590</wp:posOffset>
            </wp:positionV>
            <wp:extent cx="3806190" cy="254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0619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Actually Paid Versus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156845</wp:posOffset>
            </wp:positionV>
            <wp:extent cx="3634740" cy="2425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3474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Actually Paid Versus Adj.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156845</wp:posOffset>
            </wp:positionV>
            <wp:extent cx="3600450" cy="24003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0045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The three financial performance measures in the following list represent an unranked list of the “most important” financial performance measures linking CAP to Company performance for the NEOs in 2025. After Adjusted Net Income, we do not consider any one of the other following financial performance measures to be a more important measure than another measure for our Company or executive compensation program. See the discussion above in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Compensation Discussion and Analysis</w:t>
      </w:r>
      <w:r>
        <w:rPr>
          <w:rFonts w:ascii="Times New Roman" w:cs="Times New Roman" w:eastAsia="Times New Roman" w:hAnsi="Times New Roman"/>
          <w:sz w:val="18"/>
          <w:szCs w:val="18"/>
          <w:color w:val="auto"/>
        </w:rPr>
        <w:t>.” for additional discussion related to executive pay.</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Tabular List</w:t>
      </w:r>
    </w:p>
    <w:p>
      <w:pPr>
        <w:spacing w:after="0" w:line="248" w:lineRule="exact"/>
        <w:rPr>
          <w:sz w:val="20"/>
          <w:szCs w:val="20"/>
          <w:color w:val="auto"/>
        </w:rPr>
      </w:pPr>
    </w:p>
    <w:p>
      <w:pPr>
        <w:ind w:left="2160" w:hanging="316"/>
        <w:spacing w:after="0"/>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Net Income</w:t>
      </w:r>
    </w:p>
    <w:p>
      <w:pPr>
        <w:spacing w:after="0" w:line="27" w:lineRule="exact"/>
        <w:rPr>
          <w:rFonts w:ascii="Times New Roman" w:cs="Times New Roman" w:eastAsia="Times New Roman" w:hAnsi="Times New Roman"/>
          <w:sz w:val="14"/>
          <w:szCs w:val="14"/>
          <w:color w:val="auto"/>
        </w:rPr>
      </w:pPr>
    </w:p>
    <w:p>
      <w:pPr>
        <w:ind w:left="2160" w:hanging="316"/>
        <w:spacing w:after="0"/>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Sales</w:t>
      </w:r>
    </w:p>
    <w:p>
      <w:pPr>
        <w:spacing w:after="0" w:line="14" w:lineRule="exact"/>
        <w:rPr>
          <w:rFonts w:ascii="Times New Roman" w:cs="Times New Roman" w:eastAsia="Times New Roman" w:hAnsi="Times New Roman"/>
          <w:sz w:val="14"/>
          <w:szCs w:val="14"/>
          <w:color w:val="auto"/>
        </w:rPr>
      </w:pPr>
    </w:p>
    <w:p>
      <w:pPr>
        <w:ind w:left="2160" w:hanging="316"/>
        <w:spacing w:after="0"/>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on Invested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-326390</wp:posOffset>
            </wp:positionV>
            <wp:extent cx="3377565" cy="1117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77565" cy="111760"/>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-103505</wp:posOffset>
            </wp:positionV>
            <wp:extent cx="3377565" cy="1111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77565" cy="11112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35" w:lineRule="exact"/>
        <w:rPr>
          <w:sz w:val="20"/>
          <w:szCs w:val="20"/>
          <w:color w:val="auto"/>
        </w:rPr>
      </w:pPr>
    </w:p>
    <w:p>
      <w:pPr>
        <w:ind w:left="40" w:right="459" w:firstLine="259"/>
        <w:spacing w:after="0" w:line="266" w:lineRule="auto"/>
        <w:rPr>
          <w:sz w:val="20"/>
          <w:szCs w:val="20"/>
          <w:color w:val="auto"/>
        </w:rPr>
      </w:pPr>
      <w:r>
        <w:rPr>
          <w:rFonts w:ascii="Times New Roman" w:cs="Times New Roman" w:eastAsia="Times New Roman" w:hAnsi="Times New Roman"/>
          <w:sz w:val="18"/>
          <w:szCs w:val="18"/>
          <w:color w:val="auto"/>
        </w:rPr>
        <w:t>As required by applicable SEC rules, we are providing the following information about the relationship of the total annual compensation of our median compensated employee and the annual total compensation of our CEO.</w:t>
      </w:r>
    </w:p>
    <w:p>
      <w:pPr>
        <w:spacing w:after="0" w:line="81" w:lineRule="exact"/>
        <w:rPr>
          <w:sz w:val="20"/>
          <w:szCs w:val="20"/>
          <w:color w:val="auto"/>
        </w:rPr>
      </w:pPr>
    </w:p>
    <w:p>
      <w:pPr>
        <w:ind w:left="40" w:right="239" w:firstLine="259"/>
        <w:spacing w:after="0" w:line="239" w:lineRule="auto"/>
        <w:rPr>
          <w:sz w:val="20"/>
          <w:szCs w:val="20"/>
          <w:color w:val="auto"/>
        </w:rPr>
      </w:pPr>
      <w:r>
        <w:rPr>
          <w:rFonts w:ascii="Times New Roman" w:cs="Times New Roman" w:eastAsia="Times New Roman" w:hAnsi="Times New Roman"/>
          <w:sz w:val="18"/>
          <w:szCs w:val="18"/>
          <w:color w:val="auto"/>
        </w:rPr>
        <w:t>In identifying the median employee, the Company prepared a list of all employees, excluding the Chief Executive Officer along with their annual base wages and salary (“Annual Earnings”) as of October 31, 2025. The median employee’s total compensation was calculated by including in their annual earnings all other compensation for fiscal year 2025, which includes cash incentives such as some who have a phone or internet stipend. There were no cash bonus or equity award payouts issued during fiscal year 2025.</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Median Employee Total Compensation for fiscal year 2025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$ 47,059</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CEO Total Compensation for fiscal year 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$ 79,857</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Median Employee Total Compensation to CEO Total Compensation fiscal year 2025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bl>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fiscal year 2025, the total compensation of our “median employee” (other than our CEOs) was $47,059.</w:t>
      </w:r>
    </w:p>
    <w:p>
      <w:pPr>
        <w:spacing w:after="0" w:line="131" w:lineRule="exact"/>
        <w:rPr>
          <w:sz w:val="20"/>
          <w:szCs w:val="20"/>
          <w:color w:val="auto"/>
        </w:rPr>
      </w:pPr>
    </w:p>
    <w:p>
      <w:pPr>
        <w:jc w:val="both"/>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The total annual compensation of our CEO, as reported in the Summary Compensation Table included elsewhere in this proxy was $79,857.</w:t>
      </w:r>
    </w:p>
    <w:p>
      <w:pPr>
        <w:spacing w:after="0" w:line="81" w:lineRule="exact"/>
        <w:rPr>
          <w:sz w:val="20"/>
          <w:szCs w:val="20"/>
          <w:color w:val="auto"/>
        </w:rPr>
      </w:pPr>
    </w:p>
    <w:p>
      <w:pPr>
        <w:jc w:val="both"/>
        <w:ind w:left="40" w:right="99" w:firstLine="259"/>
        <w:spacing w:after="0" w:line="242" w:lineRule="auto"/>
        <w:rPr>
          <w:sz w:val="20"/>
          <w:szCs w:val="20"/>
          <w:color w:val="auto"/>
        </w:rPr>
      </w:pPr>
      <w:r>
        <w:rPr>
          <w:rFonts w:ascii="Times New Roman" w:cs="Times New Roman" w:eastAsia="Times New Roman" w:hAnsi="Times New Roman"/>
          <w:sz w:val="18"/>
          <w:szCs w:val="18"/>
          <w:color w:val="auto"/>
        </w:rPr>
        <w:t>Based on this information, for fiscal year 2025 the ratio of the annual total compensation of our CEO to the annual total compensation of our median employee was 1.7 to 1. We took the following steps to identify the median employee, as well as to determine the annual total compensation of our median employee and the CEO:</w:t>
      </w:r>
    </w:p>
    <w:p>
      <w:pPr>
        <w:spacing w:after="0" w:line="211" w:lineRule="exact"/>
        <w:rPr>
          <w:sz w:val="20"/>
          <w:szCs w:val="20"/>
          <w:color w:val="auto"/>
        </w:rPr>
      </w:pPr>
    </w:p>
    <w:p>
      <w:pPr>
        <w:jc w:val="both"/>
        <w:ind w:left="580" w:right="119" w:hanging="185"/>
        <w:spacing w:after="0" w:line="250" w:lineRule="auto"/>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used October 31, 2025, as the date upon which we identified the “median employee” considering both our U.S. and Mexico employee population. This population consists of full-time, part-time and seasonal employees working for Calavo during fiscal year 2025.</w:t>
      </w:r>
    </w:p>
    <w:p>
      <w:pPr>
        <w:spacing w:after="0" w:line="41" w:lineRule="exact"/>
        <w:rPr>
          <w:rFonts w:ascii="Times New Roman" w:cs="Times New Roman" w:eastAsia="Times New Roman" w:hAnsi="Times New Roman"/>
          <w:sz w:val="18"/>
          <w:szCs w:val="18"/>
          <w:color w:val="auto"/>
        </w:rPr>
      </w:pPr>
    </w:p>
    <w:p>
      <w:pPr>
        <w:ind w:left="580" w:right="699" w:hanging="185"/>
        <w:spacing w:after="0" w:line="250" w:lineRule="auto"/>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85% of the employee population was located in Mexico and approximately 15% of the total employee population was located in the United States.</w:t>
      </w:r>
    </w:p>
    <w:p>
      <w:pPr>
        <w:spacing w:after="0" w:line="54" w:lineRule="exact"/>
        <w:rPr>
          <w:rFonts w:ascii="Times New Roman" w:cs="Times New Roman" w:eastAsia="Times New Roman" w:hAnsi="Times New Roman"/>
          <w:sz w:val="18"/>
          <w:szCs w:val="18"/>
          <w:color w:val="auto"/>
        </w:rPr>
      </w:pPr>
    </w:p>
    <w:p>
      <w:pPr>
        <w:ind w:left="580" w:right="119" w:hanging="185"/>
        <w:spacing w:after="0"/>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requirement of Item 402(c)(2)(x), we identified and calculated the employee’s compensation for 2025 resulting in a median total compensation rate of $47,059. Since the median employee is located in Mexico, we converted the employee’s pay from Mexican pesos to U.S. dollars using the average published interbank exchange rate of 18.507 pesos per U.S. dollar during fiscal year 2025.</w:t>
      </w:r>
    </w:p>
    <w:p>
      <w:pPr>
        <w:spacing w:after="0" w:line="49" w:lineRule="exact"/>
        <w:rPr>
          <w:rFonts w:ascii="Times New Roman" w:cs="Times New Roman" w:eastAsia="Times New Roman" w:hAnsi="Times New Roman"/>
          <w:sz w:val="18"/>
          <w:szCs w:val="18"/>
          <w:color w:val="auto"/>
        </w:rPr>
      </w:pPr>
    </w:p>
    <w:p>
      <w:pPr>
        <w:ind w:left="580" w:right="219" w:hanging="185"/>
        <w:spacing w:after="0" w:line="250" w:lineRule="auto"/>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annual total compensation of our CEO, we used the total combined amount reported in the “Total” column of our Summary Compensation Table included in this proxy statement.</w:t>
      </w:r>
    </w:p>
    <w:p>
      <w:pPr>
        <w:spacing w:after="0" w:line="82" w:lineRule="exact"/>
        <w:rPr>
          <w:sz w:val="20"/>
          <w:szCs w:val="20"/>
          <w:color w:val="auto"/>
        </w:rPr>
      </w:pPr>
    </w:p>
    <w:p>
      <w:pPr>
        <w:ind w:left="40" w:right="139" w:firstLine="259"/>
        <w:spacing w:after="0" w:line="239" w:lineRule="auto"/>
        <w:rPr>
          <w:sz w:val="20"/>
          <w:szCs w:val="20"/>
          <w:color w:val="auto"/>
        </w:rPr>
      </w:pPr>
      <w:r>
        <w:rPr>
          <w:rFonts w:ascii="Times New Roman" w:cs="Times New Roman" w:eastAsia="Times New Roman" w:hAnsi="Times New Roman"/>
          <w:sz w:val="18"/>
          <w:szCs w:val="18"/>
          <w:color w:val="auto"/>
        </w:rPr>
        <w:t>Our global workforce consists of approximately 1,969 employees, with 85% based in Mexico and 15% located in the United States. This distribution significantly influences the median employee compensation figure. The cost of living and prevailing wage levels in Mexico differ from those in the United States, resulting in lower compensation figures for a substantial portion of our workforce. Consequently, the calculated pay ratio reflects these regional economic differences and may appear disproportionate when viewed without this context.</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CORPORATE GOVERNANCE PRINCIPLES AND BOARD MATTERS—DIRECTOR COMPENSATION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35" w:lineRule="exact"/>
        <w:rPr>
          <w:sz w:val="20"/>
          <w:szCs w:val="20"/>
          <w:color w:val="auto"/>
        </w:rPr>
      </w:pPr>
    </w:p>
    <w:p>
      <w:pPr>
        <w:ind w:left="40" w:right="219" w:firstLine="259"/>
        <w:spacing w:after="0" w:line="239" w:lineRule="auto"/>
        <w:rPr>
          <w:sz w:val="20"/>
          <w:szCs w:val="20"/>
          <w:color w:val="auto"/>
        </w:rPr>
      </w:pPr>
      <w:r>
        <w:rPr>
          <w:rFonts w:ascii="Times New Roman" w:cs="Times New Roman" w:eastAsia="Times New Roman" w:hAnsi="Times New Roman"/>
          <w:sz w:val="18"/>
          <w:szCs w:val="18"/>
          <w:color w:val="auto"/>
        </w:rPr>
        <w:t>Our director compensation program is designed to attract and retain highly qualified non-employee directors while aligning their interests with the long-term success of our shareholders. The Compensation Committee annually reviews director compensation, including both equity and cash components, and recommends adjustments to the Board as needed. The Committee also consults its independent compensation advisor to benchmark director compensation against peer companies.</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Under the 2020 Plan:</w:t>
      </w:r>
    </w:p>
    <w:p>
      <w:pPr>
        <w:spacing w:after="0" w:line="104" w:lineRule="exact"/>
        <w:rPr>
          <w:sz w:val="20"/>
          <w:szCs w:val="20"/>
          <w:color w:val="auto"/>
        </w:rPr>
      </w:pPr>
    </w:p>
    <w:p>
      <w:pPr>
        <w:ind w:left="580" w:hanging="185"/>
        <w:spacing w:after="0"/>
        <w:tabs>
          <w:tab w:leader="none" w:pos="5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annual compensation for a non-employee director in any fiscal year may not exceed $450,000.</w:t>
      </w:r>
    </w:p>
    <w:p>
      <w:pPr>
        <w:spacing w:after="0" w:line="103" w:lineRule="exact"/>
        <w:rPr>
          <w:rFonts w:ascii="Times New Roman" w:cs="Times New Roman" w:eastAsia="Times New Roman" w:hAnsi="Times New Roman"/>
          <w:sz w:val="18"/>
          <w:szCs w:val="18"/>
          <w:color w:val="auto"/>
        </w:rPr>
      </w:pPr>
    </w:p>
    <w:p>
      <w:pPr>
        <w:ind w:left="580" w:hanging="185"/>
        <w:spacing w:after="0"/>
        <w:tabs>
          <w:tab w:leader="none" w:pos="5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fiscal year of a director’s initial service, this cap on total annual compensation increases to $650,000.</w:t>
      </w:r>
    </w:p>
    <w:p>
      <w:pPr>
        <w:spacing w:after="0" w:line="103" w:lineRule="exact"/>
        <w:rPr>
          <w:rFonts w:ascii="Times New Roman" w:cs="Times New Roman" w:eastAsia="Times New Roman" w:hAnsi="Times New Roman"/>
          <w:sz w:val="18"/>
          <w:szCs w:val="18"/>
          <w:color w:val="auto"/>
        </w:rPr>
      </w:pPr>
    </w:p>
    <w:p>
      <w:pPr>
        <w:ind w:left="580" w:hanging="185"/>
        <w:spacing w:after="0"/>
        <w:tabs>
          <w:tab w:leader="none" w:pos="5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and/or option awards granted to a non-employee director may not exceed 20,000 shares per fiscal year.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right="919" w:firstLine="259"/>
        <w:spacing w:after="0" w:line="266" w:lineRule="auto"/>
        <w:rPr>
          <w:sz w:val="20"/>
          <w:szCs w:val="20"/>
          <w:color w:val="auto"/>
        </w:rPr>
      </w:pPr>
      <w:r>
        <w:rPr>
          <w:rFonts w:ascii="Times New Roman" w:cs="Times New Roman" w:eastAsia="Times New Roman" w:hAnsi="Times New Roman"/>
          <w:sz w:val="18"/>
          <w:szCs w:val="18"/>
          <w:color w:val="auto"/>
        </w:rPr>
        <w:t>The Compensation Committee periodically assesses our director compensation program to ensure it remains competitive and aligned with shareholder interests.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Annual Retainers and Equity</w:t>
      </w:r>
    </w:p>
    <w:p>
      <w:pPr>
        <w:spacing w:after="0" w:line="148" w:lineRule="exact"/>
        <w:rPr>
          <w:sz w:val="20"/>
          <w:szCs w:val="20"/>
          <w:color w:val="auto"/>
        </w:rPr>
      </w:pPr>
    </w:p>
    <w:p>
      <w:pPr>
        <w:jc w:val="both"/>
        <w:ind w:left="40" w:right="319" w:firstLine="259"/>
        <w:spacing w:after="0" w:line="242" w:lineRule="auto"/>
        <w:rPr>
          <w:sz w:val="20"/>
          <w:szCs w:val="20"/>
          <w:color w:val="auto"/>
        </w:rPr>
      </w:pPr>
      <w:r>
        <w:rPr>
          <w:rFonts w:ascii="Times New Roman" w:cs="Times New Roman" w:eastAsia="Times New Roman" w:hAnsi="Times New Roman"/>
          <w:sz w:val="18"/>
          <w:szCs w:val="18"/>
          <w:color w:val="auto"/>
        </w:rPr>
        <w:t>During fiscal year 2025, non-employee directors received a base cash retainer, along with additional fees for specific Board roles, including chair and committee service. Directors were also reimbursed for reasonable expenses incurred in performing their duties.</w:t>
      </w:r>
    </w:p>
    <w:p>
      <w:pPr>
        <w:spacing w:after="0" w:line="103" w:lineRule="exact"/>
        <w:rPr>
          <w:sz w:val="20"/>
          <w:szCs w:val="20"/>
          <w:color w:val="auto"/>
        </w:rPr>
      </w:pPr>
    </w:p>
    <w:p>
      <w:pPr>
        <w:ind w:left="40" w:right="279" w:firstLine="259"/>
        <w:spacing w:after="0" w:line="250" w:lineRule="auto"/>
        <w:rPr>
          <w:sz w:val="20"/>
          <w:szCs w:val="20"/>
          <w:color w:val="auto"/>
        </w:rPr>
      </w:pPr>
      <w:r>
        <w:rPr>
          <w:rFonts w:ascii="Times New Roman" w:cs="Times New Roman" w:eastAsia="Times New Roman" w:hAnsi="Times New Roman"/>
          <w:sz w:val="18"/>
          <w:szCs w:val="18"/>
          <w:color w:val="auto"/>
        </w:rPr>
        <w:t>Each non-employee director received a $70,000 annual base retainer for service from November 1, 2024, through October 31, 2025. Retainers and committee fees were paid quarterly, with adjustments made on a pro-rata basis for mid-year role changes.</w:t>
      </w:r>
    </w:p>
    <w:p>
      <w:pPr>
        <w:spacing w:after="0" w:line="96" w:lineRule="exact"/>
        <w:rPr>
          <w:sz w:val="20"/>
          <w:szCs w:val="20"/>
          <w:color w:val="auto"/>
        </w:rPr>
      </w:pPr>
    </w:p>
    <w:p>
      <w:pPr>
        <w:ind w:left="40" w:right="159" w:firstLine="259"/>
        <w:spacing w:after="0" w:line="266" w:lineRule="auto"/>
        <w:rPr>
          <w:sz w:val="20"/>
          <w:szCs w:val="20"/>
          <w:color w:val="auto"/>
        </w:rPr>
      </w:pPr>
      <w:r>
        <w:rPr>
          <w:rFonts w:ascii="Times New Roman" w:cs="Times New Roman" w:eastAsia="Times New Roman" w:hAnsi="Times New Roman"/>
          <w:sz w:val="18"/>
          <w:szCs w:val="18"/>
          <w:color w:val="auto"/>
        </w:rPr>
        <w:t>Directors may also receive additional compensation for special projects or special committee service, as determined by the Board. Fees for special committee service may vary according to the scope of work and time commitment required.</w:t>
      </w:r>
    </w:p>
    <w:p>
      <w:pPr>
        <w:spacing w:after="0" w:line="81" w:lineRule="exact"/>
        <w:rPr>
          <w:sz w:val="20"/>
          <w:szCs w:val="20"/>
          <w:color w:val="auto"/>
        </w:rPr>
      </w:pPr>
    </w:p>
    <w:p>
      <w:pPr>
        <w:ind w:left="40" w:right="159" w:firstLine="259"/>
        <w:spacing w:after="0" w:line="250" w:lineRule="auto"/>
        <w:rPr>
          <w:sz w:val="20"/>
          <w:szCs w:val="20"/>
          <w:color w:val="auto"/>
        </w:rPr>
      </w:pPr>
      <w:r>
        <w:rPr>
          <w:rFonts w:ascii="Times New Roman" w:cs="Times New Roman" w:eastAsia="Times New Roman" w:hAnsi="Times New Roman"/>
          <w:sz w:val="18"/>
          <w:szCs w:val="18"/>
          <w:color w:val="auto"/>
        </w:rPr>
        <w:t>Compensation is pro-rated for directors serving less than a full fiscal year. The following table outlines the fiscal 2025 compensation structure for non-employee directors:</w:t>
      </w:r>
    </w:p>
    <w:p>
      <w:pPr>
        <w:spacing w:after="0" w:line="222"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Retainer for Board Members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Additional Annual Retainers</w:t>
            </w: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Chairman</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Nominating, Governance and Sustainability Committee Chair</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Members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Members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Governance and Sustainability Committee Members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Committee Members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Target Annual Equity Compensation Award Grant Date Value</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r>
    </w:tbl>
    <w:p>
      <w:pPr>
        <w:spacing w:after="0" w:line="184" w:lineRule="exact"/>
        <w:rPr>
          <w:sz w:val="20"/>
          <w:szCs w:val="20"/>
          <w:color w:val="auto"/>
        </w:rPr>
      </w:pPr>
    </w:p>
    <w:p>
      <w:pPr>
        <w:ind w:left="40" w:right="79" w:firstLine="259"/>
        <w:spacing w:after="0"/>
        <w:rPr>
          <w:sz w:val="20"/>
          <w:szCs w:val="20"/>
          <w:color w:val="auto"/>
        </w:rPr>
      </w:pPr>
      <w:r>
        <w:rPr>
          <w:rFonts w:ascii="Times New Roman" w:cs="Times New Roman" w:eastAsia="Times New Roman" w:hAnsi="Times New Roman"/>
          <w:sz w:val="18"/>
          <w:szCs w:val="18"/>
          <w:color w:val="auto"/>
        </w:rPr>
        <w:t>In fiscal year 2025, on November 1, 2024, all nine non-employee directors were each granted 2,220 RSUs (for a total of 19,980 RSUs) under the 2020 Plan at an approximate total grant date value per award of $60,000. The closing share price of our common stock on such grant date was $27.03. As of November 1, 2025, all of these RSUs had vested, and shares were issued to all non-employee directors in exchange for such vested RSUs.</w:t>
      </w:r>
    </w:p>
    <w:p>
      <w:pPr>
        <w:spacing w:after="0" w:line="131" w:lineRule="exact"/>
        <w:rPr>
          <w:sz w:val="20"/>
          <w:szCs w:val="20"/>
          <w:color w:val="auto"/>
        </w:rPr>
      </w:pPr>
    </w:p>
    <w:p>
      <w:pPr>
        <w:ind w:left="40" w:right="99" w:firstLine="259"/>
        <w:spacing w:after="0" w:line="233" w:lineRule="auto"/>
        <w:rPr>
          <w:sz w:val="20"/>
          <w:szCs w:val="20"/>
          <w:color w:val="auto"/>
        </w:rPr>
      </w:pPr>
      <w:r>
        <w:rPr>
          <w:rFonts w:ascii="Times New Roman" w:cs="Times New Roman" w:eastAsia="Times New Roman" w:hAnsi="Times New Roman"/>
          <w:sz w:val="18"/>
          <w:szCs w:val="18"/>
          <w:color w:val="auto"/>
        </w:rPr>
        <w:t>In fiscal year 2026, on April 23, 2025, all eight non-employee directors were each granted 4,259 RSUs (for a total of 34,072 RSUs) under the 2020 Plan at an approximate total grant date value per award of $120,000. The closing share price of our common stock on such grant date was $28.18. Subject to the terms of the 2020 Plan and the terms of the Merger Agreement, these RSUs will vest on the one-year anniversary of the grant date, subject to continued service of the director through such vesting date, and shares will be issued upon vesting. The Company’s non-employee director compensation program provides for an annual equity grant with an approximate grant date value of $120,000 for each non-employee director, with the timing and vesting of such awards determined by the Board or the Compensation Committee in accordance with the terms of the applicable equity plan.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right="139" w:firstLine="259"/>
        <w:spacing w:after="0"/>
        <w:rPr>
          <w:sz w:val="20"/>
          <w:szCs w:val="20"/>
          <w:color w:val="auto"/>
        </w:rPr>
      </w:pPr>
      <w:r>
        <w:rPr>
          <w:rFonts w:ascii="Times New Roman" w:cs="Times New Roman" w:eastAsia="Times New Roman" w:hAnsi="Times New Roman"/>
          <w:sz w:val="18"/>
          <w:szCs w:val="18"/>
          <w:color w:val="auto"/>
        </w:rPr>
        <w:t>In addition, subject to the terms of the Merger Agreement, certain of the directors have elected to defer the receipt of the shares underlying the RSUs following the vesting of such RSUs the calendar year following the year in which such director’s service as a director terminates. As of October 31, 2025, directors had elected to defer the receipt of such shares underlying their RSUs as follows:</w:t>
      </w:r>
    </w:p>
    <w:p>
      <w:pPr>
        <w:spacing w:after="0" w:line="205" w:lineRule="exact"/>
        <w:rPr>
          <w:sz w:val="20"/>
          <w:szCs w:val="20"/>
          <w:color w:val="auto"/>
        </w:rPr>
      </w:pPr>
    </w:p>
    <w:tbl>
      <w:tblPr>
        <w:tblLayout w:type="fixed"/>
        <w:tblInd w:w="1980" w:type="dxa"/>
        <w:tblCellMar>
          <w:top w:w="0" w:type="dxa"/>
          <w:left w:w="0" w:type="dxa"/>
          <w:bottom w:w="0" w:type="dxa"/>
          <w:right w:w="0" w:type="dxa"/>
        </w:tblCellMar>
      </w:tblPr>
      <w:tr>
        <w:trPr>
          <w:trHeight w:val="173"/>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​​​Deferred RSUs (#)</w:t>
            </w:r>
          </w:p>
        </w:tc>
      </w:tr>
      <w:tr>
        <w:trPr>
          <w:trHeight w:val="209"/>
        </w:trPr>
        <w:tc>
          <w:tcPr>
            <w:tcW w:w="3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Adriana Mendizabal</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James Helin</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4,929</w:t>
            </w:r>
          </w:p>
        </w:tc>
      </w:tr>
      <w:tr>
        <w:trPr>
          <w:trHeight w:val="216"/>
        </w:trPr>
        <w:tc>
          <w:tcPr>
            <w:tcW w:w="37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Farha Aslam</w:t>
            </w:r>
            <w:r>
              <w:rPr>
                <w:rFonts w:ascii="Times New Roman" w:cs="Times New Roman" w:eastAsia="Times New Roman" w:hAnsi="Times New Roman"/>
                <w:sz w:val="25"/>
                <w:szCs w:val="25"/>
                <w:color w:val="auto"/>
                <w:vertAlign w:val="superscript"/>
              </w:rPr>
              <w:t>(1)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w:t>
            </w: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B. John Lindeman</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185420</wp:posOffset>
            </wp:positionV>
            <wp:extent cx="14141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Includes 4,259 shares subject to RSUs that remained unvested as of October 31, 2025.</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Stock Ownership Guidelines for Non-Employee Directors</w:t>
      </w:r>
    </w:p>
    <w:p>
      <w:pPr>
        <w:spacing w:after="0" w:line="148" w:lineRule="exact"/>
        <w:rPr>
          <w:sz w:val="20"/>
          <w:szCs w:val="20"/>
          <w:color w:val="auto"/>
        </w:rPr>
      </w:pPr>
    </w:p>
    <w:p>
      <w:pPr>
        <w:ind w:left="40" w:right="359" w:firstLine="259"/>
        <w:spacing w:after="0" w:line="236" w:lineRule="auto"/>
        <w:rPr>
          <w:sz w:val="20"/>
          <w:szCs w:val="20"/>
          <w:color w:val="auto"/>
        </w:rPr>
      </w:pPr>
      <w:r>
        <w:rPr>
          <w:rFonts w:ascii="Times New Roman" w:cs="Times New Roman" w:eastAsia="Times New Roman" w:hAnsi="Times New Roman"/>
          <w:sz w:val="18"/>
          <w:szCs w:val="18"/>
          <w:color w:val="auto"/>
        </w:rPr>
        <w:t>Our non-employee directors are subject to stock ownership guidelines as more fully described below in the section titled “Stock Ownership Guidelines”. Under these guidelines, non-employee directors are required to own equity in the Company with a cumulative value of at least $320,000 by their fifth year of election or appointment, which is approximately equal to 460% of their current annual base retainer.</w:t>
      </w:r>
    </w:p>
    <w:p>
      <w:pPr>
        <w:spacing w:after="0" w:line="117" w:lineRule="exact"/>
        <w:rPr>
          <w:sz w:val="20"/>
          <w:szCs w:val="20"/>
          <w:color w:val="auto"/>
        </w:rPr>
      </w:pPr>
    </w:p>
    <w:p>
      <w:pPr>
        <w:ind w:left="40" w:right="79" w:firstLine="259"/>
        <w:spacing w:after="0" w:line="250" w:lineRule="auto"/>
        <w:rPr>
          <w:sz w:val="20"/>
          <w:szCs w:val="20"/>
          <w:color w:val="auto"/>
        </w:rPr>
      </w:pPr>
      <w:r>
        <w:rPr>
          <w:rFonts w:ascii="Times New Roman" w:cs="Times New Roman" w:eastAsia="Times New Roman" w:hAnsi="Times New Roman"/>
          <w:sz w:val="18"/>
          <w:szCs w:val="18"/>
          <w:color w:val="auto"/>
        </w:rPr>
        <w:t>Compliance with these guidelines is reviewed annually by the Board. All current non-employee directors have satisfied or are within the applicable compliance period under these guidelines.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Director Compensation Table</w:t>
      </w:r>
    </w:p>
    <w:p>
      <w:pPr>
        <w:spacing w:after="0" w:line="133" w:lineRule="exact"/>
        <w:rPr>
          <w:sz w:val="20"/>
          <w:szCs w:val="20"/>
          <w:color w:val="auto"/>
        </w:rPr>
      </w:pPr>
    </w:p>
    <w:p>
      <w:pPr>
        <w:ind w:left="40" w:right="59" w:firstLine="259"/>
        <w:spacing w:after="0" w:line="239" w:lineRule="auto"/>
        <w:rPr>
          <w:sz w:val="20"/>
          <w:szCs w:val="20"/>
          <w:color w:val="auto"/>
        </w:rPr>
      </w:pPr>
      <w:r>
        <w:rPr>
          <w:rFonts w:ascii="Times New Roman" w:cs="Times New Roman" w:eastAsia="Times New Roman" w:hAnsi="Times New Roman"/>
          <w:sz w:val="18"/>
          <w:szCs w:val="18"/>
          <w:color w:val="auto"/>
        </w:rPr>
        <w:t>The following table summarizes compensation that our directors earned (in their capacity as non-employee directors) during fiscal year 2025 for services as members of our Board. All stock and option awards granted in fiscal year 2025 were issued under the 2020 Plan. During fiscal year 2025, certain directors received additional compensation for service on special committees formed in connection with strategic or transactional matters. Such fees are reflected in the Director Compensation Table below:</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5"/>
        </w:trPr>
        <w:tc>
          <w:tcPr>
            <w:tcW w:w="36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Paid in Cash ($)</w:t>
            </w:r>
          </w:p>
        </w:tc>
        <w:tc>
          <w:tcPr>
            <w:tcW w:w="200" w:type="dxa"/>
            <w:vAlign w:val="bottom"/>
          </w:tcPr>
          <w:p>
            <w:pPr>
              <w:spacing w:after="0"/>
              <w:rPr>
                <w:sz w:val="15"/>
                <w:szCs w:val="15"/>
                <w:color w:val="auto"/>
              </w:rPr>
            </w:pPr>
          </w:p>
        </w:tc>
        <w:tc>
          <w:tcPr>
            <w:tcW w:w="1060" w:type="dxa"/>
            <w:vAlign w:val="bottom"/>
            <w:gridSpan w:val="2"/>
          </w:tcPr>
          <w:p>
            <w:pPr>
              <w:jc w:val="right"/>
              <w:ind w:right="12"/>
              <w:spacing w:after="0" w:line="176" w:lineRule="exact"/>
              <w:rPr>
                <w:sz w:val="20"/>
                <w:szCs w:val="20"/>
                <w:color w:val="auto"/>
              </w:rPr>
            </w:pPr>
            <w:r>
              <w:rPr>
                <w:rFonts w:ascii="Times New Roman" w:cs="Times New Roman" w:eastAsia="Times New Roman" w:hAnsi="Times New Roman"/>
                <w:sz w:val="14"/>
                <w:szCs w:val="14"/>
                <w:b w:val="1"/>
                <w:bCs w:val="1"/>
                <w:color w:val="auto"/>
                <w:w w:val="96"/>
              </w:rPr>
              <w:t>Awards ($)</w:t>
            </w:r>
            <w:r>
              <w:rPr>
                <w:rFonts w:ascii="Times New Roman" w:cs="Times New Roman" w:eastAsia="Times New Roman" w:hAnsi="Times New Roman"/>
                <w:sz w:val="20"/>
                <w:szCs w:val="20"/>
                <w:b w:val="1"/>
                <w:bCs w:val="1"/>
                <w:color w:val="auto"/>
                <w:w w:val="96"/>
                <w:vertAlign w:val="superscript"/>
              </w:rPr>
              <w:t>(1)(2)</w:t>
            </w:r>
          </w:p>
        </w:tc>
        <w:tc>
          <w:tcPr>
            <w:tcW w:w="200" w:type="dxa"/>
            <w:vAlign w:val="bottom"/>
          </w:tcPr>
          <w:p>
            <w:pPr>
              <w:spacing w:after="0"/>
              <w:rPr>
                <w:sz w:val="15"/>
                <w:szCs w:val="15"/>
                <w:color w:val="auto"/>
              </w:rPr>
            </w:pPr>
          </w:p>
        </w:tc>
        <w:tc>
          <w:tcPr>
            <w:tcW w:w="132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4"/>
                <w:szCs w:val="14"/>
                <w:b w:val="1"/>
                <w:bCs w:val="1"/>
                <w:color w:val="auto"/>
              </w:rPr>
              <w:t>Awards ($)</w:t>
            </w:r>
            <w:r>
              <w:rPr>
                <w:rFonts w:ascii="Times New Roman" w:cs="Times New Roman" w:eastAsia="Times New Roman" w:hAnsi="Times New Roman"/>
                <w:sz w:val="20"/>
                <w:szCs w:val="20"/>
                <w:b w:val="1"/>
                <w:bCs w:val="1"/>
                <w:color w:val="auto"/>
                <w:vertAlign w:val="superscript"/>
              </w:rPr>
              <w:t>(1)(2)</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32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Marc L. Brown</w:t>
            </w:r>
            <w:r>
              <w:rPr>
                <w:rFonts w:ascii="Times New Roman" w:cs="Times New Roman" w:eastAsia="Times New Roman" w:hAnsi="Times New Roman"/>
                <w:sz w:val="24"/>
                <w:szCs w:val="24"/>
                <w:color w:val="auto"/>
                <w:vertAlign w:val="superscript"/>
              </w:rPr>
              <w:t>(3)</w:t>
            </w:r>
          </w:p>
        </w:tc>
        <w:tc>
          <w:tcPr>
            <w:tcW w:w="2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87,600</w:t>
            </w:r>
          </w:p>
        </w:tc>
        <w:tc>
          <w:tcPr>
            <w:tcW w:w="2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180,025</w:t>
            </w:r>
          </w:p>
        </w:tc>
        <w:tc>
          <w:tcPr>
            <w:tcW w:w="2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$ 267,625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3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Adriana Mendizabal</w:t>
            </w:r>
            <w:r>
              <w:rPr>
                <w:rFonts w:ascii="Times New Roman" w:cs="Times New Roman" w:eastAsia="Times New Roman" w:hAnsi="Times New Roman"/>
                <w:sz w:val="25"/>
                <w:szCs w:val="25"/>
                <w:color w:val="auto"/>
                <w:vertAlign w:val="superscript"/>
              </w:rPr>
              <w:t>(4)(5)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180,025</w:t>
            </w:r>
          </w:p>
        </w:tc>
        <w:tc>
          <w:tcPr>
            <w:tcW w:w="200" w:type="dxa"/>
            <w:vAlign w:val="bottom"/>
          </w:tcPr>
          <w:p>
            <w:pPr>
              <w:spacing w:after="0"/>
              <w:rPr>
                <w:sz w:val="18"/>
                <w:szCs w:val="18"/>
                <w:color w:val="auto"/>
              </w:rPr>
            </w:pPr>
          </w:p>
        </w:tc>
        <w:tc>
          <w:tcPr>
            <w:tcW w:w="13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270,525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3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Michael A. DiGregorio</w:t>
            </w:r>
            <w:r>
              <w:rPr>
                <w:rFonts w:ascii="Times New Roman" w:cs="Times New Roman" w:eastAsia="Times New Roman" w:hAnsi="Times New Roman"/>
                <w:sz w:val="25"/>
                <w:szCs w:val="25"/>
                <w:color w:val="auto"/>
                <w:vertAlign w:val="superscript"/>
              </w:rPr>
              <w:t>(6)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180,025</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279,525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3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James Helin</w:t>
            </w:r>
            <w:r>
              <w:rPr>
                <w:rFonts w:ascii="Times New Roman" w:cs="Times New Roman" w:eastAsia="Times New Roman" w:hAnsi="Times New Roman"/>
                <w:sz w:val="25"/>
                <w:szCs w:val="25"/>
                <w:color w:val="auto"/>
                <w:vertAlign w:val="superscript"/>
              </w:rPr>
              <w:t>(7)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60,007</w:t>
            </w:r>
          </w:p>
        </w:tc>
        <w:tc>
          <w:tcPr>
            <w:tcW w:w="200" w:type="dxa"/>
            <w:vAlign w:val="bottom"/>
          </w:tcPr>
          <w:p>
            <w:pPr>
              <w:spacing w:after="0"/>
              <w:rPr>
                <w:sz w:val="18"/>
                <w:szCs w:val="18"/>
                <w:color w:val="auto"/>
              </w:rPr>
            </w:pPr>
          </w:p>
        </w:tc>
        <w:tc>
          <w:tcPr>
            <w:tcW w:w="13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104,507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3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Steven Hollister</w:t>
            </w:r>
            <w:r>
              <w:rPr>
                <w:rFonts w:ascii="Times New Roman" w:cs="Times New Roman" w:eastAsia="Times New Roman" w:hAnsi="Times New Roman"/>
                <w:sz w:val="25"/>
                <w:szCs w:val="25"/>
                <w:color w:val="auto"/>
                <w:vertAlign w:val="superscript"/>
              </w:rPr>
              <w:t>(8)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180,025</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271,875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3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Kathleen M. Holmgren</w:t>
            </w:r>
            <w:r>
              <w:rPr>
                <w:rFonts w:ascii="Times New Roman" w:cs="Times New Roman" w:eastAsia="Times New Roman" w:hAnsi="Times New Roman"/>
                <w:sz w:val="25"/>
                <w:szCs w:val="25"/>
                <w:color w:val="auto"/>
                <w:vertAlign w:val="superscript"/>
              </w:rPr>
              <w:t>(5)(9)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180,025</w:t>
            </w:r>
          </w:p>
        </w:tc>
        <w:tc>
          <w:tcPr>
            <w:tcW w:w="200" w:type="dxa"/>
            <w:vAlign w:val="bottom"/>
          </w:tcPr>
          <w:p>
            <w:pPr>
              <w:spacing w:after="0"/>
              <w:rPr>
                <w:sz w:val="18"/>
                <w:szCs w:val="18"/>
                <w:color w:val="auto"/>
              </w:rPr>
            </w:pPr>
          </w:p>
        </w:tc>
        <w:tc>
          <w:tcPr>
            <w:tcW w:w="13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271,025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3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 Link Leavens</w:t>
            </w:r>
            <w:r>
              <w:rPr>
                <w:rFonts w:ascii="Times New Roman" w:cs="Times New Roman" w:eastAsia="Times New Roman" w:hAnsi="Times New Roman"/>
                <w:sz w:val="25"/>
                <w:szCs w:val="25"/>
                <w:color w:val="auto"/>
                <w:vertAlign w:val="superscript"/>
              </w:rPr>
              <w:t>(10)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180,025</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254,025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3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Farha Aslam</w:t>
            </w:r>
            <w:r>
              <w:rPr>
                <w:rFonts w:ascii="Times New Roman" w:cs="Times New Roman" w:eastAsia="Times New Roman" w:hAnsi="Times New Roman"/>
                <w:sz w:val="25"/>
                <w:szCs w:val="25"/>
                <w:color w:val="auto"/>
                <w:vertAlign w:val="superscript"/>
              </w:rPr>
              <w:t>(5)(11)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180,025</w:t>
            </w:r>
          </w:p>
        </w:tc>
        <w:tc>
          <w:tcPr>
            <w:tcW w:w="200" w:type="dxa"/>
            <w:vAlign w:val="bottom"/>
          </w:tcPr>
          <w:p>
            <w:pPr>
              <w:spacing w:after="0"/>
              <w:rPr>
                <w:sz w:val="18"/>
                <w:szCs w:val="18"/>
                <w:color w:val="auto"/>
              </w:rPr>
            </w:pPr>
          </w:p>
        </w:tc>
        <w:tc>
          <w:tcPr>
            <w:tcW w:w="13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285,775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3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 John Lindeman</w:t>
            </w:r>
            <w:r>
              <w:rPr>
                <w:rFonts w:ascii="Times New Roman" w:cs="Times New Roman" w:eastAsia="Times New Roman" w:hAnsi="Times New Roman"/>
                <w:sz w:val="25"/>
                <w:szCs w:val="25"/>
                <w:color w:val="auto"/>
                <w:vertAlign w:val="superscript"/>
              </w:rPr>
              <w:t>(5)(12)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180,025</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259,025</w:t>
            </w:r>
          </w:p>
        </w:tc>
        <w:tc>
          <w:tcPr>
            <w:tcW w:w="0" w:type="dxa"/>
            <w:vAlign w:val="bottom"/>
          </w:tcPr>
          <w:p>
            <w:pPr>
              <w:spacing w:after="0"/>
              <w:rPr>
                <w:sz w:val="1"/>
                <w:szCs w:val="1"/>
                <w:color w:val="auto"/>
              </w:rPr>
            </w:pPr>
          </w:p>
        </w:tc>
      </w:tr>
      <w:tr>
        <w:trPr>
          <w:trHeight w:val="95"/>
        </w:trPr>
        <w:tc>
          <w:tcPr>
            <w:tcW w:w="30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00" w:right="79" w:hanging="356"/>
        <w:spacing w:after="0" w:line="235" w:lineRule="auto"/>
        <w:tabs>
          <w:tab w:leader="none" w:pos="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grant date values for the above stock awards were computed in accordance with FASB ASC Topic 718. These amounts reflect our financial accounting expense for these awards in accordance with FASB ASC Topic 718 and will not necessarily reflect the actual value that may be realized by the grantees with respect to these awards. This value of a stock award is determined based on the number of shares granted multiplied by the closing share price of our common stock on the date of grant. Further discussion and assumptions utilized with respect to these valuations are set forth in Note 12 (Stock-Based Compensation) to our consolidated financial statements contained in the Original Form 10-K filed on January 14, 2026, for the fiscal year ended October 31, 2025.</w:t>
      </w:r>
    </w:p>
    <w:p>
      <w:pPr>
        <w:spacing w:after="0" w:line="39" w:lineRule="exact"/>
        <w:rPr>
          <w:rFonts w:ascii="Times New Roman" w:cs="Times New Roman" w:eastAsia="Times New Roman" w:hAnsi="Times New Roman"/>
          <w:sz w:val="18"/>
          <w:szCs w:val="18"/>
          <w:color w:val="auto"/>
        </w:rPr>
      </w:pPr>
    </w:p>
    <w:p>
      <w:pPr>
        <w:ind w:left="400" w:right="139" w:hanging="356"/>
        <w:spacing w:after="0"/>
        <w:tabs>
          <w:tab w:leader="none" w:pos="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grant date fair value of RSUs granted to non-employee directors during fiscal year 2025, computed in accordance with FASB ASC Topic 718, was $1,500,208. Of this amount, 19,980 RSUs were granted on November 1, 2024 and vested in full on April 22, 2025, when the closing share price of our common stock was $27.03 per share. The number of shares awarded to each grantee was 2,220. An additional 34,072 RSUs were granted 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 w:right="219"/>
        <w:spacing w:after="0" w:line="266" w:lineRule="auto"/>
        <w:rPr>
          <w:sz w:val="20"/>
          <w:szCs w:val="20"/>
          <w:color w:val="auto"/>
        </w:rPr>
      </w:pPr>
      <w:r>
        <w:rPr>
          <w:rFonts w:ascii="Times New Roman" w:cs="Times New Roman" w:eastAsia="Times New Roman" w:hAnsi="Times New Roman"/>
          <w:sz w:val="18"/>
          <w:szCs w:val="18"/>
          <w:color w:val="auto"/>
        </w:rPr>
        <w:t>April 23, 2025 and vest in full on April 8, 2026, when the closing share price of our common stock was $28.18. The number of shares awarded to each grantee was 4,259.</w:t>
      </w:r>
    </w:p>
    <w:p>
      <w:pPr>
        <w:spacing w:after="0" w:line="14" w:lineRule="exact"/>
        <w:rPr>
          <w:sz w:val="20"/>
          <w:szCs w:val="20"/>
          <w:color w:val="auto"/>
        </w:rPr>
      </w:pPr>
    </w:p>
    <w:p>
      <w:pPr>
        <w:ind w:left="400" w:right="79" w:hanging="356"/>
        <w:spacing w:after="0" w:line="250" w:lineRule="auto"/>
        <w:tabs>
          <w:tab w:leader="none" w:pos="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annual retainer for board members and additional annual retainers for Mr. Brown’s service on the Audit Committee and the Nominating, Governance and Sustainability Committee during fiscal year 2025.</w:t>
      </w:r>
    </w:p>
    <w:p>
      <w:pPr>
        <w:spacing w:after="0" w:line="41" w:lineRule="exact"/>
        <w:rPr>
          <w:rFonts w:ascii="Times New Roman" w:cs="Times New Roman" w:eastAsia="Times New Roman" w:hAnsi="Times New Roman"/>
          <w:sz w:val="18"/>
          <w:szCs w:val="18"/>
          <w:color w:val="auto"/>
        </w:rPr>
      </w:pPr>
    </w:p>
    <w:p>
      <w:pPr>
        <w:ind w:left="400" w:right="139" w:hanging="356"/>
        <w:spacing w:after="0" w:line="242" w:lineRule="auto"/>
        <w:tabs>
          <w:tab w:leader="none" w:pos="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annual retainer for board members and additional annual retainers for Ms. Mendizabal’s service on the Audit Committee, the Executive Committee and the Nominating, Governance and Sustainability Committee (Chair) during fiscal year 2025.</w:t>
      </w:r>
    </w:p>
    <w:p>
      <w:pPr>
        <w:spacing w:after="0" w:line="35" w:lineRule="exact"/>
        <w:rPr>
          <w:rFonts w:ascii="Times New Roman" w:cs="Times New Roman" w:eastAsia="Times New Roman" w:hAnsi="Times New Roman"/>
          <w:sz w:val="18"/>
          <w:szCs w:val="18"/>
          <w:color w:val="auto"/>
        </w:rPr>
      </w:pPr>
    </w:p>
    <w:p>
      <w:pPr>
        <w:ind w:left="400" w:right="239" w:hanging="356"/>
        <w:spacing w:after="0" w:line="242" w:lineRule="auto"/>
        <w:tabs>
          <w:tab w:leader="none" w:pos="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last day of fiscal year 2025, Ms. Mendizabal, Ms. Holmgren, Ms. Aslam and Mr. Lindeman held stock options (including vested and unvested options, and excluding expired options) to acquire 10,000, 4,000, 10,000 and 10,000 shares of our common stock, respectively. No other non-employee director held any stock options.</w:t>
      </w:r>
    </w:p>
    <w:p>
      <w:pPr>
        <w:spacing w:after="0" w:line="35" w:lineRule="exact"/>
        <w:rPr>
          <w:rFonts w:ascii="Times New Roman" w:cs="Times New Roman" w:eastAsia="Times New Roman" w:hAnsi="Times New Roman"/>
          <w:sz w:val="18"/>
          <w:szCs w:val="18"/>
          <w:color w:val="auto"/>
        </w:rPr>
      </w:pPr>
    </w:p>
    <w:p>
      <w:pPr>
        <w:ind w:left="400" w:right="179" w:hanging="356"/>
        <w:spacing w:after="0" w:line="250" w:lineRule="auto"/>
        <w:tabs>
          <w:tab w:leader="none" w:pos="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annual retainer for board members and additional annual retainers for Mr. DiGregorio’s service on the Audit Committee (Chair) and the Executive Committee during fiscal year 2025.</w:t>
      </w:r>
    </w:p>
    <w:p>
      <w:pPr>
        <w:spacing w:after="0" w:line="41" w:lineRule="exact"/>
        <w:rPr>
          <w:rFonts w:ascii="Times New Roman" w:cs="Times New Roman" w:eastAsia="Times New Roman" w:hAnsi="Times New Roman"/>
          <w:sz w:val="18"/>
          <w:szCs w:val="18"/>
          <w:color w:val="auto"/>
        </w:rPr>
      </w:pPr>
    </w:p>
    <w:p>
      <w:pPr>
        <w:ind w:left="400" w:right="379" w:hanging="356"/>
        <w:spacing w:after="0" w:line="242" w:lineRule="auto"/>
        <w:tabs>
          <w:tab w:leader="none" w:pos="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annual retainer for board members and additional annual retainers for Mr. Helin’s service on the Compensation Committee and the Nominating, Governance and Sustainability Committee during fiscal year 2025, prior to his retirement at the 2025 Annual Meeting of Shareholders.</w:t>
      </w:r>
    </w:p>
    <w:p>
      <w:pPr>
        <w:spacing w:after="0" w:line="35" w:lineRule="exact"/>
        <w:rPr>
          <w:rFonts w:ascii="Times New Roman" w:cs="Times New Roman" w:eastAsia="Times New Roman" w:hAnsi="Times New Roman"/>
          <w:sz w:val="18"/>
          <w:szCs w:val="18"/>
          <w:color w:val="auto"/>
        </w:rPr>
      </w:pPr>
    </w:p>
    <w:p>
      <w:pPr>
        <w:ind w:left="400" w:right="339" w:hanging="356"/>
        <w:spacing w:after="0" w:line="242" w:lineRule="auto"/>
        <w:tabs>
          <w:tab w:leader="none" w:pos="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annual retainer for board members and additional annual retainers for Mr. Hollister’s service as chairperson of the Board, as well as his service on the Compensation Committee (Chair), the Executive Committee and the Nominating, Governance and Sustainability Committee during fiscal year 2025.</w:t>
      </w:r>
    </w:p>
    <w:p>
      <w:pPr>
        <w:spacing w:after="0" w:line="35" w:lineRule="exact"/>
        <w:rPr>
          <w:rFonts w:ascii="Times New Roman" w:cs="Times New Roman" w:eastAsia="Times New Roman" w:hAnsi="Times New Roman"/>
          <w:sz w:val="18"/>
          <w:szCs w:val="18"/>
          <w:color w:val="auto"/>
        </w:rPr>
      </w:pPr>
    </w:p>
    <w:p>
      <w:pPr>
        <w:ind w:left="400" w:right="119" w:hanging="356"/>
        <w:spacing w:after="0" w:line="242" w:lineRule="auto"/>
        <w:tabs>
          <w:tab w:leader="none" w:pos="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annual retainer for board members and additional annual retainers for Ms. Holmgren’s service as chairperson of the Board, as well as her service on the Compensation Committee and the Executive Committee during fiscal year 2025.</w:t>
      </w:r>
    </w:p>
    <w:p>
      <w:pPr>
        <w:spacing w:after="0" w:line="35" w:lineRule="exact"/>
        <w:rPr>
          <w:rFonts w:ascii="Times New Roman" w:cs="Times New Roman" w:eastAsia="Times New Roman" w:hAnsi="Times New Roman"/>
          <w:sz w:val="18"/>
          <w:szCs w:val="18"/>
          <w:color w:val="auto"/>
        </w:rPr>
      </w:pPr>
    </w:p>
    <w:p>
      <w:pPr>
        <w:ind w:left="400" w:right="519" w:hanging="356"/>
        <w:spacing w:after="0" w:line="250" w:lineRule="auto"/>
        <w:tabs>
          <w:tab w:leader="none" w:pos="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annual retainer for board members during fiscal year 2025 and additional annual retainers for Mr. Leavens’ service on the Executive Committee.</w:t>
      </w:r>
    </w:p>
    <w:p>
      <w:pPr>
        <w:spacing w:after="0" w:line="41" w:lineRule="exact"/>
        <w:rPr>
          <w:rFonts w:ascii="Times New Roman" w:cs="Times New Roman" w:eastAsia="Times New Roman" w:hAnsi="Times New Roman"/>
          <w:sz w:val="18"/>
          <w:szCs w:val="18"/>
          <w:color w:val="auto"/>
        </w:rPr>
      </w:pPr>
    </w:p>
    <w:p>
      <w:pPr>
        <w:ind w:left="400" w:right="279" w:hanging="356"/>
        <w:spacing w:after="0" w:line="242" w:lineRule="auto"/>
        <w:tabs>
          <w:tab w:leader="none" w:pos="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annual retainer for board members and additional annual retainers for Ms. Aslam’s service as chairperson of the Board, as well as her service on the Audit Committee (Chair), the Compensation Committee, and the Nominating, Governance and Sustainability Committee during fiscal year 2025.</w:t>
      </w:r>
    </w:p>
    <w:p>
      <w:pPr>
        <w:spacing w:after="0" w:line="35" w:lineRule="exact"/>
        <w:rPr>
          <w:rFonts w:ascii="Times New Roman" w:cs="Times New Roman" w:eastAsia="Times New Roman" w:hAnsi="Times New Roman"/>
          <w:sz w:val="18"/>
          <w:szCs w:val="18"/>
          <w:color w:val="auto"/>
        </w:rPr>
      </w:pPr>
    </w:p>
    <w:p>
      <w:pPr>
        <w:ind w:left="400" w:right="79" w:hanging="356"/>
        <w:spacing w:after="0" w:line="242" w:lineRule="auto"/>
        <w:tabs>
          <w:tab w:leader="none" w:pos="43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annual retainer for board members and additional annual retainers for Mr. Lindeman’s service on the Audit Committee and the Compensation Committee during fiscal year 2025. Mr. Lindeman was appointed as Calavo’s President and Chief Executive Officer effective as of December 8, 2025 and continues to serve as a director.</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216" w:lineRule="exact"/>
        <w:rPr>
          <w:sz w:val="20"/>
          <w:szCs w:val="20"/>
          <w:color w:val="auto"/>
        </w:rPr>
      </w:pPr>
    </w:p>
    <w:p>
      <w:pPr>
        <w:ind w:left="40" w:right="159" w:firstLine="259"/>
        <w:spacing w:after="0" w:line="235" w:lineRule="auto"/>
        <w:rPr>
          <w:sz w:val="20"/>
          <w:szCs w:val="20"/>
          <w:color w:val="auto"/>
        </w:rPr>
      </w:pPr>
      <w:r>
        <w:rPr>
          <w:rFonts w:ascii="Times New Roman" w:cs="Times New Roman" w:eastAsia="Times New Roman" w:hAnsi="Times New Roman"/>
          <w:sz w:val="18"/>
          <w:szCs w:val="18"/>
          <w:color w:val="auto"/>
        </w:rPr>
        <w:t>In April 2025, our shareholders approved the 2020 Plan that had been adopted by the Board. All directors, officers, employees and consultants (including prospective directors, officers, employees and consultants) of Calavo and its subsidiaries are eligible to receive awards under the 2020 Plan. Subject to the adjustment provisions of the 2020 Plan that are applicable in the event of a stock dividend, stock split, reverse stock split or similar transaction, up to 1,500,000 shares of common stock may be issued under the 2020 Plan.</w:t>
      </w:r>
    </w:p>
    <w:p>
      <w:pPr>
        <w:spacing w:after="0" w:line="188" w:lineRule="exact"/>
        <w:rPr>
          <w:sz w:val="20"/>
          <w:szCs w:val="20"/>
          <w:color w:val="auto"/>
        </w:rPr>
      </w:pPr>
    </w:p>
    <w:p>
      <w:pPr>
        <w:ind w:left="40" w:right="239" w:firstLine="259"/>
        <w:spacing w:after="0"/>
        <w:rPr>
          <w:sz w:val="20"/>
          <w:szCs w:val="20"/>
          <w:color w:val="auto"/>
        </w:rPr>
      </w:pPr>
      <w:r>
        <w:rPr>
          <w:rFonts w:ascii="Times New Roman" w:cs="Times New Roman" w:eastAsia="Times New Roman" w:hAnsi="Times New Roman"/>
          <w:sz w:val="18"/>
          <w:szCs w:val="18"/>
          <w:color w:val="auto"/>
        </w:rPr>
        <w:t>The purpose of the 2020 Plan is to promote the interests of Calavo and its shareholders by (a) attracting, retaining and motivating directors, officers, employees and consultants (including prospective directors, officers, employees and consultants) of the Company and its affiliates and (b) enabling such individuals to participate in the growth and financial success of the Company.</w:t>
      </w:r>
    </w:p>
    <w:p>
      <w:pPr>
        <w:spacing w:after="0" w:line="171" w:lineRule="exact"/>
        <w:rPr>
          <w:sz w:val="20"/>
          <w:szCs w:val="20"/>
          <w:color w:val="auto"/>
        </w:rPr>
      </w:pPr>
    </w:p>
    <w:p>
      <w:pPr>
        <w:ind w:left="40" w:right="579" w:firstLine="259"/>
        <w:spacing w:after="0" w:line="266" w:lineRule="auto"/>
        <w:rPr>
          <w:sz w:val="20"/>
          <w:szCs w:val="20"/>
          <w:color w:val="auto"/>
        </w:rPr>
      </w:pPr>
      <w:r>
        <w:rPr>
          <w:rFonts w:ascii="Times New Roman" w:cs="Times New Roman" w:eastAsia="Times New Roman" w:hAnsi="Times New Roman"/>
          <w:sz w:val="18"/>
          <w:szCs w:val="18"/>
          <w:color w:val="auto"/>
        </w:rPr>
        <w:t>The 2020 Plan authorizes the granting of awards in a variety of forms, including the following types of awards to persons who are employees, officers, consultants, advisors, or directors of Calavo or any of its affiliates:</w:t>
      </w:r>
    </w:p>
    <w:p>
      <w:pPr>
        <w:spacing w:after="0" w:line="162" w:lineRule="exact"/>
        <w:rPr>
          <w:sz w:val="20"/>
          <w:szCs w:val="20"/>
          <w:color w:val="auto"/>
        </w:rPr>
      </w:pPr>
    </w:p>
    <w:p>
      <w:pPr>
        <w:ind w:left="980" w:right="419" w:hanging="329"/>
        <w:spacing w:after="0" w:line="250"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options” that are intended to satisfy the requirements of Section 422 of the Code, and the regulations thereunder;</w:t>
      </w:r>
    </w:p>
    <w:p>
      <w:pPr>
        <w:spacing w:after="0" w:line="176"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options” that are not intended to be incentive stock options;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80" w:hanging="329"/>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that may be subject to specified restrictions; and</w:t>
      </w:r>
    </w:p>
    <w:p>
      <w:pPr>
        <w:spacing w:after="0" w:line="21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PRSUs, or RSUs, that upon vesting can be settled with shares of common stock or their cash equivalent.</w:t>
      </w:r>
    </w:p>
    <w:p>
      <w:pPr>
        <w:spacing w:after="0" w:line="212" w:lineRule="exact"/>
        <w:rPr>
          <w:sz w:val="20"/>
          <w:szCs w:val="20"/>
          <w:color w:val="auto"/>
        </w:rPr>
      </w:pPr>
    </w:p>
    <w:p>
      <w:pPr>
        <w:ind w:left="40" w:right="59" w:firstLine="259"/>
        <w:spacing w:after="0" w:line="233" w:lineRule="auto"/>
        <w:rPr>
          <w:sz w:val="20"/>
          <w:szCs w:val="20"/>
          <w:color w:val="auto"/>
        </w:rPr>
      </w:pPr>
      <w:r>
        <w:rPr>
          <w:rFonts w:ascii="Times New Roman" w:cs="Times New Roman" w:eastAsia="Times New Roman" w:hAnsi="Times New Roman"/>
          <w:sz w:val="18"/>
          <w:szCs w:val="18"/>
          <w:color w:val="auto"/>
        </w:rPr>
        <w:t>Subject to the requirements of the Company’s Articles of Incorporation, the 2020 Plan is administered by our Compensation Committee. The Compensation Committee is responsible for selecting the officers, employees, directors, consultants and advisers, if any, who will receive options and restricted stock. Subject to the requirements imposed by the 2020 Plan, the Compensation Committee is also responsible for determining the terms and conditions of each option award, including the number of shares subject to the option, the exercise price, expiration date and vesting period of the option and whether the option is an incentive stock option or a non-qualified stock option. Subject to the requirements imposed by the 2020 Plan, the Compensation Committee is also responsible for determining the terms and conditions of each grant, including the number of shares covered by a grant, the purchase price (if any) and the vesting, transfer and other restrictions imposed on the stock. The Compensation Committee has the power, authority and discretion to make all other determinations deemed necessary or advisable for the administration of the 2020 Plan or of any award under the 2020 Plan.</w:t>
      </w:r>
    </w:p>
    <w:p>
      <w:pPr>
        <w:spacing w:after="0" w:line="191" w:lineRule="exact"/>
        <w:rPr>
          <w:sz w:val="20"/>
          <w:szCs w:val="20"/>
          <w:color w:val="auto"/>
        </w:rPr>
      </w:pPr>
    </w:p>
    <w:p>
      <w:pPr>
        <w:ind w:left="40" w:right="199" w:firstLine="259"/>
        <w:spacing w:after="0" w:line="235" w:lineRule="auto"/>
        <w:rPr>
          <w:sz w:val="20"/>
          <w:szCs w:val="20"/>
          <w:color w:val="auto"/>
        </w:rPr>
      </w:pPr>
      <w:r>
        <w:rPr>
          <w:rFonts w:ascii="Times New Roman" w:cs="Times New Roman" w:eastAsia="Times New Roman" w:hAnsi="Times New Roman"/>
          <w:sz w:val="18"/>
          <w:szCs w:val="18"/>
          <w:color w:val="auto"/>
        </w:rPr>
        <w:t>Under current tax law, only employees are entitled to receive incentive stock options. The 2020 Plan provides that the exercise price for any stock option may not be less than 100% of the fair market value of the common stock on the date of the grant of the option. With respect to an option holder who owns stock possessing more than 10% of the total voting power of all classes of our stock, the exercise price for an incentive stock option may not be less than 110% of the fair market value of the common stock on the date of the grant of the option.</w:t>
      </w:r>
    </w:p>
    <w:p>
      <w:pPr>
        <w:spacing w:after="0" w:line="188" w:lineRule="exact"/>
        <w:rPr>
          <w:sz w:val="20"/>
          <w:szCs w:val="20"/>
          <w:color w:val="auto"/>
        </w:rPr>
      </w:pPr>
    </w:p>
    <w:p>
      <w:pPr>
        <w:ind w:left="40" w:right="59" w:firstLine="259"/>
        <w:spacing w:after="0" w:line="242" w:lineRule="auto"/>
        <w:rPr>
          <w:sz w:val="20"/>
          <w:szCs w:val="20"/>
          <w:color w:val="auto"/>
        </w:rPr>
      </w:pPr>
      <w:r>
        <w:rPr>
          <w:rFonts w:ascii="Times New Roman" w:cs="Times New Roman" w:eastAsia="Times New Roman" w:hAnsi="Times New Roman"/>
          <w:sz w:val="18"/>
          <w:szCs w:val="18"/>
          <w:color w:val="auto"/>
        </w:rPr>
        <w:t>Unless otherwise determined by the Compensation Committee, options granted under the 2020 Plan are generally not transferable, except by will or the laws of descent and distribution. Except as otherwise provided in the option agreement or other agreement, an option ceases to be exercisable ninety days after the termination of the option holder’s service with us.</w:t>
      </w:r>
    </w:p>
    <w:p>
      <w:pPr>
        <w:spacing w:after="0" w:line="184" w:lineRule="exact"/>
        <w:rPr>
          <w:sz w:val="20"/>
          <w:szCs w:val="20"/>
          <w:color w:val="auto"/>
        </w:rPr>
      </w:pPr>
    </w:p>
    <w:p>
      <w:pPr>
        <w:ind w:left="40" w:right="79" w:firstLine="259"/>
        <w:spacing w:after="0" w:line="235" w:lineRule="auto"/>
        <w:rPr>
          <w:sz w:val="20"/>
          <w:szCs w:val="20"/>
          <w:color w:val="auto"/>
        </w:rPr>
      </w:pPr>
      <w:r>
        <w:rPr>
          <w:rFonts w:ascii="Times New Roman" w:cs="Times New Roman" w:eastAsia="Times New Roman" w:hAnsi="Times New Roman"/>
          <w:sz w:val="18"/>
          <w:szCs w:val="18"/>
          <w:color w:val="auto"/>
        </w:rPr>
        <w:t>The Board may, at any time, amend, discontinue or terminate the 2020 Plan. With specified exceptions, no amendment, suspension or termination of the plan may adversely affect outstanding options or the terms that are applicable to outstanding restricted stock. No amendment or suspension of the 2020 Plan requires shareholder approval unless such approval is required under applicable law or under the rules of any stock exchange or NASDAQ market on which our stock is traded.</w:t>
      </w:r>
    </w:p>
    <w:p>
      <w:pPr>
        <w:spacing w:after="0" w:line="188" w:lineRule="exact"/>
        <w:rPr>
          <w:sz w:val="20"/>
          <w:szCs w:val="20"/>
          <w:color w:val="auto"/>
        </w:rPr>
      </w:pPr>
    </w:p>
    <w:p>
      <w:pPr>
        <w:ind w:left="40" w:right="299" w:firstLine="259"/>
        <w:spacing w:after="0" w:line="266" w:lineRule="auto"/>
        <w:rPr>
          <w:sz w:val="20"/>
          <w:szCs w:val="20"/>
          <w:color w:val="auto"/>
        </w:rPr>
      </w:pPr>
      <w:r>
        <w:rPr>
          <w:rFonts w:ascii="Times New Roman" w:cs="Times New Roman" w:eastAsia="Times New Roman" w:hAnsi="Times New Roman"/>
          <w:sz w:val="18"/>
          <w:szCs w:val="18"/>
          <w:color w:val="auto"/>
        </w:rPr>
        <w:t>As described above in section titled “Clawback Provisions,” the 2020 Plan also provides for recoupment of incentive compensation in the event of certain accounting restatements.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COMMON STOCK OWNERSHIP OF CERTAIN BENEFICIAL OWNERS AND MANAGEMENT</w:t>
      </w:r>
    </w:p>
    <w:p>
      <w:pPr>
        <w:spacing w:after="0" w:line="148" w:lineRule="exact"/>
        <w:rPr>
          <w:sz w:val="20"/>
          <w:szCs w:val="20"/>
          <w:color w:val="auto"/>
        </w:rPr>
      </w:pPr>
    </w:p>
    <w:p>
      <w:pPr>
        <w:ind w:left="40" w:right="539" w:firstLine="259"/>
        <w:spacing w:after="0" w:line="250" w:lineRule="auto"/>
        <w:rPr>
          <w:sz w:val="20"/>
          <w:szCs w:val="20"/>
          <w:color w:val="auto"/>
        </w:rPr>
      </w:pPr>
      <w:r>
        <w:rPr>
          <w:rFonts w:ascii="Times New Roman" w:cs="Times New Roman" w:eastAsia="Times New Roman" w:hAnsi="Times New Roman"/>
          <w:sz w:val="18"/>
          <w:szCs w:val="18"/>
          <w:color w:val="auto"/>
        </w:rPr>
        <w:t>The following table sets forth information as of February 24, 2026, except as set forth below, regarding beneficial ownership of our common stock by:</w:t>
      </w:r>
    </w:p>
    <w:p>
      <w:pPr>
        <w:spacing w:after="0" w:line="68" w:lineRule="exact"/>
        <w:rPr>
          <w:sz w:val="20"/>
          <w:szCs w:val="20"/>
          <w:color w:val="auto"/>
        </w:rPr>
      </w:pPr>
    </w:p>
    <w:p>
      <w:pPr>
        <w:ind w:left="580" w:hanging="185"/>
        <w:spacing w:after="0"/>
        <w:tabs>
          <w:tab w:leader="none" w:pos="5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5% or more of our common stock.</w:t>
      </w:r>
    </w:p>
    <w:p>
      <w:pPr>
        <w:spacing w:after="0" w:line="103" w:lineRule="exact"/>
        <w:rPr>
          <w:rFonts w:ascii="Times New Roman" w:cs="Times New Roman" w:eastAsia="Times New Roman" w:hAnsi="Times New Roman"/>
          <w:sz w:val="18"/>
          <w:szCs w:val="18"/>
          <w:color w:val="auto"/>
        </w:rPr>
      </w:pPr>
    </w:p>
    <w:p>
      <w:pPr>
        <w:ind w:left="580" w:hanging="185"/>
        <w:spacing w:after="0"/>
        <w:tabs>
          <w:tab w:leader="none" w:pos="5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NEOs.</w:t>
      </w:r>
    </w:p>
    <w:p>
      <w:pPr>
        <w:spacing w:after="0" w:line="103" w:lineRule="exact"/>
        <w:rPr>
          <w:rFonts w:ascii="Times New Roman" w:cs="Times New Roman" w:eastAsia="Times New Roman" w:hAnsi="Times New Roman"/>
          <w:sz w:val="18"/>
          <w:szCs w:val="18"/>
          <w:color w:val="auto"/>
        </w:rPr>
      </w:pPr>
    </w:p>
    <w:p>
      <w:pPr>
        <w:ind w:left="580" w:hanging="185"/>
        <w:spacing w:after="0"/>
        <w:tabs>
          <w:tab w:leader="none" w:pos="5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current directors and executive officers as a group.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right="99" w:firstLine="259"/>
        <w:spacing w:after="0" w:line="235" w:lineRule="auto"/>
        <w:rPr>
          <w:sz w:val="20"/>
          <w:szCs w:val="20"/>
          <w:color w:val="auto"/>
        </w:rPr>
      </w:pPr>
      <w:r>
        <w:rPr>
          <w:rFonts w:ascii="Times New Roman" w:cs="Times New Roman" w:eastAsia="Times New Roman" w:hAnsi="Times New Roman"/>
          <w:sz w:val="18"/>
          <w:szCs w:val="18"/>
          <w:color w:val="auto"/>
        </w:rPr>
        <w:t>The information in the table is based on Calavo’s records, SEC filings, and information provided to Calavo. Percentage ownership is calculated based on 17.9 million shares of common stock outstanding as of February 24, 2026. Beneficial ownership is determined in accordance with SEC rules and may not reflect actual ownership for other purposes. Under these rules, beneficial ownership includes shares for which the individual or entity has sole or shared voting or investment power, as well as shares that may be acquired within 60 days of February 24, 2026, through the exercise of stock options or other rights. Unless otherwise noted, each person has sole voting and investment power (or shares such powers with a spouse) over the shares listed in the table.</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2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 Common</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w:t>
            </w: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55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21"/>
                <w:szCs w:val="21"/>
                <w:b w:val="1"/>
                <w:bCs w:val="1"/>
                <w:color w:val="auto"/>
                <w:vertAlign w:val="superscript"/>
              </w:rPr>
              <w:t>(1)</w:t>
            </w: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as of</w:t>
            </w: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as of</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5540" w:type="dxa"/>
            <w:vAlign w:val="bottom"/>
            <w:tcBorders>
              <w:bottom w:val="single" w:sz="8" w:color="auto"/>
            </w:tcBorders>
            <w:gridSpan w:val="5"/>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24, 2026</w:t>
            </w:r>
          </w:p>
        </w:tc>
        <w:tc>
          <w:tcPr>
            <w:tcW w:w="2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24, 2026</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2200" w:type="dxa"/>
            <w:vAlign w:val="bottom"/>
            <w:tcBorders>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5% or Greater Shareholders</w:t>
            </w:r>
          </w:p>
        </w:tc>
        <w:tc>
          <w:tcPr>
            <w:tcW w:w="3340" w:type="dxa"/>
            <w:vAlign w:val="bottom"/>
            <w:tcBorders>
              <w:bottom w:val="single" w:sz="8" w:color="CCEEFF"/>
            </w:tcBorders>
            <w:gridSpan w:val="3"/>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1064"/>
              <w:spacing w:after="0" w:line="169"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1144"/>
              <w:spacing w:after="0" w:line="16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540" w:type="dxa"/>
            <w:vAlign w:val="bottom"/>
            <w:gridSpan w:val="5"/>
          </w:tcPr>
          <w:p>
            <w:pPr>
              <w:spacing w:after="0" w:line="216" w:lineRule="exact"/>
              <w:rPr>
                <w:sz w:val="20"/>
                <w:szCs w:val="20"/>
                <w:color w:val="auto"/>
              </w:rPr>
            </w:pPr>
            <w:r>
              <w:rPr>
                <w:rFonts w:ascii="Times New Roman" w:cs="Times New Roman" w:eastAsia="Times New Roman" w:hAnsi="Times New Roman"/>
                <w:sz w:val="17"/>
                <w:szCs w:val="17"/>
                <w:color w:val="auto"/>
              </w:rPr>
              <w:t>The Vanguard Group</w:t>
            </w:r>
            <w:r>
              <w:rPr>
                <w:rFonts w:ascii="Times New Roman" w:cs="Times New Roman" w:eastAsia="Times New Roman" w:hAnsi="Times New Roman"/>
                <w:sz w:val="25"/>
                <w:szCs w:val="25"/>
                <w:color w:val="auto"/>
                <w:vertAlign w:val="superscript"/>
              </w:rPr>
              <w:t>(2)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1,125,728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540" w:type="dxa"/>
            <w:vAlign w:val="bottom"/>
            <w:gridSpan w:val="5"/>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BlackRock Fund Advisors</w:t>
            </w:r>
            <w:r>
              <w:rPr>
                <w:rFonts w:ascii="Times New Roman" w:cs="Times New Roman" w:eastAsia="Times New Roman" w:hAnsi="Times New Roman"/>
                <w:sz w:val="25"/>
                <w:szCs w:val="25"/>
                <w:color w:val="auto"/>
                <w:vertAlign w:val="superscript"/>
              </w:rPr>
              <w:t>(3)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1,314,376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540" w:type="dxa"/>
            <w:vAlign w:val="bottom"/>
            <w:gridSpan w:val="5"/>
          </w:tcPr>
          <w:p>
            <w:pPr>
              <w:spacing w:after="0" w:line="216" w:lineRule="exact"/>
              <w:rPr>
                <w:sz w:val="20"/>
                <w:szCs w:val="20"/>
                <w:color w:val="auto"/>
              </w:rPr>
            </w:pPr>
            <w:r>
              <w:rPr>
                <w:rFonts w:ascii="Times New Roman" w:cs="Times New Roman" w:eastAsia="Times New Roman" w:hAnsi="Times New Roman"/>
                <w:sz w:val="17"/>
                <w:szCs w:val="17"/>
                <w:color w:val="auto"/>
              </w:rPr>
              <w:t>Fourth Sail Capital LP</w:t>
            </w:r>
            <w:r>
              <w:rPr>
                <w:rFonts w:ascii="Times New Roman" w:cs="Times New Roman" w:eastAsia="Times New Roman" w:hAnsi="Times New Roman"/>
                <w:sz w:val="25"/>
                <w:szCs w:val="25"/>
                <w:color w:val="auto"/>
                <w:vertAlign w:val="superscript"/>
              </w:rPr>
              <w:t>(4)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1,109,341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55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100" w:type="dxa"/>
            <w:vAlign w:val="bottom"/>
            <w:tcBorders>
              <w:top w:val="single" w:sz="8" w:color="auto"/>
            </w:tcBorders>
            <w:gridSpan w:val="3"/>
          </w:tcPr>
          <w:p>
            <w:pPr>
              <w:spacing w:after="0" w:line="216" w:lineRule="exact"/>
              <w:rPr>
                <w:sz w:val="20"/>
                <w:szCs w:val="20"/>
                <w:color w:val="auto"/>
              </w:rPr>
            </w:pPr>
            <w:r>
              <w:rPr>
                <w:rFonts w:ascii="Times New Roman" w:cs="Times New Roman" w:eastAsia="Times New Roman" w:hAnsi="Times New Roman"/>
                <w:sz w:val="17"/>
                <w:szCs w:val="17"/>
                <w:color w:val="auto"/>
              </w:rPr>
              <w:t>J. Link Leavens</w:t>
            </w:r>
            <w:r>
              <w:rPr>
                <w:rFonts w:ascii="Times New Roman" w:cs="Times New Roman" w:eastAsia="Times New Roman" w:hAnsi="Times New Roman"/>
                <w:sz w:val="25"/>
                <w:szCs w:val="25"/>
                <w:color w:val="auto"/>
                <w:vertAlign w:val="superscript"/>
              </w:rPr>
              <w:t>(5)</w:t>
            </w:r>
          </w:p>
        </w:tc>
        <w:tc>
          <w:tcPr>
            <w:tcW w:w="2440" w:type="dxa"/>
            <w:vAlign w:val="bottom"/>
            <w:tcBorders>
              <w:top w:val="single" w:sz="8" w:color="CCEEFF"/>
            </w:tcBorders>
            <w:gridSpan w:val="2"/>
          </w:tcPr>
          <w:p>
            <w:pPr>
              <w:spacing w:after="0"/>
              <w:rPr>
                <w:sz w:val="18"/>
                <w:szCs w:val="18"/>
                <w:color w:val="auto"/>
              </w:rPr>
            </w:pPr>
          </w:p>
        </w:tc>
        <w:tc>
          <w:tcPr>
            <w:tcW w:w="13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372,430</w:t>
            </w:r>
          </w:p>
        </w:tc>
        <w:tc>
          <w:tcPr>
            <w:tcW w:w="14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540" w:type="dxa"/>
            <w:vAlign w:val="bottom"/>
            <w:gridSpan w:val="5"/>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Farha Aslam</w:t>
            </w:r>
            <w:r>
              <w:rPr>
                <w:rFonts w:ascii="Times New Roman" w:cs="Times New Roman" w:eastAsia="Times New Roman" w:hAnsi="Times New Roman"/>
                <w:sz w:val="25"/>
                <w:szCs w:val="25"/>
                <w:color w:val="auto"/>
                <w:vertAlign w:val="superscript"/>
              </w:rPr>
              <w:t>(6)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540" w:type="dxa"/>
            <w:vAlign w:val="bottom"/>
            <w:gridSpan w:val="5"/>
          </w:tcPr>
          <w:p>
            <w:pPr>
              <w:spacing w:after="0" w:line="216" w:lineRule="exact"/>
              <w:rPr>
                <w:sz w:val="20"/>
                <w:szCs w:val="20"/>
                <w:color w:val="auto"/>
              </w:rPr>
            </w:pPr>
            <w:r>
              <w:rPr>
                <w:rFonts w:ascii="Times New Roman" w:cs="Times New Roman" w:eastAsia="Times New Roman" w:hAnsi="Times New Roman"/>
                <w:sz w:val="17"/>
                <w:szCs w:val="17"/>
                <w:color w:val="auto"/>
              </w:rPr>
              <w:t>Steven Hollister</w:t>
            </w:r>
            <w:r>
              <w:rPr>
                <w:rFonts w:ascii="Times New Roman" w:cs="Times New Roman" w:eastAsia="Times New Roman" w:hAnsi="Times New Roman"/>
                <w:sz w:val="25"/>
                <w:szCs w:val="25"/>
                <w:color w:val="auto"/>
                <w:vertAlign w:val="superscript"/>
              </w:rPr>
              <w:t>(7)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48,110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540" w:type="dxa"/>
            <w:vAlign w:val="bottom"/>
            <w:gridSpan w:val="5"/>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Michael A. DiGregorio</w:t>
            </w:r>
            <w:r>
              <w:rPr>
                <w:rFonts w:ascii="Times New Roman" w:cs="Times New Roman" w:eastAsia="Times New Roman" w:hAnsi="Times New Roman"/>
                <w:sz w:val="25"/>
                <w:szCs w:val="25"/>
                <w:color w:val="auto"/>
                <w:vertAlign w:val="superscript"/>
              </w:rPr>
              <w:t>(8)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540" w:type="dxa"/>
            <w:vAlign w:val="bottom"/>
            <w:gridSpan w:val="5"/>
          </w:tcPr>
          <w:p>
            <w:pPr>
              <w:spacing w:after="0" w:line="216" w:lineRule="exact"/>
              <w:rPr>
                <w:sz w:val="20"/>
                <w:szCs w:val="20"/>
                <w:color w:val="auto"/>
              </w:rPr>
            </w:pPr>
            <w:r>
              <w:rPr>
                <w:rFonts w:ascii="Times New Roman" w:cs="Times New Roman" w:eastAsia="Times New Roman" w:hAnsi="Times New Roman"/>
                <w:sz w:val="17"/>
                <w:szCs w:val="17"/>
                <w:color w:val="auto"/>
              </w:rPr>
              <w:t>Marc L. Brown</w:t>
            </w:r>
            <w:r>
              <w:rPr>
                <w:rFonts w:ascii="Times New Roman" w:cs="Times New Roman" w:eastAsia="Times New Roman" w:hAnsi="Times New Roman"/>
                <w:sz w:val="25"/>
                <w:szCs w:val="25"/>
                <w:color w:val="auto"/>
                <w:vertAlign w:val="superscript"/>
              </w:rPr>
              <w:t>(9)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540" w:type="dxa"/>
            <w:vAlign w:val="bottom"/>
            <w:gridSpan w:val="5"/>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Kathleen M. Holmgren</w:t>
            </w:r>
            <w:r>
              <w:rPr>
                <w:rFonts w:ascii="Times New Roman" w:cs="Times New Roman" w:eastAsia="Times New Roman" w:hAnsi="Times New Roman"/>
                <w:sz w:val="25"/>
                <w:szCs w:val="25"/>
                <w:color w:val="auto"/>
                <w:vertAlign w:val="superscript"/>
              </w:rPr>
              <w:t>(10)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540" w:type="dxa"/>
            <w:vAlign w:val="bottom"/>
            <w:gridSpan w:val="5"/>
          </w:tcPr>
          <w:p>
            <w:pPr>
              <w:spacing w:after="0" w:line="216" w:lineRule="exact"/>
              <w:rPr>
                <w:sz w:val="20"/>
                <w:szCs w:val="20"/>
                <w:color w:val="auto"/>
              </w:rPr>
            </w:pPr>
            <w:r>
              <w:rPr>
                <w:rFonts w:ascii="Times New Roman" w:cs="Times New Roman" w:eastAsia="Times New Roman" w:hAnsi="Times New Roman"/>
                <w:sz w:val="17"/>
                <w:szCs w:val="17"/>
                <w:color w:val="auto"/>
              </w:rPr>
              <w:t>B. John Lindeman</w:t>
            </w:r>
            <w:r>
              <w:rPr>
                <w:rFonts w:ascii="Times New Roman" w:cs="Times New Roman" w:eastAsia="Times New Roman" w:hAnsi="Times New Roman"/>
                <w:sz w:val="25"/>
                <w:szCs w:val="25"/>
                <w:color w:val="auto"/>
                <w:vertAlign w:val="superscript"/>
              </w:rPr>
              <w:t>(11)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51,556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540" w:type="dxa"/>
            <w:vAlign w:val="bottom"/>
            <w:gridSpan w:val="5"/>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Adriana Mendizabal</w:t>
            </w:r>
            <w:r>
              <w:rPr>
                <w:rFonts w:ascii="Times New Roman" w:cs="Times New Roman" w:eastAsia="Times New Roman" w:hAnsi="Times New Roman"/>
                <w:sz w:val="25"/>
                <w:szCs w:val="25"/>
                <w:color w:val="auto"/>
                <w:vertAlign w:val="superscript"/>
              </w:rPr>
              <w:t>(12)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540" w:type="dxa"/>
            <w:vAlign w:val="bottom"/>
            <w:gridSpan w:val="5"/>
          </w:tcPr>
          <w:p>
            <w:pPr>
              <w:spacing w:after="0" w:line="216" w:lineRule="exact"/>
              <w:rPr>
                <w:sz w:val="20"/>
                <w:szCs w:val="20"/>
                <w:color w:val="auto"/>
              </w:rPr>
            </w:pPr>
            <w:r>
              <w:rPr>
                <w:rFonts w:ascii="Times New Roman" w:cs="Times New Roman" w:eastAsia="Times New Roman" w:hAnsi="Times New Roman"/>
                <w:sz w:val="17"/>
                <w:szCs w:val="17"/>
                <w:color w:val="auto"/>
              </w:rPr>
              <w:t>Michael Browne</w:t>
            </w:r>
            <w:r>
              <w:rPr>
                <w:rFonts w:ascii="Times New Roman" w:cs="Times New Roman" w:eastAsia="Times New Roman" w:hAnsi="Times New Roman"/>
                <w:sz w:val="25"/>
                <w:szCs w:val="25"/>
                <w:color w:val="auto"/>
                <w:vertAlign w:val="superscript"/>
              </w:rPr>
              <w:t>(13)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Snyder</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Ronald Araiza</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Munsell</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540" w:type="dxa"/>
            <w:vAlign w:val="bottom"/>
            <w:gridSpan w:val="5"/>
          </w:tcPr>
          <w:p>
            <w:pPr>
              <w:spacing w:after="0" w:line="216" w:lineRule="exact"/>
              <w:rPr>
                <w:sz w:val="20"/>
                <w:szCs w:val="20"/>
                <w:color w:val="auto"/>
              </w:rPr>
            </w:pPr>
            <w:r>
              <w:rPr>
                <w:rFonts w:ascii="Times New Roman" w:cs="Times New Roman" w:eastAsia="Times New Roman" w:hAnsi="Times New Roman"/>
                <w:sz w:val="17"/>
                <w:szCs w:val="17"/>
                <w:color w:val="auto"/>
              </w:rPr>
              <w:t>Lecil E. Cole</w:t>
            </w:r>
            <w:r>
              <w:rPr>
                <w:rFonts w:ascii="Times New Roman" w:cs="Times New Roman" w:eastAsia="Times New Roman" w:hAnsi="Times New Roman"/>
                <w:sz w:val="25"/>
                <w:szCs w:val="25"/>
                <w:color w:val="auto"/>
                <w:vertAlign w:val="superscript"/>
              </w:rPr>
              <w:t>(14)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1,115,000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5540" w:type="dxa"/>
            <w:vAlign w:val="bottom"/>
            <w:tcBorders>
              <w:top w:val="single" w:sz="8" w:color="CCEEFF"/>
            </w:tcBorders>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All directors and executive officers as a group (10 persons)</w:t>
            </w:r>
          </w:p>
        </w:tc>
        <w:tc>
          <w:tcPr>
            <w:tcW w:w="2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628,194</w:t>
            </w:r>
          </w:p>
        </w:tc>
        <w:tc>
          <w:tcPr>
            <w:tcW w:w="2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62"/>
        </w:trPr>
        <w:tc>
          <w:tcPr>
            <w:tcW w:w="280" w:type="dxa"/>
            <w:vAlign w:val="bottom"/>
            <w:tcBorders>
              <w:bottom w:val="single" w:sz="8" w:color="auto"/>
            </w:tcBorders>
          </w:tcPr>
          <w:p>
            <w:pPr>
              <w:spacing w:after="0"/>
              <w:rPr>
                <w:sz w:val="14"/>
                <w:szCs w:val="14"/>
                <w:color w:val="auto"/>
              </w:rPr>
            </w:pPr>
          </w:p>
        </w:tc>
        <w:tc>
          <w:tcPr>
            <w:tcW w:w="19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00" w:hanging="356"/>
        <w:spacing w:after="0"/>
        <w:tabs>
          <w:tab w:leader="none" w:pos="4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1.0%.</w:t>
      </w:r>
    </w:p>
    <w:p>
      <w:pPr>
        <w:spacing w:after="0" w:line="63" w:lineRule="exact"/>
        <w:rPr>
          <w:sz w:val="20"/>
          <w:szCs w:val="20"/>
          <w:color w:val="auto"/>
        </w:rPr>
      </w:pPr>
    </w:p>
    <w:p>
      <w:pPr>
        <w:ind w:left="400" w:hanging="356"/>
        <w:spacing w:after="0"/>
        <w:tabs>
          <w:tab w:leader="none" w:pos="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address of each individual is 1141-A Cummings Road, Santa Paula, California 93060.</w:t>
      </w:r>
    </w:p>
    <w:p>
      <w:pPr>
        <w:spacing w:after="0" w:line="63" w:lineRule="exact"/>
        <w:rPr>
          <w:rFonts w:ascii="Times New Roman" w:cs="Times New Roman" w:eastAsia="Times New Roman" w:hAnsi="Times New Roman"/>
          <w:sz w:val="18"/>
          <w:szCs w:val="18"/>
          <w:color w:val="auto"/>
        </w:rPr>
      </w:pPr>
    </w:p>
    <w:p>
      <w:pPr>
        <w:ind w:left="400" w:right="259" w:hanging="356"/>
        <w:spacing w:after="0" w:line="235" w:lineRule="auto"/>
        <w:tabs>
          <w:tab w:leader="none" w:pos="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Vanguard Group is 100 Vanguard Blvd., Malvern, PA 19355. This information is based upon a Schedule 13G/A filed by The Vanguard Group with the SEC on November 12, 2024, and may not reflect the current number of shares of common stock held by The Vanguard Group. The Vanguard Group maintains shared voting power over 14,504 shares of our common stock, sole dispositive power over 1,097,017 shares of our common stock and shared dispositive power over 28,711 shares of our common stock.</w:t>
      </w:r>
    </w:p>
    <w:p>
      <w:pPr>
        <w:spacing w:after="0" w:line="188" w:lineRule="exact"/>
        <w:rPr>
          <w:rFonts w:ascii="Times New Roman" w:cs="Times New Roman" w:eastAsia="Times New Roman" w:hAnsi="Times New Roman"/>
          <w:sz w:val="18"/>
          <w:szCs w:val="18"/>
          <w:color w:val="auto"/>
        </w:rPr>
      </w:pPr>
    </w:p>
    <w:p>
      <w:pPr>
        <w:ind w:left="400" w:right="79" w:hanging="356"/>
        <w:spacing w:after="0"/>
        <w:tabs>
          <w:tab w:leader="none" w:pos="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BlackRock, Inc. is 50 Hudson Yards, New York, NY 10001. This information is based upon a Schedule 13G/A filed by BlackRock, Inc. with the SEC on October 7, 2024, and may not reflect the current number of shares of common stock held by BlackRock, Inc. BlackRock, Inc. maintains sole voting power over 1,286,808 shares of our common stock and sole dispositive power over 1,314,376 shares of our common stock.</w:t>
      </w:r>
    </w:p>
    <w:p>
      <w:pPr>
        <w:spacing w:after="0" w:line="49" w:lineRule="exact"/>
        <w:rPr>
          <w:rFonts w:ascii="Times New Roman" w:cs="Times New Roman" w:eastAsia="Times New Roman" w:hAnsi="Times New Roman"/>
          <w:sz w:val="18"/>
          <w:szCs w:val="18"/>
          <w:color w:val="auto"/>
        </w:rPr>
      </w:pPr>
    </w:p>
    <w:p>
      <w:pPr>
        <w:ind w:left="400" w:right="99" w:hanging="356"/>
        <w:spacing w:after="0" w:line="235" w:lineRule="auto"/>
        <w:tabs>
          <w:tab w:leader="none" w:pos="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Fourth Sail Capital LP is 10 Market Street #754 Grand Cayman, Cayman Islands KY1-9006. This information is based upon a Schedule 13G filed by Fourth Sail Capital LP and other entities or persons affiliated with Fourth Sail Capital LP, including Fourth Sail Long Short LLC, Fourth Sail Capital US LP, Tordesilhas Capital Gestora De Recursos Ltda. and Ariel Merenstein (together, “Fourth Sail”) with the SEC on February 24, 2026 and may not reflect the current number of shares of common stock held by Fourth Sail. The entities comprising Fourth Sail maintains shared voting and dispositive power over 1,109,341 shares of our common stock.</w:t>
      </w:r>
    </w:p>
    <w:p>
      <w:pPr>
        <w:spacing w:after="0" w:line="39" w:lineRule="exact"/>
        <w:rPr>
          <w:rFonts w:ascii="Times New Roman" w:cs="Times New Roman" w:eastAsia="Times New Roman" w:hAnsi="Times New Roman"/>
          <w:sz w:val="18"/>
          <w:szCs w:val="18"/>
          <w:color w:val="auto"/>
        </w:rPr>
      </w:pPr>
    </w:p>
    <w:p>
      <w:pPr>
        <w:ind w:left="400" w:right="279" w:hanging="356"/>
        <w:spacing w:after="0" w:line="236" w:lineRule="auto"/>
        <w:tabs>
          <w:tab w:leader="none" w:pos="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85,599 shares of common stock held directly by Mr. Leavens, (ii) 282,572 shares of common stock held indirectly by Mr. Leavens that are owned of record by partnerships of which Mr. Leavens is a partner and (iii) 4,259 shares of common stock that may be acquired upon the vesting of RSUs on April 23, 2026, unless accelerated in connection with the consummation of the Transaction.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 w:right="139" w:hanging="356"/>
        <w:spacing w:after="0" w:line="235" w:lineRule="auto"/>
        <w:tabs>
          <w:tab w:leader="none" w:pos="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7,792 shares of common stock held directly by Ms. Aslam, (ii) 10,000 shares of common stock that may be acquired upon the exercise of outstanding stock options and (iii) 4,259 shares of common stock that may be acquired upon the vesting of RSUs on April 23, 2026, unless accelerated in connection with the consummation of the Transaction. Excludes 7,149 shares of common stock that may be acquired upon the vesting of RSUs pursuant to which Ms. Aslam has the right to receive shares of common stock or cash on a deferred basis within the calendar year following the year in which her service as a director terminates.</w:t>
      </w:r>
    </w:p>
    <w:p>
      <w:pPr>
        <w:spacing w:after="0" w:line="39" w:lineRule="exact"/>
        <w:rPr>
          <w:rFonts w:ascii="Times New Roman" w:cs="Times New Roman" w:eastAsia="Times New Roman" w:hAnsi="Times New Roman"/>
          <w:sz w:val="18"/>
          <w:szCs w:val="18"/>
          <w:color w:val="auto"/>
        </w:rPr>
      </w:pPr>
    </w:p>
    <w:p>
      <w:pPr>
        <w:ind w:left="400" w:right="79" w:hanging="356"/>
        <w:spacing w:after="0" w:line="250" w:lineRule="auto"/>
        <w:tabs>
          <w:tab w:leader="none" w:pos="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43,851 shares of common stock held directly by Mr. Hollister and (ii) 4,259 shares of common stock that may be acquired upon the vesting of RSUs on April 23, 2026, unless accelerated in connection with the consummation of the Transaction.</w:t>
      </w:r>
    </w:p>
    <w:p>
      <w:pPr>
        <w:spacing w:after="0" w:line="14" w:lineRule="exact"/>
        <w:rPr>
          <w:rFonts w:ascii="Times New Roman" w:cs="Times New Roman" w:eastAsia="Times New Roman" w:hAnsi="Times New Roman"/>
          <w:sz w:val="18"/>
          <w:szCs w:val="18"/>
          <w:color w:val="auto"/>
        </w:rPr>
      </w:pPr>
    </w:p>
    <w:p>
      <w:pPr>
        <w:ind w:left="400" w:right="79" w:hanging="356"/>
        <w:spacing w:after="0"/>
        <w:tabs>
          <w:tab w:leader="none" w:pos="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35,191 shares of common stock held by Mr. DiGregorio in a revocable trust, of which 20,250 shares have been pledged as security in a margin account prior to the adoption of Calvo’s anti-pledging policy in 2021 and (ii) 4,259 shares of common stock that may be acquired upon the vesting of RSUs on April 23, 2026, unless accelerated in connection with the consummation of the Transaction.</w:t>
      </w:r>
    </w:p>
    <w:p>
      <w:pPr>
        <w:spacing w:after="0" w:line="36" w:lineRule="exact"/>
        <w:rPr>
          <w:rFonts w:ascii="Times New Roman" w:cs="Times New Roman" w:eastAsia="Times New Roman" w:hAnsi="Times New Roman"/>
          <w:sz w:val="18"/>
          <w:szCs w:val="18"/>
          <w:color w:val="auto"/>
        </w:rPr>
      </w:pPr>
    </w:p>
    <w:p>
      <w:pPr>
        <w:ind w:left="400" w:right="79" w:hanging="356"/>
        <w:spacing w:after="0" w:line="250" w:lineRule="auto"/>
        <w:tabs>
          <w:tab w:leader="none" w:pos="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28,441 shares of commons stock held directly by Mr. Brown and (ii) 4,259 shares of common stock that may be acquired upon the vesting of RSUs on April 23, 2026, unless accelerated in connection with the consummation of the Transaction.</w:t>
      </w:r>
    </w:p>
    <w:p>
      <w:pPr>
        <w:spacing w:after="0" w:line="14" w:lineRule="exact"/>
        <w:rPr>
          <w:rFonts w:ascii="Times New Roman" w:cs="Times New Roman" w:eastAsia="Times New Roman" w:hAnsi="Times New Roman"/>
          <w:sz w:val="18"/>
          <w:szCs w:val="18"/>
          <w:color w:val="auto"/>
        </w:rPr>
      </w:pPr>
    </w:p>
    <w:p>
      <w:pPr>
        <w:ind w:left="400" w:right="179" w:hanging="356"/>
        <w:spacing w:after="0"/>
        <w:tabs>
          <w:tab w:leader="none" w:pos="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22,691 shares of common stock held directly by Ms. Holmgren, (ii) 2,000 shares of common stock that may be acquired upon the exercise of outstanding stock options and (iii) 4,259 shares of common stock that may be acquired upon the vesting of RSUs on April 23, 2026, unless accelerated in connection with the consummation of the Transaction.</w:t>
      </w:r>
    </w:p>
    <w:p>
      <w:pPr>
        <w:spacing w:after="0" w:line="36" w:lineRule="exact"/>
        <w:rPr>
          <w:rFonts w:ascii="Times New Roman" w:cs="Times New Roman" w:eastAsia="Times New Roman" w:hAnsi="Times New Roman"/>
          <w:sz w:val="18"/>
          <w:szCs w:val="18"/>
          <w:color w:val="auto"/>
        </w:rPr>
      </w:pPr>
    </w:p>
    <w:p>
      <w:pPr>
        <w:ind w:left="400" w:right="179" w:hanging="356"/>
        <w:spacing w:after="0" w:line="235" w:lineRule="auto"/>
        <w:tabs>
          <w:tab w:leader="none" w:pos="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21,884 shares of common stock heled directly by Mr. Lindeman, (ii) 27,000 shares of common stock that may be acquired upon the exercise of outstanding stock options, and (iii) 2,672 shares of common stock that may be acquired upon the vesting of RSUs on April 23, 2026, unless accelerated in connection with the consummation of the Transaction. Excludes (x) 83,000 shares of common stock that will remain unvested by their terms within 60 days of February 24, 2026 and (y) 2,220 shares of common stock that may be acquired upon the vesting of RSUs pursuant to which Mr. Lindeman has the right to receive shares of common stock or cash on a deferred basis within the calendar year following the year in which his service as a director terminates.</w:t>
      </w:r>
    </w:p>
    <w:p>
      <w:pPr>
        <w:spacing w:after="0" w:line="39" w:lineRule="exact"/>
        <w:rPr>
          <w:rFonts w:ascii="Times New Roman" w:cs="Times New Roman" w:eastAsia="Times New Roman" w:hAnsi="Times New Roman"/>
          <w:sz w:val="18"/>
          <w:szCs w:val="18"/>
          <w:color w:val="auto"/>
        </w:rPr>
      </w:pPr>
    </w:p>
    <w:p>
      <w:pPr>
        <w:ind w:left="400" w:right="119" w:hanging="356"/>
        <w:spacing w:after="0" w:line="235" w:lineRule="auto"/>
        <w:tabs>
          <w:tab w:leader="none" w:pos="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11,221 shares of common stock held directly by Ms. Mendizabal, (ii) 8,000 shares of common stock that may be acquired upon the exercise of outstanding stock options and (iii) 4,259 shares of common stock that may be acquired upon the vesting of RSUs on April 23, 2026, unless accelerated in connection with the consummation of the Transaction. Excludes (x) 2,000 shares of common stock that will remain unvested by their terms within 60 days of February 24, 2026 and (y) 2,220 shares of common stock that may be acquired upon the vesting of RSUs pursuant to which Ms. Mendizabal has the right to receive shares of common stock or cash on a deferred basis within the calendar year following the year in which her service as a director terminates.</w:t>
      </w:r>
    </w:p>
    <w:p>
      <w:pPr>
        <w:spacing w:after="0" w:line="39" w:lineRule="exact"/>
        <w:rPr>
          <w:rFonts w:ascii="Times New Roman" w:cs="Times New Roman" w:eastAsia="Times New Roman" w:hAnsi="Times New Roman"/>
          <w:sz w:val="18"/>
          <w:szCs w:val="18"/>
          <w:color w:val="auto"/>
        </w:rPr>
      </w:pPr>
    </w:p>
    <w:p>
      <w:pPr>
        <w:ind w:left="400" w:right="179" w:hanging="356"/>
        <w:spacing w:after="0" w:line="266" w:lineRule="auto"/>
        <w:tabs>
          <w:tab w:leader="none" w:pos="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6,400 shares of common stock held directly by Mr. Browne, (ii) 900 shares of common stock held by Mr. Browne’s spouse and (iii) 7,500 shares of common stock held by a family trust.</w:t>
      </w:r>
    </w:p>
    <w:p>
      <w:pPr>
        <w:spacing w:after="0" w:line="13" w:lineRule="exact"/>
        <w:rPr>
          <w:rFonts w:ascii="Times New Roman" w:cs="Times New Roman" w:eastAsia="Times New Roman" w:hAnsi="Times New Roman"/>
          <w:sz w:val="18"/>
          <w:szCs w:val="18"/>
          <w:color w:val="auto"/>
        </w:rPr>
      </w:pPr>
    </w:p>
    <w:p>
      <w:pPr>
        <w:ind w:left="400" w:right="219" w:hanging="356"/>
        <w:spacing w:after="0" w:line="266" w:lineRule="auto"/>
        <w:tabs>
          <w:tab w:leader="none" w:pos="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615,000 shares of common stock held directly by Mr. Cole and (ii) 500,000 shares of common stock that may be acquired upon the exercise of outstanding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220" w:type="dxa"/>
            <w:vAlign w:val="bottom"/>
          </w:tcPr>
          <w:p>
            <w:pPr>
              <w:spacing w:after="0"/>
              <w:rPr>
                <w:sz w:val="13"/>
                <w:szCs w:val="13"/>
                <w:color w:val="auto"/>
              </w:rPr>
            </w:pPr>
          </w:p>
        </w:tc>
        <w:tc>
          <w:tcPr>
            <w:tcW w:w="1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180" w:type="dxa"/>
            <w:vAlign w:val="bottom"/>
          </w:tcPr>
          <w:p>
            <w:pPr>
              <w:spacing w:after="0"/>
              <w:rPr>
                <w:sz w:val="13"/>
                <w:szCs w:val="13"/>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2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 warrants</w:t>
            </w:r>
          </w:p>
        </w:tc>
        <w:tc>
          <w:tcPr>
            <w:tcW w:w="2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 options,</w:t>
            </w:r>
          </w:p>
        </w:tc>
        <w:tc>
          <w:tcPr>
            <w:tcW w:w="180" w:type="dxa"/>
            <w:vAlign w:val="bottom"/>
          </w:tcPr>
          <w:p>
            <w:pPr>
              <w:spacing w:after="0"/>
              <w:rPr>
                <w:sz w:val="12"/>
                <w:szCs w:val="12"/>
                <w:color w:val="auto"/>
              </w:rPr>
            </w:pPr>
          </w:p>
        </w:tc>
        <w:tc>
          <w:tcPr>
            <w:tcW w:w="20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 future</w:t>
            </w:r>
          </w:p>
        </w:tc>
        <w:tc>
          <w:tcPr>
            <w:tcW w:w="0" w:type="dxa"/>
            <w:vAlign w:val="bottom"/>
          </w:tcPr>
          <w:p>
            <w:pPr>
              <w:spacing w:after="0"/>
              <w:rPr>
                <w:sz w:val="1"/>
                <w:szCs w:val="1"/>
                <w:color w:val="auto"/>
              </w:rPr>
            </w:pPr>
          </w:p>
        </w:tc>
      </w:tr>
      <w:tr>
        <w:trPr>
          <w:trHeight w:val="148"/>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 (excluding securities</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2620" w:type="dxa"/>
            <w:vAlign w:val="bottom"/>
            <w:gridSpan w:val="2"/>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220" w:type="dxa"/>
            <w:vAlign w:val="bottom"/>
            <w:vMerge w:val="continue"/>
          </w:tcPr>
          <w:p>
            <w:pPr>
              <w:spacing w:after="0"/>
              <w:rPr>
                <w:sz w:val="15"/>
                <w:szCs w:val="15"/>
                <w:color w:val="auto"/>
              </w:rPr>
            </w:pPr>
          </w:p>
        </w:tc>
        <w:tc>
          <w:tcPr>
            <w:tcW w:w="1180" w:type="dxa"/>
            <w:vAlign w:val="bottom"/>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64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column (a)) (c)</w:t>
            </w:r>
          </w:p>
        </w:tc>
        <w:tc>
          <w:tcPr>
            <w:tcW w:w="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6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571,629 </w:t>
            </w:r>
            <w:r>
              <w:rPr>
                <w:rFonts w:ascii="Times New Roman" w:cs="Times New Roman" w:eastAsia="Times New Roman" w:hAnsi="Times New Roman"/>
                <w:sz w:val="26"/>
                <w:szCs w:val="26"/>
                <w:color w:val="auto"/>
                <w:vertAlign w:val="superscript"/>
              </w:rPr>
              <w:t>(1)</w:t>
            </w:r>
          </w:p>
        </w:tc>
        <w:tc>
          <w:tcPr>
            <w:tcW w:w="1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w:t>
            </w:r>
          </w:p>
        </w:tc>
        <w:tc>
          <w:tcPr>
            <w:tcW w:w="186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0" w:type="dxa"/>
            <w:vAlign w:val="bottom"/>
            <w:gridSpan w:val="2"/>
            <w:vMerge w:val="continue"/>
            <w:shd w:val="clear" w:color="auto" w:fill="CCEEFF"/>
          </w:tcPr>
          <w:p>
            <w:pPr>
              <w:spacing w:after="0"/>
              <w:rPr>
                <w:sz w:val="20"/>
                <w:szCs w:val="20"/>
                <w:color w:val="auto"/>
              </w:rPr>
            </w:pPr>
          </w:p>
        </w:tc>
        <w:tc>
          <w:tcPr>
            <w:tcW w:w="1180" w:type="dxa"/>
            <w:vAlign w:val="bottom"/>
            <w:shd w:val="clear" w:color="auto" w:fill="CCEEFF"/>
          </w:tcPr>
          <w:p>
            <w:pPr>
              <w:jc w:val="right"/>
              <w:ind w:right="100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80" w:type="dxa"/>
            <w:vAlign w:val="bottom"/>
            <w:tcBorders>
              <w:right w:val="single" w:sz="8" w:color="CCEEFF"/>
            </w:tcBorders>
            <w:vMerge w:val="continue"/>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241,582</w:t>
            </w:r>
          </w:p>
        </w:tc>
        <w:tc>
          <w:tcPr>
            <w:tcW w:w="180" w:type="dxa"/>
            <w:vAlign w:val="bottom"/>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571,629</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80" w:type="dxa"/>
            <w:vAlign w:val="bottom"/>
            <w:tcBorders>
              <w:right w:val="single" w:sz="8" w:color="CCEEFF"/>
            </w:tcBorders>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241,582</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00" w:right="199" w:hanging="356"/>
        <w:spacing w:after="0" w:line="250" w:lineRule="auto"/>
        <w:tabs>
          <w:tab w:leader="none" w:pos="4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4,000 shares issuable pursuant to outstanding options under the 2011 Management Incentive Plan and 530,000 shares issuable pursuant to outstanding options under the 2020 Plan as of October 31, 2025. Includes 37,629 shares subject to outstanding RSUs issued under the 2020 Plan.</w:t>
      </w:r>
    </w:p>
    <w:p>
      <w:pPr>
        <w:spacing w:after="0" w:line="14" w:lineRule="exact"/>
        <w:rPr>
          <w:rFonts w:ascii="Times New Roman" w:cs="Times New Roman" w:eastAsia="Times New Roman" w:hAnsi="Times New Roman"/>
          <w:sz w:val="18"/>
          <w:szCs w:val="18"/>
          <w:color w:val="auto"/>
        </w:rPr>
      </w:pPr>
    </w:p>
    <w:p>
      <w:pPr>
        <w:ind w:left="400" w:right="159" w:hanging="356"/>
        <w:spacing w:after="0" w:line="250" w:lineRule="auto"/>
        <w:tabs>
          <w:tab w:leader="none" w:pos="4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Weighted-average exercise price based on 534,000 stock options outstanding, irrespective of vesting. Includes 37,629 shares subject to outstanding RSUs. RSUs do not have an exercise price and are therefore excluded from the weighted-average calculation.</w:t>
      </w:r>
    </w:p>
    <w:p>
      <w:pPr>
        <w:spacing w:after="0" w:line="14" w:lineRule="exact"/>
        <w:rPr>
          <w:rFonts w:ascii="Times New Roman" w:cs="Times New Roman" w:eastAsia="Times New Roman" w:hAnsi="Times New Roman"/>
          <w:sz w:val="18"/>
          <w:szCs w:val="18"/>
          <w:color w:val="auto"/>
        </w:rPr>
      </w:pPr>
    </w:p>
    <w:p>
      <w:pPr>
        <w:ind w:left="400" w:right="419" w:hanging="356"/>
        <w:spacing w:after="0" w:line="266" w:lineRule="auto"/>
        <w:tabs>
          <w:tab w:leader="none" w:pos="4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that may be issued pursuant to future awards under the 2020 Plan. This figure assumes for these purposes that none of the future awards are Full Value Awards under the 2020 Plan.</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35" w:lineRule="exact"/>
        <w:rPr>
          <w:sz w:val="20"/>
          <w:szCs w:val="20"/>
          <w:color w:val="auto"/>
        </w:rPr>
      </w:pPr>
    </w:p>
    <w:p>
      <w:pPr>
        <w:ind w:left="40" w:right="179" w:firstLine="259"/>
        <w:spacing w:after="0" w:line="233" w:lineRule="auto"/>
        <w:rPr>
          <w:sz w:val="20"/>
          <w:szCs w:val="20"/>
          <w:color w:val="auto"/>
        </w:rPr>
      </w:pPr>
      <w:r>
        <w:rPr>
          <w:rFonts w:ascii="Times New Roman" w:cs="Times New Roman" w:eastAsia="Times New Roman" w:hAnsi="Times New Roman"/>
          <w:sz w:val="18"/>
          <w:szCs w:val="18"/>
          <w:color w:val="auto"/>
        </w:rPr>
        <w:t>Our common stock is listed on NASDAQ. Under the rules of NASDAQ, a majority of the board of directors must be comprised of independent directors. In addition, the rules of NASDAQ require that, subject to specified exceptions, each member of a listed company’s audit, compensation and nominating and corporate governance committees be independent. Under the rules of NASDAQ, an “independent director” is a person other than an executive officer or employee of the Company or any other individual having a relationship which, in the opinion of the Company's board of directors, would interfere with the exercise of independent judgment in carrying out the responsibilities of a director. Audit committee members must also satisfy the additional independence criteria set forth in Rule 10A-3 under the Exchange Act and the rules of NASDAQ. Compensation committee members must also satisfy the additional independence criteria set forth in Rule 10C-1 under the Exchange Act and the rules of NASDAQ.</w:t>
      </w:r>
    </w:p>
    <w:p>
      <w:pPr>
        <w:spacing w:after="0" w:line="122" w:lineRule="exact"/>
        <w:rPr>
          <w:sz w:val="20"/>
          <w:szCs w:val="20"/>
          <w:color w:val="auto"/>
        </w:rPr>
      </w:pPr>
    </w:p>
    <w:p>
      <w:pPr>
        <w:ind w:left="40" w:right="199" w:firstLine="259"/>
        <w:spacing w:after="0" w:line="235" w:lineRule="auto"/>
        <w:rPr>
          <w:sz w:val="20"/>
          <w:szCs w:val="20"/>
          <w:color w:val="auto"/>
        </w:rPr>
      </w:pPr>
      <w:r>
        <w:rPr>
          <w:rFonts w:ascii="Times New Roman" w:cs="Times New Roman" w:eastAsia="Times New Roman" w:hAnsi="Times New Roman"/>
          <w:sz w:val="18"/>
          <w:szCs w:val="18"/>
          <w:color w:val="auto"/>
        </w:rPr>
        <w:t>In order to be considered independent for purposes of Rule 10A-3 under the Exchange Act and under the rules of NASDAQ, a member of an audit committee of a listed company may not, other than in his or her capacity as a member of the committee, the board of directors, or any other board committee: (1) accept, directly or indirectly, any consulting, advisory, or other compensatory fee from the company or any of its subsidiaries; or (2) be an affiliated person of the company or any of its subsidiaries.</w:t>
      </w:r>
    </w:p>
    <w:p>
      <w:pPr>
        <w:spacing w:after="0" w:line="121" w:lineRule="exact"/>
        <w:rPr>
          <w:sz w:val="20"/>
          <w:szCs w:val="20"/>
          <w:color w:val="auto"/>
        </w:rPr>
      </w:pPr>
    </w:p>
    <w:p>
      <w:pPr>
        <w:ind w:left="40" w:right="59" w:firstLine="259"/>
        <w:spacing w:after="0" w:line="235" w:lineRule="auto"/>
        <w:rPr>
          <w:sz w:val="20"/>
          <w:szCs w:val="20"/>
          <w:color w:val="auto"/>
        </w:rPr>
      </w:pPr>
      <w:r>
        <w:rPr>
          <w:rFonts w:ascii="Times New Roman" w:cs="Times New Roman" w:eastAsia="Times New Roman" w:hAnsi="Times New Roman"/>
          <w:sz w:val="18"/>
          <w:szCs w:val="18"/>
          <w:color w:val="auto"/>
        </w:rPr>
        <w:t>To be considered independent for purposes of Rule 10C-1 under the Exchange Act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66" w:lineRule="exact"/>
        <w:rPr>
          <w:sz w:val="20"/>
          <w:szCs w:val="20"/>
          <w:color w:val="auto"/>
        </w:rPr>
      </w:pPr>
    </w:p>
    <w:p>
      <w:pPr>
        <w:ind w:left="40" w:right="199" w:firstLine="259"/>
        <w:spacing w:after="0" w:line="238" w:lineRule="auto"/>
        <w:rPr>
          <w:sz w:val="20"/>
          <w:szCs w:val="20"/>
          <w:color w:val="auto"/>
        </w:rPr>
      </w:pPr>
      <w:r>
        <w:rPr>
          <w:rFonts w:ascii="Times New Roman" w:cs="Times New Roman" w:eastAsia="Times New Roman" w:hAnsi="Times New Roman"/>
          <w:sz w:val="18"/>
          <w:szCs w:val="18"/>
          <w:color w:val="auto"/>
        </w:rPr>
        <w:t>The Board has undertaken a review of the independence of each director and considered whether each of our directors has a material relationship which could interfere with the exercise of their independent judgement in carrying out their responsibilities as a director. As a result of this review, the Board has determined that six of the seven non-employee director members — Marc L. Brown, Michael A. DiGregorio, Kathleen Holmgren, Adriana Mendizabal, Steven Hollister, and Farha Aslam — are independent under applicable listing rules of NASDAQ and the applicable rules of the Exchange Act.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135" w:lineRule="exact"/>
        <w:rPr>
          <w:sz w:val="20"/>
          <w:szCs w:val="20"/>
          <w:color w:val="auto"/>
        </w:rPr>
      </w:pPr>
    </w:p>
    <w:p>
      <w:pPr>
        <w:ind w:left="40" w:right="99" w:firstLine="360"/>
        <w:spacing w:after="0" w:line="238" w:lineRule="auto"/>
        <w:rPr>
          <w:sz w:val="20"/>
          <w:szCs w:val="20"/>
          <w:color w:val="auto"/>
        </w:rPr>
      </w:pPr>
      <w:r>
        <w:rPr>
          <w:rFonts w:ascii="Times New Roman" w:cs="Times New Roman" w:eastAsia="Times New Roman" w:hAnsi="Times New Roman"/>
          <w:sz w:val="18"/>
          <w:szCs w:val="18"/>
          <w:color w:val="auto"/>
        </w:rPr>
        <w:t>Calavo has adopted a written policy governing the approval of transactions between Calavo and its directors, director nominees, executive officers, beneficial owners of more than 5% of our common stock, and their immediate family members when the transaction amount exceeds or is expected to exceed $120,000 in a single calendar year. Under this policy, the Audit Committee reviews and determines whether to approve or ratify such transactions, assessing whether they are in the best interests of Calavo. In making this determination, the Audit Committee considers, among other factors it deems relevant:</w:t>
      </w:r>
    </w:p>
    <w:p>
      <w:pPr>
        <w:spacing w:after="0" w:line="64" w:lineRule="exact"/>
        <w:rPr>
          <w:sz w:val="20"/>
          <w:szCs w:val="20"/>
          <w:color w:val="auto"/>
        </w:rPr>
      </w:pPr>
    </w:p>
    <w:p>
      <w:pPr>
        <w:ind w:left="580" w:hanging="185"/>
        <w:spacing w:after="0"/>
        <w:tabs>
          <w:tab w:leader="none" w:pos="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related person’s interest in the transaction;</w:t>
      </w:r>
    </w:p>
    <w:p>
      <w:pPr>
        <w:spacing w:after="0" w:line="103" w:lineRule="exact"/>
        <w:rPr>
          <w:rFonts w:ascii="Times New Roman" w:cs="Times New Roman" w:eastAsia="Times New Roman" w:hAnsi="Times New Roman"/>
          <w:sz w:val="18"/>
          <w:szCs w:val="18"/>
          <w:color w:val="auto"/>
        </w:rPr>
      </w:pPr>
    </w:p>
    <w:p>
      <w:pPr>
        <w:ind w:left="580" w:hanging="185"/>
        <w:spacing w:after="0"/>
        <w:tabs>
          <w:tab w:leader="none" w:pos="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is on terms generally available to an unaffiliated third party under similar circumstances;</w:t>
      </w:r>
    </w:p>
    <w:p>
      <w:pPr>
        <w:spacing w:after="0" w:line="103" w:lineRule="exact"/>
        <w:rPr>
          <w:rFonts w:ascii="Times New Roman" w:cs="Times New Roman" w:eastAsia="Times New Roman" w:hAnsi="Times New Roman"/>
          <w:sz w:val="18"/>
          <w:szCs w:val="18"/>
          <w:color w:val="auto"/>
        </w:rPr>
      </w:pPr>
    </w:p>
    <w:p>
      <w:pPr>
        <w:ind w:left="580" w:hanging="185"/>
        <w:spacing w:after="0"/>
        <w:tabs>
          <w:tab w:leader="none" w:pos="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to Calavo;</w:t>
      </w:r>
    </w:p>
    <w:p>
      <w:pPr>
        <w:spacing w:after="0" w:line="103" w:lineRule="exact"/>
        <w:rPr>
          <w:rFonts w:ascii="Times New Roman" w:cs="Times New Roman" w:eastAsia="Times New Roman" w:hAnsi="Times New Roman"/>
          <w:sz w:val="18"/>
          <w:szCs w:val="18"/>
          <w:color w:val="auto"/>
        </w:rPr>
      </w:pPr>
    </w:p>
    <w:p>
      <w:pPr>
        <w:ind w:left="580" w:right="279" w:hanging="185"/>
        <w:spacing w:after="0" w:line="266" w:lineRule="auto"/>
        <w:tabs>
          <w:tab w:leader="none" w:pos="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or potential impact on a director’s independence if the related party is a director, an immediate family member of a director, or an entity in which a director is a partner, shareholder, or executive officer;</w:t>
      </w:r>
    </w:p>
    <w:p>
      <w:pPr>
        <w:spacing w:after="0" w:line="40" w:lineRule="exact"/>
        <w:rPr>
          <w:rFonts w:ascii="Times New Roman" w:cs="Times New Roman" w:eastAsia="Times New Roman" w:hAnsi="Times New Roman"/>
          <w:sz w:val="18"/>
          <w:szCs w:val="18"/>
          <w:color w:val="auto"/>
        </w:rPr>
      </w:pPr>
    </w:p>
    <w:p>
      <w:pPr>
        <w:ind w:left="580" w:hanging="185"/>
        <w:spacing w:after="0"/>
        <w:tabs>
          <w:tab w:leader="none" w:pos="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comparable products or services from other sources; and</w:t>
      </w:r>
    </w:p>
    <w:p>
      <w:pPr>
        <w:spacing w:after="0" w:line="103" w:lineRule="exact"/>
        <w:rPr>
          <w:rFonts w:ascii="Times New Roman" w:cs="Times New Roman" w:eastAsia="Times New Roman" w:hAnsi="Times New Roman"/>
          <w:sz w:val="18"/>
          <w:szCs w:val="18"/>
          <w:color w:val="auto"/>
        </w:rPr>
      </w:pPr>
    </w:p>
    <w:p>
      <w:pPr>
        <w:ind w:left="580" w:hanging="185"/>
        <w:spacing w:after="0"/>
        <w:tabs>
          <w:tab w:leader="none" w:pos="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terms of the transaction.</w:t>
      </w:r>
    </w:p>
    <w:p>
      <w:pPr>
        <w:spacing w:after="0" w:line="144" w:lineRule="exact"/>
        <w:rPr>
          <w:sz w:val="20"/>
          <w:szCs w:val="20"/>
          <w:color w:val="auto"/>
        </w:rPr>
      </w:pPr>
    </w:p>
    <w:p>
      <w:pPr>
        <w:jc w:val="both"/>
        <w:ind w:left="40" w:right="399" w:firstLine="360"/>
        <w:spacing w:after="0" w:line="242" w:lineRule="auto"/>
        <w:rPr>
          <w:sz w:val="20"/>
          <w:szCs w:val="20"/>
          <w:color w:val="auto"/>
        </w:rPr>
      </w:pPr>
      <w:r>
        <w:rPr>
          <w:rFonts w:ascii="Times New Roman" w:cs="Times New Roman" w:eastAsia="Times New Roman" w:hAnsi="Times New Roman"/>
          <w:sz w:val="18"/>
          <w:szCs w:val="18"/>
          <w:color w:val="auto"/>
        </w:rPr>
        <w:t>The Audit Committee has delegated authority to its chair to pre-approve or ratify transactions where the aggregate amount involved is expected to be less than $200,000. Any transactions pre-approved by the chair are summarized and presented to the full Board at its regularly scheduled meetings.</w:t>
      </w:r>
    </w:p>
    <w:p>
      <w:pPr>
        <w:spacing w:after="0" w:line="116" w:lineRule="exact"/>
        <w:rPr>
          <w:sz w:val="20"/>
          <w:szCs w:val="20"/>
          <w:color w:val="auto"/>
        </w:rPr>
      </w:pPr>
    </w:p>
    <w:p>
      <w:pPr>
        <w:ind w:left="40" w:right="359" w:firstLine="360"/>
        <w:spacing w:after="0" w:line="250" w:lineRule="auto"/>
        <w:rPr>
          <w:sz w:val="20"/>
          <w:szCs w:val="20"/>
          <w:color w:val="auto"/>
        </w:rPr>
      </w:pPr>
      <w:r>
        <w:rPr>
          <w:rFonts w:ascii="Times New Roman" w:cs="Times New Roman" w:eastAsia="Times New Roman" w:hAnsi="Times New Roman"/>
          <w:sz w:val="18"/>
          <w:szCs w:val="18"/>
          <w:color w:val="auto"/>
        </w:rPr>
        <w:t>The Audit Committee has also adopted standing pre-approval under the policy for certain limited transactions with related persons. These pre-approved transactions include:</w:t>
      </w:r>
    </w:p>
    <w:p>
      <w:pPr>
        <w:spacing w:after="0" w:line="95" w:lineRule="exact"/>
        <w:rPr>
          <w:sz w:val="20"/>
          <w:szCs w:val="20"/>
          <w:color w:val="auto"/>
        </w:rPr>
      </w:pPr>
    </w:p>
    <w:p>
      <w:pPr>
        <w:ind w:left="740" w:hanging="345"/>
        <w:spacing w:after="0"/>
        <w:tabs>
          <w:tab w:leader="none" w:pos="7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compensation approved by the Board or the Compensation Committee.</w:t>
      </w:r>
    </w:p>
    <w:p>
      <w:pPr>
        <w:spacing w:after="0" w:line="130" w:lineRule="exact"/>
        <w:rPr>
          <w:rFonts w:ascii="Times New Roman" w:cs="Times New Roman" w:eastAsia="Times New Roman" w:hAnsi="Times New Roman"/>
          <w:sz w:val="18"/>
          <w:szCs w:val="18"/>
          <w:color w:val="auto"/>
        </w:rPr>
      </w:pPr>
    </w:p>
    <w:p>
      <w:pPr>
        <w:ind w:left="740" w:right="259" w:hanging="345"/>
        <w:spacing w:after="0" w:line="250" w:lineRule="auto"/>
        <w:tabs>
          <w:tab w:leader="none" w:pos="7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valued at the lesser of $200,000 or 2% of the other company’s consolidated gross revenues, where the related person’s interest is solely as an employee (other than an executive officer), director, or a beneficial owner of less than 10% of the other company’s shares.</w:t>
      </w:r>
    </w:p>
    <w:p>
      <w:pPr>
        <w:spacing w:after="0" w:line="95" w:lineRule="exact"/>
        <w:rPr>
          <w:rFonts w:ascii="Times New Roman" w:cs="Times New Roman" w:eastAsia="Times New Roman" w:hAnsi="Times New Roman"/>
          <w:sz w:val="18"/>
          <w:szCs w:val="18"/>
          <w:color w:val="auto"/>
        </w:rPr>
      </w:pPr>
    </w:p>
    <w:p>
      <w:pPr>
        <w:ind w:left="740" w:hanging="345"/>
        <w:spacing w:after="0"/>
        <w:tabs>
          <w:tab w:leader="none" w:pos="7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which all shareholders receive proportional benefits.</w:t>
      </w:r>
    </w:p>
    <w:p>
      <w:pPr>
        <w:spacing w:after="0" w:line="130" w:lineRule="exact"/>
        <w:rPr>
          <w:rFonts w:ascii="Times New Roman" w:cs="Times New Roman" w:eastAsia="Times New Roman" w:hAnsi="Times New Roman"/>
          <w:sz w:val="18"/>
          <w:szCs w:val="18"/>
          <w:color w:val="auto"/>
        </w:rPr>
      </w:pPr>
    </w:p>
    <w:p>
      <w:pPr>
        <w:ind w:left="740" w:hanging="345"/>
        <w:spacing w:after="0"/>
        <w:tabs>
          <w:tab w:leader="none" w:pos="7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Avocados delivered to us from our directors under customary marketing agreements, as discussed below.</w:t>
      </w:r>
    </w:p>
    <w:p>
      <w:pPr>
        <w:spacing w:after="0" w:line="130" w:lineRule="exact"/>
        <w:rPr>
          <w:rFonts w:ascii="Times New Roman" w:cs="Times New Roman" w:eastAsia="Times New Roman" w:hAnsi="Times New Roman"/>
          <w:sz w:val="18"/>
          <w:szCs w:val="18"/>
          <w:color w:val="auto"/>
        </w:rPr>
      </w:pPr>
    </w:p>
    <w:p>
      <w:pPr>
        <w:ind w:left="40" w:right="59" w:firstLine="259"/>
        <w:spacing w:after="0" w:line="2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Link Leavens, a director of Calavo and Lecil Cole, the former chief executive officer of Calavo, are controlling shareholders of, and/or serve as partners, executive officers, and/or employees of entities that marketed in excess of $120,000 per year of avocados through us under customary marketing agreements during fiscal year 2025. During fiscal year 2025, we paid the following amounts to Mr. Leavens, Mr. Cole or to an affiliated entity for avocados marketed through us:</w:t>
      </w:r>
    </w:p>
    <w:p>
      <w:pPr>
        <w:spacing w:after="0" w:line="10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Amounts paid to</w:t>
            </w:r>
          </w:p>
        </w:tc>
        <w:tc>
          <w:tcPr>
            <w:tcW w:w="0" w:type="dxa"/>
            <w:vAlign w:val="bottom"/>
          </w:tcPr>
          <w:p>
            <w:pPr>
              <w:spacing w:after="0"/>
              <w:rPr>
                <w:sz w:val="1"/>
                <w:szCs w:val="1"/>
                <w:color w:val="auto"/>
              </w:rPr>
            </w:pPr>
          </w:p>
        </w:tc>
      </w:tr>
      <w:tr>
        <w:trPr>
          <w:trHeight w:val="137"/>
        </w:trPr>
        <w:tc>
          <w:tcPr>
            <w:tcW w:w="6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director, officer or affiliated</w:t>
            </w:r>
          </w:p>
        </w:tc>
        <w:tc>
          <w:tcPr>
            <w:tcW w:w="0" w:type="dxa"/>
            <w:vAlign w:val="bottom"/>
          </w:tcPr>
          <w:p>
            <w:pPr>
              <w:spacing w:after="0"/>
              <w:rPr>
                <w:sz w:val="1"/>
                <w:szCs w:val="1"/>
                <w:color w:val="auto"/>
              </w:rPr>
            </w:pPr>
          </w:p>
        </w:tc>
      </w:tr>
      <w:tr>
        <w:trPr>
          <w:trHeight w:val="160"/>
        </w:trPr>
        <w:tc>
          <w:tcPr>
            <w:tcW w:w="6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Director</w:t>
            </w:r>
          </w:p>
        </w:tc>
        <w:tc>
          <w:tcPr>
            <w:tcW w:w="300" w:type="dxa"/>
            <w:vAlign w:val="bottom"/>
            <w:gridSpan w:val="2"/>
          </w:tcPr>
          <w:p>
            <w:pPr>
              <w:jc w:val="right"/>
              <w:ind w:right="82"/>
              <w:spacing w:after="0" w:line="160" w:lineRule="exact"/>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center"/>
              <w:ind w:right="81"/>
              <w:spacing w:after="0" w:line="160" w:lineRule="exact"/>
              <w:rPr>
                <w:sz w:val="20"/>
                <w:szCs w:val="20"/>
                <w:color w:val="auto"/>
              </w:rPr>
            </w:pPr>
            <w:r>
              <w:rPr>
                <w:rFonts w:ascii="Times New Roman" w:cs="Times New Roman" w:eastAsia="Times New Roman" w:hAnsi="Times New Roman"/>
                <w:sz w:val="14"/>
                <w:szCs w:val="14"/>
                <w:b w:val="1"/>
                <w:bCs w:val="1"/>
                <w:color w:val="auto"/>
              </w:rPr>
              <w:t>entity pursuant to</w:t>
            </w:r>
          </w:p>
        </w:tc>
        <w:tc>
          <w:tcPr>
            <w:tcW w:w="0" w:type="dxa"/>
            <w:vAlign w:val="bottom"/>
          </w:tcPr>
          <w:p>
            <w:pPr>
              <w:spacing w:after="0"/>
              <w:rPr>
                <w:sz w:val="1"/>
                <w:szCs w:val="1"/>
                <w:color w:val="auto"/>
              </w:rPr>
            </w:pPr>
          </w:p>
        </w:tc>
      </w:tr>
      <w:tr>
        <w:trPr>
          <w:trHeight w:val="175"/>
        </w:trPr>
        <w:tc>
          <w:tcPr>
            <w:tcW w:w="6400" w:type="dxa"/>
            <w:vAlign w:val="bottom"/>
            <w:vMerge w:val="continue"/>
          </w:tcPr>
          <w:p>
            <w:pPr>
              <w:spacing w:after="0"/>
              <w:rPr>
                <w:sz w:val="15"/>
                <w:szCs w:val="15"/>
                <w:color w:val="auto"/>
              </w:rPr>
            </w:pPr>
          </w:p>
        </w:tc>
        <w:tc>
          <w:tcPr>
            <w:tcW w:w="30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marketing agreements</w:t>
            </w:r>
          </w:p>
        </w:tc>
        <w:tc>
          <w:tcPr>
            <w:tcW w:w="0" w:type="dxa"/>
            <w:vAlign w:val="bottom"/>
          </w:tcPr>
          <w:p>
            <w:pPr>
              <w:spacing w:after="0"/>
              <w:rPr>
                <w:sz w:val="1"/>
                <w:szCs w:val="1"/>
                <w:color w:val="auto"/>
              </w:rPr>
            </w:pPr>
          </w:p>
        </w:tc>
      </w:tr>
      <w:tr>
        <w:trPr>
          <w:trHeight w:val="210"/>
        </w:trPr>
        <w:tc>
          <w:tcPr>
            <w:tcW w:w="6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 Link Leavens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5,416,160</w:t>
            </w: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Lecil Cole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8,225,002</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0" w:right="559" w:firstLine="259"/>
        <w:spacing w:after="0" w:line="250" w:lineRule="auto"/>
        <w:rPr>
          <w:sz w:val="20"/>
          <w:szCs w:val="20"/>
          <w:color w:val="auto"/>
        </w:rPr>
      </w:pPr>
      <w:r>
        <w:rPr>
          <w:rFonts w:ascii="Times New Roman" w:cs="Times New Roman" w:eastAsia="Times New Roman" w:hAnsi="Times New Roman"/>
          <w:sz w:val="18"/>
          <w:szCs w:val="18"/>
          <w:color w:val="auto"/>
        </w:rPr>
        <w:t>As of October 31, 2025, the Company had outstanding amounts of $34,459 payable to members of the Board and $527,655 payable to Mr. Cole.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PRINCIPAL AUDITOR FEES AND SERVICES</w:t>
      </w:r>
    </w:p>
    <w:p>
      <w:pPr>
        <w:spacing w:after="0" w:line="135" w:lineRule="exact"/>
        <w:rPr>
          <w:sz w:val="20"/>
          <w:szCs w:val="20"/>
          <w:color w:val="auto"/>
        </w:rPr>
      </w:pPr>
    </w:p>
    <w:p>
      <w:pPr>
        <w:ind w:left="40" w:right="279" w:firstLine="259"/>
        <w:spacing w:after="0" w:line="266" w:lineRule="auto"/>
        <w:rPr>
          <w:sz w:val="20"/>
          <w:szCs w:val="20"/>
          <w:color w:val="auto"/>
        </w:rPr>
      </w:pPr>
      <w:r>
        <w:rPr>
          <w:rFonts w:ascii="Times New Roman" w:cs="Times New Roman" w:eastAsia="Times New Roman" w:hAnsi="Times New Roman"/>
          <w:sz w:val="18"/>
          <w:szCs w:val="18"/>
          <w:color w:val="auto"/>
        </w:rPr>
        <w:t>The Audit Committee appointed Deloitte &amp; Touche LLP as our independent registered public accounting firm for the fiscal year ended October 31, 2025.</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Audit, Audit-Related, Tax and All Other Fees Incurred by Calavo Growers, Inc. to Deloitte &amp; Touche LLP</w:t>
      </w:r>
    </w:p>
    <w:p>
      <w:pPr>
        <w:spacing w:after="0" w:line="148" w:lineRule="exact"/>
        <w:rPr>
          <w:sz w:val="20"/>
          <w:szCs w:val="20"/>
          <w:color w:val="auto"/>
        </w:rPr>
      </w:pPr>
    </w:p>
    <w:p>
      <w:pPr>
        <w:ind w:left="40" w:right="319" w:firstLine="259"/>
        <w:spacing w:after="0" w:line="250" w:lineRule="auto"/>
        <w:rPr>
          <w:sz w:val="20"/>
          <w:szCs w:val="20"/>
          <w:color w:val="auto"/>
        </w:rPr>
      </w:pPr>
      <w:r>
        <w:rPr>
          <w:rFonts w:ascii="Times New Roman" w:cs="Times New Roman" w:eastAsia="Times New Roman" w:hAnsi="Times New Roman"/>
          <w:sz w:val="18"/>
          <w:szCs w:val="18"/>
          <w:color w:val="auto"/>
        </w:rPr>
        <w:t>The following table shows the fees paid or accrued by us for audit and other services provided by Deloitte &amp; Touche LLP for fiscal 2025 and 2024 (in thousands):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2240" w:type="dxa"/>
            <w:vAlign w:val="bottom"/>
          </w:tcPr>
          <w:p>
            <w:pPr>
              <w:spacing w:after="0"/>
              <w:rPr>
                <w:sz w:val="16"/>
                <w:szCs w:val="16"/>
                <w:color w:val="auto"/>
              </w:rPr>
            </w:pPr>
          </w:p>
        </w:tc>
        <w:tc>
          <w:tcPr>
            <w:tcW w:w="4540" w:type="dxa"/>
            <w:vAlign w:val="bottom"/>
          </w:tcPr>
          <w:p>
            <w:pPr>
              <w:ind w:left="44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78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4"/>
                <w:szCs w:val="24"/>
                <w:color w:val="auto"/>
                <w:vertAlign w:val="superscript"/>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5"/>
                <w:szCs w:val="25"/>
                <w:color w:val="auto"/>
                <w:vertAlign w:val="superscript"/>
              </w:rPr>
              <w:t>(2)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6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r>
      <w:tr>
        <w:trPr>
          <w:trHeight w:val="20"/>
        </w:trPr>
        <w:tc>
          <w:tcPr>
            <w:tcW w:w="22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4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r>
    </w:tbl>
    <w:p>
      <w:pPr>
        <w:spacing w:after="0" w:line="117" w:lineRule="exact"/>
        <w:rPr>
          <w:sz w:val="20"/>
          <w:szCs w:val="20"/>
          <w:color w:val="auto"/>
        </w:rPr>
      </w:pPr>
    </w:p>
    <w:p>
      <w:pPr>
        <w:jc w:val="both"/>
        <w:ind w:left="400" w:right="299" w:hanging="356"/>
        <w:spacing w:after="0" w:line="250" w:lineRule="auto"/>
        <w:tabs>
          <w:tab w:leader="none" w:pos="4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represent fees for professional services provided in connection with the audit of our financial statements, the audit of internal control over financial reporting, review of our quarterly financial statements and audit services provided in connection with other statutory or regulatory filings.</w:t>
      </w:r>
    </w:p>
    <w:p>
      <w:pPr>
        <w:spacing w:after="0" w:line="14" w:lineRule="exact"/>
        <w:rPr>
          <w:rFonts w:ascii="Times New Roman" w:cs="Times New Roman" w:eastAsia="Times New Roman" w:hAnsi="Times New Roman"/>
          <w:sz w:val="18"/>
          <w:szCs w:val="18"/>
          <w:color w:val="auto"/>
        </w:rPr>
      </w:pPr>
    </w:p>
    <w:p>
      <w:pPr>
        <w:ind w:left="400" w:right="119" w:hanging="356"/>
        <w:spacing w:after="0" w:line="250" w:lineRule="auto"/>
        <w:tabs>
          <w:tab w:leader="none" w:pos="4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year 2025, tax fees principally included tax compliance fees of approximately $269,000, and tax advice fees totaling approximately $125,000. For fiscal year 2024, tax fees principally included tax compliance fees of approximately $224,000, and tax advice fees totaling approximately $118,000.</w:t>
      </w:r>
    </w:p>
    <w:p>
      <w:pPr>
        <w:spacing w:after="0" w:line="96" w:lineRule="exact"/>
        <w:rPr>
          <w:sz w:val="20"/>
          <w:szCs w:val="20"/>
          <w:color w:val="auto"/>
        </w:rPr>
      </w:pPr>
    </w:p>
    <w:p>
      <w:pPr>
        <w:ind w:left="40" w:right="139" w:firstLine="259"/>
        <w:spacing w:after="0"/>
        <w:rPr>
          <w:sz w:val="20"/>
          <w:szCs w:val="20"/>
          <w:color w:val="auto"/>
        </w:rPr>
      </w:pPr>
      <w:r>
        <w:rPr>
          <w:rFonts w:ascii="Times New Roman" w:cs="Times New Roman" w:eastAsia="Times New Roman" w:hAnsi="Times New Roman"/>
          <w:sz w:val="18"/>
          <w:szCs w:val="18"/>
          <w:color w:val="auto"/>
        </w:rPr>
        <w:t>All services rendered by Deloitte &amp; Touche LLP were approved by the Audit Committee. The Audit Committee has adopted an approval policy that requires the pre-approval by the Audit Committee of all services to be performed for us by Deloitte &amp; Touche LLP. The Audit Committee has concluded the provision of the non-audit services listed above is compatible with maintaining the independence of Deloitte &amp; Touche LLP.</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40" w:right="79" w:firstLine="259"/>
        <w:spacing w:after="0" w:line="282" w:lineRule="auto"/>
        <w:rPr>
          <w:sz w:val="20"/>
          <w:szCs w:val="20"/>
          <w:color w:val="auto"/>
        </w:rPr>
      </w:pPr>
      <w:r>
        <w:rPr>
          <w:rFonts w:ascii="Times New Roman" w:cs="Times New Roman" w:eastAsia="Times New Roman" w:hAnsi="Times New Roman"/>
          <w:sz w:val="18"/>
          <w:szCs w:val="18"/>
          <w:color w:val="auto"/>
        </w:rPr>
        <w:t>This Amendment to the Original Form 10-K is being filed solely to include the information required by Part III of Form 10-K.</w:t>
      </w:r>
    </w:p>
    <w:p>
      <w:pPr>
        <w:spacing w:after="0" w:line="162" w:lineRule="exact"/>
        <w:rPr>
          <w:sz w:val="20"/>
          <w:szCs w:val="20"/>
          <w:color w:val="auto"/>
        </w:rPr>
      </w:pPr>
    </w:p>
    <w:p>
      <w:pPr>
        <w:ind w:left="40" w:right="79" w:firstLine="259"/>
        <w:spacing w:after="0" w:line="266" w:lineRule="auto"/>
        <w:rPr>
          <w:sz w:val="20"/>
          <w:szCs w:val="20"/>
          <w:color w:val="auto"/>
        </w:rPr>
      </w:pPr>
      <w:r>
        <w:rPr>
          <w:rFonts w:ascii="Times New Roman" w:cs="Times New Roman" w:eastAsia="Times New Roman" w:hAnsi="Times New Roman"/>
          <w:sz w:val="18"/>
          <w:szCs w:val="18"/>
          <w:color w:val="auto"/>
        </w:rPr>
        <w:t>Except as expressly set forth in this Amendment, the Company’s Original Form 10-K, filed with the SEC on January 14, 2026, remains unchanged and continues to speak as of the date of the original filing. This Amendment does not modify or update the financial statements, exhibits, or any other disclosures contained in the Original Form 10-K.</w:t>
      </w:r>
    </w:p>
    <w:p>
      <w:pPr>
        <w:spacing w:after="0" w:line="172" w:lineRule="exact"/>
        <w:rPr>
          <w:sz w:val="20"/>
          <w:szCs w:val="20"/>
          <w:color w:val="auto"/>
        </w:rPr>
      </w:pPr>
    </w:p>
    <w:p>
      <w:pPr>
        <w:ind w:left="660" w:hanging="333"/>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the “Exhibit Index” on pages 44 - 46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940" w:type="dxa"/>
            <w:vAlign w:val="bottom"/>
          </w:tcPr>
          <w:p>
            <w:pPr>
              <w:ind w:left="29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4"/>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0"/>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7"/>
                <w:szCs w:val="17"/>
                <w:color w:val="auto"/>
              </w:rPr>
            </w:pPr>
          </w:p>
        </w:tc>
        <w:tc>
          <w:tcPr>
            <w:tcW w:w="7940" w:type="dxa"/>
            <w:vAlign w:val="bottom"/>
            <w:tcBorders>
              <w:bottom w:val="single" w:sz="8" w:color="auto"/>
            </w:tcBorders>
          </w:tcPr>
          <w:p>
            <w:pPr>
              <w:ind w:left="3620"/>
              <w:spacing w:after="0"/>
              <w:rPr>
                <w:sz w:val="20"/>
                <w:szCs w:val="20"/>
                <w:color w:val="auto"/>
              </w:rPr>
            </w:pPr>
            <w:r>
              <w:rPr>
                <w:rFonts w:ascii="Times New Roman" w:cs="Times New Roman" w:eastAsia="Times New Roman" w:hAnsi="Times New Roman"/>
                <w:sz w:val="14"/>
                <w:szCs w:val="14"/>
                <w:b w:val="1"/>
                <w:bCs w:val="1"/>
                <w:color w:val="auto"/>
              </w:rPr>
              <w:t>Description</w:t>
            </w:r>
          </w:p>
        </w:tc>
      </w:tr>
    </w:tbl>
    <w:p>
      <w:pPr>
        <w:spacing w:after="0" w:line="157" w:lineRule="exact"/>
        <w:rPr>
          <w:sz w:val="20"/>
          <w:szCs w:val="20"/>
          <w:color w:val="auto"/>
        </w:rPr>
      </w:pPr>
    </w:p>
    <w:p>
      <w:pPr>
        <w:ind w:left="1020" w:right="59" w:hanging="494"/>
        <w:spacing w:after="0" w:line="267"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60">
        <w:r>
          <w:rPr>
            <w:rFonts w:ascii="Times New Roman" w:cs="Times New Roman" w:eastAsia="Times New Roman" w:hAnsi="Times New Roman"/>
            <w:sz w:val="18"/>
            <w:szCs w:val="18"/>
            <w:u w:val="single" w:color="auto"/>
            <w:color w:val="0000EE"/>
          </w:rPr>
          <w:t>Agreement and Plan of Merger and Reorganization dated as of February 20, 2001 between Calavo Growers,</w:t>
        </w:r>
      </w:hyperlink>
      <w:r>
        <w:rPr>
          <w:rFonts w:ascii="Times New Roman" w:cs="Times New Roman" w:eastAsia="Times New Roman" w:hAnsi="Times New Roman"/>
          <w:sz w:val="18"/>
          <w:szCs w:val="18"/>
          <w:u w:val="single" w:color="auto"/>
          <w:color w:val="0000EE"/>
        </w:rPr>
        <w:t xml:space="preserve"> </w:t>
      </w:r>
      <w:hyperlink r:id="rId60">
        <w:r>
          <w:rPr>
            <w:rFonts w:ascii="Times New Roman" w:cs="Times New Roman" w:eastAsia="Times New Roman" w:hAnsi="Times New Roman"/>
            <w:sz w:val="18"/>
            <w:szCs w:val="18"/>
            <w:u w:val="single" w:color="auto"/>
            <w:color w:val="0000EE"/>
          </w:rPr>
          <w:t>Inc. and Calavo Growers of California. (incorporated by reference to Exhibit 2.1 to the Registration Statement</w:t>
        </w:r>
      </w:hyperlink>
      <w:r>
        <w:rPr>
          <w:rFonts w:ascii="Times New Roman" w:cs="Times New Roman" w:eastAsia="Times New Roman" w:hAnsi="Times New Roman"/>
          <w:sz w:val="18"/>
          <w:szCs w:val="18"/>
          <w:u w:val="single" w:color="auto"/>
          <w:color w:val="0000EE"/>
        </w:rPr>
        <w:t xml:space="preserve"> </w:t>
      </w:r>
      <w:hyperlink r:id="rId60">
        <w:r>
          <w:rPr>
            <w:rFonts w:ascii="Times New Roman" w:cs="Times New Roman" w:eastAsia="Times New Roman" w:hAnsi="Times New Roman"/>
            <w:sz w:val="18"/>
            <w:szCs w:val="18"/>
            <w:u w:val="single" w:color="auto"/>
            <w:color w:val="0000EE"/>
          </w:rPr>
          <w:t>on Form S-4 (File No. 333-59418 filed by the Registrant on April 24, 2001)</w:t>
        </w:r>
      </w:hyperlink>
    </w:p>
    <w:p>
      <w:pPr>
        <w:spacing w:after="0" w:line="3" w:lineRule="exact"/>
        <w:rPr>
          <w:rFonts w:ascii="Times New Roman" w:cs="Times New Roman" w:eastAsia="Times New Roman" w:hAnsi="Times New Roman"/>
          <w:sz w:val="18"/>
          <w:szCs w:val="18"/>
          <w:u w:val="single" w:color="auto"/>
          <w:color w:val="0000EE"/>
        </w:rPr>
      </w:pPr>
    </w:p>
    <w:p>
      <w:pPr>
        <w:ind w:left="1020" w:right="319" w:hanging="494"/>
        <w:spacing w:after="0" w:line="258"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2.2</w:t>
      </w:r>
      <w:r>
        <w:rPr>
          <w:sz w:val="20"/>
          <w:szCs w:val="20"/>
          <w:color w:val="auto"/>
        </w:rPr>
        <w:tab/>
      </w:r>
      <w:hyperlink r:id="rId61">
        <w:r>
          <w:rPr>
            <w:rFonts w:ascii="Times New Roman" w:cs="Times New Roman" w:eastAsia="Times New Roman" w:hAnsi="Times New Roman"/>
            <w:sz w:val="18"/>
            <w:szCs w:val="18"/>
            <w:u w:val="single" w:color="auto"/>
            <w:color w:val="0000EE"/>
          </w:rPr>
          <w:t>Agreement and Plan of Merger dated as of November 7, 2003 among Calavo Growers, Inc., Calavo</w:t>
        </w:r>
      </w:hyperlink>
      <w:r>
        <w:rPr>
          <w:rFonts w:ascii="Times New Roman" w:cs="Times New Roman" w:eastAsia="Times New Roman" w:hAnsi="Times New Roman"/>
          <w:sz w:val="18"/>
          <w:szCs w:val="18"/>
          <w:u w:val="single" w:color="auto"/>
          <w:color w:val="0000EE"/>
        </w:rPr>
        <w:t xml:space="preserve"> </w:t>
      </w:r>
      <w:hyperlink r:id="rId61">
        <w:r>
          <w:rPr>
            <w:rFonts w:ascii="Times New Roman" w:cs="Times New Roman" w:eastAsia="Times New Roman" w:hAnsi="Times New Roman"/>
            <w:sz w:val="18"/>
            <w:szCs w:val="18"/>
            <w:u w:val="single" w:color="auto"/>
            <w:color w:val="0000EE"/>
          </w:rPr>
          <w:t>Acquisition Inc., Maui Fresh International, Inc. and Arthur J. Bruno, Robert J. Bruno and Javier J. Badillo.</w:t>
        </w:r>
      </w:hyperlink>
      <w:r>
        <w:rPr>
          <w:rFonts w:ascii="Times New Roman" w:cs="Times New Roman" w:eastAsia="Times New Roman" w:hAnsi="Times New Roman"/>
          <w:sz w:val="18"/>
          <w:szCs w:val="18"/>
          <w:u w:val="single" w:color="auto"/>
          <w:color w:val="0000EE"/>
        </w:rPr>
        <w:t xml:space="preserve"> </w:t>
      </w:r>
      <w:hyperlink r:id="rId61">
        <w:r>
          <w:rPr>
            <w:rFonts w:ascii="Times New Roman" w:cs="Times New Roman" w:eastAsia="Times New Roman" w:hAnsi="Times New Roman"/>
            <w:sz w:val="18"/>
            <w:szCs w:val="18"/>
            <w:u w:val="single" w:color="auto"/>
            <w:color w:val="0000EE"/>
          </w:rPr>
          <w:t>(incorporated by reference to Exhibit 2.2 to the Annual Report on Form 10-K filed by the Registrant on</w:t>
        </w:r>
      </w:hyperlink>
      <w:r>
        <w:rPr>
          <w:rFonts w:ascii="Times New Roman" w:cs="Times New Roman" w:eastAsia="Times New Roman" w:hAnsi="Times New Roman"/>
          <w:sz w:val="18"/>
          <w:szCs w:val="18"/>
          <w:u w:val="single" w:color="auto"/>
          <w:color w:val="0000EE"/>
        </w:rPr>
        <w:t xml:space="preserve"> </w:t>
      </w:r>
      <w:hyperlink r:id="rId61">
        <w:r>
          <w:rPr>
            <w:rFonts w:ascii="Times New Roman" w:cs="Times New Roman" w:eastAsia="Times New Roman" w:hAnsi="Times New Roman"/>
            <w:sz w:val="18"/>
            <w:szCs w:val="18"/>
            <w:u w:val="single" w:color="auto"/>
            <w:color w:val="0000EE"/>
          </w:rPr>
          <w:t>January 23, 2004)</w:t>
        </w:r>
      </w:hyperlink>
    </w:p>
    <w:p>
      <w:pPr>
        <w:spacing w:after="0" w:line="1" w:lineRule="exact"/>
        <w:rPr>
          <w:rFonts w:ascii="Times New Roman" w:cs="Times New Roman" w:eastAsia="Times New Roman" w:hAnsi="Times New Roman"/>
          <w:sz w:val="18"/>
          <w:szCs w:val="18"/>
          <w:u w:val="single" w:color="auto"/>
          <w:color w:val="0000EE"/>
        </w:rPr>
      </w:pPr>
    </w:p>
    <w:p>
      <w:pPr>
        <w:ind w:left="1020" w:right="339" w:hanging="494"/>
        <w:spacing w:after="0" w:line="262"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2.3</w:t>
      </w:r>
      <w:r>
        <w:rPr>
          <w:sz w:val="20"/>
          <w:szCs w:val="20"/>
          <w:color w:val="auto"/>
        </w:rPr>
        <w:tab/>
      </w:r>
      <w:hyperlink r:id="rId62">
        <w:r>
          <w:rPr>
            <w:rFonts w:ascii="Times New Roman" w:cs="Times New Roman" w:eastAsia="Times New Roman" w:hAnsi="Times New Roman"/>
            <w:sz w:val="18"/>
            <w:szCs w:val="18"/>
            <w:u w:val="single" w:color="auto"/>
            <w:color w:val="0000EE"/>
          </w:rPr>
          <w:t>Acquisition Agreement between Calavo Growers, Inc., a California corporation and Lecil E. Cole, Eric</w:t>
        </w:r>
      </w:hyperlink>
      <w:r>
        <w:rPr>
          <w:rFonts w:ascii="Times New Roman" w:cs="Times New Roman" w:eastAsia="Times New Roman" w:hAnsi="Times New Roman"/>
          <w:sz w:val="18"/>
          <w:szCs w:val="18"/>
          <w:u w:val="single" w:color="auto"/>
          <w:color w:val="0000EE"/>
        </w:rPr>
        <w:t xml:space="preserve"> </w:t>
      </w:r>
      <w:hyperlink r:id="rId62">
        <w:r>
          <w:rPr>
            <w:rFonts w:ascii="Times New Roman" w:cs="Times New Roman" w:eastAsia="Times New Roman" w:hAnsi="Times New Roman"/>
            <w:sz w:val="18"/>
            <w:szCs w:val="18"/>
            <w:u w:val="single" w:color="auto"/>
            <w:color w:val="0000EE"/>
          </w:rPr>
          <w:t>Weinert, Suzanne Cole-Savard, Guy Cole, and Lecil E. Cole and Mary Jeanette Cole, acting jointly and</w:t>
        </w:r>
      </w:hyperlink>
      <w:r>
        <w:rPr>
          <w:rFonts w:ascii="Times New Roman" w:cs="Times New Roman" w:eastAsia="Times New Roman" w:hAnsi="Times New Roman"/>
          <w:sz w:val="18"/>
          <w:szCs w:val="18"/>
          <w:u w:val="single" w:color="auto"/>
          <w:color w:val="0000EE"/>
        </w:rPr>
        <w:t xml:space="preserve"> </w:t>
      </w:r>
      <w:hyperlink r:id="rId62">
        <w:r>
          <w:rPr>
            <w:rFonts w:ascii="Times New Roman" w:cs="Times New Roman" w:eastAsia="Times New Roman" w:hAnsi="Times New Roman"/>
            <w:sz w:val="18"/>
            <w:szCs w:val="18"/>
            <w:u w:val="single" w:color="auto"/>
            <w:color w:val="0000EE"/>
          </w:rPr>
          <w:t>severally as trustees of the Lecil E. and Mary Jeanette Cole Revocable Trust dated October 19, 1993, also</w:t>
        </w:r>
      </w:hyperlink>
      <w:r>
        <w:rPr>
          <w:rFonts w:ascii="Times New Roman" w:cs="Times New Roman" w:eastAsia="Times New Roman" w:hAnsi="Times New Roman"/>
          <w:sz w:val="18"/>
          <w:szCs w:val="18"/>
          <w:u w:val="single" w:color="auto"/>
          <w:color w:val="0000EE"/>
        </w:rPr>
        <w:t xml:space="preserve"> </w:t>
      </w:r>
      <w:hyperlink r:id="rId62">
        <w:r>
          <w:rPr>
            <w:rFonts w:ascii="Times New Roman" w:cs="Times New Roman" w:eastAsia="Times New Roman" w:hAnsi="Times New Roman"/>
            <w:sz w:val="18"/>
            <w:szCs w:val="18"/>
            <w:u w:val="single" w:color="auto"/>
            <w:color w:val="0000EE"/>
          </w:rPr>
          <w:t>known as the Lecil E. and Mary Jeanette Cole Revocable 1993 Trust dated May 19, 2008 (incorporated by</w:t>
        </w:r>
      </w:hyperlink>
      <w:r>
        <w:rPr>
          <w:rFonts w:ascii="Times New Roman" w:cs="Times New Roman" w:eastAsia="Times New Roman" w:hAnsi="Times New Roman"/>
          <w:sz w:val="18"/>
          <w:szCs w:val="18"/>
          <w:u w:val="single" w:color="auto"/>
          <w:color w:val="0000EE"/>
        </w:rPr>
        <w:t xml:space="preserve"> </w:t>
      </w:r>
      <w:hyperlink r:id="rId62">
        <w:r>
          <w:rPr>
            <w:rFonts w:ascii="Times New Roman" w:cs="Times New Roman" w:eastAsia="Times New Roman" w:hAnsi="Times New Roman"/>
            <w:sz w:val="18"/>
            <w:szCs w:val="18"/>
            <w:u w:val="single" w:color="auto"/>
            <w:color w:val="0000EE"/>
          </w:rPr>
          <w:t>reference to Exhibit 2.1 to the Current Report on Form 8-K filed by the Registrant on May 29, 2008)</w:t>
        </w:r>
      </w:hyperlink>
    </w:p>
    <w:p>
      <w:pPr>
        <w:spacing w:after="0" w:line="4" w:lineRule="exact"/>
        <w:rPr>
          <w:rFonts w:ascii="Times New Roman" w:cs="Times New Roman" w:eastAsia="Times New Roman" w:hAnsi="Times New Roman"/>
          <w:sz w:val="18"/>
          <w:szCs w:val="18"/>
          <w:u w:val="single" w:color="auto"/>
          <w:color w:val="0000EE"/>
        </w:rPr>
      </w:pPr>
    </w:p>
    <w:p>
      <w:pPr>
        <w:ind w:left="1020" w:right="239" w:hanging="494"/>
        <w:spacing w:after="0" w:line="281" w:lineRule="auto"/>
        <w:tabs>
          <w:tab w:leader="none" w:pos="10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2.4</w:t>
      </w:r>
      <w:r>
        <w:rPr>
          <w:sz w:val="20"/>
          <w:szCs w:val="20"/>
          <w:color w:val="auto"/>
        </w:rPr>
        <w:tab/>
      </w:r>
      <w:hyperlink r:id="rId63">
        <w:r>
          <w:rPr>
            <w:rFonts w:ascii="Times New Roman" w:cs="Times New Roman" w:eastAsia="Times New Roman" w:hAnsi="Times New Roman"/>
            <w:sz w:val="17"/>
            <w:szCs w:val="17"/>
            <w:u w:val="single" w:color="auto"/>
            <w:color w:val="0000EE"/>
          </w:rPr>
          <w:t>Asset Purchase and Contribution Agreement between Calavo Growers, Inc., Calavo Salsa Lisa, LLC, Lisa’s</w:t>
        </w:r>
      </w:hyperlink>
      <w:r>
        <w:rPr>
          <w:rFonts w:ascii="Times New Roman" w:cs="Times New Roman" w:eastAsia="Times New Roman" w:hAnsi="Times New Roman"/>
          <w:sz w:val="17"/>
          <w:szCs w:val="17"/>
          <w:u w:val="single" w:color="auto"/>
          <w:color w:val="0000EE"/>
        </w:rPr>
        <w:t xml:space="preserve"> </w:t>
      </w:r>
      <w:hyperlink r:id="rId63">
        <w:r>
          <w:rPr>
            <w:rFonts w:ascii="Times New Roman" w:cs="Times New Roman" w:eastAsia="Times New Roman" w:hAnsi="Times New Roman"/>
            <w:sz w:val="17"/>
            <w:szCs w:val="17"/>
            <w:u w:val="single" w:color="auto"/>
            <w:color w:val="0000EE"/>
          </w:rPr>
          <w:t>Salsa Company and Elizabeth Nicholson and Eric Nicholson dated February 8, 2010 (incorporated by</w:t>
        </w:r>
      </w:hyperlink>
      <w:r>
        <w:rPr>
          <w:rFonts w:ascii="Times New Roman" w:cs="Times New Roman" w:eastAsia="Times New Roman" w:hAnsi="Times New Roman"/>
          <w:sz w:val="17"/>
          <w:szCs w:val="17"/>
          <w:u w:val="single" w:color="auto"/>
          <w:color w:val="0000EE"/>
        </w:rPr>
        <w:t xml:space="preserve"> </w:t>
      </w:r>
      <w:hyperlink r:id="rId63">
        <w:r>
          <w:rPr>
            <w:rFonts w:ascii="Times New Roman" w:cs="Times New Roman" w:eastAsia="Times New Roman" w:hAnsi="Times New Roman"/>
            <w:sz w:val="17"/>
            <w:szCs w:val="17"/>
            <w:u w:val="single" w:color="auto"/>
            <w:color w:val="0000EE"/>
          </w:rPr>
          <w:t>reference to Exhibit 2.1 to the Quarterly Report on Form 10-Q filed by the Registrant on March 11, 2010)</w:t>
        </w:r>
      </w:hyperlink>
    </w:p>
    <w:p>
      <w:pPr>
        <w:spacing w:after="0" w:line="2" w:lineRule="exact"/>
        <w:rPr>
          <w:rFonts w:ascii="Times New Roman" w:cs="Times New Roman" w:eastAsia="Times New Roman" w:hAnsi="Times New Roman"/>
          <w:sz w:val="17"/>
          <w:szCs w:val="17"/>
          <w:u w:val="single" w:color="auto"/>
          <w:color w:val="0000EE"/>
        </w:rPr>
      </w:pPr>
    </w:p>
    <w:p>
      <w:pPr>
        <w:ind w:left="1020" w:right="99" w:hanging="494"/>
        <w:spacing w:after="0" w:line="259"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2.5</w:t>
      </w:r>
      <w:r>
        <w:rPr>
          <w:sz w:val="20"/>
          <w:szCs w:val="20"/>
          <w:color w:val="auto"/>
        </w:rPr>
        <w:tab/>
      </w:r>
      <w:hyperlink r:id="rId64">
        <w:r>
          <w:rPr>
            <w:rFonts w:ascii="Times New Roman" w:cs="Times New Roman" w:eastAsia="Times New Roman" w:hAnsi="Times New Roman"/>
            <w:sz w:val="18"/>
            <w:szCs w:val="18"/>
            <w:u w:val="single" w:color="auto"/>
            <w:color w:val="0000EE"/>
          </w:rPr>
          <w:t>Amended and Restated Limited Liability Company Agreement for Calavo Salsa Lisa, LLC dated February 8,</w:t>
        </w:r>
      </w:hyperlink>
      <w:r>
        <w:rPr>
          <w:rFonts w:ascii="Times New Roman" w:cs="Times New Roman" w:eastAsia="Times New Roman" w:hAnsi="Times New Roman"/>
          <w:sz w:val="18"/>
          <w:szCs w:val="18"/>
          <w:u w:val="single" w:color="auto"/>
          <w:color w:val="0000EE"/>
        </w:rPr>
        <w:t xml:space="preserve"> </w:t>
      </w:r>
      <w:hyperlink r:id="rId64">
        <w:r>
          <w:rPr>
            <w:rFonts w:ascii="Times New Roman" w:cs="Times New Roman" w:eastAsia="Times New Roman" w:hAnsi="Times New Roman"/>
            <w:sz w:val="18"/>
            <w:szCs w:val="18"/>
            <w:u w:val="single" w:color="auto"/>
            <w:color w:val="0000EE"/>
          </w:rPr>
          <w:t>2010 among Calavo Growers, Inc., Calavo Salsa Lisa LLC, Lisa’s Salsa Company, Elizabeth Nicholson and</w:t>
        </w:r>
      </w:hyperlink>
      <w:r>
        <w:rPr>
          <w:rFonts w:ascii="Times New Roman" w:cs="Times New Roman" w:eastAsia="Times New Roman" w:hAnsi="Times New Roman"/>
          <w:sz w:val="18"/>
          <w:szCs w:val="18"/>
          <w:u w:val="single" w:color="auto"/>
          <w:color w:val="0000EE"/>
        </w:rPr>
        <w:t xml:space="preserve"> </w:t>
      </w:r>
      <w:hyperlink r:id="rId64">
        <w:r>
          <w:rPr>
            <w:rFonts w:ascii="Times New Roman" w:cs="Times New Roman" w:eastAsia="Times New Roman" w:hAnsi="Times New Roman"/>
            <w:sz w:val="18"/>
            <w:szCs w:val="18"/>
            <w:u w:val="single" w:color="auto"/>
            <w:color w:val="0000EE"/>
          </w:rPr>
          <w:t>Eric Nicholson. (portions of this agreement have been deleted and filed separately with the Securities and</w:t>
        </w:r>
      </w:hyperlink>
      <w:r>
        <w:rPr>
          <w:rFonts w:ascii="Times New Roman" w:cs="Times New Roman" w:eastAsia="Times New Roman" w:hAnsi="Times New Roman"/>
          <w:sz w:val="18"/>
          <w:szCs w:val="18"/>
          <w:u w:val="single" w:color="auto"/>
          <w:color w:val="0000EE"/>
        </w:rPr>
        <w:t xml:space="preserve"> </w:t>
      </w:r>
      <w:hyperlink r:id="rId64">
        <w:r>
          <w:rPr>
            <w:rFonts w:ascii="Times New Roman" w:cs="Times New Roman" w:eastAsia="Times New Roman" w:hAnsi="Times New Roman"/>
            <w:sz w:val="18"/>
            <w:szCs w:val="18"/>
            <w:u w:val="single" w:color="auto"/>
            <w:color w:val="0000EE"/>
          </w:rPr>
          <w:t>Exchange Commission pursuant to a request for confidential treatment.) (incorporated by reference to Exhibit</w:t>
        </w:r>
      </w:hyperlink>
      <w:r>
        <w:rPr>
          <w:rFonts w:ascii="Times New Roman" w:cs="Times New Roman" w:eastAsia="Times New Roman" w:hAnsi="Times New Roman"/>
          <w:sz w:val="18"/>
          <w:szCs w:val="18"/>
          <w:u w:val="single" w:color="auto"/>
          <w:color w:val="0000EE"/>
        </w:rPr>
        <w:t xml:space="preserve"> </w:t>
      </w:r>
      <w:hyperlink r:id="rId64">
        <w:r>
          <w:rPr>
            <w:rFonts w:ascii="Times New Roman" w:cs="Times New Roman" w:eastAsia="Times New Roman" w:hAnsi="Times New Roman"/>
            <w:sz w:val="18"/>
            <w:szCs w:val="18"/>
            <w:u w:val="single" w:color="auto"/>
            <w:color w:val="0000EE"/>
          </w:rPr>
          <w:t>10.3 to the Quarterly Report on Form 10-Q filed by the Registrant on March 11, 2010)</w:t>
        </w:r>
      </w:hyperlink>
    </w:p>
    <w:p>
      <w:pPr>
        <w:spacing w:after="0" w:line="4" w:lineRule="exact"/>
        <w:rPr>
          <w:rFonts w:ascii="Times New Roman" w:cs="Times New Roman" w:eastAsia="Times New Roman" w:hAnsi="Times New Roman"/>
          <w:sz w:val="18"/>
          <w:szCs w:val="18"/>
          <w:u w:val="single" w:color="auto"/>
          <w:color w:val="0000EE"/>
        </w:rPr>
      </w:pPr>
    </w:p>
    <w:p>
      <w:pPr>
        <w:ind w:left="1020" w:right="79" w:hanging="494"/>
        <w:spacing w:after="0" w:line="237"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2.6</w:t>
      </w:r>
      <w:r>
        <w:rPr>
          <w:sz w:val="20"/>
          <w:szCs w:val="20"/>
          <w:color w:val="auto"/>
        </w:rPr>
        <w:tab/>
      </w:r>
      <w:hyperlink r:id="rId65">
        <w:r>
          <w:rPr>
            <w:rFonts w:ascii="Times New Roman" w:cs="Times New Roman" w:eastAsia="Times New Roman" w:hAnsi="Times New Roman"/>
            <w:sz w:val="18"/>
            <w:szCs w:val="18"/>
            <w:u w:val="single" w:color="auto"/>
            <w:color w:val="0000EE"/>
          </w:rPr>
          <w:t>Agreement and Plan of Merger dated May 25, 2011 among Calavo Growers, Inc., CG Mergersub LLC,</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Renaissance Food Group, LLC and Liberty Fresh Foods, LLC, Kenneth Catchot, Cut Fruit, LLC, James</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Catchot, James Gibson, Jose O. Castillo, Donald L. Johnson and RFG Nominee Trust</w:t>
        </w:r>
        <w:r>
          <w:rPr>
            <w:rFonts w:ascii="Times New Roman" w:cs="Times New Roman" w:eastAsia="Times New Roman" w:hAnsi="Times New Roman"/>
            <w:sz w:val="26"/>
            <w:szCs w:val="26"/>
            <w:u w:val="single" w:color="auto"/>
            <w:color w:val="0000EE"/>
            <w:vertAlign w:val="superscript"/>
          </w:rPr>
          <w:t>1</w:t>
        </w:r>
        <w:r>
          <w:rPr>
            <w:rFonts w:ascii="Times New Roman" w:cs="Times New Roman" w:eastAsia="Times New Roman" w:hAnsi="Times New Roman"/>
            <w:sz w:val="18"/>
            <w:szCs w:val="18"/>
            <w:u w:val="single" w:color="auto"/>
            <w:color w:val="0000EE"/>
          </w:rPr>
          <w:t xml:space="preserve"> (certain portions of the</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exhibit have been omitted based upon a request for confidential treatment filed by the Registrant with the</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Securities and Exchange Commission. The omitted portions of the exhibit have been separately filed by the</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Registrant with the Securities and Exchange Commission.) (incorporated by reference to Exhibit 2.1 to the</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Current Report on Form 8-K/A filed by the Registrant on January 10, 2012).</w:t>
        </w:r>
      </w:hyperlink>
    </w:p>
    <w:p>
      <w:pPr>
        <w:spacing w:after="0" w:line="4" w:lineRule="exact"/>
        <w:rPr>
          <w:rFonts w:ascii="Times New Roman" w:cs="Times New Roman" w:eastAsia="Times New Roman" w:hAnsi="Times New Roman"/>
          <w:sz w:val="18"/>
          <w:szCs w:val="18"/>
          <w:u w:val="single" w:color="auto"/>
          <w:color w:val="0000EE"/>
        </w:rPr>
      </w:pPr>
    </w:p>
    <w:p>
      <w:pPr>
        <w:ind w:left="1020" w:right="259" w:hanging="494"/>
        <w:spacing w:after="0" w:line="260"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2.7</w:t>
      </w:r>
      <w:r>
        <w:rPr>
          <w:sz w:val="20"/>
          <w:szCs w:val="20"/>
          <w:color w:val="auto"/>
        </w:rPr>
        <w:tab/>
      </w:r>
      <w:hyperlink r:id="rId66">
        <w:r>
          <w:rPr>
            <w:rFonts w:ascii="Times New Roman" w:cs="Times New Roman" w:eastAsia="Times New Roman" w:hAnsi="Times New Roman"/>
            <w:sz w:val="18"/>
            <w:szCs w:val="18"/>
            <w:u w:val="single" w:color="auto"/>
            <w:color w:val="0000EE"/>
          </w:rPr>
          <w:t>Sale of LLC Interest Agreement dated October 31, 2012 between Calavo Growers, Inc. and San Rafael</w:t>
        </w:r>
      </w:hyperlink>
      <w:r>
        <w:rPr>
          <w:rFonts w:ascii="Times New Roman" w:cs="Times New Roman" w:eastAsia="Times New Roman" w:hAnsi="Times New Roman"/>
          <w:sz w:val="18"/>
          <w:szCs w:val="18"/>
          <w:u w:val="single" w:color="auto"/>
          <w:color w:val="0000EE"/>
        </w:rPr>
        <w:t xml:space="preserve"> </w:t>
      </w:r>
      <w:hyperlink r:id="rId66">
        <w:r>
          <w:rPr>
            <w:rFonts w:ascii="Times New Roman" w:cs="Times New Roman" w:eastAsia="Times New Roman" w:hAnsi="Times New Roman"/>
            <w:sz w:val="18"/>
            <w:szCs w:val="18"/>
            <w:u w:val="single" w:color="auto"/>
            <w:color w:val="0000EE"/>
          </w:rPr>
          <w:t>Distributing, Inc. (incorporated by reference to Exhibit 10.1 to the Current Report on Form 8-K filed by the</w:t>
        </w:r>
      </w:hyperlink>
      <w:r>
        <w:rPr>
          <w:rFonts w:ascii="Times New Roman" w:cs="Times New Roman" w:eastAsia="Times New Roman" w:hAnsi="Times New Roman"/>
          <w:sz w:val="18"/>
          <w:szCs w:val="18"/>
          <w:u w:val="single" w:color="auto"/>
          <w:color w:val="0000EE"/>
        </w:rPr>
        <w:t xml:space="preserve"> </w:t>
      </w:r>
      <w:hyperlink r:id="rId66">
        <w:r>
          <w:rPr>
            <w:rFonts w:ascii="Times New Roman" w:cs="Times New Roman" w:eastAsia="Times New Roman" w:hAnsi="Times New Roman"/>
            <w:sz w:val="18"/>
            <w:szCs w:val="18"/>
            <w:u w:val="single" w:color="auto"/>
            <w:color w:val="0000EE"/>
          </w:rPr>
          <w:t>Registrant on November 6, 2012).</w:t>
        </w:r>
      </w:hyperlink>
    </w:p>
    <w:p>
      <w:pPr>
        <w:spacing w:after="0" w:line="2" w:lineRule="exact"/>
        <w:rPr>
          <w:rFonts w:ascii="Times New Roman" w:cs="Times New Roman" w:eastAsia="Times New Roman" w:hAnsi="Times New Roman"/>
          <w:sz w:val="18"/>
          <w:szCs w:val="18"/>
          <w:u w:val="single" w:color="auto"/>
          <w:color w:val="0000EE"/>
        </w:rPr>
      </w:pPr>
    </w:p>
    <w:p>
      <w:pPr>
        <w:ind w:left="1020" w:right="259" w:hanging="494"/>
        <w:spacing w:after="0" w:line="258"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2.8</w:t>
      </w:r>
      <w:r>
        <w:rPr>
          <w:sz w:val="20"/>
          <w:szCs w:val="20"/>
          <w:color w:val="auto"/>
        </w:rPr>
        <w:tab/>
      </w:r>
      <w:hyperlink r:id="rId67">
        <w:r>
          <w:rPr>
            <w:rFonts w:ascii="Times New Roman" w:cs="Times New Roman" w:eastAsia="Times New Roman" w:hAnsi="Times New Roman"/>
            <w:sz w:val="18"/>
            <w:szCs w:val="18"/>
            <w:u w:val="single" w:color="auto"/>
            <w:color w:val="0000EE"/>
          </w:rPr>
          <w:t>Amendment No. 1 to Agreement and Plan of Merger, dated July 31, 2013, among Calavo Growers, Inc.,</w:t>
        </w:r>
      </w:hyperlink>
      <w:r>
        <w:rPr>
          <w:rFonts w:ascii="Times New Roman" w:cs="Times New Roman" w:eastAsia="Times New Roman" w:hAnsi="Times New Roman"/>
          <w:sz w:val="18"/>
          <w:szCs w:val="18"/>
          <w:u w:val="single" w:color="auto"/>
          <w:color w:val="0000EE"/>
        </w:rPr>
        <w:t xml:space="preserve"> </w:t>
      </w:r>
      <w:hyperlink r:id="rId67">
        <w:r>
          <w:rPr>
            <w:rFonts w:ascii="Times New Roman" w:cs="Times New Roman" w:eastAsia="Times New Roman" w:hAnsi="Times New Roman"/>
            <w:sz w:val="18"/>
            <w:szCs w:val="18"/>
            <w:u w:val="single" w:color="auto"/>
            <w:color w:val="0000EE"/>
          </w:rPr>
          <w:t>Renaissance Food Group, LLC and Liberty Fresh Foods, LLC, Kenneth Catchot, Cut Fruit, LLC, James</w:t>
        </w:r>
      </w:hyperlink>
      <w:r>
        <w:rPr>
          <w:rFonts w:ascii="Times New Roman" w:cs="Times New Roman" w:eastAsia="Times New Roman" w:hAnsi="Times New Roman"/>
          <w:sz w:val="18"/>
          <w:szCs w:val="18"/>
          <w:u w:val="single" w:color="auto"/>
          <w:color w:val="0000EE"/>
        </w:rPr>
        <w:t xml:space="preserve"> </w:t>
      </w:r>
      <w:hyperlink r:id="rId67">
        <w:r>
          <w:rPr>
            <w:rFonts w:ascii="Times New Roman" w:cs="Times New Roman" w:eastAsia="Times New Roman" w:hAnsi="Times New Roman"/>
            <w:sz w:val="18"/>
            <w:szCs w:val="18"/>
            <w:u w:val="single" w:color="auto"/>
            <w:color w:val="0000EE"/>
          </w:rPr>
          <w:t>Catchot, James Gibson, Jose O. Castillo, Donald L. Johnson and RFG Nominee Trust (incorporated by</w:t>
        </w:r>
      </w:hyperlink>
      <w:r>
        <w:rPr>
          <w:rFonts w:ascii="Times New Roman" w:cs="Times New Roman" w:eastAsia="Times New Roman" w:hAnsi="Times New Roman"/>
          <w:sz w:val="18"/>
          <w:szCs w:val="18"/>
          <w:u w:val="single" w:color="auto"/>
          <w:color w:val="0000EE"/>
        </w:rPr>
        <w:t xml:space="preserve"> </w:t>
      </w:r>
      <w:hyperlink r:id="rId67">
        <w:r>
          <w:rPr>
            <w:rFonts w:ascii="Times New Roman" w:cs="Times New Roman" w:eastAsia="Times New Roman" w:hAnsi="Times New Roman"/>
            <w:sz w:val="18"/>
            <w:szCs w:val="18"/>
            <w:u w:val="single" w:color="auto"/>
            <w:color w:val="0000EE"/>
          </w:rPr>
          <w:t>reference to Exhibit 10.1 to the Current Report on Form 8-K filed by the Registrant on September 4, 2013).</w:t>
        </w:r>
      </w:hyperlink>
    </w:p>
    <w:p>
      <w:pPr>
        <w:spacing w:after="0" w:line="1" w:lineRule="exact"/>
        <w:rPr>
          <w:rFonts w:ascii="Times New Roman" w:cs="Times New Roman" w:eastAsia="Times New Roman" w:hAnsi="Times New Roman"/>
          <w:sz w:val="18"/>
          <w:szCs w:val="18"/>
          <w:u w:val="single" w:color="auto"/>
          <w:color w:val="0000EE"/>
        </w:rPr>
      </w:pPr>
    </w:p>
    <w:p>
      <w:pPr>
        <w:ind w:left="1020" w:right="459" w:hanging="494"/>
        <w:spacing w:after="0" w:line="266"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2.9</w:t>
      </w:r>
      <w:r>
        <w:rPr>
          <w:sz w:val="20"/>
          <w:szCs w:val="20"/>
          <w:color w:val="auto"/>
        </w:rPr>
        <w:tab/>
      </w:r>
      <w:hyperlink r:id="rId68">
        <w:r>
          <w:rPr>
            <w:rFonts w:ascii="Times New Roman" w:cs="Times New Roman" w:eastAsia="Times New Roman" w:hAnsi="Times New Roman"/>
            <w:sz w:val="18"/>
            <w:szCs w:val="18"/>
            <w:u w:val="single" w:color="auto"/>
            <w:color w:val="0000EE"/>
          </w:rPr>
          <w:t>Amended and Restated Limited Liability Company Agreement, dated August 16, 2013, by and among</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FreshRealm, LLC, a Delaware limited liability company, and the Members (incorporated by reference to</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Exhibit 10.2 to the Quarterly Report on Form 10-Q filed by the Registrant on September 9, 2013).</w:t>
        </w:r>
      </w:hyperlink>
    </w:p>
    <w:p>
      <w:pPr>
        <w:ind w:left="1020" w:right="279" w:hanging="584"/>
        <w:spacing w:after="0" w:line="264"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2.10</w:t>
      </w:r>
      <w:r>
        <w:rPr>
          <w:sz w:val="20"/>
          <w:szCs w:val="20"/>
          <w:color w:val="auto"/>
        </w:rPr>
        <w:tab/>
      </w:r>
      <w:hyperlink r:id="rId69">
        <w:r>
          <w:rPr>
            <w:rFonts w:ascii="Times New Roman" w:cs="Times New Roman" w:eastAsia="Times New Roman" w:hAnsi="Times New Roman"/>
            <w:sz w:val="18"/>
            <w:szCs w:val="18"/>
            <w:u w:val="single" w:color="auto"/>
            <w:color w:val="0000EE"/>
          </w:rPr>
          <w:t>Amendment No. 2 to Agreement and Plan of Merger, dated as of October 1, 2013, among Calavo Growers,</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Inc., Renaissance Food Group, LLC and Liberty Fresh Foods, LLC, Kenneth J. Catchot, Cut Fruit, LLC,</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James S. Catchot, James Gibson, Jose O. Castillo, Donald L. Johnson and the RFG Nominee Trust</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(incorporated by reference to Exhibit 10.1 to the Current Report on Form 8-K filed by the Registrant on</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November 16, 2023).</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09"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79" w:hanging="494"/>
        <w:spacing w:after="0" w:line="268"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71">
        <w:r>
          <w:rPr>
            <w:rFonts w:ascii="Times New Roman" w:cs="Times New Roman" w:eastAsia="Times New Roman" w:hAnsi="Times New Roman"/>
            <w:sz w:val="18"/>
            <w:szCs w:val="18"/>
            <w:u w:val="single" w:color="auto"/>
            <w:color w:val="0000EE"/>
          </w:rPr>
          <w:t>Articles of Incorporation of Calavo Growers, Inc. (incorporated by reference to Exhibit 3.1 to the Registration</w:t>
        </w:r>
      </w:hyperlink>
      <w:r>
        <w:rPr>
          <w:rFonts w:ascii="Times New Roman" w:cs="Times New Roman" w:eastAsia="Times New Roman" w:hAnsi="Times New Roman"/>
          <w:sz w:val="18"/>
          <w:szCs w:val="18"/>
          <w:u w:val="single" w:color="auto"/>
          <w:color w:val="0000EE"/>
        </w:rPr>
        <w:t xml:space="preserve"> </w:t>
      </w:r>
      <w:hyperlink r:id="rId71">
        <w:r>
          <w:rPr>
            <w:rFonts w:ascii="Times New Roman" w:cs="Times New Roman" w:eastAsia="Times New Roman" w:hAnsi="Times New Roman"/>
            <w:sz w:val="18"/>
            <w:szCs w:val="18"/>
            <w:u w:val="single" w:color="auto"/>
            <w:color w:val="0000EE"/>
          </w:rPr>
          <w:t>Statement on Form S-4 (File No. 333-59418 filed by the Registrant on April 24, 2001).</w:t>
        </w:r>
      </w:hyperlink>
    </w:p>
    <w:p>
      <w:pPr>
        <w:spacing w:after="0" w:line="2" w:lineRule="exact"/>
        <w:rPr>
          <w:sz w:val="20"/>
          <w:szCs w:val="20"/>
          <w:color w:val="auto"/>
        </w:rPr>
      </w:pPr>
    </w:p>
    <w:p>
      <w:pPr>
        <w:jc w:val="right"/>
        <w:ind w:left="520" w:right="119"/>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3.2*  </w:t>
      </w:r>
      <w:hyperlink r:id="rId72">
        <w:r>
          <w:rPr>
            <w:rFonts w:ascii="Times New Roman" w:cs="Times New Roman" w:eastAsia="Times New Roman" w:hAnsi="Times New Roman"/>
            <w:sz w:val="18"/>
            <w:szCs w:val="18"/>
            <w:u w:val="single" w:color="auto"/>
            <w:color w:val="0000EE"/>
          </w:rPr>
          <w:t>Amended and Restated Bylaws of Calavo Growers, Inc., effective as of September 25, 2014 (incorporated by</w:t>
        </w:r>
      </w:hyperlink>
      <w:r>
        <w:rPr>
          <w:rFonts w:ascii="Times New Roman" w:cs="Times New Roman" w:eastAsia="Times New Roman" w:hAnsi="Times New Roman"/>
          <w:sz w:val="18"/>
          <w:szCs w:val="18"/>
          <w:color w:val="auto"/>
        </w:rPr>
        <w:t xml:space="preserve"> </w:t>
      </w:r>
      <w:hyperlink r:id="rId72">
        <w:r>
          <w:rPr>
            <w:rFonts w:ascii="Times New Roman" w:cs="Times New Roman" w:eastAsia="Times New Roman" w:hAnsi="Times New Roman"/>
            <w:sz w:val="18"/>
            <w:szCs w:val="18"/>
            <w:u w:val="single" w:color="auto"/>
            <w:color w:val="0000EE"/>
          </w:rPr>
          <w:t>reference to Exhibit 3.1 to the Quarterly Report on Form 10-Q filed by the Registrant on September 1, 2022).</w:t>
        </w:r>
      </w:hyperlink>
    </w:p>
    <w:p>
      <w:pPr>
        <w:ind w:left="1020" w:right="159" w:hanging="494"/>
        <w:spacing w:after="0" w:line="266"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73">
        <w:r>
          <w:rPr>
            <w:rFonts w:ascii="Times New Roman" w:cs="Times New Roman" w:eastAsia="Times New Roman" w:hAnsi="Times New Roman"/>
            <w:sz w:val="18"/>
            <w:szCs w:val="18"/>
            <w:u w:val="single" w:color="auto"/>
            <w:color w:val="0000EE"/>
          </w:rPr>
          <w:t>Description of the Securities of Calavo Growers, Inc. Registered Pursuant to Section 12 of the Securities</w:t>
        </w:r>
      </w:hyperlink>
      <w:r>
        <w:rPr>
          <w:rFonts w:ascii="Times New Roman" w:cs="Times New Roman" w:eastAsia="Times New Roman" w:hAnsi="Times New Roman"/>
          <w:sz w:val="18"/>
          <w:szCs w:val="18"/>
          <w:u w:val="single" w:color="auto"/>
          <w:color w:val="0000EE"/>
        </w:rPr>
        <w:t xml:space="preserve"> </w:t>
      </w:r>
      <w:hyperlink r:id="rId73">
        <w:r>
          <w:rPr>
            <w:rFonts w:ascii="Times New Roman" w:cs="Times New Roman" w:eastAsia="Times New Roman" w:hAnsi="Times New Roman"/>
            <w:sz w:val="18"/>
            <w:szCs w:val="18"/>
            <w:u w:val="single" w:color="auto"/>
            <w:color w:val="0000EE"/>
          </w:rPr>
          <w:t>Exchange Act of 1934. (incorporated by reference to Exhibit 4.1 to the Annual Report on Form 10-K/A filed</w:t>
        </w:r>
      </w:hyperlink>
      <w:r>
        <w:rPr>
          <w:rFonts w:ascii="Times New Roman" w:cs="Times New Roman" w:eastAsia="Times New Roman" w:hAnsi="Times New Roman"/>
          <w:sz w:val="18"/>
          <w:szCs w:val="18"/>
          <w:u w:val="single" w:color="auto"/>
          <w:color w:val="0000EE"/>
        </w:rPr>
        <w:t xml:space="preserve"> </w:t>
      </w:r>
      <w:hyperlink r:id="rId73">
        <w:r>
          <w:rPr>
            <w:rFonts w:ascii="Times New Roman" w:cs="Times New Roman" w:eastAsia="Times New Roman" w:hAnsi="Times New Roman"/>
            <w:sz w:val="18"/>
            <w:szCs w:val="18"/>
            <w:u w:val="single" w:color="auto"/>
            <w:color w:val="0000EE"/>
          </w:rPr>
          <w:t>by the Registrant on March 30, 2020).</w:t>
        </w:r>
      </w:hyperlink>
    </w:p>
    <w:p>
      <w:pPr>
        <w:ind w:left="1020" w:right="419" w:hanging="584"/>
        <w:spacing w:after="0" w:line="258"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74">
        <w:r>
          <w:rPr>
            <w:rFonts w:ascii="Times New Roman" w:cs="Times New Roman" w:eastAsia="Times New Roman" w:hAnsi="Times New Roman"/>
            <w:sz w:val="18"/>
            <w:szCs w:val="18"/>
            <w:u w:val="single" w:color="auto"/>
            <w:color w:val="0000EE"/>
          </w:rPr>
          <w:t>Form of Marketing Agreement for Calavo Growers, Inc. (incorporated by reference to Exhibit 10.1 to the</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Annual Report on Form 10-K filed by the Registrant on January 28, 2003).</w:t>
        </w:r>
      </w:hyperlink>
    </w:p>
    <w:p>
      <w:pPr>
        <w:ind w:left="1020" w:right="159" w:hanging="584"/>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10.2* † </w:t>
      </w:r>
      <w:hyperlink r:id="rId75">
        <w:r>
          <w:rPr>
            <w:rFonts w:ascii="Times New Roman" w:cs="Times New Roman" w:eastAsia="Times New Roman" w:hAnsi="Times New Roman"/>
            <w:sz w:val="18"/>
            <w:szCs w:val="18"/>
            <w:u w:val="single" w:color="auto"/>
            <w:color w:val="0000EE"/>
          </w:rPr>
          <w:t>Form of Notice of Restricted Stock Award (incorporated by reference to Exhibit 10.1 to the Quarterly Report</w:t>
        </w:r>
      </w:hyperlink>
      <w:r>
        <w:rPr>
          <w:rFonts w:ascii="Times New Roman" w:cs="Times New Roman" w:eastAsia="Times New Roman" w:hAnsi="Times New Roman"/>
          <w:sz w:val="18"/>
          <w:szCs w:val="18"/>
          <w:color w:val="auto"/>
        </w:rPr>
        <w:t xml:space="preserve"> </w:t>
      </w:r>
      <w:hyperlink r:id="rId75">
        <w:r>
          <w:rPr>
            <w:rFonts w:ascii="Times New Roman" w:cs="Times New Roman" w:eastAsia="Times New Roman" w:hAnsi="Times New Roman"/>
            <w:sz w:val="18"/>
            <w:szCs w:val="18"/>
            <w:u w:val="single" w:color="auto"/>
            <w:color w:val="0000EE"/>
          </w:rPr>
          <w:t>on Form 10-Q filed by the Registrant on March 14, 2022).</w:t>
        </w:r>
      </w:hyperlink>
    </w:p>
    <w:p>
      <w:pPr>
        <w:ind w:left="1020" w:right="159" w:hanging="584"/>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10.3* † </w:t>
      </w:r>
      <w:hyperlink r:id="rId76">
        <w:r>
          <w:rPr>
            <w:rFonts w:ascii="Times New Roman" w:cs="Times New Roman" w:eastAsia="Times New Roman" w:hAnsi="Times New Roman"/>
            <w:sz w:val="18"/>
            <w:szCs w:val="18"/>
            <w:u w:val="single" w:color="auto"/>
            <w:color w:val="0000EE"/>
          </w:rPr>
          <w:t>Form of Notice of Stock Option Award (incorporated by reference to Exhibit 10.2 to the Quarterly Report on</w:t>
        </w:r>
      </w:hyperlink>
      <w:r>
        <w:rPr>
          <w:rFonts w:ascii="Times New Roman" w:cs="Times New Roman" w:eastAsia="Times New Roman" w:hAnsi="Times New Roman"/>
          <w:sz w:val="18"/>
          <w:szCs w:val="18"/>
          <w:color w:val="auto"/>
        </w:rPr>
        <w:t xml:space="preserve"> </w:t>
      </w:r>
      <w:hyperlink r:id="rId76">
        <w:r>
          <w:rPr>
            <w:rFonts w:ascii="Times New Roman" w:cs="Times New Roman" w:eastAsia="Times New Roman" w:hAnsi="Times New Roman"/>
            <w:sz w:val="18"/>
            <w:szCs w:val="18"/>
            <w:u w:val="single" w:color="auto"/>
            <w:color w:val="0000EE"/>
          </w:rPr>
          <w:t>Form 10-Q filed by the Registrant on March 14, 2022).</w:t>
        </w:r>
      </w:hyperlink>
    </w:p>
    <w:p>
      <w:pPr>
        <w:jc w:val="both"/>
        <w:ind w:left="1020" w:right="259" w:hanging="584"/>
        <w:spacing w:after="0" w:line="266"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77">
        <w:r>
          <w:rPr>
            <w:rFonts w:ascii="Times New Roman" w:cs="Times New Roman" w:eastAsia="Times New Roman" w:hAnsi="Times New Roman"/>
            <w:sz w:val="18"/>
            <w:szCs w:val="18"/>
            <w:u w:val="single" w:color="auto"/>
            <w:color w:val="0000EE"/>
          </w:rPr>
          <w:t>Form of Indemnification Agreement between with each of its directors and executive officers (incorporated</w:t>
        </w:r>
      </w:hyperlink>
      <w:r>
        <w:rPr>
          <w:rFonts w:ascii="Times New Roman" w:cs="Times New Roman" w:eastAsia="Times New Roman" w:hAnsi="Times New Roman"/>
          <w:sz w:val="18"/>
          <w:szCs w:val="18"/>
          <w:u w:val="single" w:color="auto"/>
          <w:color w:val="0000EE"/>
        </w:rPr>
        <w:t xml:space="preserve"> </w:t>
      </w:r>
      <w:hyperlink r:id="rId77">
        <w:r>
          <w:rPr>
            <w:rFonts w:ascii="Times New Roman" w:cs="Times New Roman" w:eastAsia="Times New Roman" w:hAnsi="Times New Roman"/>
            <w:sz w:val="18"/>
            <w:szCs w:val="18"/>
            <w:u w:val="single" w:color="auto"/>
            <w:color w:val="0000EE"/>
          </w:rPr>
          <w:t xml:space="preserve">by reference to Exhibit 10.2 to the Quarterly Report on Form 10-Q filed by the Registrant on </w:t>
        </w:r>
        <w:r>
          <w:rPr>
            <w:rFonts w:ascii="Times New Roman" w:cs="Times New Roman" w:eastAsia="Times New Roman" w:hAnsi="Times New Roman"/>
            <w:sz w:val="18"/>
            <w:szCs w:val="18"/>
            <w:u w:val="single" w:color="auto"/>
            <w:color w:val="0000EE"/>
            <w:highlight w:val="white"/>
          </w:rPr>
          <w:t>September 1,</w:t>
        </w:r>
      </w:hyperlink>
      <w:r>
        <w:rPr>
          <w:rFonts w:ascii="Times New Roman" w:cs="Times New Roman" w:eastAsia="Times New Roman" w:hAnsi="Times New Roman"/>
          <w:sz w:val="18"/>
          <w:szCs w:val="18"/>
          <w:u w:val="single" w:color="auto"/>
          <w:color w:val="0000EE"/>
        </w:rPr>
        <w:t xml:space="preserve"> </w:t>
      </w:r>
      <w:hyperlink r:id="rId77">
        <w:r>
          <w:rPr>
            <w:rFonts w:ascii="Times New Roman" w:cs="Times New Roman" w:eastAsia="Times New Roman" w:hAnsi="Times New Roman"/>
            <w:sz w:val="18"/>
            <w:szCs w:val="18"/>
            <w:u w:val="single" w:color="auto"/>
            <w:color w:val="0000EE"/>
          </w:rPr>
          <w:t>2022).</w:t>
        </w:r>
      </w:hyperlink>
    </w:p>
    <w:p>
      <w:pPr>
        <w:ind w:left="1020" w:right="159" w:hanging="584"/>
        <w:spacing w:after="0" w:line="258"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78">
        <w:r>
          <w:rPr>
            <w:rFonts w:ascii="Times New Roman" w:cs="Times New Roman" w:eastAsia="Times New Roman" w:hAnsi="Times New Roman"/>
            <w:sz w:val="18"/>
            <w:szCs w:val="18"/>
            <w:u w:val="single" w:color="auto"/>
            <w:color w:val="0000EE"/>
          </w:rPr>
          <w:t>Lease Agreement dated as of November 21, 1997, between Tede S.A. de C.V., a Mexican corporation, and</w:t>
        </w:r>
      </w:hyperlink>
      <w:r>
        <w:rPr>
          <w:rFonts w:ascii="Times New Roman" w:cs="Times New Roman" w:eastAsia="Times New Roman" w:hAnsi="Times New Roman"/>
          <w:sz w:val="18"/>
          <w:szCs w:val="18"/>
          <w:u w:val="single" w:color="auto"/>
          <w:color w:val="0000EE"/>
        </w:rPr>
        <w:t xml:space="preserve"> </w:t>
      </w:r>
      <w:hyperlink r:id="rId78">
        <w:r>
          <w:rPr>
            <w:rFonts w:ascii="Times New Roman" w:cs="Times New Roman" w:eastAsia="Times New Roman" w:hAnsi="Times New Roman"/>
            <w:sz w:val="18"/>
            <w:szCs w:val="18"/>
            <w:u w:val="single" w:color="auto"/>
            <w:color w:val="0000EE"/>
          </w:rPr>
          <w:t>Calavo de Mexico, S.A. de C.V., a Mexican corporation, including attached Guaranty of Calavo Growers of</w:t>
        </w:r>
      </w:hyperlink>
      <w:r>
        <w:rPr>
          <w:rFonts w:ascii="Times New Roman" w:cs="Times New Roman" w:eastAsia="Times New Roman" w:hAnsi="Times New Roman"/>
          <w:sz w:val="18"/>
          <w:szCs w:val="18"/>
          <w:u w:val="single" w:color="auto"/>
          <w:color w:val="0000EE"/>
        </w:rPr>
        <w:t xml:space="preserve"> </w:t>
      </w:r>
      <w:hyperlink r:id="rId78">
        <w:r>
          <w:rPr>
            <w:rFonts w:ascii="Times New Roman" w:cs="Times New Roman" w:eastAsia="Times New Roman" w:hAnsi="Times New Roman"/>
            <w:sz w:val="18"/>
            <w:szCs w:val="18"/>
            <w:u w:val="single" w:color="auto"/>
            <w:color w:val="0000EE"/>
          </w:rPr>
          <w:t>California dated December 16, 1996 (incorporated by reference to Exhibit 10.4 to the Registration Statement</w:t>
        </w:r>
      </w:hyperlink>
      <w:r>
        <w:rPr>
          <w:rFonts w:ascii="Times New Roman" w:cs="Times New Roman" w:eastAsia="Times New Roman" w:hAnsi="Times New Roman"/>
          <w:sz w:val="18"/>
          <w:szCs w:val="18"/>
          <w:u w:val="single" w:color="auto"/>
          <w:color w:val="0000EE"/>
        </w:rPr>
        <w:t xml:space="preserve"> </w:t>
      </w:r>
      <w:hyperlink r:id="rId78">
        <w:r>
          <w:rPr>
            <w:rFonts w:ascii="Times New Roman" w:cs="Times New Roman" w:eastAsia="Times New Roman" w:hAnsi="Times New Roman"/>
            <w:sz w:val="18"/>
            <w:szCs w:val="18"/>
            <w:u w:val="single" w:color="auto"/>
            <w:color w:val="0000EE"/>
          </w:rPr>
          <w:t>on Form S-4 (File No. 333-59418 filed by the Registrant on April 24, 2001)</w:t>
        </w:r>
      </w:hyperlink>
    </w:p>
    <w:p>
      <w:pPr>
        <w:spacing w:after="0" w:line="1" w:lineRule="exact"/>
        <w:rPr>
          <w:rFonts w:ascii="Times New Roman" w:cs="Times New Roman" w:eastAsia="Times New Roman" w:hAnsi="Times New Roman"/>
          <w:sz w:val="18"/>
          <w:szCs w:val="18"/>
          <w:u w:val="single" w:color="auto"/>
          <w:color w:val="0000EE"/>
        </w:rPr>
      </w:pPr>
    </w:p>
    <w:p>
      <w:pPr>
        <w:ind w:left="1020" w:right="199" w:hanging="584"/>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10.6* † </w:t>
      </w:r>
      <w:hyperlink r:id="rId79">
        <w:r>
          <w:rPr>
            <w:rFonts w:ascii="Times New Roman" w:cs="Times New Roman" w:eastAsia="Times New Roman" w:hAnsi="Times New Roman"/>
            <w:sz w:val="18"/>
            <w:szCs w:val="18"/>
            <w:u w:val="single" w:color="auto"/>
            <w:color w:val="0000EE"/>
          </w:rPr>
          <w:t>2011 Management Incentive Plan of Calavo Growers, Inc. (incorporated by reference to Exhibit 10.18 to the</w:t>
        </w:r>
      </w:hyperlink>
      <w:r>
        <w:rPr>
          <w:rFonts w:ascii="Times New Roman" w:cs="Times New Roman" w:eastAsia="Times New Roman" w:hAnsi="Times New Roman"/>
          <w:sz w:val="18"/>
          <w:szCs w:val="18"/>
          <w:color w:val="auto"/>
        </w:rPr>
        <w:t xml:space="preserve"> </w:t>
      </w:r>
      <w:hyperlink r:id="rId79">
        <w:r>
          <w:rPr>
            <w:rFonts w:ascii="Times New Roman" w:cs="Times New Roman" w:eastAsia="Times New Roman" w:hAnsi="Times New Roman"/>
            <w:sz w:val="18"/>
            <w:szCs w:val="18"/>
            <w:u w:val="single" w:color="auto"/>
            <w:color w:val="0000EE"/>
          </w:rPr>
          <w:t>Annual Report on Form 10-K filed by the Registrant on January 14, 2011).</w:t>
        </w:r>
      </w:hyperlink>
    </w:p>
    <w:p>
      <w:pPr>
        <w:ind w:left="1020" w:right="79" w:hanging="584"/>
        <w:spacing w:after="0" w:line="266"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80">
        <w:r>
          <w:rPr>
            <w:rFonts w:ascii="Times New Roman" w:cs="Times New Roman" w:eastAsia="Times New Roman" w:hAnsi="Times New Roman"/>
            <w:sz w:val="18"/>
            <w:szCs w:val="18"/>
            <w:u w:val="single" w:color="auto"/>
            <w:color w:val="0000EE"/>
          </w:rPr>
          <w:t>Seventh Amendment to Credit Agreement (incorporated by reference to Exhibit 10.1 to the Current Report on</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Form 8-K filed by the Registrant on November 2, 2022).</w:t>
        </w:r>
      </w:hyperlink>
    </w:p>
    <w:p>
      <w:pPr>
        <w:ind w:left="1020" w:right="239" w:hanging="584"/>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10.8* † </w:t>
      </w:r>
      <w:hyperlink r:id="rId81">
        <w:r>
          <w:rPr>
            <w:rFonts w:ascii="Times New Roman" w:cs="Times New Roman" w:eastAsia="Times New Roman" w:hAnsi="Times New Roman"/>
            <w:sz w:val="18"/>
            <w:szCs w:val="18"/>
            <w:u w:val="single" w:color="auto"/>
            <w:color w:val="0000EE"/>
          </w:rPr>
          <w:t>Employment Agreement of Lecil E. Cole (incorporated by reference to Exhibit 10.2 to the Quarterly Report</w:t>
        </w:r>
      </w:hyperlink>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u w:val="single" w:color="auto"/>
            <w:color w:val="0000EE"/>
          </w:rPr>
          <w:t>on Form 10-Q filed by the Registrant on June 6, 2023</w:t>
        </w:r>
        <w:r>
          <w:rPr>
            <w:rFonts w:ascii="Times New Roman" w:cs="Times New Roman" w:eastAsia="Times New Roman" w:hAnsi="Times New Roman"/>
            <w:sz w:val="18"/>
            <w:szCs w:val="18"/>
            <w:u w:val="single" w:color="auto"/>
            <w:color w:val="0000EE"/>
            <w:highlight w:val="white"/>
          </w:rPr>
          <w:t>).</w:t>
        </w:r>
      </w:hyperlink>
    </w:p>
    <w:p>
      <w:pPr>
        <w:ind w:left="1020" w:right="59" w:hanging="584"/>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10.9* † </w:t>
      </w:r>
      <w:hyperlink r:id="rId82">
        <w:r>
          <w:rPr>
            <w:rFonts w:ascii="Times New Roman" w:cs="Times New Roman" w:eastAsia="Times New Roman" w:hAnsi="Times New Roman"/>
            <w:sz w:val="18"/>
            <w:szCs w:val="18"/>
            <w:u w:val="single" w:color="auto"/>
            <w:color w:val="0000EE"/>
          </w:rPr>
          <w:t>Form of Restricted Stock Unit Award Grant Notice (incorporated by reference to Exhibit 10.4 to the Quarterly</w:t>
        </w:r>
      </w:hyperlink>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u w:val="single" w:color="auto"/>
            <w:color w:val="0000EE"/>
          </w:rPr>
          <w:t>Report on Form 10-Q filed by the Registrant on June 6, 2023).</w:t>
        </w:r>
      </w:hyperlink>
    </w:p>
    <w:p>
      <w:pPr>
        <w:ind w:left="1020" w:right="59" w:hanging="674"/>
        <w:spacing w:after="0" w:line="266"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83">
        <w:r>
          <w:rPr>
            <w:rFonts w:ascii="Times New Roman" w:cs="Times New Roman" w:eastAsia="Times New Roman" w:hAnsi="Times New Roman"/>
            <w:sz w:val="18"/>
            <w:szCs w:val="18"/>
            <w:u w:val="single" w:color="auto"/>
            <w:color w:val="0000EE"/>
          </w:rPr>
          <w:t>Credit Agreement, dated June 26, 2023, by and among the Company, certain of its subsidiaries as guarantors</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and Wells Fargo Bank, National Association, as agent and lender (incorporated by reference to Exhibit 10.1 to</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the Current Report on Form 8-K filed by the Registrant on June 30, 2023).</w:t>
        </w:r>
      </w:hyperlink>
    </w:p>
    <w:p>
      <w:pPr>
        <w:ind w:left="1020" w:right="179" w:hanging="667"/>
        <w:spacing w:after="0" w:line="258"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10.11* † </w:t>
      </w:r>
      <w:hyperlink r:id="rId84">
        <w:r>
          <w:rPr>
            <w:rFonts w:ascii="Times New Roman" w:cs="Times New Roman" w:eastAsia="Times New Roman" w:hAnsi="Times New Roman"/>
            <w:sz w:val="18"/>
            <w:szCs w:val="18"/>
            <w:u w:val="single" w:color="auto"/>
            <w:color w:val="0000EE"/>
          </w:rPr>
          <w:t>Separation and Release Agreement – Graciela Montgomery (incorporated by reference to Exhibit 10.1 to the</w:t>
        </w:r>
      </w:hyperlink>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u w:val="single" w:color="auto"/>
            <w:color w:val="0000EE"/>
          </w:rPr>
          <w:t>Quarterly Report on Form 10-Q filed by the Registrant on March 11, 2024).</w:t>
        </w:r>
      </w:hyperlink>
    </w:p>
    <w:p>
      <w:pPr>
        <w:ind w:left="1020" w:right="219" w:hanging="674"/>
        <w:spacing w:after="0" w:line="258"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85">
        <w:r>
          <w:rPr>
            <w:rFonts w:ascii="Times New Roman" w:cs="Times New Roman" w:eastAsia="Times New Roman" w:hAnsi="Times New Roman"/>
            <w:sz w:val="18"/>
            <w:szCs w:val="18"/>
            <w:u w:val="single" w:color="auto"/>
            <w:color w:val="0000EE"/>
          </w:rPr>
          <w:t>Asset Purchase Agreement, dated August 15, 2024 (incorporated by reference to Exhibit 10.1 to the Current</w:t>
        </w:r>
      </w:hyperlink>
      <w:r>
        <w:rPr>
          <w:rFonts w:ascii="Times New Roman" w:cs="Times New Roman" w:eastAsia="Times New Roman" w:hAnsi="Times New Roman"/>
          <w:sz w:val="18"/>
          <w:szCs w:val="18"/>
          <w:u w:val="single" w:color="auto"/>
          <w:color w:val="0000EE"/>
        </w:rPr>
        <w:t xml:space="preserve"> </w:t>
      </w:r>
      <w:hyperlink r:id="rId85">
        <w:r>
          <w:rPr>
            <w:rFonts w:ascii="Times New Roman" w:cs="Times New Roman" w:eastAsia="Times New Roman" w:hAnsi="Times New Roman"/>
            <w:sz w:val="18"/>
            <w:szCs w:val="18"/>
            <w:u w:val="single" w:color="auto"/>
            <w:color w:val="0000EE"/>
          </w:rPr>
          <w:t>Report on Form 8-K filed by the Registrant on August 21, 2024).</w:t>
        </w:r>
      </w:hyperlink>
    </w:p>
    <w:p>
      <w:pPr>
        <w:ind w:left="1020" w:right="599" w:hanging="674"/>
        <w:spacing w:after="0" w:line="258"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86">
        <w:r>
          <w:rPr>
            <w:rFonts w:ascii="Times New Roman" w:cs="Times New Roman" w:eastAsia="Times New Roman" w:hAnsi="Times New Roman"/>
            <w:sz w:val="18"/>
            <w:szCs w:val="18"/>
            <w:u w:val="single" w:color="auto"/>
            <w:color w:val="0000EE"/>
          </w:rPr>
          <w:t>Purchase and Sale Agreement, dated August 15, 2024 (incorporated by reference to Exhibit 10.2 to the</w:t>
        </w:r>
      </w:hyperlink>
      <w:r>
        <w:rPr>
          <w:rFonts w:ascii="Times New Roman" w:cs="Times New Roman" w:eastAsia="Times New Roman" w:hAnsi="Times New Roman"/>
          <w:sz w:val="18"/>
          <w:szCs w:val="18"/>
          <w:u w:val="single" w:color="auto"/>
          <w:color w:val="0000EE"/>
        </w:rPr>
        <w:t xml:space="preserve"> </w:t>
      </w:r>
      <w:hyperlink r:id="rId86">
        <w:r>
          <w:rPr>
            <w:rFonts w:ascii="Times New Roman" w:cs="Times New Roman" w:eastAsia="Times New Roman" w:hAnsi="Times New Roman"/>
            <w:sz w:val="18"/>
            <w:szCs w:val="18"/>
            <w:u w:val="single" w:color="auto"/>
            <w:color w:val="0000EE"/>
          </w:rPr>
          <w:t>Current Report on Form 8-K filed by the Registrant on August 21, 2024).</w:t>
        </w:r>
      </w:hyperlink>
    </w:p>
    <w:p>
      <w:pPr>
        <w:ind w:left="1020" w:right="339" w:hanging="674"/>
        <w:spacing w:after="0" w:line="266"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87">
        <w:r>
          <w:rPr>
            <w:rFonts w:ascii="Times New Roman" w:cs="Times New Roman" w:eastAsia="Times New Roman" w:hAnsi="Times New Roman"/>
            <w:sz w:val="18"/>
            <w:szCs w:val="18"/>
            <w:u w:val="single" w:color="auto"/>
            <w:color w:val="0000EE"/>
          </w:rPr>
          <w:t>Amendment to Credit Agreement, dated August 15, 2024 (incorporated by reference to Exhibit 10.3 to the</w:t>
        </w:r>
      </w:hyperlink>
      <w:r>
        <w:rPr>
          <w:rFonts w:ascii="Times New Roman" w:cs="Times New Roman" w:eastAsia="Times New Roman" w:hAnsi="Times New Roman"/>
          <w:sz w:val="18"/>
          <w:szCs w:val="18"/>
          <w:u w:val="single" w:color="auto"/>
          <w:color w:val="0000EE"/>
        </w:rPr>
        <w:t xml:space="preserve"> </w:t>
      </w:r>
      <w:hyperlink r:id="rId87">
        <w:r>
          <w:rPr>
            <w:rFonts w:ascii="Times New Roman" w:cs="Times New Roman" w:eastAsia="Times New Roman" w:hAnsi="Times New Roman"/>
            <w:sz w:val="18"/>
            <w:szCs w:val="18"/>
            <w:u w:val="single" w:color="auto"/>
            <w:color w:val="0000EE"/>
          </w:rPr>
          <w:t>Current Report on Form 8-K filed by the Registrant on August 21, 2024).</w:t>
        </w:r>
      </w:hyperlink>
    </w:p>
    <w:p>
      <w:pPr>
        <w:ind w:left="1020" w:right="199" w:hanging="674"/>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10.15* † </w:t>
      </w:r>
      <w:hyperlink r:id="rId88">
        <w:r>
          <w:rPr>
            <w:rFonts w:ascii="Times New Roman" w:cs="Times New Roman" w:eastAsia="Times New Roman" w:hAnsi="Times New Roman"/>
            <w:sz w:val="18"/>
            <w:szCs w:val="18"/>
            <w:u w:val="single" w:color="auto"/>
            <w:color w:val="0000EE"/>
          </w:rPr>
          <w:t>Offer Letter, dated November 22, 2024, between the Company and James Snyder (incorporated by reference</w:t>
        </w:r>
      </w:hyperlink>
      <w:r>
        <w:rPr>
          <w:rFonts w:ascii="Times New Roman" w:cs="Times New Roman" w:eastAsia="Times New Roman" w:hAnsi="Times New Roman"/>
          <w:sz w:val="18"/>
          <w:szCs w:val="18"/>
          <w:color w:val="auto"/>
        </w:rPr>
        <w:t xml:space="preserve"> </w:t>
      </w:r>
      <w:hyperlink r:id="rId88">
        <w:r>
          <w:rPr>
            <w:rFonts w:ascii="Times New Roman" w:cs="Times New Roman" w:eastAsia="Times New Roman" w:hAnsi="Times New Roman"/>
            <w:sz w:val="18"/>
            <w:szCs w:val="18"/>
            <w:u w:val="single" w:color="auto"/>
            <w:color w:val="0000EE"/>
          </w:rPr>
          <w:t>to Exhibit 10.16 to the Annual Report on Form 10-K filed by the Registrant on January 14, 2025).</w:t>
        </w:r>
      </w:hyperlink>
    </w:p>
    <w:p>
      <w:pPr>
        <w:ind w:left="1020" w:right="319" w:hanging="674"/>
        <w:spacing w:after="0" w:line="258"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89">
        <w:r>
          <w:rPr>
            <w:rFonts w:ascii="Times New Roman" w:cs="Times New Roman" w:eastAsia="Times New Roman" w:hAnsi="Times New Roman"/>
            <w:sz w:val="18"/>
            <w:szCs w:val="18"/>
            <w:u w:val="single" w:color="auto"/>
            <w:color w:val="0000EE"/>
          </w:rPr>
          <w:t>Offer Letter, dated June 2, 2023, between the Company and Michael Browne (incorporated by reference to</w:t>
        </w:r>
      </w:hyperlink>
      <w:r>
        <w:rPr>
          <w:rFonts w:ascii="Times New Roman" w:cs="Times New Roman" w:eastAsia="Times New Roman" w:hAnsi="Times New Roman"/>
          <w:sz w:val="18"/>
          <w:szCs w:val="18"/>
          <w:u w:val="single" w:color="auto"/>
          <w:color w:val="0000EE"/>
        </w:rPr>
        <w:t xml:space="preserve"> </w:t>
      </w:r>
      <w:hyperlink r:id="rId89">
        <w:r>
          <w:rPr>
            <w:rFonts w:ascii="Times New Roman" w:cs="Times New Roman" w:eastAsia="Times New Roman" w:hAnsi="Times New Roman"/>
            <w:sz w:val="18"/>
            <w:szCs w:val="18"/>
            <w:u w:val="single" w:color="auto"/>
            <w:color w:val="0000EE"/>
          </w:rPr>
          <w:t>Exhibit 10.1 to the Quarterly Report on Form 10-Q filed by the Registrant on March 12, 2025).</w:t>
        </w:r>
      </w:hyperlink>
    </w:p>
    <w:p>
      <w:pPr>
        <w:ind w:left="1020" w:right="379" w:hanging="674"/>
        <w:spacing w:after="0" w:line="250"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10.17* † </w:t>
      </w:r>
      <w:hyperlink r:id="rId90">
        <w:r>
          <w:rPr>
            <w:rFonts w:ascii="Times New Roman" w:cs="Times New Roman" w:eastAsia="Times New Roman" w:hAnsi="Times New Roman"/>
            <w:sz w:val="18"/>
            <w:szCs w:val="18"/>
            <w:u w:val="single" w:color="auto"/>
            <w:color w:val="0000EE"/>
          </w:rPr>
          <w:t>Offer Letter, dated May 16, 2023, between the Company and Ronald Araiza (incorporated by reference to</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u w:val="single" w:color="auto"/>
            <w:color w:val="0000EE"/>
          </w:rPr>
          <w:t>Exhibit 10.2 to the Quarterly Report on Form 10-Q filed by the Registrant on March 12, 2025).</w:t>
        </w:r>
      </w:hyperlink>
    </w:p>
    <w:p>
      <w:pPr>
        <w:spacing w:after="0" w:line="1" w:lineRule="exact"/>
        <w:rPr>
          <w:sz w:val="20"/>
          <w:szCs w:val="20"/>
          <w:color w:val="auto"/>
        </w:rPr>
      </w:pPr>
    </w:p>
    <w:p>
      <w:pPr>
        <w:ind w:left="1020" w:right="79" w:hanging="674"/>
        <w:spacing w:after="0" w:line="255"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10.18* † </w:t>
      </w:r>
      <w:hyperlink r:id="rId91">
        <w:r>
          <w:rPr>
            <w:rFonts w:ascii="Times New Roman" w:cs="Times New Roman" w:eastAsia="Times New Roman" w:hAnsi="Times New Roman"/>
            <w:sz w:val="18"/>
            <w:szCs w:val="18"/>
            <w:u w:val="single" w:color="auto"/>
            <w:color w:val="0000EE"/>
          </w:rPr>
          <w:t>Addendum to Offer Letter, dated January 29, 2025, between the Company and Michael Browne (incorporated</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u w:val="single" w:color="auto"/>
            <w:color w:val="0000EE"/>
          </w:rPr>
          <w:t>by reference to Exhibit 10.3 to the Quarterly Report on Form 10-Q filed by the Registrant on March 12,</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2025).</w:t>
        </w:r>
      </w:hyperlink>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599" w:hanging="674"/>
        <w:spacing w:after="0" w:line="261"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10.19* † </w:t>
      </w:r>
      <w:hyperlink r:id="rId93">
        <w:r>
          <w:rPr>
            <w:rFonts w:ascii="Times New Roman" w:cs="Times New Roman" w:eastAsia="Times New Roman" w:hAnsi="Times New Roman"/>
            <w:sz w:val="18"/>
            <w:szCs w:val="18"/>
            <w:u w:val="single" w:color="auto"/>
            <w:color w:val="0000EE"/>
          </w:rPr>
          <w:t>Amended and Restated Calavo Growers, Inc. 2020 Equity Incentive Plan (incorporated by reference to</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u w:val="single" w:color="auto"/>
            <w:color w:val="0000EE"/>
          </w:rPr>
          <w:t>Exhibit 10.1 to the Current Report on Form 8-K filed by the Registrant on April 28, 2025).</w:t>
        </w:r>
      </w:hyperlink>
    </w:p>
    <w:p>
      <w:pPr>
        <w:ind w:left="1020" w:right="179" w:hanging="674"/>
        <w:spacing w:after="0" w:line="250"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10.20* † </w:t>
      </w:r>
      <w:hyperlink r:id="rId94">
        <w:r>
          <w:rPr>
            <w:rFonts w:ascii="Times New Roman" w:cs="Times New Roman" w:eastAsia="Times New Roman" w:hAnsi="Times New Roman"/>
            <w:sz w:val="18"/>
            <w:szCs w:val="18"/>
            <w:u w:val="single" w:color="auto"/>
            <w:color w:val="0000EE"/>
          </w:rPr>
          <w:t>Offer Letter, dated November 11, 2025, between the Company and B. John Lindeman (incorporated by</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EE"/>
          </w:rPr>
          <w:t>reference to Exhibit 10.1 to the Current Report on Form 8-K filed by the Registrant on November 13, 2025).</w:t>
        </w:r>
      </w:hyperlink>
    </w:p>
    <w:p>
      <w:pPr>
        <w:spacing w:after="0" w:line="1" w:lineRule="exact"/>
        <w:rPr>
          <w:sz w:val="20"/>
          <w:szCs w:val="20"/>
          <w:color w:val="auto"/>
        </w:rPr>
      </w:pPr>
    </w:p>
    <w:p>
      <w:pPr>
        <w:ind w:left="1020" w:right="99" w:hanging="674"/>
        <w:spacing w:after="0" w:line="265" w:lineRule="auto"/>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xml:space="preserve">10.21* † </w:t>
      </w:r>
      <w:hyperlink r:id="rId95">
        <w:r>
          <w:rPr>
            <w:rFonts w:ascii="Times New Roman" w:cs="Times New Roman" w:eastAsia="Times New Roman" w:hAnsi="Times New Roman"/>
            <w:sz w:val="17"/>
            <w:szCs w:val="17"/>
            <w:u w:val="single" w:color="auto"/>
            <w:color w:val="0000EE"/>
          </w:rPr>
          <w:t>Agreement dated December 8, 2025 by and between Calavo Growers, Inc. and Lecil E. Cole (incorporated by</w:t>
        </w:r>
      </w:hyperlink>
      <w:r>
        <w:rPr>
          <w:rFonts w:ascii="Times New Roman" w:cs="Times New Roman" w:eastAsia="Times New Roman" w:hAnsi="Times New Roman"/>
          <w:sz w:val="17"/>
          <w:szCs w:val="17"/>
          <w:color w:val="auto"/>
        </w:rPr>
        <w:t xml:space="preserve"> </w:t>
      </w:r>
      <w:hyperlink r:id="rId95">
        <w:r>
          <w:rPr>
            <w:rFonts w:ascii="Times New Roman" w:cs="Times New Roman" w:eastAsia="Times New Roman" w:hAnsi="Times New Roman"/>
            <w:sz w:val="17"/>
            <w:szCs w:val="17"/>
            <w:u w:val="single" w:color="auto"/>
            <w:color w:val="0000EE"/>
          </w:rPr>
          <w:t>reference to Exhibit 10.1 to the Current Report on Form 8-K filed by the Registrant on December 12, 2025).</w:t>
        </w:r>
      </w:hyperlink>
    </w:p>
    <w:p>
      <w:pPr>
        <w:ind w:left="1020" w:right="179" w:hanging="674"/>
        <w:spacing w:after="0" w:line="250"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10.22* † </w:t>
      </w:r>
      <w:hyperlink r:id="rId96">
        <w:r>
          <w:rPr>
            <w:rFonts w:ascii="Times New Roman" w:cs="Times New Roman" w:eastAsia="Times New Roman" w:hAnsi="Times New Roman"/>
            <w:sz w:val="18"/>
            <w:szCs w:val="18"/>
            <w:u w:val="single" w:color="auto"/>
            <w:color w:val="0000EE"/>
          </w:rPr>
          <w:t>Form of Executive Retention Agreement (incorporated by reference to Exhibit 10.1 to the Current Report on</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EE"/>
          </w:rPr>
          <w:t>Form 8-K/A filed by the Registrant on March 2, 2026).</w:t>
        </w:r>
      </w:hyperlink>
    </w:p>
    <w:p>
      <w:pPr>
        <w:spacing w:after="0" w:line="1" w:lineRule="exact"/>
        <w:rPr>
          <w:sz w:val="20"/>
          <w:szCs w:val="20"/>
          <w:color w:val="auto"/>
        </w:rPr>
      </w:pPr>
    </w:p>
    <w:p>
      <w:pPr>
        <w:ind w:left="340"/>
        <w:spacing w:after="0"/>
        <w:tabs>
          <w:tab w:leader="none" w:pos="1000" w:val="left"/>
        </w:tabs>
        <w:rPr>
          <w:sz w:val="20"/>
          <w:szCs w:val="20"/>
          <w:color w:val="auto"/>
        </w:rPr>
      </w:pPr>
      <w:r>
        <w:rPr>
          <w:rFonts w:ascii="Times New Roman" w:cs="Times New Roman" w:eastAsia="Times New Roman" w:hAnsi="Times New Roman"/>
          <w:sz w:val="18"/>
          <w:szCs w:val="18"/>
          <w:color w:val="auto"/>
        </w:rPr>
        <w:t>10.23†</w:t>
      </w:r>
      <w:r>
        <w:rPr>
          <w:sz w:val="20"/>
          <w:szCs w:val="20"/>
          <w:color w:val="auto"/>
        </w:rPr>
        <w:tab/>
      </w:r>
      <w:r>
        <w:rPr>
          <w:rFonts w:ascii="Times New Roman" w:cs="Times New Roman" w:eastAsia="Times New Roman" w:hAnsi="Times New Roman"/>
          <w:sz w:val="17"/>
          <w:szCs w:val="17"/>
          <w:u w:val="single" w:color="auto"/>
          <w:color w:val="0000EE"/>
        </w:rPr>
        <w:t>Form of Notice of Restricted Stock Award (with deferral election notice)</w:t>
      </w:r>
    </w:p>
    <w:p>
      <w:pPr>
        <w:spacing w:after="0" w:line="9" w:lineRule="exact"/>
        <w:rPr>
          <w:sz w:val="20"/>
          <w:szCs w:val="20"/>
          <w:color w:val="auto"/>
        </w:rPr>
      </w:pPr>
    </w:p>
    <w:p>
      <w:pPr>
        <w:ind w:left="1020" w:right="179" w:hanging="584"/>
        <w:spacing w:after="0" w:line="258"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19.1*</w:t>
      </w:r>
      <w:r>
        <w:rPr>
          <w:sz w:val="20"/>
          <w:szCs w:val="20"/>
          <w:color w:val="auto"/>
        </w:rPr>
        <w:tab/>
      </w:r>
      <w:hyperlink r:id="rId97">
        <w:r>
          <w:rPr>
            <w:rFonts w:ascii="Times New Roman" w:cs="Times New Roman" w:eastAsia="Times New Roman" w:hAnsi="Times New Roman"/>
            <w:sz w:val="18"/>
            <w:szCs w:val="18"/>
            <w:u w:val="single" w:color="auto"/>
            <w:color w:val="0000EE"/>
          </w:rPr>
          <w:t>Calavo Growers, Inc. Insider Trading Policy (incorporated by reference to Exhibit 19.1 to the Annual Report</w:t>
        </w:r>
      </w:hyperlink>
      <w:r>
        <w:rPr>
          <w:rFonts w:ascii="Times New Roman" w:cs="Times New Roman" w:eastAsia="Times New Roman" w:hAnsi="Times New Roman"/>
          <w:sz w:val="18"/>
          <w:szCs w:val="18"/>
          <w:u w:val="single" w:color="auto"/>
          <w:color w:val="0000EE"/>
        </w:rPr>
        <w:t xml:space="preserve"> </w:t>
      </w:r>
      <w:hyperlink r:id="rId97">
        <w:r>
          <w:rPr>
            <w:rFonts w:ascii="Times New Roman" w:cs="Times New Roman" w:eastAsia="Times New Roman" w:hAnsi="Times New Roman"/>
            <w:sz w:val="18"/>
            <w:szCs w:val="18"/>
            <w:u w:val="single" w:color="auto"/>
            <w:color w:val="0000EE"/>
          </w:rPr>
          <w:t>on Form 10-K filed by the Registrant on January 14, 2025).</w:t>
        </w:r>
      </w:hyperlink>
    </w:p>
    <w:p>
      <w:pPr>
        <w:ind w:left="1020" w:right="1239" w:hanging="584"/>
        <w:spacing w:after="0" w:line="258"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21.1*</w:t>
      </w:r>
      <w:r>
        <w:rPr>
          <w:sz w:val="20"/>
          <w:szCs w:val="20"/>
          <w:color w:val="auto"/>
        </w:rPr>
        <w:tab/>
      </w:r>
      <w:hyperlink r:id="rId98">
        <w:r>
          <w:rPr>
            <w:rFonts w:ascii="Times New Roman" w:cs="Times New Roman" w:eastAsia="Times New Roman" w:hAnsi="Times New Roman"/>
            <w:sz w:val="18"/>
            <w:szCs w:val="18"/>
            <w:u w:val="single" w:color="auto"/>
            <w:color w:val="0000EE"/>
          </w:rPr>
          <w:t>Subsidiaries of Calavo Growers, Inc. (incorporated by reference to Exhibit 21.1 to the Annual</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Report on Form 10-K filed by the Registrant on January 14, 2026).</w:t>
        </w:r>
      </w:hyperlink>
    </w:p>
    <w:p>
      <w:pPr>
        <w:ind w:left="1020" w:right="1739" w:hanging="584"/>
        <w:spacing w:after="0" w:line="266" w:lineRule="auto"/>
        <w:tabs>
          <w:tab w:leader="none" w:pos="100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23.1*</w:t>
      </w:r>
      <w:r>
        <w:rPr>
          <w:sz w:val="20"/>
          <w:szCs w:val="20"/>
          <w:color w:val="auto"/>
        </w:rPr>
        <w:tab/>
      </w:r>
      <w:hyperlink r:id="rId99">
        <w:r>
          <w:rPr>
            <w:rFonts w:ascii="Times New Roman" w:cs="Times New Roman" w:eastAsia="Times New Roman" w:hAnsi="Times New Roman"/>
            <w:sz w:val="18"/>
            <w:szCs w:val="18"/>
            <w:u w:val="single" w:color="auto"/>
            <w:color w:val="0000EE"/>
          </w:rPr>
          <w:t>Consent of Deloitte &amp; Touche (incorporated by reference to Exhibit 23.1 to the Annual</w:t>
        </w:r>
      </w:hyperlink>
      <w:r>
        <w:rPr>
          <w:rFonts w:ascii="Times New Roman" w:cs="Times New Roman" w:eastAsia="Times New Roman" w:hAnsi="Times New Roman"/>
          <w:sz w:val="18"/>
          <w:szCs w:val="18"/>
          <w:u w:val="single" w:color="auto"/>
          <w:color w:val="0000EE"/>
        </w:rPr>
        <w:t xml:space="preserve"> </w:t>
      </w:r>
      <w:hyperlink r:id="rId99">
        <w:r>
          <w:rPr>
            <w:rFonts w:ascii="Times New Roman" w:cs="Times New Roman" w:eastAsia="Times New Roman" w:hAnsi="Times New Roman"/>
            <w:sz w:val="18"/>
            <w:szCs w:val="18"/>
            <w:u w:val="single" w:color="auto"/>
            <w:color w:val="0000EE"/>
          </w:rPr>
          <w:t>Report on Form 10-K filed by the Registrant on January 14, 2026)</w:t>
        </w:r>
      </w:hyperlink>
      <w:r>
        <w:rPr>
          <w:rFonts w:ascii="Times New Roman" w:cs="Times New Roman" w:eastAsia="Times New Roman" w:hAnsi="Times New Roman"/>
          <w:sz w:val="18"/>
          <w:szCs w:val="18"/>
          <w:color w:val="000000"/>
        </w:rPr>
        <w:t>.</w:t>
      </w:r>
    </w:p>
    <w:p>
      <w:pPr>
        <w:ind w:left="440"/>
        <w:spacing w:after="0"/>
        <w:tabs>
          <w:tab w:leader="none" w:pos="100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EE"/>
        </w:rPr>
        <w:t>Power of Attorney (included on the signature page of this Amendment to the Annual Report on Form 10-K)</w:t>
      </w:r>
    </w:p>
    <w:p>
      <w:pPr>
        <w:spacing w:after="0" w:line="9"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EE"/>
        </w:rPr>
        <w:t>Certification of Chief Executive Officer Pursuant to Rule 13a-15(e) or Rule 15d-15(e)</w:t>
      </w:r>
    </w:p>
    <w:p>
      <w:pPr>
        <w:spacing w:after="0" w:line="23"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EE"/>
        </w:rPr>
        <w:t>Certification of Chief Financial Officer Pursuant to Rule 13a-15(e) or Rule 15d-15(e)</w:t>
      </w:r>
    </w:p>
    <w:p>
      <w:pPr>
        <w:spacing w:after="0" w:line="23" w:lineRule="exact"/>
        <w:rPr>
          <w:sz w:val="20"/>
          <w:szCs w:val="20"/>
          <w:color w:val="auto"/>
        </w:rPr>
      </w:pPr>
    </w:p>
    <w:p>
      <w:pPr>
        <w:ind w:left="1020" w:right="119" w:hanging="584"/>
        <w:spacing w:after="0" w:line="266" w:lineRule="auto"/>
        <w:tabs>
          <w:tab w:leader="none" w:pos="10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and Chief Financial Officer of Periodic Report Pursuant to 18 U.S.C. Section 1350</w:t>
      </w:r>
    </w:p>
    <w:p>
      <w:pPr>
        <w:ind w:left="1020" w:right="339" w:hanging="584"/>
        <w:spacing w:after="0" w:line="266"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97.1*</w:t>
      </w:r>
      <w:r>
        <w:rPr>
          <w:sz w:val="20"/>
          <w:szCs w:val="20"/>
          <w:color w:val="auto"/>
        </w:rPr>
        <w:tab/>
      </w:r>
      <w:hyperlink r:id="rId100">
        <w:r>
          <w:rPr>
            <w:rFonts w:ascii="Times New Roman" w:cs="Times New Roman" w:eastAsia="Times New Roman" w:hAnsi="Times New Roman"/>
            <w:sz w:val="18"/>
            <w:szCs w:val="18"/>
            <w:u w:val="single" w:color="auto"/>
            <w:color w:val="0000EE"/>
          </w:rPr>
          <w:t>Calavo Growers, Inc. Clawback Policy (incorporated by reference to Exhibit 97.1 to the Annual Report on</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Form 10-K/A filed by the Registrant on January 31, 2024).</w:t>
        </w:r>
      </w:hyperlink>
    </w:p>
    <w:p>
      <w:pPr>
        <w:ind w:left="1020" w:right="139" w:hanging="874"/>
        <w:spacing w:after="0" w:line="292" w:lineRule="auto"/>
        <w:tabs>
          <w:tab w:leader="none" w:pos="1000" w:val="left"/>
        </w:tabs>
        <w:rPr>
          <w:sz w:val="20"/>
          <w:szCs w:val="20"/>
          <w:color w:val="auto"/>
        </w:rPr>
      </w:pPr>
      <w:r>
        <w:rPr>
          <w:rFonts w:ascii="Times New Roman" w:cs="Times New Roman" w:eastAsia="Times New Roman" w:hAnsi="Times New Roman"/>
          <w:sz w:val="18"/>
          <w:szCs w:val="18"/>
          <w:color w:val="auto"/>
        </w:rPr>
        <w:t>101.INS</w:t>
        <w:tab/>
        <w:t>Inline XBRL Instance Document (the instance document does not appear in the Interactive Data File because its XBRL tags are embedded within the Inline XBRL document).</w:t>
      </w:r>
    </w:p>
    <w:p>
      <w:pPr>
        <w:spacing w:after="0" w:line="31"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101.SCH</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10"/>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101.CAL</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11"/>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101.DEF</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10"/>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101.LAB</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310"/>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101.PRE</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Document</w:t>
            </w:r>
          </w:p>
        </w:tc>
      </w:tr>
    </w:tbl>
    <w:p>
      <w:pPr>
        <w:spacing w:after="0" w:line="76" w:lineRule="exact"/>
        <w:rPr>
          <w:sz w:val="20"/>
          <w:szCs w:val="20"/>
          <w:color w:val="auto"/>
        </w:rPr>
      </w:pPr>
    </w:p>
    <w:p>
      <w:pPr>
        <w:ind w:left="60" w:right="1419" w:firstLine="421"/>
        <w:spacing w:after="0" w:line="438" w:lineRule="auto"/>
        <w:tabs>
          <w:tab w:leader="none" w:pos="1019"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Previously filed.</w:t>
      </w:r>
    </w:p>
    <w:p>
      <w:pPr>
        <w:ind w:left="380" w:right="139" w:hanging="324"/>
        <w:spacing w:after="0" w:line="274" w:lineRule="auto"/>
        <w:tabs>
          <w:tab w:leader="none" w:pos="36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60" w:lineRule="exact"/>
        <w:rPr>
          <w:rFonts w:ascii="Times New Roman" w:cs="Times New Roman" w:eastAsia="Times New Roman" w:hAnsi="Times New Roman"/>
          <w:sz w:val="18"/>
          <w:szCs w:val="18"/>
          <w:color w:val="auto"/>
        </w:rPr>
      </w:pPr>
    </w:p>
    <w:p>
      <w:pPr>
        <w:ind w:left="360" w:right="359" w:hanging="316"/>
        <w:spacing w:after="0" w:line="282" w:lineRule="auto"/>
        <w:tabs>
          <w:tab w:leader="none" w:pos="36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 The registrant will furnish copies of any such schedules and exhibits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-1059815</wp:posOffset>
            </wp:positionV>
            <wp:extent cx="14141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4" w:lineRule="exact"/>
        <w:rPr>
          <w:sz w:val="20"/>
          <w:szCs w:val="20"/>
          <w:color w:val="auto"/>
        </w:rPr>
      </w:pPr>
    </w:p>
    <w:p>
      <w:pPr>
        <w:ind w:left="360" w:hanging="316"/>
        <w:spacing w:after="0"/>
        <w:tabs>
          <w:tab w:leader="none" w:pos="3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each 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7"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479"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March 2, 2026.</w:t>
      </w:r>
    </w:p>
    <w:p>
      <w:pPr>
        <w:spacing w:after="0" w:line="17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131" w:lineRule="exact"/>
        <w:rPr>
          <w:sz w:val="20"/>
          <w:szCs w:val="20"/>
          <w:color w:val="auto"/>
        </w:rPr>
      </w:pPr>
    </w:p>
    <w:tbl>
      <w:tblPr>
        <w:tblLayout w:type="fixed"/>
        <w:tblInd w:w="448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 John Lindeman</w:t>
            </w:r>
          </w:p>
        </w:tc>
      </w:tr>
      <w:tr>
        <w:trPr>
          <w:trHeight w:val="189"/>
        </w:trPr>
        <w:tc>
          <w:tcPr>
            <w:tcW w:w="280" w:type="dxa"/>
            <w:vAlign w:val="bottom"/>
          </w:tcPr>
          <w:p>
            <w:pPr>
              <w:spacing w:after="0"/>
              <w:rPr>
                <w:sz w:val="16"/>
                <w:szCs w:val="16"/>
                <w:color w:val="auto"/>
              </w:rPr>
            </w:pPr>
          </w:p>
        </w:tc>
        <w:tc>
          <w:tcPr>
            <w:tcW w:w="4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B. John Lindeman</w:t>
            </w:r>
          </w:p>
        </w:tc>
      </w:tr>
      <w:tr>
        <w:trPr>
          <w:trHeight w:val="236"/>
        </w:trPr>
        <w:tc>
          <w:tcPr>
            <w:tcW w:w="28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bl>
    <w:p>
      <w:pPr>
        <w:spacing w:after="0" w:line="198"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B. John Lindeman and James Snyder,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192" w:lineRule="exact"/>
        <w:rPr>
          <w:sz w:val="20"/>
          <w:szCs w:val="20"/>
          <w:color w:val="auto"/>
        </w:rPr>
      </w:pPr>
    </w:p>
    <w:p>
      <w:pPr>
        <w:ind w:left="40" w:right="359"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on March 2, 2026, by the following persons on behalf of the registrant and in the capacities indicated:</w:t>
      </w:r>
    </w:p>
    <w:p>
      <w:pPr>
        <w:spacing w:after="0" w:line="178"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500" w:type="dxa"/>
            <w:vAlign w:val="bottom"/>
          </w:tcPr>
          <w:p>
            <w:pPr>
              <w:spacing w:after="0"/>
              <w:rPr>
                <w:sz w:val="18"/>
                <w:szCs w:val="18"/>
                <w:color w:val="auto"/>
              </w:rPr>
            </w:pP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480" w:type="dxa"/>
            <w:vAlign w:val="bottom"/>
          </w:tcPr>
          <w:p>
            <w:pPr>
              <w:spacing w:after="0"/>
              <w:rPr>
                <w:sz w:val="18"/>
                <w:szCs w:val="18"/>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288"/>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B. John Lindeman</w:t>
            </w:r>
          </w:p>
        </w:tc>
        <w:tc>
          <w:tcPr>
            <w:tcW w:w="500" w:type="dxa"/>
            <w:vAlign w:val="bottom"/>
          </w:tcPr>
          <w:p>
            <w:pPr>
              <w:spacing w:after="0"/>
              <w:rPr>
                <w:sz w:val="24"/>
                <w:szCs w:val="24"/>
                <w:color w:val="auto"/>
              </w:rPr>
            </w:pPr>
          </w:p>
        </w:tc>
        <w:tc>
          <w:tcPr>
            <w:tcW w:w="378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color w:val="auto"/>
              </w:rPr>
              <w:t>Chief Executive Officer and 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 2026</w:t>
            </w:r>
          </w:p>
        </w:tc>
      </w:tr>
      <w:tr>
        <w:trPr>
          <w:trHeight w:val="210"/>
        </w:trPr>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 John Lindeman</w:t>
            </w:r>
          </w:p>
        </w:tc>
        <w:tc>
          <w:tcPr>
            <w:tcW w:w="500" w:type="dxa"/>
            <w:vAlign w:val="bottom"/>
          </w:tcPr>
          <w:p>
            <w:pPr>
              <w:spacing w:after="0"/>
              <w:rPr>
                <w:sz w:val="18"/>
                <w:szCs w:val="18"/>
                <w:color w:val="auto"/>
              </w:rPr>
            </w:pPr>
          </w:p>
        </w:tc>
        <w:tc>
          <w:tcPr>
            <w:tcW w:w="378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2140" w:type="dxa"/>
            <w:vAlign w:val="bottom"/>
          </w:tcPr>
          <w:p>
            <w:pPr>
              <w:spacing w:after="0"/>
              <w:rPr>
                <w:sz w:val="18"/>
                <w:szCs w:val="18"/>
                <w:color w:val="auto"/>
              </w:rPr>
            </w:pPr>
          </w:p>
        </w:tc>
      </w:tr>
      <w:tr>
        <w:trPr>
          <w:trHeight w:val="283"/>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James Snyder</w:t>
            </w:r>
          </w:p>
        </w:tc>
        <w:tc>
          <w:tcPr>
            <w:tcW w:w="500" w:type="dxa"/>
            <w:vAlign w:val="bottom"/>
          </w:tcPr>
          <w:p>
            <w:pPr>
              <w:spacing w:after="0"/>
              <w:rPr>
                <w:sz w:val="24"/>
                <w:szCs w:val="24"/>
                <w:color w:val="auto"/>
              </w:rPr>
            </w:pPr>
          </w:p>
        </w:tc>
        <w:tc>
          <w:tcPr>
            <w:tcW w:w="378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color w:val="auto"/>
              </w:rPr>
              <w:t>Chief Financial Officer</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 2026</w:t>
            </w:r>
          </w:p>
        </w:tc>
      </w:tr>
      <w:tr>
        <w:trPr>
          <w:trHeight w:val="210"/>
        </w:trPr>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James Snyder</w:t>
            </w:r>
          </w:p>
        </w:tc>
        <w:tc>
          <w:tcPr>
            <w:tcW w:w="500" w:type="dxa"/>
            <w:vAlign w:val="bottom"/>
          </w:tcPr>
          <w:p>
            <w:pPr>
              <w:spacing w:after="0"/>
              <w:rPr>
                <w:sz w:val="18"/>
                <w:szCs w:val="18"/>
                <w:color w:val="auto"/>
              </w:rPr>
            </w:pPr>
          </w:p>
        </w:tc>
        <w:tc>
          <w:tcPr>
            <w:tcW w:w="378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c>
          <w:tcPr>
            <w:tcW w:w="2140" w:type="dxa"/>
            <w:vAlign w:val="bottom"/>
          </w:tcPr>
          <w:p>
            <w:pPr>
              <w:spacing w:after="0"/>
              <w:rPr>
                <w:sz w:val="18"/>
                <w:szCs w:val="18"/>
                <w:color w:val="auto"/>
              </w:rPr>
            </w:pPr>
          </w:p>
        </w:tc>
      </w:tr>
      <w:tr>
        <w:trPr>
          <w:trHeight w:val="381"/>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Kathleen M. Holmgren</w:t>
            </w:r>
          </w:p>
        </w:tc>
        <w:tc>
          <w:tcPr>
            <w:tcW w:w="500" w:type="dxa"/>
            <w:vAlign w:val="bottom"/>
          </w:tcPr>
          <w:p>
            <w:pPr>
              <w:spacing w:after="0"/>
              <w:rPr>
                <w:sz w:val="24"/>
                <w:szCs w:val="24"/>
                <w:color w:val="auto"/>
              </w:rPr>
            </w:pPr>
          </w:p>
        </w:tc>
        <w:tc>
          <w:tcPr>
            <w:tcW w:w="378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color w:val="auto"/>
              </w:rPr>
              <w:t>Chairman of the Board of Directors</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 2026</w:t>
            </w:r>
          </w:p>
        </w:tc>
      </w:tr>
      <w:tr>
        <w:trPr>
          <w:trHeight w:val="207"/>
        </w:trPr>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Kathleen M. Holmgren</w:t>
            </w:r>
          </w:p>
        </w:tc>
        <w:tc>
          <w:tcPr>
            <w:tcW w:w="5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86"/>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Marc L. Brown</w:t>
            </w:r>
          </w:p>
        </w:tc>
        <w:tc>
          <w:tcPr>
            <w:tcW w:w="500" w:type="dxa"/>
            <w:vAlign w:val="bottom"/>
          </w:tcPr>
          <w:p>
            <w:pPr>
              <w:spacing w:after="0"/>
              <w:rPr>
                <w:sz w:val="24"/>
                <w:szCs w:val="24"/>
                <w:color w:val="auto"/>
              </w:rPr>
            </w:pPr>
          </w:p>
        </w:tc>
        <w:tc>
          <w:tcPr>
            <w:tcW w:w="37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 2026</w:t>
            </w:r>
          </w:p>
        </w:tc>
      </w:tr>
      <w:tr>
        <w:trPr>
          <w:trHeight w:val="207"/>
        </w:trPr>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 L. Brown</w:t>
            </w:r>
          </w:p>
        </w:tc>
        <w:tc>
          <w:tcPr>
            <w:tcW w:w="5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86"/>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Adriana Mendizabal</w:t>
            </w:r>
          </w:p>
        </w:tc>
        <w:tc>
          <w:tcPr>
            <w:tcW w:w="500" w:type="dxa"/>
            <w:vAlign w:val="bottom"/>
          </w:tcPr>
          <w:p>
            <w:pPr>
              <w:spacing w:after="0"/>
              <w:rPr>
                <w:sz w:val="24"/>
                <w:szCs w:val="24"/>
                <w:color w:val="auto"/>
              </w:rPr>
            </w:pPr>
          </w:p>
        </w:tc>
        <w:tc>
          <w:tcPr>
            <w:tcW w:w="37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 2026</w:t>
            </w:r>
          </w:p>
        </w:tc>
      </w:tr>
      <w:tr>
        <w:trPr>
          <w:trHeight w:val="207"/>
        </w:trPr>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Adriana Mendizabal</w:t>
            </w:r>
          </w:p>
        </w:tc>
        <w:tc>
          <w:tcPr>
            <w:tcW w:w="5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86"/>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Michael A. DiGregorio</w:t>
            </w:r>
          </w:p>
        </w:tc>
        <w:tc>
          <w:tcPr>
            <w:tcW w:w="500" w:type="dxa"/>
            <w:vAlign w:val="bottom"/>
          </w:tcPr>
          <w:p>
            <w:pPr>
              <w:spacing w:after="0"/>
              <w:rPr>
                <w:sz w:val="24"/>
                <w:szCs w:val="24"/>
                <w:color w:val="auto"/>
              </w:rPr>
            </w:pPr>
          </w:p>
        </w:tc>
        <w:tc>
          <w:tcPr>
            <w:tcW w:w="37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 2026</w:t>
            </w:r>
          </w:p>
        </w:tc>
      </w:tr>
      <w:tr>
        <w:trPr>
          <w:trHeight w:val="207"/>
        </w:trPr>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Michael A. DiGregorio</w:t>
            </w:r>
          </w:p>
        </w:tc>
        <w:tc>
          <w:tcPr>
            <w:tcW w:w="5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86"/>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Farha Aslam</w:t>
            </w:r>
          </w:p>
        </w:tc>
        <w:tc>
          <w:tcPr>
            <w:tcW w:w="500" w:type="dxa"/>
            <w:vAlign w:val="bottom"/>
          </w:tcPr>
          <w:p>
            <w:pPr>
              <w:spacing w:after="0"/>
              <w:rPr>
                <w:sz w:val="24"/>
                <w:szCs w:val="24"/>
                <w:color w:val="auto"/>
              </w:rPr>
            </w:pPr>
          </w:p>
        </w:tc>
        <w:tc>
          <w:tcPr>
            <w:tcW w:w="37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 2026</w:t>
            </w:r>
          </w:p>
        </w:tc>
      </w:tr>
      <w:tr>
        <w:trPr>
          <w:trHeight w:val="207"/>
        </w:trPr>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Farha Aslam</w:t>
            </w:r>
          </w:p>
        </w:tc>
        <w:tc>
          <w:tcPr>
            <w:tcW w:w="5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300"/>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 Link Leavens</w:t>
            </w:r>
          </w:p>
        </w:tc>
        <w:tc>
          <w:tcPr>
            <w:tcW w:w="500" w:type="dxa"/>
            <w:vAlign w:val="bottom"/>
          </w:tcPr>
          <w:p>
            <w:pPr>
              <w:spacing w:after="0"/>
              <w:rPr>
                <w:sz w:val="24"/>
                <w:szCs w:val="24"/>
                <w:color w:val="auto"/>
              </w:rPr>
            </w:pPr>
          </w:p>
        </w:tc>
        <w:tc>
          <w:tcPr>
            <w:tcW w:w="37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 2026</w:t>
            </w:r>
          </w:p>
        </w:tc>
      </w:tr>
      <w:tr>
        <w:trPr>
          <w:trHeight w:val="207"/>
        </w:trPr>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 Link Leavens</w:t>
            </w:r>
          </w:p>
        </w:tc>
        <w:tc>
          <w:tcPr>
            <w:tcW w:w="5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86"/>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Steven W. Hollister</w:t>
            </w:r>
          </w:p>
        </w:tc>
        <w:tc>
          <w:tcPr>
            <w:tcW w:w="500" w:type="dxa"/>
            <w:vAlign w:val="bottom"/>
          </w:tcPr>
          <w:p>
            <w:pPr>
              <w:spacing w:after="0"/>
              <w:rPr>
                <w:sz w:val="24"/>
                <w:szCs w:val="24"/>
                <w:color w:val="auto"/>
              </w:rPr>
            </w:pPr>
          </w:p>
        </w:tc>
        <w:tc>
          <w:tcPr>
            <w:tcW w:w="37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 2026</w:t>
            </w:r>
          </w:p>
        </w:tc>
      </w:tr>
      <w:tr>
        <w:trPr>
          <w:trHeight w:val="207"/>
        </w:trPr>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Steven W. Hollister</w:t>
            </w:r>
          </w:p>
        </w:tc>
        <w:tc>
          <w:tcPr>
            <w:tcW w:w="5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10.23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 GRANT NOTICE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A NON-EMPLOYEE DIRECTOR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203" w:lineRule="exact"/>
        <w:rPr>
          <w:sz w:val="20"/>
          <w:szCs w:val="20"/>
          <w:color w:val="auto"/>
        </w:rPr>
      </w:pPr>
    </w:p>
    <w:p>
      <w:pPr>
        <w:ind w:left="60" w:right="199"/>
        <w:spacing w:after="0" w:line="275" w:lineRule="auto"/>
        <w:rPr>
          <w:sz w:val="20"/>
          <w:szCs w:val="20"/>
          <w:color w:val="auto"/>
        </w:rPr>
      </w:pPr>
      <w:r>
        <w:rPr>
          <w:rFonts w:ascii="Times New Roman" w:cs="Times New Roman" w:eastAsia="Times New Roman" w:hAnsi="Times New Roman"/>
          <w:sz w:val="17"/>
          <w:szCs w:val="17"/>
          <w:color w:val="auto"/>
        </w:rPr>
        <w:t>Calavo Growers,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pursuant to its 2020 Equity Incentive Plan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hereby grants to the Director named below a Restricted Stock Unit Award (the “</w:t>
      </w:r>
      <w:r>
        <w:rPr>
          <w:rFonts w:ascii="Times New Roman" w:cs="Times New Roman" w:eastAsia="Times New Roman" w:hAnsi="Times New Roman"/>
          <w:sz w:val="17"/>
          <w:szCs w:val="17"/>
          <w:b w:val="1"/>
          <w:bCs w:val="1"/>
          <w:color w:val="auto"/>
        </w:rPr>
        <w:t>Award</w:t>
      </w:r>
      <w:r>
        <w:rPr>
          <w:rFonts w:ascii="Times New Roman" w:cs="Times New Roman" w:eastAsia="Times New Roman" w:hAnsi="Times New Roman"/>
          <w:sz w:val="17"/>
          <w:szCs w:val="17"/>
          <w:color w:val="auto"/>
        </w:rPr>
        <w:t>”) for the number of restricted stock units (“</w:t>
      </w:r>
      <w:r>
        <w:rPr>
          <w:rFonts w:ascii="Times New Roman" w:cs="Times New Roman" w:eastAsia="Times New Roman" w:hAnsi="Times New Roman"/>
          <w:sz w:val="17"/>
          <w:szCs w:val="17"/>
          <w:b w:val="1"/>
          <w:bCs w:val="1"/>
          <w:color w:val="auto"/>
        </w:rPr>
        <w:t>Restricted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Stock Units</w:t>
      </w:r>
      <w:r>
        <w:rPr>
          <w:rFonts w:ascii="Times New Roman" w:cs="Times New Roman" w:eastAsia="Times New Roman" w:hAnsi="Times New Roman"/>
          <w:sz w:val="17"/>
          <w:szCs w:val="17"/>
          <w:color w:val="auto"/>
        </w:rPr>
        <w:t>”) set forth below. The Award is subject to all of the terms and conditions as set forth in this Restricted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Unit Award Grant Notice (this “</w:t>
      </w:r>
      <w:r>
        <w:rPr>
          <w:rFonts w:ascii="Times New Roman" w:cs="Times New Roman" w:eastAsia="Times New Roman" w:hAnsi="Times New Roman"/>
          <w:sz w:val="17"/>
          <w:szCs w:val="17"/>
          <w:b w:val="1"/>
          <w:bCs w:val="1"/>
          <w:color w:val="auto"/>
        </w:rPr>
        <w:t>Grant Notice</w:t>
      </w:r>
      <w:r>
        <w:rPr>
          <w:rFonts w:ascii="Times New Roman" w:cs="Times New Roman" w:eastAsia="Times New Roman" w:hAnsi="Times New Roman"/>
          <w:sz w:val="17"/>
          <w:szCs w:val="17"/>
          <w:color w:val="auto"/>
        </w:rPr>
        <w:t>”) and in the attached Restricted Stock Unit Award Agreement (the “</w:t>
      </w:r>
      <w:r>
        <w:rPr>
          <w:rFonts w:ascii="Times New Roman" w:cs="Times New Roman" w:eastAsia="Times New Roman" w:hAnsi="Times New Roman"/>
          <w:sz w:val="17"/>
          <w:szCs w:val="17"/>
          <w:b w:val="1"/>
          <w:bCs w:val="1"/>
          <w:color w:val="auto"/>
        </w:rPr>
        <w:t>RSU</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Award Agreement</w:t>
      </w:r>
      <w:r>
        <w:rPr>
          <w:rFonts w:ascii="Times New Roman" w:cs="Times New Roman" w:eastAsia="Times New Roman" w:hAnsi="Times New Roman"/>
          <w:sz w:val="17"/>
          <w:szCs w:val="17"/>
          <w:color w:val="auto"/>
        </w:rPr>
        <w:t>”) and the Plan, both of which are incorporated herein by reference. Capitalized terms used but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defined in this Grant Notice shall have the meanings set forth in the RSU Award Agreement or the Plan, as applicable.</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19685</wp:posOffset>
            </wp:positionV>
            <wp:extent cx="35579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4">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19685</wp:posOffset>
            </wp:positionV>
            <wp:extent cx="35579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5">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19685</wp:posOffset>
            </wp:positionV>
            <wp:extent cx="35579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6">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19685</wp:posOffset>
            </wp:positionV>
            <wp:extent cx="35579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7">
                      <a:extLst>
                        <a:ext uri="{28A0092B-C50C-407E-A947-70E740481C1C}"/>
                      </a:extLst>
                    </a:blip>
                    <a:srcRect/>
                    <a:stretch>
                      <a:fillRect/>
                    </a:stretch>
                  </pic:blipFill>
                  <pic:spPr bwMode="auto">
                    <a:xfrm>
                      <a:off x="0" y="0"/>
                      <a:ext cx="355790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680" w:right="99" w:hanging="1619"/>
        <w:spacing w:after="0" w:line="259" w:lineRule="auto"/>
        <w:tabs>
          <w:tab w:leader="none" w:pos="1660"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8"/>
          <w:szCs w:val="18"/>
          <w:color w:val="auto"/>
        </w:rPr>
        <w:t>On the date (the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that is the earlier of (i) the one-year anniversary of the Vesting Commencement Date, or (ii) the date of the 20[•] Annual Meeting of Shareholders of the Company (the “</w:t>
      </w:r>
      <w:r>
        <w:rPr>
          <w:rFonts w:ascii="Times New Roman" w:cs="Times New Roman" w:eastAsia="Times New Roman" w:hAnsi="Times New Roman"/>
          <w:sz w:val="18"/>
          <w:szCs w:val="18"/>
          <w:b w:val="1"/>
          <w:bCs w:val="1"/>
          <w:color w:val="auto"/>
        </w:rPr>
        <w:t>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provided the 20[•] Annual Meeting occurs on or after [•], 20[•], all of the Restricted Stock Units shall fully vest and become non-forfeitable if the Participant continuously serves as a Director until the Vesting Date.</w:t>
      </w:r>
    </w:p>
    <w:p>
      <w:pPr>
        <w:spacing w:after="0" w:line="183" w:lineRule="exact"/>
        <w:rPr>
          <w:sz w:val="20"/>
          <w:szCs w:val="20"/>
          <w:color w:val="auto"/>
        </w:rPr>
      </w:pPr>
    </w:p>
    <w:p>
      <w:pPr>
        <w:ind w:left="1680" w:right="99"/>
        <w:spacing w:after="0" w:line="256" w:lineRule="auto"/>
        <w:rPr>
          <w:sz w:val="20"/>
          <w:szCs w:val="20"/>
          <w:color w:val="auto"/>
        </w:rPr>
      </w:pPr>
      <w:r>
        <w:rPr>
          <w:rFonts w:ascii="Times New Roman" w:cs="Times New Roman" w:eastAsia="Times New Roman" w:hAnsi="Times New Roman"/>
          <w:sz w:val="18"/>
          <w:szCs w:val="18"/>
          <w:color w:val="auto"/>
        </w:rPr>
        <w:t>Notwithstanding the foregoing sentence, if the Participant ceases to be a Director because of a Participant’s Retirement, then the Participant shall fully vest a number of Restricted Stock Units equal to all of the Restricted Stock Units multiplied by a fraction, the numerator of which is equal to the number of days the Participant served as a Director from the Vesting Commencement Date to their date of Retirement, and the denominator of which is equal to three hundred and sixty five (365) (the “</w:t>
      </w:r>
      <w:r>
        <w:rPr>
          <w:rFonts w:ascii="Times New Roman" w:cs="Times New Roman" w:eastAsia="Times New Roman" w:hAnsi="Times New Roman"/>
          <w:sz w:val="18"/>
          <w:szCs w:val="18"/>
          <w:b w:val="1"/>
          <w:bCs w:val="1"/>
          <w:color w:val="auto"/>
        </w:rPr>
        <w:t>Director Pro-Rated Vesting</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680" w:right="59"/>
        <w:spacing w:after="0" w:line="255" w:lineRule="auto"/>
        <w:rPr>
          <w:sz w:val="20"/>
          <w:szCs w:val="20"/>
          <w:color w:val="auto"/>
        </w:rPr>
      </w:pPr>
      <w:r>
        <w:rPr>
          <w:rFonts w:ascii="Times New Roman" w:cs="Times New Roman" w:eastAsia="Times New Roman" w:hAnsi="Times New Roman"/>
          <w:sz w:val="18"/>
          <w:szCs w:val="18"/>
          <w:color w:val="auto"/>
        </w:rPr>
        <w:t>Subject to Section 2 of the RSU Award Agreement and Section 9(c) of the Plan, and the Director Pro-Rated Vesting, if the Participant’s service as a Director terminates for any reason prior to the Vesting Date, vesting of the Restricted Stock Units shall cease on such termination date and the Restricted Stock Units that were not vested on the date of such termination shall be cancelled and the Participant shall have no further right, title or interest in or to such Restricted Stock Units or the shares of Common Stock to be issued in respect of the cancelled Restricted Stock Units. As provided in Section 9(c) of the Plan, the Shares may fully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885825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8" w:name="page49"/>
    <w:bookmarkEnd w:id="48"/>
    <w:p>
      <w:pPr>
        <w:ind w:left="1680"/>
        <w:spacing w:after="0"/>
        <w:rPr>
          <w:sz w:val="20"/>
          <w:szCs w:val="20"/>
          <w:color w:val="auto"/>
        </w:rPr>
      </w:pPr>
      <w:r>
        <w:rPr>
          <w:rFonts w:ascii="Times New Roman" w:cs="Times New Roman" w:eastAsia="Times New Roman" w:hAnsi="Times New Roman"/>
          <w:sz w:val="18"/>
          <w:szCs w:val="18"/>
          <w:color w:val="auto"/>
        </w:rPr>
        <w:t>prior to the Meeting Date in connection with the consummation of a Change in Control.</w:t>
      </w:r>
    </w:p>
    <w:p>
      <w:pPr>
        <w:spacing w:after="0" w:line="221" w:lineRule="exact"/>
        <w:rPr>
          <w:sz w:val="20"/>
          <w:szCs w:val="20"/>
          <w:color w:val="auto"/>
        </w:rPr>
      </w:pPr>
    </w:p>
    <w:p>
      <w:pPr>
        <w:ind w:left="1680" w:right="25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Retirement</w:t>
      </w:r>
      <w:r>
        <w:rPr>
          <w:rFonts w:ascii="Times New Roman" w:cs="Times New Roman" w:eastAsia="Times New Roman" w:hAnsi="Times New Roman"/>
          <w:sz w:val="18"/>
          <w:szCs w:val="18"/>
          <w:color w:val="auto"/>
        </w:rPr>
        <w:t>” means, with respect to a Participant, the Participant’s retirement as a Director of the Company on or after reaching age 65, or such earlier age as may be otherwise determined by the Board, after at least three years serving as a Director of the Company.</w:t>
      </w:r>
    </w:p>
    <w:p>
      <w:pPr>
        <w:spacing w:after="0" w:line="171" w:lineRule="exact"/>
        <w:rPr>
          <w:sz w:val="20"/>
          <w:szCs w:val="20"/>
          <w:color w:val="auto"/>
        </w:rPr>
      </w:pPr>
    </w:p>
    <w:p>
      <w:pPr>
        <w:ind w:left="1680" w:right="519" w:hanging="1619"/>
        <w:spacing w:after="0" w:line="312" w:lineRule="auto"/>
        <w:tabs>
          <w:tab w:leader="none" w:pos="1660" w:val="left"/>
        </w:tabs>
        <w:rPr>
          <w:sz w:val="20"/>
          <w:szCs w:val="20"/>
          <w:color w:val="auto"/>
        </w:rPr>
      </w:pPr>
      <w:r>
        <w:rPr>
          <w:rFonts w:ascii="Times New Roman" w:cs="Times New Roman" w:eastAsia="Times New Roman" w:hAnsi="Times New Roman"/>
          <w:sz w:val="18"/>
          <w:szCs w:val="18"/>
          <w:b w:val="1"/>
          <w:bCs w:val="1"/>
          <w:color w:val="auto"/>
        </w:rPr>
        <w:t>Issuance Schedule:</w:t>
      </w:r>
      <w:r>
        <w:rPr>
          <w:sz w:val="20"/>
          <w:szCs w:val="20"/>
          <w:color w:val="auto"/>
        </w:rPr>
        <w:tab/>
      </w:r>
      <w:r>
        <w:rPr>
          <w:rFonts w:ascii="Times New Roman" w:cs="Times New Roman" w:eastAsia="Times New Roman" w:hAnsi="Times New Roman"/>
          <w:sz w:val="17"/>
          <w:szCs w:val="17"/>
          <w:color w:val="auto"/>
        </w:rPr>
        <w:t>Subject to any Capitalization Adjustment, one share of Common Stock shall be issued for each Restricted Stock Unit that vests in accordance with Section 6 of the RSU Award Agreement.</w:t>
      </w:r>
    </w:p>
    <w:p>
      <w:pPr>
        <w:spacing w:after="0" w:line="140"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b w:val="1"/>
          <w:bCs w:val="1"/>
          <w:color w:val="auto"/>
        </w:rPr>
        <w:t>Additional Terms/Acknowledgements</w:t>
      </w:r>
      <w:r>
        <w:rPr>
          <w:rFonts w:ascii="Times New Roman" w:cs="Times New Roman" w:eastAsia="Times New Roman" w:hAnsi="Times New Roman"/>
          <w:sz w:val="18"/>
          <w:szCs w:val="18"/>
          <w:color w:val="auto"/>
        </w:rPr>
        <w:t>: The Participant acknowledges receipt of, and understands and agrees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Notice, the RSU Award Agreement and the Plan. The Participant further acknowledges that, as of the Date of Grant, this Grant Notice, the RSU Award Agreement, the Plan and the Participant’s written employment agreement (if any) with the Company set forth the entire understanding between the Participant and the Company regarding the Restricted Stock Units and supersede all prior oral and written agreements regarding the Restricted Stock Units. The Participant agrees to be bound by, and to comply with, all provisions of this Grant Notice, the RSU Award Agreement and the Plan, and the Participant agrees to accept as final, binding and conclusive all determinations, interpretations and constructions made by the Plan’s Administrator regarding this Grant Notice, the RSU Award Agreement and the Plan.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Terms,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19685</wp:posOffset>
            </wp:positionV>
            <wp:extent cx="42437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9">
                      <a:extLst>
                        <a:ext uri="{28A0092B-C50C-407E-A947-70E740481C1C}"/>
                      </a:extLst>
                    </a:blip>
                    <a:srcRect/>
                    <a:stretch>
                      <a:fillRect/>
                    </a:stretch>
                  </pic:blipFill>
                  <pic:spPr bwMode="auto">
                    <a:xfrm>
                      <a:off x="0" y="0"/>
                      <a:ext cx="4243705" cy="8255"/>
                    </a:xfrm>
                    <a:prstGeom prst="rect">
                      <a:avLst/>
                    </a:prstGeom>
                    <a:noFill/>
                  </pic:spPr>
                </pic:pic>
              </a:graphicData>
            </a:graphic>
          </wp:anchor>
        </w:drawing>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CALAVO GROWERS, INC.</w:t>
            </w:r>
          </w:p>
        </w:tc>
        <w:tc>
          <w:tcPr>
            <w:tcW w:w="4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PARTICIPANT:</w:t>
            </w:r>
          </w:p>
        </w:tc>
      </w:tr>
      <w:tr>
        <w:trPr>
          <w:trHeight w:val="432"/>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8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191"/>
        </w:trPr>
        <w:tc>
          <w:tcPr>
            <w:tcW w:w="400" w:type="dxa"/>
            <w:vAlign w:val="bottom"/>
          </w:tcPr>
          <w:p>
            <w:pPr>
              <w:spacing w:after="0"/>
              <w:rPr>
                <w:sz w:val="16"/>
                <w:szCs w:val="16"/>
                <w:color w:val="auto"/>
              </w:rPr>
            </w:pPr>
          </w:p>
        </w:tc>
        <w:tc>
          <w:tcPr>
            <w:tcW w:w="3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spacing w:after="0"/>
              <w:rPr>
                <w:sz w:val="16"/>
                <w:szCs w:val="16"/>
                <w:color w:val="auto"/>
              </w:rPr>
            </w:pPr>
          </w:p>
        </w:tc>
        <w:tc>
          <w:tcPr>
            <w:tcW w:w="4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Signature</w:t>
            </w:r>
          </w:p>
        </w:tc>
      </w:tr>
      <w:tr>
        <w:trPr>
          <w:trHeight w:val="234"/>
        </w:trPr>
        <w:tc>
          <w:tcPr>
            <w:tcW w:w="40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8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7"/>
              </w:rPr>
              <w:t>Date:</w:t>
            </w:r>
          </w:p>
        </w:tc>
        <w:tc>
          <w:tcPr>
            <w:tcW w:w="39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439"/>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Attachments: Restricted Stock Unit Award Agreement</w:t>
            </w:r>
          </w:p>
        </w:tc>
        <w:tc>
          <w:tcPr>
            <w:tcW w:w="180" w:type="dxa"/>
            <w:vAlign w:val="bottom"/>
          </w:tcPr>
          <w:p>
            <w:pPr>
              <w:spacing w:after="0"/>
              <w:rPr>
                <w:sz w:val="24"/>
                <w:szCs w:val="24"/>
                <w:color w:val="auto"/>
              </w:rPr>
            </w:pPr>
          </w:p>
        </w:tc>
        <w:tc>
          <w:tcPr>
            <w:tcW w:w="43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203" w:lineRule="exact"/>
        <w:rPr>
          <w:sz w:val="20"/>
          <w:szCs w:val="20"/>
          <w:color w:val="auto"/>
        </w:rPr>
      </w:pPr>
    </w:p>
    <w:p>
      <w:pPr>
        <w:ind w:left="60" w:right="79" w:firstLine="648"/>
        <w:spacing w:after="0" w:line="262" w:lineRule="auto"/>
        <w:rPr>
          <w:sz w:val="20"/>
          <w:szCs w:val="20"/>
          <w:color w:val="auto"/>
        </w:rPr>
      </w:pPr>
      <w:r>
        <w:rPr>
          <w:rFonts w:ascii="Times New Roman" w:cs="Times New Roman" w:eastAsia="Times New Roman" w:hAnsi="Times New Roman"/>
          <w:sz w:val="18"/>
          <w:szCs w:val="18"/>
          <w:color w:val="auto"/>
        </w:rPr>
        <w:t>Pursuant to the attached Restricted Stock Unit Award Grant Notice (the “</w:t>
      </w:r>
      <w:r>
        <w:rPr>
          <w:rFonts w:ascii="Times New Roman" w:cs="Times New Roman" w:eastAsia="Times New Roman" w:hAnsi="Times New Roman"/>
          <w:sz w:val="18"/>
          <w:szCs w:val="18"/>
          <w:b w:val="1"/>
          <w:bCs w:val="1"/>
          <w:color w:val="auto"/>
        </w:rPr>
        <w:t>Grant Notice</w:t>
      </w:r>
      <w:r>
        <w:rPr>
          <w:rFonts w:ascii="Times New Roman" w:cs="Times New Roman" w:eastAsia="Times New Roman" w:hAnsi="Times New Roman"/>
          <w:sz w:val="18"/>
          <w:szCs w:val="18"/>
          <w:color w:val="auto"/>
        </w:rPr>
        <w:t>”) and this Restricted Stock Unit Award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Calavo Growers,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granted you a Restricted Stock Unit Award (the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under its 2020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for the number of restricted stock units (“</w:t>
      </w: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 indicated in the Grant Notice.</w:t>
      </w:r>
    </w:p>
    <w:p>
      <w:pPr>
        <w:spacing w:after="0" w:line="180"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The Restricted Stock Units are subject to the terms set forth in the Grant Notice, this Agreement and the Plan, which is incorporated herein by reference.</w:t>
      </w:r>
    </w:p>
    <w:p>
      <w:pPr>
        <w:spacing w:after="0" w:line="162"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Capitalized terms not expressly defined in this Agreement or the Grant Notice but defined in the Plan shall have the same definitions as are set forth in the Plan.</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terms of your Award, in addition to those set forth in the Grant Notice, are as follows.</w:t>
      </w:r>
    </w:p>
    <w:p>
      <w:pPr>
        <w:spacing w:after="0" w:line="221" w:lineRule="exact"/>
        <w:rPr>
          <w:sz w:val="20"/>
          <w:szCs w:val="20"/>
          <w:color w:val="auto"/>
        </w:rPr>
      </w:pPr>
    </w:p>
    <w:p>
      <w:pPr>
        <w:ind w:left="60" w:right="159" w:firstLine="638"/>
        <w:spacing w:after="0" w:line="273" w:lineRule="auto"/>
        <w:tabs>
          <w:tab w:leader="none" w:pos="1356"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w:t>
      </w:r>
      <w:r>
        <w:rPr>
          <w:rFonts w:ascii="Times New Roman" w:cs="Times New Roman" w:eastAsia="Times New Roman" w:hAnsi="Times New Roman"/>
          <w:sz w:val="16"/>
          <w:szCs w:val="16"/>
          <w:b w:val="1"/>
          <w:bCs w:val="1"/>
          <w:color w:val="auto"/>
        </w:rPr>
        <w:t>RANT OF THE</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6"/>
          <w:szCs w:val="16"/>
          <w:b w:val="1"/>
          <w:bCs w:val="1"/>
          <w:color w:val="auto"/>
        </w:rPr>
        <w:t>WARD</w:t>
      </w:r>
      <w:r>
        <w:rPr>
          <w:rFonts w:ascii="Times New Roman" w:cs="Times New Roman" w:eastAsia="Times New Roman" w:hAnsi="Times New Roman"/>
          <w:sz w:val="17"/>
          <w:szCs w:val="17"/>
          <w:color w:val="auto"/>
        </w:rPr>
        <w:t>. Your Award represents the right to be issued on a future date one share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Common Stock (subject to any adjustment under Section 3 below) or the cash equivalent value thereof for each Restricted Stock Unit that vests in accordance with the Grant Notice and this Agreement. As of the Date of Grant, the Company shall credit to a bookkeeping account maintained by the Company for your benefit (the “</w:t>
      </w:r>
      <w:r>
        <w:rPr>
          <w:rFonts w:ascii="Times New Roman" w:cs="Times New Roman" w:eastAsia="Times New Roman" w:hAnsi="Times New Roman"/>
          <w:sz w:val="17"/>
          <w:szCs w:val="17"/>
          <w:b w:val="1"/>
          <w:bCs w:val="1"/>
          <w:color w:val="auto"/>
        </w:rPr>
        <w:t>Account</w:t>
      </w:r>
      <w:r>
        <w:rPr>
          <w:rFonts w:ascii="Times New Roman" w:cs="Times New Roman" w:eastAsia="Times New Roman" w:hAnsi="Times New Roman"/>
          <w:sz w:val="17"/>
          <w:szCs w:val="17"/>
          <w:color w:val="auto"/>
        </w:rPr>
        <w:t>”) the number of Restricted Stock Units subject to your Award. Your Award was granted in consideration of services provided by you to the Company and for other good and valuable consideration, and vesting of the Restricted Stock Units is subject to your continuing service as a Director after the Date of Grant on the terms and conditions set forth in the Grant Notice and this Agreement.</w:t>
      </w:r>
    </w:p>
    <w:p>
      <w:pPr>
        <w:spacing w:after="0" w:line="171" w:lineRule="exact"/>
        <w:rPr>
          <w:rFonts w:ascii="Times New Roman" w:cs="Times New Roman" w:eastAsia="Times New Roman" w:hAnsi="Times New Roman"/>
          <w:sz w:val="17"/>
          <w:szCs w:val="17"/>
          <w:b w:val="1"/>
          <w:bCs w:val="1"/>
          <w:color w:val="auto"/>
        </w:rPr>
      </w:pPr>
    </w:p>
    <w:p>
      <w:pPr>
        <w:ind w:left="60" w:right="199" w:firstLine="638"/>
        <w:spacing w:after="0" w:line="262" w:lineRule="auto"/>
        <w:tabs>
          <w:tab w:leader="none" w:pos="1356"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 CHANGE IN CONTROL</w:t>
      </w:r>
      <w:r>
        <w:rPr>
          <w:rFonts w:ascii="Times New Roman" w:cs="Times New Roman" w:eastAsia="Times New Roman" w:hAnsi="Times New Roman"/>
          <w:sz w:val="18"/>
          <w:szCs w:val="18"/>
          <w:color w:val="auto"/>
        </w:rPr>
        <w:t>. Subject to the limitations contained in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otherwise provided in the Grant Notice, your Award shall vest, if at all, in accordance with the vesting schedule set forth in the Grant Notice. Your Restricted Stock Units may fully vest upon the occurrence of a Change in Control in accordance with the provisions of Section 9(c) of the Plan.</w:t>
      </w:r>
    </w:p>
    <w:p>
      <w:pPr>
        <w:spacing w:after="0" w:line="176" w:lineRule="exact"/>
        <w:rPr>
          <w:rFonts w:ascii="Times New Roman" w:cs="Times New Roman" w:eastAsia="Times New Roman" w:hAnsi="Times New Roman"/>
          <w:sz w:val="18"/>
          <w:szCs w:val="18"/>
          <w:b w:val="1"/>
          <w:bCs w:val="1"/>
          <w:color w:val="auto"/>
        </w:rPr>
      </w:pPr>
    </w:p>
    <w:p>
      <w:pPr>
        <w:ind w:left="60" w:right="79" w:firstLine="638"/>
        <w:spacing w:after="0" w:line="256" w:lineRule="auto"/>
        <w:tabs>
          <w:tab w:leader="none" w:pos="1356"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The number of Restricted Stock Units issuable is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 from time to time for Capitalization Adjustments as provided in the Plan. Any additional Restricted Stock Units or shares of Common Stock that become subject to your Award pursuant to this Section 3 shall be subject, in a manner determined by the Company, to the same vesting restrictions, restrictions on transfer, and time and manner of delivery as applicable to the other Restricted Stock Units and shares of Common Stock covered by your Award. Notwithstanding the provisions of this Section 3, no fractional share or right for a fractional share of Common Stock shall be created pursuant to this Section 3. Any fraction of a share shall be rounded up to the nearest whole share.</w:t>
      </w:r>
    </w:p>
    <w:p>
      <w:pPr>
        <w:spacing w:after="0" w:line="182" w:lineRule="exact"/>
        <w:rPr>
          <w:rFonts w:ascii="Times New Roman" w:cs="Times New Roman" w:eastAsia="Times New Roman" w:hAnsi="Times New Roman"/>
          <w:sz w:val="18"/>
          <w:szCs w:val="18"/>
          <w:b w:val="1"/>
          <w:bCs w:val="1"/>
          <w:color w:val="auto"/>
        </w:rPr>
      </w:pPr>
    </w:p>
    <w:p>
      <w:pPr>
        <w:ind w:left="60" w:right="79" w:firstLine="638"/>
        <w:spacing w:after="0" w:line="286" w:lineRule="auto"/>
        <w:tabs>
          <w:tab w:leader="none" w:pos="1356"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 LAW COMPLIANCE</w:t>
      </w:r>
      <w:r>
        <w:rPr>
          <w:rFonts w:ascii="Times New Roman" w:cs="Times New Roman" w:eastAsia="Times New Roman" w:hAnsi="Times New Roman"/>
          <w:sz w:val="18"/>
          <w:szCs w:val="18"/>
          <w:color w:val="auto"/>
        </w:rPr>
        <w:t>. You shall not be issued any shares of Common Stock under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unless the issuance of the shares of Common Stock issuable in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50" w:name="page51"/>
    <w:bookmarkEnd w:id="50"/>
    <w:p>
      <w:pPr>
        <w:ind w:left="60" w:right="199"/>
        <w:spacing w:after="0" w:line="261" w:lineRule="auto"/>
        <w:rPr>
          <w:sz w:val="20"/>
          <w:szCs w:val="20"/>
          <w:color w:val="auto"/>
        </w:rPr>
      </w:pPr>
      <w:r>
        <w:rPr>
          <w:rFonts w:ascii="Times New Roman" w:cs="Times New Roman" w:eastAsia="Times New Roman" w:hAnsi="Times New Roman"/>
          <w:sz w:val="18"/>
          <w:szCs w:val="18"/>
          <w:color w:val="auto"/>
        </w:rPr>
        <w:t>of your Award is (a) then registered under the Securities Act or (b) the Company has determined that such issuance would be exempt from the registration requirements of the Securities Act. Your Award must also comply with other applicable laws and regulations governing your Award, and you shall not receive such shares of Common Stock if the Company determines that such receipt would not be in material compliance with such laws and regulations.</w:t>
      </w:r>
    </w:p>
    <w:p>
      <w:pPr>
        <w:spacing w:after="0" w:line="176" w:lineRule="exact"/>
        <w:rPr>
          <w:sz w:val="20"/>
          <w:szCs w:val="20"/>
          <w:color w:val="auto"/>
        </w:rPr>
      </w:pPr>
    </w:p>
    <w:p>
      <w:pPr>
        <w:ind w:left="60" w:right="79" w:firstLine="638"/>
        <w:spacing w:after="0" w:line="278" w:lineRule="auto"/>
        <w:tabs>
          <w:tab w:leader="none" w:pos="1356"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TRANSFER RESTRICTIONS</w:t>
      </w:r>
      <w:r>
        <w:rPr>
          <w:rFonts w:ascii="Times New Roman" w:cs="Times New Roman" w:eastAsia="Times New Roman" w:hAnsi="Times New Roman"/>
          <w:sz w:val="17"/>
          <w:szCs w:val="17"/>
          <w:color w:val="auto"/>
        </w:rPr>
        <w:t>. Prior to the date that shares of Common Stock have been delivered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you may not transfer, pledge, sell or otherwise dispose of your Award or the shares of Common Stock issuable in respect of your Award, except as expressly provided in this Section 5. For example, you may not pledge shares of Common Stock that may be issued in respect of your Restricted Stock Units as security for a loan. The restrictions on transfer set forth herein shall lapse upon delivery to you of shares of Common Stock in respect of your vested Restricted Stock Units.</w:t>
      </w:r>
    </w:p>
    <w:p>
      <w:pPr>
        <w:spacing w:after="0" w:line="163" w:lineRule="exact"/>
        <w:rPr>
          <w:rFonts w:ascii="Times New Roman" w:cs="Times New Roman" w:eastAsia="Times New Roman" w:hAnsi="Times New Roman"/>
          <w:sz w:val="17"/>
          <w:szCs w:val="17"/>
          <w:b w:val="1"/>
          <w:bCs w:val="1"/>
          <w:color w:val="auto"/>
        </w:rPr>
      </w:pPr>
    </w:p>
    <w:p>
      <w:pPr>
        <w:ind w:left="60" w:right="319" w:firstLine="1286"/>
        <w:spacing w:after="0" w:line="259" w:lineRule="auto"/>
        <w:tabs>
          <w:tab w:leader="none" w:pos="2004"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Death</w:t>
      </w:r>
      <w:r>
        <w:rPr>
          <w:rFonts w:ascii="Times New Roman" w:cs="Times New Roman" w:eastAsia="Times New Roman" w:hAnsi="Times New Roman"/>
          <w:sz w:val="18"/>
          <w:szCs w:val="18"/>
          <w:color w:val="auto"/>
        </w:rPr>
        <w:t>. Your Award and the shares of Common Stock (or the cash equivalent value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issuable in respect of your Award are transferable by the laws of descent and distribution. At your death, vesting of your Award shall cease and your executor or administrator of your estate shall be entitled to receive, on behalf of your estate, any shares of Common Stock or other consideration issuable in respect of your Award that vested but were not issued before your death.</w:t>
      </w:r>
    </w:p>
    <w:p>
      <w:pPr>
        <w:spacing w:after="0" w:line="179" w:lineRule="exact"/>
        <w:rPr>
          <w:rFonts w:ascii="Times New Roman" w:cs="Times New Roman" w:eastAsia="Times New Roman" w:hAnsi="Times New Roman"/>
          <w:sz w:val="18"/>
          <w:szCs w:val="18"/>
          <w:b w:val="1"/>
          <w:bCs w:val="1"/>
          <w:color w:val="auto"/>
        </w:rPr>
      </w:pPr>
    </w:p>
    <w:p>
      <w:pPr>
        <w:ind w:left="60" w:right="79" w:firstLine="1286"/>
        <w:spacing w:after="0" w:line="256" w:lineRule="auto"/>
        <w:tabs>
          <w:tab w:leader="none" w:pos="2004"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Domestic Relations Orders</w:t>
      </w:r>
      <w:r>
        <w:rPr>
          <w:rFonts w:ascii="Times New Roman" w:cs="Times New Roman" w:eastAsia="Times New Roman" w:hAnsi="Times New Roman"/>
          <w:sz w:val="18"/>
          <w:szCs w:val="18"/>
          <w:color w:val="auto"/>
        </w:rPr>
        <w:t>. Upon receiving written permission from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that you and the designated transferee enter into transfer and other agreements required by the Company, you may transfer your right to receive the distribution of shares of Common Stock or other consideration hereunder pursuant to a domestic relations order that contains the information required by the Company to effectuate the transfer. You are encouraged to discuss the proposed terms of any division of your Award with the Company prior to finalizing the domestic relations order to verify that you may make such transfer and, if so, to help ensure the required information is contained within the domestic relations order.</w:t>
      </w:r>
    </w:p>
    <w:p>
      <w:pPr>
        <w:spacing w:after="0" w:line="182" w:lineRule="exact"/>
        <w:rPr>
          <w:rFonts w:ascii="Times New Roman" w:cs="Times New Roman" w:eastAsia="Times New Roman" w:hAnsi="Times New Roman"/>
          <w:sz w:val="18"/>
          <w:szCs w:val="18"/>
          <w:b w:val="1"/>
          <w:bCs w:val="1"/>
          <w:color w:val="auto"/>
        </w:rPr>
      </w:pPr>
    </w:p>
    <w:p>
      <w:pPr>
        <w:ind w:left="60" w:right="239" w:firstLine="638"/>
        <w:spacing w:after="0" w:line="257" w:lineRule="auto"/>
        <w:tabs>
          <w:tab w:leader="none" w:pos="1356"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DATE OF ISSUANCE OF COMMON STOCK</w:t>
      </w:r>
      <w:r>
        <w:rPr>
          <w:rFonts w:ascii="Times New Roman" w:cs="Times New Roman" w:eastAsia="Times New Roman" w:hAnsi="Times New Roman"/>
          <w:sz w:val="18"/>
          <w:szCs w:val="18"/>
          <w:color w:val="auto"/>
        </w:rPr>
        <w:t>. Subject to the satisfaction of the tax withholding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set forth in Section 11 of this Agreement, in the event one or more Restricted Stock Units vests, the Company shall issue to you one share of Common Stock (subject to any adjustment under Section 3 above) or the cash equivalent value thereof for each Restricted Stock Unit that vests, such issuance to occur within the calendar year following the year in which your service as a Director terminates. The form of delivery of shares of Common Stock, if any (e.g., a stock certificate or electronic entry evidencing such shares) shall be determined by the Company.</w:t>
      </w:r>
    </w:p>
    <w:p>
      <w:pPr>
        <w:spacing w:after="0" w:line="182" w:lineRule="exact"/>
        <w:rPr>
          <w:rFonts w:ascii="Times New Roman" w:cs="Times New Roman" w:eastAsia="Times New Roman" w:hAnsi="Times New Roman"/>
          <w:sz w:val="18"/>
          <w:szCs w:val="18"/>
          <w:b w:val="1"/>
          <w:bCs w:val="1"/>
          <w:color w:val="auto"/>
        </w:rPr>
      </w:pPr>
    </w:p>
    <w:p>
      <w:pPr>
        <w:ind w:left="60" w:right="119" w:firstLine="638"/>
        <w:spacing w:after="0" w:line="255" w:lineRule="auto"/>
        <w:tabs>
          <w:tab w:leader="none" w:pos="1356"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r>
        <w:rPr>
          <w:rFonts w:ascii="Times New Roman" w:cs="Times New Roman" w:eastAsia="Times New Roman" w:hAnsi="Times New Roman"/>
          <w:sz w:val="18"/>
          <w:szCs w:val="18"/>
          <w:color w:val="auto"/>
        </w:rPr>
        <w:t>. Until such time as the Restricted Stock Units vest, your Account shall be credited with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equal to all cash dividends (“</w:t>
      </w:r>
      <w:r>
        <w:rPr>
          <w:rFonts w:ascii="Times New Roman" w:cs="Times New Roman" w:eastAsia="Times New Roman" w:hAnsi="Times New Roman"/>
          <w:sz w:val="18"/>
          <w:szCs w:val="18"/>
          <w:b w:val="1"/>
          <w:bCs w:val="1"/>
          <w:color w:val="auto"/>
        </w:rPr>
        <w:t>Dividend Equivalents</w:t>
      </w:r>
      <w:r>
        <w:rPr>
          <w:rFonts w:ascii="Times New Roman" w:cs="Times New Roman" w:eastAsia="Times New Roman" w:hAnsi="Times New Roman"/>
          <w:sz w:val="18"/>
          <w:szCs w:val="18"/>
          <w:color w:val="auto"/>
        </w:rPr>
        <w:t>”) that would have been paid to you if one share of Common Stock had been issued on the Grant Date for each Restricted Stock Unit granted to you as set forth in this Agreement. Dividend Equivalents shall be credited to your Account and interest may be credited on the amount of cash Dividend Equivalents credited to your Account at a rate and subject to such terms as determined by the Committee. Dividend Equivalents shall be subject to the same vesting restrictions as the Restricted Stock Units to which they are attributable and shall be paid promptly following the date that the Restricted Stock Units to which they are attributable vest pursuant to Section 2. In the event a Restricted Stock Unit has vested but has not been issued pursuant to Section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51" w:name="page52"/>
    <w:bookmarkEnd w:id="51"/>
    <w:p>
      <w:pPr>
        <w:ind w:left="60" w:right="119"/>
        <w:spacing w:after="0" w:line="266" w:lineRule="auto"/>
        <w:rPr>
          <w:sz w:val="20"/>
          <w:szCs w:val="20"/>
          <w:color w:val="auto"/>
        </w:rPr>
      </w:pPr>
      <w:r>
        <w:rPr>
          <w:rFonts w:ascii="Times New Roman" w:cs="Times New Roman" w:eastAsia="Times New Roman" w:hAnsi="Times New Roman"/>
          <w:sz w:val="18"/>
          <w:szCs w:val="18"/>
          <w:color w:val="auto"/>
        </w:rPr>
        <w:t>Dividend Equivalents shall be credited to your Account for such Restricted Stock Unit and shall be paid to you in the same calendar year that the cash dividends which caused such Dividend Equivalents to be credited to your Account are paid to shareholders of the Company. Dividend Equivalents credited to your Account shall be distributed in cash.</w:t>
      </w:r>
    </w:p>
    <w:p>
      <w:pPr>
        <w:spacing w:after="0" w:line="172" w:lineRule="exact"/>
        <w:rPr>
          <w:sz w:val="20"/>
          <w:szCs w:val="20"/>
          <w:color w:val="auto"/>
        </w:rPr>
      </w:pPr>
    </w:p>
    <w:p>
      <w:pPr>
        <w:ind w:left="60" w:right="379" w:firstLine="638"/>
        <w:spacing w:after="0" w:line="286" w:lineRule="auto"/>
        <w:tabs>
          <w:tab w:leader="none" w:pos="1356"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RESTRICTIVE LEGENDS</w:t>
      </w:r>
      <w:r>
        <w:rPr>
          <w:rFonts w:ascii="Times New Roman" w:cs="Times New Roman" w:eastAsia="Times New Roman" w:hAnsi="Times New Roman"/>
          <w:sz w:val="18"/>
          <w:szCs w:val="18"/>
          <w:color w:val="auto"/>
        </w:rPr>
        <w:t>. The shares of Common Stock issued in respect of your Award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endorsed with any appropriate securities law legends as determined by the Company.</w:t>
      </w:r>
    </w:p>
    <w:p>
      <w:pPr>
        <w:spacing w:after="0" w:line="154" w:lineRule="exact"/>
        <w:rPr>
          <w:rFonts w:ascii="Times New Roman" w:cs="Times New Roman" w:eastAsia="Times New Roman" w:hAnsi="Times New Roman"/>
          <w:sz w:val="18"/>
          <w:szCs w:val="18"/>
          <w:b w:val="1"/>
          <w:bCs w:val="1"/>
          <w:color w:val="auto"/>
        </w:rPr>
      </w:pPr>
    </w:p>
    <w:p>
      <w:pPr>
        <w:ind w:left="60" w:right="99" w:firstLine="638"/>
        <w:spacing w:after="0" w:line="257" w:lineRule="auto"/>
        <w:tabs>
          <w:tab w:leader="none" w:pos="1356"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MINIMUM SHARE OWNERSHIP POLICY AND OTHER COMPANY POLICIES. </w:t>
      </w:r>
      <w:r>
        <w:rPr>
          <w:rFonts w:ascii="Times New Roman" w:cs="Times New Roman" w:eastAsia="Times New Roman" w:hAnsi="Times New Roman"/>
          <w:sz w:val="18"/>
          <w:szCs w:val="18"/>
          <w:color w:val="auto"/>
        </w:rPr>
        <w:t>You agree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comply with any policy that the Company may adopt or amend from time to time regarding minimum Common Stock ownership requirements applicable to the Company’s Officers and/or Directors. You also agree to comply with all other applicable Company policies that the Company may adopt or amend from time to time, including, without limitation, the Company’s Insider Trading Policy and any Company clawback, recovery or recoupment policy described in Section 8(i) of the Plan.</w:t>
      </w:r>
    </w:p>
    <w:p>
      <w:pPr>
        <w:spacing w:after="0" w:line="182" w:lineRule="exact"/>
        <w:rPr>
          <w:rFonts w:ascii="Times New Roman" w:cs="Times New Roman" w:eastAsia="Times New Roman" w:hAnsi="Times New Roman"/>
          <w:sz w:val="18"/>
          <w:szCs w:val="18"/>
          <w:b w:val="1"/>
          <w:bCs w:val="1"/>
          <w:color w:val="auto"/>
        </w:rPr>
      </w:pPr>
    </w:p>
    <w:p>
      <w:pPr>
        <w:ind w:left="60" w:right="199" w:firstLine="638"/>
        <w:spacing w:after="0" w:line="268" w:lineRule="auto"/>
        <w:tabs>
          <w:tab w:leader="none" w:pos="1356"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 NOT A SERVICE CONTRACT</w:t>
      </w:r>
      <w:r>
        <w:rPr>
          <w:rFonts w:ascii="Times New Roman" w:cs="Times New Roman" w:eastAsia="Times New Roman" w:hAnsi="Times New Roman"/>
          <w:sz w:val="18"/>
          <w:szCs w:val="18"/>
          <w:color w:val="auto"/>
        </w:rPr>
        <w:t>. Your Award is not an employment or service contract,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your Award shall obligate the Company or an Affiliate, their respective shareholders, Directors, Officers or Employees to continue any relationship that you might have as a Director of the Company or an Affiliate.</w:t>
      </w:r>
    </w:p>
    <w:p>
      <w:pPr>
        <w:spacing w:after="0" w:line="170" w:lineRule="exact"/>
        <w:rPr>
          <w:rFonts w:ascii="Times New Roman" w:cs="Times New Roman" w:eastAsia="Times New Roman" w:hAnsi="Times New Roman"/>
          <w:sz w:val="18"/>
          <w:szCs w:val="18"/>
          <w:b w:val="1"/>
          <w:bCs w:val="1"/>
          <w:color w:val="auto"/>
        </w:rPr>
      </w:pPr>
    </w:p>
    <w:p>
      <w:pPr>
        <w:ind w:left="1340" w:hanging="642"/>
        <w:spacing w:after="0"/>
        <w:tabs>
          <w:tab w:leader="none" w:pos="13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OBLIGATION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60" w:right="59" w:firstLine="1286"/>
        <w:spacing w:after="0" w:line="254" w:lineRule="auto"/>
        <w:tabs>
          <w:tab w:leader="none" w:pos="2004" w:val="left"/>
        </w:tabs>
        <w:numPr>
          <w:ilvl w:val="1"/>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vesting date, and on or before the time you receive a distribution of the shares of Common Stock with respect to your Restricted Stock Units, and at any other time as requested by the Company in accordance with applicable tax laws, you hereby authorize any required withholding with respect to the shares of Common Stock (or the cash equivalent value thereof) issuable to you (including, without limitation, by the Company’s deduction of such required withholding from compensation and other amounts payable to you by the Company), and you otherwise agree to make adequate provision, including in cash, for any sums required to satisfy the federal, state, local and foreign tax withholding obligations of the Company or an Affiliate that arise in connection with your Award. The Company shall not be obligated to issue shares of Common Stock to you with respect to your Restricted Stock Units unless and until you have satisfied in full all federal, state, local and foreign tax withholding obligations.</w:t>
      </w:r>
    </w:p>
    <w:p>
      <w:pPr>
        <w:spacing w:after="0" w:line="188" w:lineRule="exact"/>
        <w:rPr>
          <w:rFonts w:ascii="Times New Roman" w:cs="Times New Roman" w:eastAsia="Times New Roman" w:hAnsi="Times New Roman"/>
          <w:sz w:val="18"/>
          <w:szCs w:val="18"/>
          <w:b w:val="1"/>
          <w:bCs w:val="1"/>
          <w:color w:val="auto"/>
        </w:rPr>
      </w:pPr>
    </w:p>
    <w:p>
      <w:pPr>
        <w:ind w:left="60" w:right="139" w:firstLine="1286"/>
        <w:spacing w:after="0" w:line="253" w:lineRule="auto"/>
        <w:tabs>
          <w:tab w:leader="none" w:pos="2004" w:val="left"/>
        </w:tabs>
        <w:numPr>
          <w:ilvl w:val="1"/>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your request and subject to approval by the Company, in its sole discretion, and in compliance with any applicable legal conditions or restrictions, (1) the Company may withhold from fully vested shares of Common Stock otherwise issuable to you with respect to your Restricted Stock Units a number of whole shares of Common Stock having a Fair Market Value, as determined by the Company, not in excess of the minimum amount of tax required to be withheld by law, or (2) the Company may permit you to enter into a “same day sale” commitment with a broker-dealer acceptable to the Company pursuant to which you irrevocably elect to sell a portion of such fully vested shares of Common Stock sufficient to pay all or a portion of such required withholding taxes and the broker-dealer irrevocably agrees to deliver to the Company the funds that will be applied to the payment of such withholding taxes. Any adverse consequences to you arising in connection with such share withholding or sale procedure shall be your sole responsibility.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52" w:name="page53"/>
    <w:bookmarkEnd w:id="52"/>
    <w:p>
      <w:pPr>
        <w:ind w:left="60" w:right="99" w:firstLine="1286"/>
        <w:spacing w:after="0" w:line="282" w:lineRule="auto"/>
        <w:tabs>
          <w:tab w:leader="none" w:pos="2004"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withholding obligations may be satisfied by any combination of the Company’s withholding or your form of payment made pursuant to this Section 11.</w:t>
      </w:r>
    </w:p>
    <w:p>
      <w:pPr>
        <w:spacing w:after="0" w:line="161" w:lineRule="exact"/>
        <w:rPr>
          <w:rFonts w:ascii="Times New Roman" w:cs="Times New Roman" w:eastAsia="Times New Roman" w:hAnsi="Times New Roman"/>
          <w:sz w:val="18"/>
          <w:szCs w:val="18"/>
          <w:b w:val="1"/>
          <w:bCs w:val="1"/>
          <w:color w:val="auto"/>
        </w:rPr>
      </w:pPr>
    </w:p>
    <w:p>
      <w:pPr>
        <w:ind w:left="60" w:right="139" w:firstLine="1286"/>
        <w:spacing w:after="0" w:line="258" w:lineRule="auto"/>
        <w:tabs>
          <w:tab w:leader="none" w:pos="2004"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ultimately liable and responsible for all taxes owed in connection with the Restricted Stock Units and the shares of Common Stock that are issuable with respect to the Restricted Stock Units, regardless of any action the Company takes with respect to any tax withholding obligations that arise in connection with such Restricted Stock Units and shares. The Company does not make any representation or undertaking regarding the treatment of any tax withholding in connection with the Award.</w:t>
      </w:r>
    </w:p>
    <w:p>
      <w:pPr>
        <w:spacing w:after="0" w:line="179" w:lineRule="exact"/>
        <w:rPr>
          <w:rFonts w:ascii="Times New Roman" w:cs="Times New Roman" w:eastAsia="Times New Roman" w:hAnsi="Times New Roman"/>
          <w:sz w:val="18"/>
          <w:szCs w:val="18"/>
          <w:b w:val="1"/>
          <w:bCs w:val="1"/>
          <w:color w:val="auto"/>
        </w:rPr>
      </w:pPr>
    </w:p>
    <w:p>
      <w:pPr>
        <w:ind w:left="60" w:right="79" w:firstLine="638"/>
        <w:spacing w:after="0" w:line="256" w:lineRule="auto"/>
        <w:tabs>
          <w:tab w:leader="none" w:pos="1356"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CONSEQUENCES</w:t>
      </w:r>
      <w:r>
        <w:rPr>
          <w:rFonts w:ascii="Times New Roman" w:cs="Times New Roman" w:eastAsia="Times New Roman" w:hAnsi="Times New Roman"/>
          <w:sz w:val="18"/>
          <w:szCs w:val="18"/>
          <w:color w:val="auto"/>
        </w:rPr>
        <w:t>. You hereby agree that the Company does not have a duty to design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administer the Plan or its other compensation programs in a manner that minimizes your tax liabilities. You shall not make any claim against the Company, or any of its Officers, Directors, Employees or Affiliates related to tax liabilities arising from the grant or vesting of your Award or from your other compensation. You represent to the Company that you have reviewed with your own tax advisors the federal, state, local and foreign tax consequences of the transactions contemplated by this Agreement. You are relying solely on such advisors and not on any statements or representations of the Company or any of its agents.</w:t>
      </w:r>
    </w:p>
    <w:p>
      <w:pPr>
        <w:spacing w:after="0" w:line="182" w:lineRule="exact"/>
        <w:rPr>
          <w:rFonts w:ascii="Times New Roman" w:cs="Times New Roman" w:eastAsia="Times New Roman" w:hAnsi="Times New Roman"/>
          <w:sz w:val="18"/>
          <w:szCs w:val="18"/>
          <w:b w:val="1"/>
          <w:bCs w:val="1"/>
          <w:color w:val="auto"/>
        </w:rPr>
      </w:pPr>
    </w:p>
    <w:p>
      <w:pPr>
        <w:ind w:left="60" w:right="99" w:firstLine="638"/>
        <w:spacing w:after="0" w:line="254" w:lineRule="auto"/>
        <w:tabs>
          <w:tab w:leader="none" w:pos="1356"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UNSECURED OBLIGATION; SHAREHOLDER RIGHTS</w:t>
      </w:r>
      <w:r>
        <w:rPr>
          <w:rFonts w:ascii="Times New Roman" w:cs="Times New Roman" w:eastAsia="Times New Roman" w:hAnsi="Times New Roman"/>
          <w:sz w:val="18"/>
          <w:szCs w:val="18"/>
          <w:color w:val="auto"/>
        </w:rPr>
        <w:t>. Your Award is unfunded, and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of your Award you shall be considered an unsecured creditor of the Company with respect to the Company’s obligation, if any, to issue shares of Common Stock or other property pursuant to this Agreement. You shall not have voting, dividend or any other rights of a shareholder of the Company with respect to the shares of Common Stock issuable in respect of the Restricted Stock Units unless and until such shares have been issued and delivered to you pursuant to this Agreement following the vesting of the Restricted Stock Units. Upon such issuance and delivery, you shall obtain full voting, dividend and other rights as a shareholder of the Company. Nothing contained in this Agreement, and no action taken pursuant to its provisions, shall create or be construed to create a trust of any kind or a fiduciary relationship between you and the Company or any other person.</w:t>
      </w:r>
    </w:p>
    <w:p>
      <w:pPr>
        <w:spacing w:after="0" w:line="188" w:lineRule="exact"/>
        <w:rPr>
          <w:rFonts w:ascii="Times New Roman" w:cs="Times New Roman" w:eastAsia="Times New Roman" w:hAnsi="Times New Roman"/>
          <w:sz w:val="18"/>
          <w:szCs w:val="18"/>
          <w:b w:val="1"/>
          <w:bCs w:val="1"/>
          <w:color w:val="auto"/>
        </w:rPr>
      </w:pPr>
    </w:p>
    <w:p>
      <w:pPr>
        <w:ind w:left="60" w:right="79" w:firstLine="638"/>
        <w:spacing w:after="0" w:line="273" w:lineRule="auto"/>
        <w:tabs>
          <w:tab w:leader="none" w:pos="1356"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NOTICES</w:t>
      </w:r>
      <w:r>
        <w:rPr>
          <w:rFonts w:ascii="Times New Roman" w:cs="Times New Roman" w:eastAsia="Times New Roman" w:hAnsi="Times New Roman"/>
          <w:sz w:val="17"/>
          <w:szCs w:val="17"/>
          <w:color w:val="auto"/>
        </w:rPr>
        <w:t>. Any notices provided for in your Award, this Agreement or the Plan shall be given in writing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shall be deemed effectively given upon receipt or, in the case of notices delivered by mail by the Company to you, five days after deposit in the United States mail, postage prepaid, addressed to you at the last address you provided to the Company. Notwithstanding the foregoing, the Company may, in its sole discretion, decide to deliver any notices or documents related to your Award, this Agreement or the Plan by electronic means (including email). You hereby consent to receive such notices and documents by electronic delivery and, if requested, to agree to participate in the Plan through an on-line or electronic system established and maintained by the Company or another third party designated by the Company.</w:t>
      </w:r>
    </w:p>
    <w:p>
      <w:pPr>
        <w:spacing w:after="0" w:line="171" w:lineRule="exact"/>
        <w:rPr>
          <w:rFonts w:ascii="Times New Roman" w:cs="Times New Roman" w:eastAsia="Times New Roman" w:hAnsi="Times New Roman"/>
          <w:sz w:val="17"/>
          <w:szCs w:val="17"/>
          <w:b w:val="1"/>
          <w:bCs w:val="1"/>
          <w:color w:val="auto"/>
        </w:rPr>
      </w:pPr>
    </w:p>
    <w:p>
      <w:pPr>
        <w:ind w:left="60" w:right="79" w:firstLine="638"/>
        <w:spacing w:after="0" w:line="282" w:lineRule="auto"/>
        <w:tabs>
          <w:tab w:leader="none" w:pos="1356"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APPLICABILITY OF THE PLAN. </w:t>
      </w:r>
      <w:r>
        <w:rPr>
          <w:rFonts w:ascii="Times New Roman" w:cs="Times New Roman" w:eastAsia="Times New Roman" w:hAnsi="Times New Roman"/>
          <w:sz w:val="17"/>
          <w:szCs w:val="17"/>
          <w:color w:val="auto"/>
        </w:rPr>
        <w:t>Your Award and this Agreement are subject to all of the provisions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Plan, the provisions of which are hereby made a part of your Award and are further subject to all interpretations and amendments of the Plan which may from time to time be promulgated and adopted pursuant to the Plan. In the event of any conflict between the provisions of this Agreement and those of the Plan, the provisions of the Plan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53" w:name="page54"/>
    <w:bookmarkEnd w:id="53"/>
    <w:p>
      <w:pPr>
        <w:ind w:left="60" w:right="159" w:firstLine="638"/>
        <w:spacing w:after="0" w:line="259" w:lineRule="auto"/>
        <w:tabs>
          <w:tab w:leader="none" w:pos="1356"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all or any part of this Agreement or the Plan is declared by any court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authority to be unlawful or invalid, such unlawfulness or invalidity shall not invalidate any portion of this Agreement or the Plan not declared to be unlawful or invalid. Any Section of this Agreement or the Plan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9" w:lineRule="exact"/>
        <w:rPr>
          <w:rFonts w:ascii="Times New Roman" w:cs="Times New Roman" w:eastAsia="Times New Roman" w:hAnsi="Times New Roman"/>
          <w:sz w:val="18"/>
          <w:szCs w:val="18"/>
          <w:b w:val="1"/>
          <w:bCs w:val="1"/>
          <w:color w:val="auto"/>
        </w:rPr>
      </w:pPr>
    </w:p>
    <w:p>
      <w:pPr>
        <w:ind w:left="60" w:right="79" w:firstLine="638"/>
        <w:spacing w:after="0" w:line="256" w:lineRule="auto"/>
        <w:tabs>
          <w:tab w:leader="none" w:pos="1356"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 </w:t>
      </w:r>
      <w:r>
        <w:rPr>
          <w:rFonts w:ascii="Times New Roman" w:cs="Times New Roman" w:eastAsia="Times New Roman" w:hAnsi="Times New Roman"/>
          <w:sz w:val="18"/>
          <w:szCs w:val="18"/>
          <w:color w:val="auto"/>
        </w:rPr>
        <w:t>This Agreement may not be modified or amended except by an instrument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by a duly authorized representative of the Company, provided that no such amendment materially adversely affecting your rights hereunder may be made without your written consent. However, the Company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your Award which is then subject to restrictions as provided herein.</w:t>
      </w:r>
    </w:p>
    <w:p>
      <w:pPr>
        <w:spacing w:after="0" w:line="182" w:lineRule="exact"/>
        <w:rPr>
          <w:rFonts w:ascii="Times New Roman" w:cs="Times New Roman" w:eastAsia="Times New Roman" w:hAnsi="Times New Roman"/>
          <w:sz w:val="18"/>
          <w:szCs w:val="18"/>
          <w:b w:val="1"/>
          <w:bCs w:val="1"/>
          <w:color w:val="auto"/>
        </w:rPr>
      </w:pPr>
    </w:p>
    <w:p>
      <w:pPr>
        <w:ind w:left="60" w:right="79" w:firstLine="638"/>
        <w:spacing w:after="0" w:line="253" w:lineRule="auto"/>
        <w:tabs>
          <w:tab w:leader="none" w:pos="1356"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SECTION 409A OF THE CODE</w:t>
      </w:r>
      <w:r>
        <w:rPr>
          <w:rFonts w:ascii="Times New Roman" w:cs="Times New Roman" w:eastAsia="Times New Roman" w:hAnsi="Times New Roman"/>
          <w:sz w:val="18"/>
          <w:szCs w:val="18"/>
          <w:color w:val="auto"/>
        </w:rPr>
        <w:t>. Your Award is intended to first be exempt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application of Section 409A of the Code to the maximum permissible extent and will be interpreted and construed consistently with such intent, including but not limited to, by reason of complying with the “short-term deferral” rule set forth in Treasury Regulation Section 1.409A-1(b)(4) and any ambiguities herein shall be interpreted accordingly. To the extent that any payments under this Agreement are not exempt from the requirements of Section 409A of the Code, then all such payments are intended to comply with the requirements of Section 409A of the Code to avoid adverse personal tax consequences and any ambiguities herein shall be interpreted accordingly. Any amounts subject to Section 409A of the Code and payable under this Agreement upon a termination of service shall be payable only if such termination is also a “separation from service” under Treasury Regulation Section 1.409A-1(h). Notwithstanding anything herein to the contrary, in no event shall the Company or any of its affiliates be liable for any additional tax, interest or penalties that may be imposed on Executive by Section 409A of the Code or for any damages for failing to comply with Section 409A of the Code.</w:t>
      </w:r>
    </w:p>
    <w:p>
      <w:pPr>
        <w:spacing w:after="0" w:line="189" w:lineRule="exact"/>
        <w:rPr>
          <w:rFonts w:ascii="Times New Roman" w:cs="Times New Roman" w:eastAsia="Times New Roman" w:hAnsi="Times New Roman"/>
          <w:sz w:val="18"/>
          <w:szCs w:val="18"/>
          <w:b w:val="1"/>
          <w:bCs w:val="1"/>
          <w:color w:val="auto"/>
        </w:rPr>
      </w:pPr>
    </w:p>
    <w:p>
      <w:pPr>
        <w:ind w:left="1340" w:hanging="642"/>
        <w:spacing w:after="0"/>
        <w:tabs>
          <w:tab w:leader="none" w:pos="13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ind w:left="60" w:right="159" w:firstLine="1286"/>
        <w:spacing w:after="0" w:line="255" w:lineRule="auto"/>
        <w:tabs>
          <w:tab w:leader="none" w:pos="2004"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assign any of its rights under the Grant Notice, this Agreement and the Plan to one or more assignees, and all covenants contained in the Grant Notice, this Agreement and the Plan shall inure to the benefit of, and be enforceable by, the Company’s successors and assigns. All obligations of the Company under the Grant Notice, this Agreement and the Plan shall be binding on any successor to the Company, whether the existence of such successor is the result of a direct or indirect purchase, merger, consolidation or otherwise, of all or substantially all of the business and/or assets of the Company. Your rights and obligations under your Award may only be assigned with the prior written consent of the Company.</w:t>
      </w:r>
    </w:p>
    <w:p>
      <w:pPr>
        <w:spacing w:after="0" w:line="188" w:lineRule="exact"/>
        <w:rPr>
          <w:rFonts w:ascii="Times New Roman" w:cs="Times New Roman" w:eastAsia="Times New Roman" w:hAnsi="Times New Roman"/>
          <w:sz w:val="18"/>
          <w:szCs w:val="18"/>
          <w:b w:val="1"/>
          <w:bCs w:val="1"/>
          <w:color w:val="auto"/>
        </w:rPr>
      </w:pPr>
    </w:p>
    <w:p>
      <w:pPr>
        <w:ind w:left="60" w:right="179" w:firstLine="1286"/>
        <w:spacing w:after="0" w:line="282" w:lineRule="auto"/>
        <w:tabs>
          <w:tab w:leader="none" w:pos="2004"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agree upon request to execute any further documents or instruments necessary or desirable in the sole determination of the Company to carry out the purposes or intent of your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54" w:name="page55"/>
    <w:bookmarkEnd w:id="54"/>
    <w:p>
      <w:pPr>
        <w:ind w:left="60" w:right="119" w:firstLine="1286"/>
        <w:spacing w:after="0" w:line="266" w:lineRule="auto"/>
        <w:tabs>
          <w:tab w:leader="none" w:pos="2004"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acknowledge and agree that you have reviewed this Agreement, the Grant Notice and the Plan in their entirety, have had an opportunity to obtain the advice of counsel prior to executing and accepting your Award, and fully understand all provisions of your Award.</w:t>
      </w:r>
    </w:p>
    <w:p>
      <w:pPr>
        <w:spacing w:after="0" w:line="175" w:lineRule="exact"/>
        <w:rPr>
          <w:rFonts w:ascii="Times New Roman" w:cs="Times New Roman" w:eastAsia="Times New Roman" w:hAnsi="Times New Roman"/>
          <w:sz w:val="18"/>
          <w:szCs w:val="18"/>
          <w:b w:val="1"/>
          <w:bCs w:val="1"/>
          <w:color w:val="auto"/>
        </w:rPr>
      </w:pPr>
    </w:p>
    <w:p>
      <w:pPr>
        <w:ind w:left="60" w:right="639" w:firstLine="1286"/>
        <w:spacing w:after="0" w:line="282" w:lineRule="auto"/>
        <w:tabs>
          <w:tab w:leader="none" w:pos="2004"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shall be subject to all applicable laws, rules and regulations, and to such approvals by any governmental agencies or national securities exchanges as may be required.</w:t>
      </w:r>
    </w:p>
    <w:p>
      <w:pPr>
        <w:spacing w:after="0" w:line="161" w:lineRule="exact"/>
        <w:rPr>
          <w:rFonts w:ascii="Times New Roman" w:cs="Times New Roman" w:eastAsia="Times New Roman" w:hAnsi="Times New Roman"/>
          <w:sz w:val="18"/>
          <w:szCs w:val="18"/>
          <w:b w:val="1"/>
          <w:bCs w:val="1"/>
          <w:color w:val="auto"/>
        </w:rPr>
      </w:pPr>
    </w:p>
    <w:p>
      <w:pPr>
        <w:ind w:left="60" w:right="159" w:firstLine="1286"/>
        <w:spacing w:after="0" w:line="266" w:lineRule="auto"/>
        <w:tabs>
          <w:tab w:leader="none" w:pos="2004"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laws of the State of California shall govern all questions concerning the interpretation, validity, administration, performance and enforcement of the Grant Notice, this Agreement and the Plan, without regard to that state’s conflict of law rules.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55" w:name="page56"/>
    <w:bookmarkEnd w:id="5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B. John Lindeman, certify that:</w:t>
      </w:r>
    </w:p>
    <w:p>
      <w:pPr>
        <w:spacing w:after="0" w:line="225" w:lineRule="exact"/>
        <w:rPr>
          <w:sz w:val="20"/>
          <w:szCs w:val="20"/>
          <w:color w:val="auto"/>
        </w:rPr>
      </w:pPr>
    </w:p>
    <w:p>
      <w:pPr>
        <w:ind w:left="700" w:hanging="656"/>
        <w:spacing w:after="0"/>
        <w:tabs>
          <w:tab w:leader="none" w:pos="7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to the Original Form 10-K of Calavo Growers, Inc.; and</w:t>
      </w:r>
    </w:p>
    <w:p>
      <w:pPr>
        <w:spacing w:after="0" w:line="225"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 John Lindeman</w:t>
            </w:r>
          </w:p>
        </w:tc>
      </w:tr>
      <w:tr>
        <w:trPr>
          <w:trHeight w:val="191"/>
        </w:trPr>
        <w:tc>
          <w:tcPr>
            <w:tcW w:w="444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 John Lindeman</w:t>
            </w:r>
          </w:p>
        </w:tc>
      </w:tr>
      <w:tr>
        <w:trPr>
          <w:trHeight w:val="234"/>
        </w:trPr>
        <w:tc>
          <w:tcPr>
            <w:tcW w:w="44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63"/>
        </w:trPr>
        <w:tc>
          <w:tcPr>
            <w:tcW w:w="44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56" w:name="page57"/>
    <w:bookmarkEnd w:id="5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James Snyder, certify that:</w:t>
      </w:r>
    </w:p>
    <w:p>
      <w:pPr>
        <w:spacing w:after="0" w:line="225" w:lineRule="exact"/>
        <w:rPr>
          <w:sz w:val="20"/>
          <w:szCs w:val="20"/>
          <w:color w:val="auto"/>
        </w:rPr>
      </w:pPr>
    </w:p>
    <w:p>
      <w:pPr>
        <w:ind w:left="700" w:hanging="656"/>
        <w:spacing w:after="0"/>
        <w:tabs>
          <w:tab w:leader="none" w:pos="7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to the Original Form 10-K of Calavo Growers, Inc.; and</w:t>
      </w:r>
    </w:p>
    <w:p>
      <w:pPr>
        <w:spacing w:after="0" w:line="225"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2026</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Snyder</w:t>
            </w:r>
          </w:p>
        </w:tc>
      </w:tr>
      <w:tr>
        <w:trPr>
          <w:trHeight w:val="191"/>
        </w:trPr>
        <w:tc>
          <w:tcPr>
            <w:tcW w:w="4460" w:type="dxa"/>
            <w:vAlign w:val="bottom"/>
          </w:tcPr>
          <w:p>
            <w:pPr>
              <w:spacing w:after="0"/>
              <w:rPr>
                <w:sz w:val="16"/>
                <w:szCs w:val="16"/>
                <w:color w:val="auto"/>
              </w:rPr>
            </w:pPr>
          </w:p>
        </w:tc>
        <w:tc>
          <w:tcPr>
            <w:tcW w:w="4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Snyder</w:t>
            </w:r>
          </w:p>
        </w:tc>
      </w:tr>
      <w:tr>
        <w:trPr>
          <w:trHeight w:val="216"/>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3"/>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57" w:name="page58"/>
    <w:bookmarkEnd w:id="5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WRITTEN STATEMENT OF CHIEF EXECUTIVE OFFICER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193" w:lineRule="exact"/>
        <w:rPr>
          <w:sz w:val="20"/>
          <w:szCs w:val="20"/>
          <w:color w:val="auto"/>
        </w:rPr>
      </w:pPr>
    </w:p>
    <w:p>
      <w:pPr>
        <w:ind w:left="40" w:right="159" w:firstLine="259"/>
        <w:spacing w:after="0" w:line="253" w:lineRule="auto"/>
        <w:rPr>
          <w:sz w:val="20"/>
          <w:szCs w:val="20"/>
          <w:color w:val="auto"/>
        </w:rPr>
      </w:pPr>
      <w:r>
        <w:rPr>
          <w:rFonts w:ascii="Times New Roman" w:cs="Times New Roman" w:eastAsia="Times New Roman" w:hAnsi="Times New Roman"/>
          <w:sz w:val="18"/>
          <w:szCs w:val="18"/>
          <w:color w:val="auto"/>
        </w:rPr>
        <w:t>Each of the undersigned, the Chairman of the Board and Chief Executive Officer and Chief Operating Officer, Chief Financial Officer, and Corporate Secretary of Calavo Growers, Inc. (the Company), hereby certifies, pursuant to 18 U.S.C. Section 1350, as adopted pursuant to Section 906 of the Sarbanes-Oxley Act of 2002, that, to his knowledge, the Company’s Amendment to the Original Form 10-K for the year ended October 31, 2025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March 2, 2026</w:t>
      </w: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 John Lindeman</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James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James Snyder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1."/>
      <w:numFmt w:val="decimal"/>
      <w:start w:val="3"/>
    </w:lvl>
    <w:lvl w:ilvl="1">
      <w:lvlJc w:val="left"/>
      <w:lvlText w:val="%2."/>
      <w:numFmt w:val="lowerLetter"/>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1."/>
      <w:numFmt w:val="decimal"/>
      <w:start w:val="1"/>
    </w:lvl>
  </w:abstractNum>
  <w:abstractNum w:abstractNumId="12">
    <w:nsid w:val="70A64E2A"/>
    <w:multiLevelType w:val="hybridMultilevel"/>
    <w:lvl w:ilvl="0">
      <w:lvlJc w:val="left"/>
      <w:lvlText w:val="%1."/>
      <w:numFmt w:val="decimal"/>
      <w:start w:val="1"/>
    </w:lvl>
  </w:abstractNum>
  <w:abstractNum w:abstractNumId="13">
    <w:nsid w:val="6A2342EC"/>
    <w:multiLevelType w:val="hybridMultilevel"/>
    <w:lvl w:ilvl="0">
      <w:lvlJc w:val="left"/>
      <w:lvlText w:val="(%1)"/>
      <w:numFmt w:val="decimal"/>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1)"/>
      <w:numFmt w:val="decimal"/>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1."/>
      <w:numFmt w:val="decimal"/>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1)"/>
      <w:numFmt w:val="lowerRoman"/>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1)"/>
      <w:numFmt w:val="lowerLetter"/>
      <w:start w:val="1"/>
    </w:lvl>
  </w:abstractNum>
  <w:abstractNum w:abstractNumId="22">
    <w:nsid w:val="6DE91B18"/>
    <w:multiLevelType w:val="hybridMultilevel"/>
    <w:lvl w:ilvl="0">
      <w:lvlJc w:val="left"/>
      <w:lvlText w:val="(%1)"/>
      <w:numFmt w:val="lowerLetter"/>
      <w:start w:val="6"/>
    </w:lvl>
  </w:abstractNum>
  <w:abstractNum w:abstractNumId="23">
    <w:nsid w:val="38437FDB"/>
    <w:multiLevelType w:val="hybridMultilevel"/>
    <w:lvl w:ilvl="0">
      <w:lvlJc w:val="left"/>
      <w:lvlText w:val="(%1)"/>
      <w:numFmt w:val="decimal"/>
      <w:start w:val="1"/>
    </w:lvl>
    <w:lvl w:ilvl="1">
      <w:lvlJc w:val="left"/>
      <w:lvlText w:val="(%2)"/>
      <w:numFmt w:val="lowerRoman"/>
      <w:start w:val="2"/>
    </w:lvl>
  </w:abstractNum>
  <w:abstractNum w:abstractNumId="24">
    <w:nsid w:val="7644A45C"/>
    <w:multiLevelType w:val="hybridMultilevel"/>
    <w:lvl w:ilvl="0">
      <w:lvlJc w:val="left"/>
      <w:lvlText w:val="%1"/>
      <w:numFmt w:val="decimal"/>
      <w:start w:val="1"/>
    </w:lvl>
    <w:lvl w:ilvl="1">
      <w:lvlJc w:val="left"/>
      <w:lvlText w:val="(%2)"/>
      <w:numFmt w:val="lowerRoman"/>
      <w:start w:val="5"/>
    </w:lvl>
  </w:abstractNum>
  <w:abstractNum w:abstractNumId="25">
    <w:nsid w:val="32FFF902"/>
    <w:multiLevelType w:val="hybridMultilevel"/>
    <w:lvl w:ilvl="0">
      <w:lvlJc w:val="left"/>
      <w:lvlText w:val="(%1)"/>
      <w:numFmt w:val="decimal"/>
      <w:start w:val="11"/>
    </w:lvl>
    <w:lvl w:ilvl="1">
      <w:lvlJc w:val="left"/>
      <w:lvlText w:val="%2"/>
      <w:numFmt w:val="lowerRoman"/>
      <w:start w:val="1"/>
    </w:lvl>
  </w:abstractNum>
  <w:abstractNum w:abstractNumId="26">
    <w:nsid w:val="684A481A"/>
    <w:multiLevelType w:val="hybridMultilevel"/>
    <w:lvl w:ilvl="0">
      <w:lvlJc w:val="left"/>
      <w:lvlText w:val="(%1)"/>
      <w:numFmt w:val="decimal"/>
      <w:start w:val="13"/>
    </w:lvl>
  </w:abstractNum>
  <w:abstractNum w:abstractNumId="27">
    <w:nsid w:val="579478FE"/>
    <w:multiLevelType w:val="hybridMultilevel"/>
    <w:lvl w:ilvl="0">
      <w:lvlJc w:val="left"/>
      <w:lvlText w:val="(%1)"/>
      <w:numFmt w:val="decimal"/>
      <w:start w:val="1"/>
    </w:lvl>
  </w:abstractNum>
  <w:abstractNum w:abstractNumId="28">
    <w:nsid w:val="749ABB43"/>
    <w:multiLevelType w:val="hybridMultilevel"/>
    <w:lvl w:ilvl="0">
      <w:lvlJc w:val="left"/>
      <w:lvlText w:val="%1)"/>
      <w:numFmt w:val="decimal"/>
      <w:start w:val="1"/>
    </w:lvl>
    <w:lvl w:ilvl="1">
      <w:lvlJc w:val="left"/>
      <w:lvlText w:val="%2)"/>
      <w:numFmt w:val="lowerLetter"/>
      <w:start w:val="1"/>
    </w:lvl>
  </w:abstractNum>
  <w:abstractNum w:abstractNumId="29">
    <w:nsid w:val="3DC240FB"/>
    <w:multiLevelType w:val="hybridMultilevel"/>
    <w:lvl w:ilvl="0">
      <w:lvlJc w:val="left"/>
      <w:lvlText w:val="%1."/>
      <w:numFmt w:val="decimal"/>
      <w:start w:val="1"/>
    </w:lvl>
  </w:abstractNum>
  <w:abstractNum w:abstractNumId="30">
    <w:nsid w:val="1BA026FA"/>
    <w:multiLevelType w:val="hybridMultilevel"/>
    <w:lvl w:ilvl="0">
      <w:lvlJc w:val="left"/>
      <w:lvlText w:val="%1."/>
      <w:numFmt w:val="decimal"/>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1."/>
      <w:numFmt w:val="decimal"/>
      <w:start w:val="1"/>
    </w:lvl>
    <w:lvl w:ilvl="1">
      <w:lvlJc w:val="left"/>
      <w:lvlText w:val="•"/>
      <w:numFmt w:val="bullet"/>
      <w:start w:val="1"/>
    </w:lvl>
  </w:abstractNum>
  <w:abstractNum w:abstractNumId="34">
    <w:nsid w:val="70C6A529"/>
    <w:multiLevelType w:val="hybridMultilevel"/>
    <w:lvl w:ilvl="0">
      <w:lvlJc w:val="left"/>
      <w:lvlText w:val="%1."/>
      <w:numFmt w:val="decimal"/>
      <w:start w:val="1"/>
    </w:lvl>
  </w:abstractNum>
  <w:abstractNum w:abstractNumId="35">
    <w:nsid w:val="520EEDD1"/>
    <w:multiLevelType w:val="hybridMultilevel"/>
    <w:lvl w:ilvl="0">
      <w:lvlJc w:val="left"/>
      <w:lvlText w:val="(%1)"/>
      <w:numFmt w:val="decimal"/>
      <w:start w:val="1"/>
    </w:lvl>
  </w:abstractNum>
  <w:abstractNum w:abstractNumId="36">
    <w:nsid w:val="374A3FE6"/>
    <w:multiLevelType w:val="hybridMultilevel"/>
    <w:lvl w:ilvl="0">
      <w:lvlJc w:val="left"/>
      <w:lvlText w:val="(%1)"/>
      <w:numFmt w:val="lowerRoman"/>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1)"/>
      <w:numFmt w:val="decimal"/>
      <w:start w:val="3"/>
    </w:lvl>
  </w:abstractNum>
  <w:abstractNum w:abstractNumId="39">
    <w:nsid w:val="649BB77C"/>
    <w:multiLevelType w:val="hybridMultilevel"/>
    <w:lvl w:ilvl="0">
      <w:lvlJc w:val="left"/>
      <w:lvlText w:val="(%1)"/>
      <w:numFmt w:val="decimal"/>
      <w:start w:val="1"/>
    </w:lvl>
  </w:abstractNum>
  <w:abstractNum w:abstractNumId="40">
    <w:nsid w:val="275AC794"/>
    <w:multiLevelType w:val="hybridMultilevel"/>
    <w:lvl w:ilvl="0">
      <w:lvlJc w:val="left"/>
      <w:lvlText w:val="(%1)"/>
      <w:numFmt w:val="decimal"/>
      <w:start w:val="5"/>
    </w:lvl>
  </w:abstractNum>
  <w:abstractNum w:abstractNumId="41">
    <w:nsid w:val="39386575"/>
    <w:multiLevelType w:val="hybridMultilevel"/>
    <w:lvl w:ilvl="0">
      <w:lvlJc w:val="left"/>
      <w:lvlText w:val="(%1)"/>
      <w:numFmt w:val="lowerRoman"/>
      <w:start w:val="1"/>
    </w:lvl>
  </w:abstractNum>
  <w:abstractNum w:abstractNumId="42">
    <w:nsid w:val="1CF10FD8"/>
    <w:multiLevelType w:val="hybridMultilevel"/>
    <w:lvl w:ilvl="0">
      <w:lvlJc w:val="left"/>
      <w:lvlText w:val="(%1)"/>
      <w:numFmt w:val="lowerRoman"/>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1)"/>
      <w:numFmt w:val="decimal"/>
      <w:start w:val="1"/>
    </w:lvl>
  </w:abstractNum>
  <w:abstractNum w:abstractNumId="47">
    <w:nsid w:val="15B5AF5C"/>
    <w:multiLevelType w:val="hybridMultilevel"/>
    <w:lvl w:ilvl="0">
      <w:lvlJc w:val="left"/>
      <w:lvlText w:val="(%1)"/>
      <w:numFmt w:val="decimal"/>
      <w:start w:val="3"/>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1)"/>
      <w:numFmt w:val="decimal"/>
      <w:start w:val="6"/>
    </w:lvl>
  </w:abstractNum>
  <w:abstractNum w:abstractNumId="54">
    <w:nsid w:val="77AE35EB"/>
    <w:multiLevelType w:val="hybridMultilevel"/>
    <w:lvl w:ilvl="0">
      <w:lvlJc w:val="left"/>
      <w:lvlText w:val="(%1)"/>
      <w:numFmt w:val="decimal"/>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1"/>
      <w:numFmt w:val="upperLetter"/>
      <w:start w:val="1"/>
    </w:lvl>
    <w:lvl w:ilvl="1">
      <w:lvlJc w:val="left"/>
      <w:lvlText w:val="%2."/>
      <w:numFmt w:val="decimal"/>
      <w:start w:val="1"/>
    </w:lvl>
  </w:abstractNum>
  <w:abstractNum w:abstractNumId="57">
    <w:nsid w:val="5FF87E05"/>
    <w:multiLevelType w:val="hybridMultilevel"/>
    <w:lvl w:ilvl="0">
      <w:lvlJc w:val="left"/>
      <w:lvlText w:val="(%1)"/>
      <w:numFmt w:val="decimal"/>
      <w:start w:val="1"/>
    </w:lvl>
  </w:abstractNum>
  <w:abstractNum w:abstractNumId="58">
    <w:nsid w:val="2F305DEF"/>
    <w:multiLevelType w:val="hybridMultilevel"/>
    <w:lvl w:ilvl="0">
      <w:lvlJc w:val="left"/>
      <w:lvlText w:val="(%1)"/>
      <w:numFmt w:val="lowerLetter"/>
      <w:start w:val="1"/>
    </w:lvl>
  </w:abstractNum>
  <w:abstractNum w:abstractNumId="59">
    <w:nsid w:val="25A70BF7"/>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60">
    <w:nsid w:val="1DBABF00"/>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61">
    <w:nsid w:val="4AD084E9"/>
    <w:multiLevelType w:val="hybridMultilevel"/>
    <w:lvl w:ilvl="0">
      <w:lvlJc w:val="left"/>
      <w:lvlText w:val="†"/>
      <w:numFmt w:val="bullet"/>
      <w:start w:val="1"/>
    </w:lvl>
  </w:abstractNum>
  <w:abstractNum w:abstractNumId="62">
    <w:nsid w:val="1F48EAA1"/>
    <w:multiLevelType w:val="hybridMultilevel"/>
    <w:lvl w:ilvl="0">
      <w:lvlJc w:val="left"/>
      <w:lvlText w:val="%1."/>
      <w:numFmt w:val="decimal"/>
      <w:start w:val="1"/>
    </w:lvl>
  </w:abstractNum>
  <w:abstractNum w:abstractNumId="63">
    <w:nsid w:val="1381823A"/>
    <w:multiLevelType w:val="hybridMultilevel"/>
    <w:lvl w:ilvl="0">
      <w:lvlJc w:val="left"/>
      <w:lvlText w:val="%1."/>
      <w:numFmt w:val="decimal"/>
      <w:start w:val="5"/>
    </w:lvl>
    <w:lvl w:ilvl="1">
      <w:lvlJc w:val="left"/>
      <w:lvlText w:val="(%2)"/>
      <w:numFmt w:val="lowerLetter"/>
      <w:start w:val="1"/>
    </w:lvl>
  </w:abstractNum>
  <w:abstractNum w:abstractNumId="64">
    <w:nsid w:val="5DB70AE5"/>
    <w:multiLevelType w:val="hybridMultilevel"/>
    <w:lvl w:ilvl="0">
      <w:lvlJc w:val="left"/>
      <w:lvlText w:val="%1."/>
      <w:numFmt w:val="decimal"/>
      <w:start w:val="8"/>
    </w:lvl>
    <w:lvl w:ilvl="1">
      <w:lvlJc w:val="left"/>
      <w:lvlText w:val="(%2)"/>
      <w:numFmt w:val="lowerLetter"/>
      <w:start w:val="1"/>
    </w:lvl>
  </w:abstractNum>
  <w:abstractNum w:abstractNumId="65">
    <w:nsid w:val="100F8FCA"/>
    <w:multiLevelType w:val="hybridMultilevel"/>
    <w:lvl w:ilvl="0">
      <w:lvlJc w:val="left"/>
      <w:lvlText w:val="%1"/>
      <w:numFmt w:val="decimal"/>
      <w:start w:val="1"/>
    </w:lvl>
    <w:lvl w:ilvl="1">
      <w:lvlJc w:val="left"/>
      <w:lvlText w:val="(%2)"/>
      <w:numFmt w:val="lowerLetter"/>
      <w:start w:val="3"/>
    </w:lvl>
  </w:abstractNum>
  <w:abstractNum w:abstractNumId="66">
    <w:nsid w:val="6590700B"/>
    <w:multiLevelType w:val="hybridMultilevel"/>
    <w:lvl w:ilvl="0">
      <w:lvlJc w:val="left"/>
      <w:lvlText w:val="%1."/>
      <w:numFmt w:val="decimal"/>
      <w:start w:val="12"/>
    </w:lvl>
    <w:lvl w:ilvl="1">
      <w:lvlJc w:val="left"/>
      <w:lvlText w:val="%2"/>
      <w:numFmt w:val="lowerLetter"/>
      <w:start w:val="1"/>
    </w:lvl>
  </w:abstractNum>
  <w:abstractNum w:abstractNumId="67">
    <w:nsid w:val="15014ACB"/>
    <w:multiLevelType w:val="hybridMultilevel"/>
    <w:lvl w:ilvl="0">
      <w:lvlJc w:val="left"/>
      <w:lvlText w:val="%1."/>
      <w:numFmt w:val="decimal"/>
      <w:start w:val="16"/>
    </w:lvl>
    <w:lvl w:ilvl="1">
      <w:lvlJc w:val="left"/>
      <w:lvlText w:val="(%2)"/>
      <w:numFmt w:val="lowerLetter"/>
      <w:start w:val="1"/>
    </w:lvl>
  </w:abstractNum>
  <w:abstractNum w:abstractNumId="68">
    <w:nsid w:val="5F5E7FD0"/>
    <w:multiLevelType w:val="hybridMultilevel"/>
    <w:lvl w:ilvl="0">
      <w:lvlJc w:val="left"/>
      <w:lvlText w:val="(%1)"/>
      <w:numFmt w:val="lowerLetter"/>
      <w:start w:val="3"/>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70" Type="http://schemas.openxmlformats.org/officeDocument/2006/relationships/image" Target="media/image53.png"/><Relationship Id="rId92" Type="http://schemas.openxmlformats.org/officeDocument/2006/relationships/image" Target="media/image54.png"/><Relationship Id="rId101" Type="http://schemas.openxmlformats.org/officeDocument/2006/relationships/image" Target="media/image55.png"/><Relationship Id="rId102" Type="http://schemas.openxmlformats.org/officeDocument/2006/relationships/image" Target="media/image56.png"/><Relationship Id="rId103" Type="http://schemas.openxmlformats.org/officeDocument/2006/relationships/image" Target="media/image57.png"/><Relationship Id="rId104" Type="http://schemas.openxmlformats.org/officeDocument/2006/relationships/image" Target="media/image58.png"/><Relationship Id="rId105" Type="http://schemas.openxmlformats.org/officeDocument/2006/relationships/image" Target="media/image59.png"/><Relationship Id="rId106" Type="http://schemas.openxmlformats.org/officeDocument/2006/relationships/image" Target="media/image60.png"/><Relationship Id="rId107" Type="http://schemas.openxmlformats.org/officeDocument/2006/relationships/image" Target="media/image61.png"/><Relationship Id="rId108" Type="http://schemas.openxmlformats.org/officeDocument/2006/relationships/image" Target="media/image62.png"/><Relationship Id="rId109" Type="http://schemas.openxmlformats.org/officeDocument/2006/relationships/image" Target="media/image63.png"/><Relationship Id="rId110" Type="http://schemas.openxmlformats.org/officeDocument/2006/relationships/image" Target="media/image64.png"/><Relationship Id="rId111" Type="http://schemas.openxmlformats.org/officeDocument/2006/relationships/image" Target="media/image65.png"/><Relationship Id="rId112" Type="http://schemas.openxmlformats.org/officeDocument/2006/relationships/image" Target="media/image66.png"/><Relationship Id="rId113" Type="http://schemas.openxmlformats.org/officeDocument/2006/relationships/image" Target="media/image67.png"/><Relationship Id="rId114" Type="http://schemas.openxmlformats.org/officeDocument/2006/relationships/image" Target="media/image68.png"/><Relationship Id="rId115" Type="http://schemas.openxmlformats.org/officeDocument/2006/relationships/image" Target="media/image69.png"/><Relationship Id="rId116" Type="http://schemas.openxmlformats.org/officeDocument/2006/relationships/image" Target="media/image70.png"/><Relationship Id="rId117" Type="http://schemas.openxmlformats.org/officeDocument/2006/relationships/image" Target="media/image71.png"/><Relationship Id="rId118" Type="http://schemas.openxmlformats.org/officeDocument/2006/relationships/image" Target="media/image72.png"/><Relationship Id="rId119" Type="http://schemas.openxmlformats.org/officeDocument/2006/relationships/image" Target="media/image73.png"/><Relationship Id="rId60" Type="http://schemas.openxmlformats.org/officeDocument/2006/relationships/hyperlink" Target="http://www.sec.gov/Archives/edgar/data/1133470/000095014801500411/v70569ex2-1.txt" TargetMode="External"/><Relationship Id="rId61" Type="http://schemas.openxmlformats.org/officeDocument/2006/relationships/hyperlink" Target="http://www.sec.gov/Archives/edgar/data/1133470/000095014804000129/v95808exv2w2.txt" TargetMode="External"/><Relationship Id="rId62" Type="http://schemas.openxmlformats.org/officeDocument/2006/relationships/hyperlink" Target="http://www.sec.gov/Archives/edgar/data/1133470/000095012408002518/v41085exv2w1.htm" TargetMode="External"/><Relationship Id="rId63" Type="http://schemas.openxmlformats.org/officeDocument/2006/relationships/hyperlink" Target="http://www.sec.gov/Archives/edgar/data/1133470/000095012310023590/v55403exv2w1.htm" TargetMode="External"/><Relationship Id="rId64" Type="http://schemas.openxmlformats.org/officeDocument/2006/relationships/hyperlink" Target="http://www.sec.gov/Archives/edgar/data/1133470/000095012310023590/v55403exv10w3.htm" TargetMode="External"/><Relationship Id="rId65" Type="http://schemas.openxmlformats.org/officeDocument/2006/relationships/hyperlink" Target="http://www.sec.gov/Archives/edgar/data/1133470/000119312512008063/d280367dex21.htm" TargetMode="External"/><Relationship Id="rId66" Type="http://schemas.openxmlformats.org/officeDocument/2006/relationships/hyperlink" Target="http://www.sec.gov/Archives/edgar/data/1133470/000119312512454567/d435941dex101.htm" TargetMode="External"/><Relationship Id="rId67" Type="http://schemas.openxmlformats.org/officeDocument/2006/relationships/hyperlink" Target="http://www.sec.gov/Archives/edgar/data/1133470/000119312513357144/d592266dex101.htm" TargetMode="External"/><Relationship Id="rId68" Type="http://schemas.openxmlformats.org/officeDocument/2006/relationships/hyperlink" Target="http://www.sec.gov/Archives/edgar/data/1133470/000119312513360154/d576441dex102.htm" TargetMode="External"/><Relationship Id="rId69" Type="http://schemas.openxmlformats.org/officeDocument/2006/relationships/hyperlink" Target="http://www.sec.gov/Archives/edgar/data/1133470/000119312513455104/d636762dex101.htm" TargetMode="External"/><Relationship Id="rId71" Type="http://schemas.openxmlformats.org/officeDocument/2006/relationships/hyperlink" Target="http://www.sec.gov/Archives/edgar/data/1133470/000095014801500411/v70569ex3-1.txt" TargetMode="External"/><Relationship Id="rId72" Type="http://schemas.openxmlformats.org/officeDocument/2006/relationships/hyperlink" Target="https://www.sec.gov/Archives/edgar/data/1133470/000155837022014140/cvgw-20220731xex3d1.htm" TargetMode="External"/><Relationship Id="rId73" Type="http://schemas.openxmlformats.org/officeDocument/2006/relationships/hyperlink" Target="https://www.sec.gov/Archives/edgar/data/1133470/000155837020003374/ex-4d1.htm" TargetMode="External"/><Relationship Id="rId74" Type="http://schemas.openxmlformats.org/officeDocument/2006/relationships/hyperlink" Target="https://www.sec.gov/Archives/edgar/data/1133470/000095014803000098/v87183exv10w1.htm" TargetMode="External"/><Relationship Id="rId75" Type="http://schemas.openxmlformats.org/officeDocument/2006/relationships/hyperlink" Target="https://www.sec.gov/Archives/edgar/data/1133470/000155837022003566/cvgw-20220131xex10d1.htm" TargetMode="External"/><Relationship Id="rId76" Type="http://schemas.openxmlformats.org/officeDocument/2006/relationships/hyperlink" Target="https://www.sec.gov/Archives/edgar/data/1133470/000155837022003566/cvgw-20220131xex10d2.htm" TargetMode="External"/><Relationship Id="rId77" Type="http://schemas.openxmlformats.org/officeDocument/2006/relationships/hyperlink" Target="https://www.sec.gov/Archives/edgar/data/1133470/000155837022009683/cvgw-20220430xex10d2.htm" TargetMode="External"/><Relationship Id="rId78" Type="http://schemas.openxmlformats.org/officeDocument/2006/relationships/hyperlink" Target="https://www.sec.gov/Archives/edgar/data/1133470/000095014801500411/v70569ex10-4.txt" TargetMode="External"/><Relationship Id="rId79" Type="http://schemas.openxmlformats.org/officeDocument/2006/relationships/hyperlink" Target="https://www.sec.gov/Archives/edgar/data/1133470/000095012311002615/v58339exv10w18.htm" TargetMode="External"/><Relationship Id="rId80" Type="http://schemas.openxmlformats.org/officeDocument/2006/relationships/hyperlink" Target="https://www.sec.gov/Archives/edgar/data/1133470/000155837022015916/cvgw-20221101xex10d1.htm" TargetMode="External"/><Relationship Id="rId81" Type="http://schemas.openxmlformats.org/officeDocument/2006/relationships/hyperlink" Target="https://www.sec.gov/Archives/edgar/data/1133470/000155837023010838/cvgw-20230430xex10d2.htm" TargetMode="External"/><Relationship Id="rId82" Type="http://schemas.openxmlformats.org/officeDocument/2006/relationships/hyperlink" Target="https://www.sec.gov/Archives/edgar/data/1133470/000155837023010838/cvgw-20230430xex10d4.htm" TargetMode="External"/><Relationship Id="rId83" Type="http://schemas.openxmlformats.org/officeDocument/2006/relationships/hyperlink" Target="https://www.sec.gov/Archives/edgar/data/1133470/000155837023011642/cvgw-20230626xex10d1.htm" TargetMode="External"/><Relationship Id="rId84" Type="http://schemas.openxmlformats.org/officeDocument/2006/relationships/hyperlink" Target="https://www.sec.gov/Archives/edgar/data/1133470/000155837024002910/cvgw-20240131xex10d1.htm" TargetMode="External"/><Relationship Id="rId85" Type="http://schemas.openxmlformats.org/officeDocument/2006/relationships/hyperlink" Target="https://www.sec.gov/Archives/edgar/data/1133470/000155837024012417/cvgw-20240815xex10d1.htm" TargetMode="External"/><Relationship Id="rId86" Type="http://schemas.openxmlformats.org/officeDocument/2006/relationships/hyperlink" Target="https://www.sec.gov/Archives/edgar/data/1133470/000155837024012417/cvgw-20240815xex10d2.htm" TargetMode="External"/><Relationship Id="rId87" Type="http://schemas.openxmlformats.org/officeDocument/2006/relationships/hyperlink" Target="https://www.sec.gov/Archives/edgar/data/1133470/000155837024012417/cvgw-20240815xex10d3.htm" TargetMode="External"/><Relationship Id="rId88" Type="http://schemas.openxmlformats.org/officeDocument/2006/relationships/hyperlink" Target="https://www.sec.gov/Archives/edgar/data/1133470/000155837025000209/cvgw-20241031xex10d16.htm" TargetMode="External"/><Relationship Id="rId89" Type="http://schemas.openxmlformats.org/officeDocument/2006/relationships/hyperlink" Target="https://www.sec.gov/Archives/edgar/data/1133470/000155837025002814/cvgw-20250131xex10d1.htm" TargetMode="External"/><Relationship Id="rId90" Type="http://schemas.openxmlformats.org/officeDocument/2006/relationships/hyperlink" Target="https://www.sec.gov/Archives/edgar/data/1133470/000155837025002814/cvgw-20250131xex10d2.htm" TargetMode="External"/><Relationship Id="rId91" Type="http://schemas.openxmlformats.org/officeDocument/2006/relationships/hyperlink" Target="https://www.sec.gov/Archives/edgar/data/1133470/000155837025002814/cvgw-20250131xex10d3.htm" TargetMode="External"/><Relationship Id="rId93" Type="http://schemas.openxmlformats.org/officeDocument/2006/relationships/hyperlink" Target="https://www.sec.gov/Archives/edgar/data/1133470/000110465925040249/tm2513252d1_ex10-1.htm" TargetMode="External"/><Relationship Id="rId94" Type="http://schemas.openxmlformats.org/officeDocument/2006/relationships/hyperlink" Target="https://www.sec.gov/Archives/edgar/data/1133470/000110465925111229/cvgw-20251111xex10d1.htm" TargetMode="External"/><Relationship Id="rId95" Type="http://schemas.openxmlformats.org/officeDocument/2006/relationships/hyperlink" Target="https://www.sec.gov/Archives/edgar/data/1133470/000110465925120615/cvgw-20251208xex10d1.htm" TargetMode="External"/><Relationship Id="rId96" Type="http://schemas.openxmlformats.org/officeDocument/2006/relationships/hyperlink" Target="https://www.sec.gov/Archives/edgar/data/1133470/000110465926022214/cvgw-20260114xex10d1.htm" TargetMode="External"/><Relationship Id="rId97" Type="http://schemas.openxmlformats.org/officeDocument/2006/relationships/hyperlink" Target="https://www.sec.gov/Archives/edgar/data/1133470/000155837025000209/cvgw-20241031xex19d1.htm" TargetMode="External"/><Relationship Id="rId98" Type="http://schemas.openxmlformats.org/officeDocument/2006/relationships/hyperlink" Target="http://www.sec.gov/Archives/edgar/data/1133470/000095014801500411/v70569ex21-1.txt" TargetMode="External"/><Relationship Id="rId99" Type="http://schemas.openxmlformats.org/officeDocument/2006/relationships/hyperlink" Target="https://www.sec.gov/Archives/edgar/data/1133470/000110465926003786/cvgw-20251031xex23d1.htm" TargetMode="External"/><Relationship Id="rId100" Type="http://schemas.openxmlformats.org/officeDocument/2006/relationships/hyperlink" Target="https://www.sec.gov/Archives/edgar/data/1133470/000155837024000671/cvgw-202310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2026-03-02T16:37:56Z</dcterms:created>
  <dcterms:modified xsi:type="dcterms:W3CDTF">2026-03-02T16:37:56Z</dcterms:modified>
</cp:coreProperties>
</file>