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LEAVENS J LINK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CALAVO GROWERS,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1141-A CUMMINGS 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PAULA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93060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CALAVO GROWERS INC</w:t>
              </w:r>
            </w:hyperlink>
            <w:r>
              <w:rPr/>
              <w:t xml:space="preserve"> [ </w:t>
            </w:r>
            <w:r>
              <w:rPr>
                <w:rFonts w:ascii="Times;serif" w:hAnsi="Times;serif"/>
                <w:color w:val="0000FF"/>
                <w:sz w:val="24"/>
                <w:shd w:fill="FFFFFF" w:val="clear"/>
              </w:rPr>
              <w:t>CVGW</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9"/>
        <w:gridCol w:w="901"/>
        <w:gridCol w:w="771"/>
        <w:gridCol w:w="598"/>
        <w:gridCol w:w="347"/>
        <w:gridCol w:w="1013"/>
        <w:gridCol w:w="453"/>
        <w:gridCol w:w="615"/>
        <w:gridCol w:w="1160"/>
        <w:gridCol w:w="995"/>
        <w:gridCol w:w="98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8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89,858</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6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266,413</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I</w:t>
            </w:r>
            <w:r>
              <w:rPr>
                <w:rFonts w:ascii="Times;serif" w:hAnsi="Times;serif"/>
                <w:color w:val="008000"/>
                <w:position w:val="7"/>
                <w:sz w:val="16"/>
                <w:sz w:val="20"/>
                <w:shd w:fill="FFFFFF" w:val="clear"/>
              </w:rPr>
              <w:t>(2)</w:t>
            </w:r>
            <w:r>
              <w:rPr/>
              <w:t xml:space="preserve"> </w:t>
            </w:r>
          </w:p>
        </w:tc>
        <w:tc>
          <w:tcPr>
            <w:tcW w:w="9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were disposed of pursuant to the Agreement and Plan of Merger (the "Merger Agreement"), dated as of January 14, 2026, by and among Calavo Growers, Inc. ("Calavo") Mission Produce, Inc. ("Mission Produce"), Cantaloupe Merger Sub I, Inc. and Cantaloupe Merger Sub II, LLC. Pursuant to the Merger Agreement, at the First Effective Time (as defined in the Merger Agreement), each share of common stock, par value $0.001 per share, of Calavo was converted into the right to receive (i) 0.9790 shares of common stock, par value $0.001 per share, of Mission Produce and cash in lieu of fractional shares and (ii) $14.85 in cash, without interest.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indirectly owned by reporting person in the name of various partnerships of which reporting person shares voting and investment power with respect to these shares held by such partnerships.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 Link Leavens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51114" TargetMode="External"/><Relationship Id="rId5" Type="http://schemas.openxmlformats.org/officeDocument/2006/relationships/hyperlink" Target="http://www.sec.gov/cgi-bin/browse-edgar?action=getcompany&amp;CIK=000113347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712</Words>
  <Characters>3793</Characters>
  <CharactersWithSpaces>4437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