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3,042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1,598,986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1,602,986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3,958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1,606,944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effected pursuant to a Rule 10b-5-1 trading plan adopted by Reporting Person on April 15,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Lecil E. Cole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04/18/2005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2020-02-10T11:43:17Z</dcterms:created>
  <dcterms:modified xsi:type="dcterms:W3CDTF">2020-02-10T11:43:17Z</dcterms:modified>
</cp:coreProperties>
</file>