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31, 2024</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35"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1"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jc w:val="both"/>
        <w:ind w:left="60" w:right="99" w:firstLine="324"/>
        <w:spacing w:after="0" w:line="306"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60" w:right="159"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539750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120015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162560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left="60" w:right="359" w:firstLine="324"/>
        <w:spacing w:after="0" w:line="266" w:lineRule="auto"/>
        <w:rPr>
          <w:sz w:val="20"/>
          <w:szCs w:val="20"/>
          <w:color w:val="auto"/>
        </w:rPr>
      </w:pPr>
      <w:r>
        <w:rPr>
          <w:rFonts w:ascii="Times New Roman" w:cs="Times New Roman" w:eastAsia="Times New Roman" w:hAnsi="Times New Roman"/>
          <w:sz w:val="18"/>
          <w:szCs w:val="18"/>
          <w:color w:val="auto"/>
        </w:rPr>
        <w:t>On January 31, 2024, Calavo Growers, Inc. (Calavo) issued a press release containing our financial results for the three- and twelve-month periods ended October 31, 2023. A copy of our press release is attached hereto as Exhibit 99.1 and is incorporated by reference herein.</w:t>
      </w:r>
    </w:p>
    <w:p>
      <w:pPr>
        <w:spacing w:after="0" w:line="135" w:lineRule="exact"/>
        <w:rPr>
          <w:sz w:val="20"/>
          <w:szCs w:val="20"/>
          <w:color w:val="auto"/>
        </w:rPr>
      </w:pPr>
    </w:p>
    <w:p>
      <w:pPr>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under the Securities Act of 1933, as amended, or the Exchange Act, except as shall be expressly set forth by specific reference in such filing.</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380" w:hanging="324"/>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EE"/>
        </w:rPr>
        <w:t>Press release dated January 31, 2024 of the Registrant.</w:t>
      </w:r>
    </w:p>
    <w:p>
      <w:pPr>
        <w:spacing w:after="0" w:line="9"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31, 2024</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Lecil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97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8"/>
          <w:szCs w:val="18"/>
          <w:color w:val="auto"/>
        </w:rPr>
        <w:t>Lecil Cole</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19685</wp:posOffset>
            </wp:positionV>
            <wp:extent cx="1337310" cy="130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31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 Announces Fourth Quarter and Fiscal 2023 Financial Results</w:t>
      </w:r>
    </w:p>
    <w:p>
      <w:pPr>
        <w:spacing w:after="0" w:line="225"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SANTA PAULA, Calif., Jan. 31, 2024—Calavo Growers, Inc. (Nasdaq-GS: CVGW), </w:t>
      </w:r>
      <w:r>
        <w:rPr>
          <w:rFonts w:ascii="Times New Roman" w:cs="Times New Roman" w:eastAsia="Times New Roman" w:hAnsi="Times New Roman"/>
          <w:sz w:val="18"/>
          <w:szCs w:val="18"/>
          <w:color w:val="auto"/>
        </w:rPr>
        <w:t>a global avocado-industry leader and provider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convenient, ready-to-eat fresh food, today reported its financial results for the fiscal fourth quarter and fiscal year ended October 31,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Financial Overview</w:t>
      </w:r>
    </w:p>
    <w:p>
      <w:pPr>
        <w:spacing w:after="0" w:line="31" w:lineRule="exact"/>
        <w:rPr>
          <w:sz w:val="20"/>
          <w:szCs w:val="20"/>
          <w:color w:val="auto"/>
        </w:rPr>
      </w:pPr>
    </w:p>
    <w:p>
      <w:pPr>
        <w:ind w:left="660" w:right="4040" w:hanging="652"/>
        <w:spacing w:after="0" w:line="250" w:lineRule="auto"/>
        <w:tabs>
          <w:tab w:leader="none" w:pos="3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sales of $241.2 million, a 1.0% decrease from the prior year quarter o Grown segment net sales increased 5.6% to $125.7 million</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Prepared segment net sales decreased 7.9% to $116.1 million</w:t>
      </w:r>
    </w:p>
    <w:p>
      <w:pPr>
        <w:spacing w:after="0" w:line="9" w:lineRule="exact"/>
        <w:rPr>
          <w:rFonts w:ascii="Times New Roman" w:cs="Times New Roman" w:eastAsia="Times New Roman" w:hAnsi="Times New Roman"/>
          <w:sz w:val="18"/>
          <w:szCs w:val="18"/>
          <w:color w:val="auto"/>
        </w:rPr>
      </w:pPr>
    </w:p>
    <w:p>
      <w:pPr>
        <w:ind w:left="660" w:right="3700" w:hanging="652"/>
        <w:spacing w:after="0" w:line="250" w:lineRule="auto"/>
        <w:tabs>
          <w:tab w:leader="none" w:pos="3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$15.5 million, compared to $20.4 million for the prior year quarter o Grown segment gross profit increased $0.2 million to $8.7 million</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Prepared segment gross profit decreased $5.1 million to $6.7 million</w:t>
      </w:r>
    </w:p>
    <w:p>
      <w:pPr>
        <w:spacing w:after="0" w:line="9" w:lineRule="exact"/>
        <w:rPr>
          <w:rFonts w:ascii="Times New Roman" w:cs="Times New Roman" w:eastAsia="Times New Roman" w:hAnsi="Times New Roman"/>
          <w:sz w:val="18"/>
          <w:szCs w:val="18"/>
          <w:color w:val="auto"/>
        </w:rPr>
      </w:pPr>
    </w:p>
    <w:p>
      <w:pPr>
        <w:ind w:left="340" w:right="22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$7.9 million, or $0.45 per diluted share, compared to a net loss of $3.3 million, or $0.19 per diluted share, for the same period last year</w:t>
      </w:r>
    </w:p>
    <w:p>
      <w:pPr>
        <w:ind w:left="340" w:right="20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of $5.8 million, or $0.33 per diluted share, compared to adjusted net income of $0.6 million, or $0.03 per diluted share for the prior year quarter</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$7.0 million compared to $9.6 million for the same period last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2023 Financial Overview</w:t>
      </w:r>
    </w:p>
    <w:p>
      <w:pPr>
        <w:spacing w:after="0" w:line="31" w:lineRule="exact"/>
        <w:rPr>
          <w:sz w:val="20"/>
          <w:szCs w:val="20"/>
          <w:color w:val="auto"/>
        </w:rPr>
      </w:pPr>
    </w:p>
    <w:p>
      <w:pPr>
        <w:ind w:left="660" w:right="4420" w:hanging="652"/>
        <w:spacing w:after="0" w:line="265" w:lineRule="auto"/>
        <w:tabs>
          <w:tab w:leader="none" w:pos="3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net sales of $972.0 million, an 18.4% decrease from the prior year o Grown segment net sales decreased 24.5% to $529.0 million o Prepared segment net sales decreased 10.3% to $445.8 million</w:t>
      </w:r>
    </w:p>
    <w:p>
      <w:pPr>
        <w:ind w:left="660" w:right="4080" w:hanging="652"/>
        <w:spacing w:after="0" w:line="250" w:lineRule="auto"/>
        <w:tabs>
          <w:tab w:leader="none" w:pos="3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$70.0 million, compared to $73.8 million for the prior year o Grown segment gross profit increased $2.0 million to $52.2 million</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Prepared segment gross profit decreased $5.9 million to $17.8 million</w:t>
      </w:r>
    </w:p>
    <w:p>
      <w:pPr>
        <w:spacing w:after="0" w:line="9" w:lineRule="exact"/>
        <w:rPr>
          <w:rFonts w:ascii="Times New Roman" w:cs="Times New Roman" w:eastAsia="Times New Roman" w:hAnsi="Times New Roman"/>
          <w:sz w:val="18"/>
          <w:szCs w:val="18"/>
          <w:color w:val="auto"/>
        </w:rPr>
      </w:pPr>
    </w:p>
    <w:p>
      <w:pPr>
        <w:ind w:left="340" w:right="2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$8.3 million, or $0.47 per diluted share, compared to a net loss of $6.2 million, or $0.35 per diluted share, for the prior year</w:t>
      </w:r>
    </w:p>
    <w:p>
      <w:pPr>
        <w:ind w:left="340" w:right="20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loss of $0.2 million, or $0.01 per diluted share, compared to adjusted net income of $8.9 million, or $0.50 per diluted share for the prior year</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$31.3 million compared to $35.1 million for the prior year</w:t>
      </w:r>
    </w:p>
    <w:p>
      <w:pPr>
        <w:spacing w:after="0" w:line="205"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Adjusted net income (loss), adjusted net income (loss) per diluted share, and adjusted EBITDA are non-GAAP financial measures. See “Non-GAAP Financial Measures” below.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31" w:lineRule="exact"/>
        <w:rPr>
          <w:sz w:val="20"/>
          <w:szCs w:val="20"/>
          <w:color w:val="auto"/>
        </w:rPr>
      </w:pPr>
    </w:p>
    <w:p>
      <w:pPr>
        <w:jc w:val="both"/>
        <w:ind w:right="620"/>
        <w:spacing w:after="0" w:line="255" w:lineRule="auto"/>
        <w:rPr>
          <w:sz w:val="20"/>
          <w:szCs w:val="20"/>
          <w:color w:val="auto"/>
        </w:rPr>
      </w:pPr>
      <w:r>
        <w:rPr>
          <w:rFonts w:ascii="Times New Roman" w:cs="Times New Roman" w:eastAsia="Times New Roman" w:hAnsi="Times New Roman"/>
          <w:sz w:val="18"/>
          <w:szCs w:val="18"/>
          <w:color w:val="auto"/>
        </w:rPr>
        <w:t>“I am pleased with our fourth quarter results as we continued to focus on the fundamentals of our operations,” said Lee E. Cole, President and Chief Executive Officer of Calavo Growers, Inc. “We continue to work toward completing the sale of our fresh cut business to F&amp;S Fresh Foods and will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472440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11</w:t>
      </w:r>
    </w:p>
    <w:p>
      <w:pPr>
        <w:spacing w:after="0" w:line="315" w:lineRule="exact"/>
        <w:rPr>
          <w:sz w:val="20"/>
          <w:szCs w:val="20"/>
          <w:color w:val="auto"/>
        </w:rPr>
      </w:pPr>
    </w:p>
    <w:p>
      <w:pPr>
        <w:ind w:right="80"/>
        <w:spacing w:after="0" w:line="213" w:lineRule="auto"/>
        <w:rPr>
          <w:sz w:val="20"/>
          <w:szCs w:val="20"/>
          <w:color w:val="auto"/>
        </w:rPr>
      </w:pPr>
      <w:r>
        <w:rPr>
          <w:rFonts w:ascii="Times New Roman" w:cs="Times New Roman" w:eastAsia="Times New Roman" w:hAnsi="Times New Roman"/>
          <w:sz w:val="18"/>
          <w:szCs w:val="18"/>
          <w:color w:val="auto"/>
        </w:rPr>
        <w:t>more details when we are able. We look forward to delivering shareholder value in fiscal 2024 as we also celebrate the Company’s 100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w:t>
      </w:r>
    </w:p>
    <w:p>
      <w:pPr>
        <w:spacing w:after="0" w:line="19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“Turning to our financial performance, we generated approximately $7.0 million in adjusted EBITDA during the fourth quarter on $241 million of net sales. Avocado margins softened compared to the third quarter due to seasonality and an unfavorable foreign exchange impact of $3.0 million; however, margins improved versus the prior year quarter due to our margin management discipline. Gross profit improved sequentially in our prepared segment as we completed onboarding for a large national account customer in our fresh cut division, while our guacamole business continued to perform well operationally and benefitted from lower input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2023 Consolidated Financial Review</w:t>
      </w:r>
    </w:p>
    <w:p>
      <w:pPr>
        <w:spacing w:after="0" w:line="3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Total net sales for the fourth quarter 2023 were $241.2 million, compared to $243.6 million for the fourth quarter 2022, a decline of 1.0%. Grown segment sales increased 5.6%, and Prepared segment sales decreased 7.9%. The average selling price of avocados in the Grown segment increased by 25% compared to the prior year.</w:t>
      </w:r>
    </w:p>
    <w:p>
      <w:pPr>
        <w:spacing w:after="0" w:line="18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Gross profit for the fourth quarter was $15.5 million, or 6.4% of net sales, compared to $20.4 million and 8.4%, respectively, for the same period last year.</w:t>
      </w:r>
    </w:p>
    <w:p>
      <w:pPr>
        <w:spacing w:after="0" w:line="1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for the fourth quarter totaled $14.1 million, or 5.9% of net sales, compared to $17.1 million and 7.0% of net sales for the same period last year. The decrease from the prior year was related primarily to lower incentive compensation expense and lower outside service costs.</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Net loss for the fourth quarter was $7.9 million, or $0.45 per diluted share. This compares with a net loss of $3.3 million, or $0.19 per diluted share, for the same period last year.</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Adjusted net loss was $5.8 million, or $0.33 per diluted share, compared to adjusted net income of $0.6 million, or $0.03 per diluted share last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was $7.0 million compared to $9.6 million for the same period last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Liquidity</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ended the year with $46.3 million of total debt, which included $39.0 million of borrowings under its credit facility and $7.3 million of other long-term obligations and finance leases. Cash and cash equivalents, including restricted cash, totaled $2.9 million, and the Company had $40.0 million of available liquidity as of October 31,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Grown</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Grown segment gross profit was $8.7 million, modestly higher than in the prior year quarter. Segment performance included an unfavorable foreign exchange balance sheet translation impact of $3.0 million. Excluding the foreign exchange impact, avocado margins were meaningfully higher than in the prior year quarter. Avocado prices receded from their seasonal summer highs and averaged near $40 per case, well above prices in the prior year quarter. Calavo’s fourth quarter avocado volume declined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474345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11</w:t>
      </w:r>
    </w:p>
    <w:p>
      <w:pPr>
        <w:spacing w:after="0" w:line="31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8.7% from the prior year as we prioritized margin in our volume management decisions. Our sales and operations teams currently are focused on fulfilling customer demand for the Super Bowl.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Prepared</w:t>
      </w:r>
    </w:p>
    <w:p>
      <w:pPr>
        <w:spacing w:after="0" w:line="29"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Prepared segment gross profit declined $5.1 million from the prior year quarter, generating a segment gross margin of 5.8%. The gross profit decline is attributed primarily to lower volume and higher input costs. While down compared to the prior year, gross profit increased $3.1 million sequentially as we completed onboarding activities for a major national account customer. The fresh cut division achieved a gross margin of 4.2% for the quarter. Syndicated retail data indicates that fiscal year-to-date unit sales were slightly down for the vegetable category but turned positive for fruit. Dollar sales for both produce categories were modestly positive. Unit sales for the fixed weight deli category were about flat, while dollar sales were up over 5%. Gross profit in the guacamole division increased to $2.5 million from $2.3 million in the prior year quarter. The guacamole business continues to benefit from lower fruit input costs and operational improvements. We are focused on growing volume in our prepared business in fiscal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Investigation into Mexico Operations</w:t>
      </w:r>
    </w:p>
    <w:p>
      <w:pPr>
        <w:spacing w:after="0" w:line="3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On January 16, 2024, the Company announced that its internal audit process had identified to the Audit Committee of the Board of Directors certain matters that the Board of Directors determined after the fiscal year end merited enhanced evaluation. A Special Committee of the Board of Directors (the “Special Committee”) was established to commence an investigation, with the assistance of external legal counsel and external forensic accountants. The Special Committee determined that certain of those matters related to the Company’s operations in Mexico raised potential issues under the Foreign Corrupt Practices Act (“FCPA”). The Company has voluntarily disclosed this ongoing internal investigation to the SEC and the Department of Justice ("DOJ"), and the Company intends to fully cooperate with the SEC and the DOJ in connection with these matters.</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determination that the Company’s operations or activities were not in compliance with laws, including the FCPA, could result in the imposition of material fines and penalties and the imposition of equitable remedies. The Company cannot currently predict the timing of completion or the outcome of its internal investigation or of any actions that may be taken by the SEC, the DOJ or Mexican authorities in connection with the matters under investigation, and the Company cannot currently estimate the amount or range of loss or potential impact on its consolidated financial statements associated with these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This press release includes non-GAAP measures EBITDA, adjusted EBITDA, adjusted net income (loss) and adjusted net income (loss) per diluted share, which are not prepared in accordance with U.S. generally accepted accounting principles, or “GAAP.”</w:t>
      </w:r>
    </w:p>
    <w:p>
      <w:pPr>
        <w:spacing w:after="0" w:line="1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EBITDA is defined as net income (loss) attributable to Calavo Growers, Inc. excluding (1) interest income and expense, (2) income tax (benefit) provision, (3) depreciation and amortization and (4) stock-based compensation expense. Adjusted EBITDA is EBITDA with further adjustments for (1) non-cash net losses (income) recognized from unconsolidated entities, (2) goodwill impairment, (3) write-off of long-lived assets, (4) acquisition-related costs, (5) restructuring-related costs, including certain severance costs, (6) certain litigation and other related costs, and (7) one-time items. Adjusted EBITDA is a primary metric by which management evaluates the operating performance of the business, on which certain operating expenditures and internal budgets are based. Additionally, the Company’s senior management is compensated in part on the basis of Adjusted EBITDA. The adjustments to calculate EBITDA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4</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11</w:t>
      </w:r>
    </w:p>
    <w:p>
      <w:pPr>
        <w:spacing w:after="0" w:line="31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adjusted EBITDA are items recognized and recorded under GAAP in particular periods but might be viewed as not necessarily coinciding with the underlying business operations for the periods in which they are so recognized and recorded.</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Adjusted net income (loss) is defined as net income (loss) attributable to Calavo Growers, Inc. excluding (1) non-cash net losses recognized from unconsolidated entities, (2) goodwill impairment, (3) write-off of long-lived assets, (4) acquisition-related costs, (5) restructuring-related costs, including certain severance costs, (6) certain litigation and other related costs, and (7) one-time items. Adjusted net income (loss) and the related measure of adjusted net income (loss) per diluted share exclude certain items that are recognized and recorded under GAAP in particular periods but might be viewed as not necessarily coinciding with the underlying business operations for the periods in which they are so recognized and recorded. We believe adjusted net income (loss) affords investors a different view of the overall financial performance of the Company than adjusted EBITDA and the GAAP measure of net income (loss) attributable to Calavo Growers, Inc.</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GAAP financial measures are provided in the financial tables below.</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Items are considered one-time in nature if they are non-recurring, infrequent or unusual and have not occurred in the past two years or are not expected to recur in the next two years, in accordance with SEC rules. 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and adjusted net income (loss) may not be comparable to similarly titled measures presented by other companies and may not be identical to corresponding measures used in Company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Calavo Growers, Inc.</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Calavo Growers, Inc. (Nasdaq: CVGW) is a global leader in quality produce, including avocados, tomatoes and papayas, and a pioneer of healthy fresh-cut fruit, vegetables and prepared foods. Calavo products are sold under the trusted Calavo brand name, proprietary sub-brands, private label and store brands.</w:t>
      </w:r>
    </w:p>
    <w:p>
      <w:pPr>
        <w:spacing w:after="0" w:line="18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Founded in 1924, Calavo has a rich culture of innovation, sustainable practices and market growth. The company serves retail grocery, foodservice, club stores, mass merchandisers, food distributors and wholesalers worldwide. Calavo is headquartered in Santa Paula, California, with processing plants and packing facilities throughout the U.S. and Mexico. Learn more about </w:t>
      </w:r>
      <w:r>
        <w:rPr>
          <w:rFonts w:ascii="Times New Roman" w:cs="Times New Roman" w:eastAsia="Times New Roman" w:hAnsi="Times New Roman"/>
          <w:sz w:val="18"/>
          <w:szCs w:val="18"/>
          <w:i w:val="1"/>
          <w:iCs w:val="1"/>
          <w:color w:val="auto"/>
        </w:rPr>
        <w:t>The Family of Fresh™</w:t>
      </w:r>
      <w:r>
        <w:rPr>
          <w:rFonts w:ascii="Times New Roman" w:cs="Times New Roman" w:eastAsia="Times New Roman" w:hAnsi="Times New Roman"/>
          <w:sz w:val="18"/>
          <w:szCs w:val="18"/>
          <w:color w:val="auto"/>
        </w:rPr>
        <w:t xml:space="preserve"> at calavo.com.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 Risks and uncertainties that may cause our actual results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5</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11</w:t>
      </w:r>
    </w:p>
    <w:p>
      <w:pPr>
        <w:spacing w:after="0" w:line="31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be materially different from any future results expressed or implied by the forward-looking statements include, but are not limited to, the following: the ability of our management team to work together successfully; the impact of operational and restructuring initiatives on our business, results of operations, and financial condition, including uncertainty as to whether the desired effects will be achieved; the impact of weather on market prices and operational costs;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investigations, legal claims and tax disputes, including an assessment imposed by the Mexican Tax Administrative Service (the “SAT”) and our defenses against collection activities commenced by the SAT; the impact of other pending and potential internal and external investigations and legal claims; the ability of the parties to reach a binding agreement for the proposed sale of our Fresh Cut business and certain related real property, the potential that the price, structure, form of consideration (for example, cash, promissory, equity) and other material terms may be materially different than currently expected, the continuing financial and operating performance of the Fresh Cut business during the negotiation process; the possible effect of the announcement of the sale of the Fresh Cut business on our customer, vendor and supplier relationships, operating results and business generally; and if the Company enters into a binding agreement for the proposed transaction, the occurrence of any event, change or other circumstance that prevents the completion of the sale of the proposed transaction, including the failure to satisfy all closing conditions that are included in such binding agreement.</w:t>
      </w:r>
    </w:p>
    <w:p>
      <w:pPr>
        <w:spacing w:after="0" w:line="20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 a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Julie Kegley, Senior Vice President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Profiles, Inc.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calavo@finprofiles.com</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310-622-8246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6</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11</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760" w:type="dxa"/>
            <w:vAlign w:val="bottom"/>
            <w:tcBorders>
              <w:bottom w:val="single" w:sz="8" w:color="auto"/>
            </w:tcBorders>
          </w:tcPr>
          <w:p>
            <w:pPr>
              <w:spacing w:after="0"/>
              <w:rPr>
                <w:sz w:val="16"/>
                <w:szCs w:val="16"/>
                <w:color w:val="auto"/>
              </w:rPr>
            </w:pPr>
          </w:p>
        </w:tc>
      </w:tr>
      <w:tr>
        <w:trPr>
          <w:trHeight w:val="188"/>
        </w:trPr>
        <w:tc>
          <w:tcPr>
            <w:tcW w:w="75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3"/>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2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of $5,245 (2023) and $4,199 (2022)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59,016</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38,830</w:t>
            </w:r>
          </w:p>
        </w:tc>
      </w:tr>
      <w:tr>
        <w:trPr>
          <w:trHeight w:val="22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w:t>
            </w: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Advances to suppliers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receivable</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r>
      <w:tr>
        <w:trPr>
          <w:trHeight w:val="223"/>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133,370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125,674</w:t>
            </w:r>
          </w:p>
        </w:tc>
      </w:tr>
      <w:tr>
        <w:trPr>
          <w:trHeight w:val="23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113,310</w:t>
            </w: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54,518</w:t>
            </w:r>
          </w:p>
        </w:tc>
      </w:tr>
      <w:tr>
        <w:trPr>
          <w:trHeight w:val="22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r>
      <w:tr>
        <w:trPr>
          <w:trHeight w:val="22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28,653</w:t>
            </w: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w:t>
            </w:r>
          </w:p>
        </w:tc>
      </w:tr>
      <w:tr>
        <w:trPr>
          <w:trHeight w:val="22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52,459</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47,170</w:t>
            </w:r>
          </w:p>
        </w:tc>
      </w:tr>
      <w:tr>
        <w:trPr>
          <w:trHeight w:val="263"/>
        </w:trPr>
        <w:tc>
          <w:tcPr>
            <w:tcW w:w="75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386,854</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385,746</w:t>
            </w:r>
          </w:p>
        </w:tc>
      </w:tr>
      <w:tr>
        <w:trPr>
          <w:trHeight w:val="210"/>
        </w:trPr>
        <w:tc>
          <w:tcPr>
            <w:tcW w:w="7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Payable to growers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20,223</w:t>
            </w: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10,436</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51,795</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term loan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obligations and finance leases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23"/>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101,953</w:t>
            </w:r>
          </w:p>
        </w:tc>
      </w:tr>
      <w:tr>
        <w:trPr>
          <w:trHeight w:val="23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pursuant to line of credit, long-term</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portion of term loan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portion of operating leases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52,140</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portion of obligations and finance leases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r>
      <w:tr>
        <w:trPr>
          <w:trHeight w:val="223"/>
        </w:trPr>
        <w:tc>
          <w:tcPr>
            <w:tcW w:w="7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60,422</w:t>
            </w:r>
          </w:p>
        </w:tc>
      </w:tr>
      <w:tr>
        <w:trPr>
          <w:trHeight w:val="22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1"/>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($0.001 par value, 100,000 shares authorized; 17,761 (2023) and 17,732 (2022)</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48"/>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176,481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171,223</w:t>
            </w:r>
          </w:p>
        </w:tc>
      </w:tr>
      <w:tr>
        <w:trPr>
          <w:trHeight w:val="229"/>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30"/>
        </w:trPr>
        <w:tc>
          <w:tcPr>
            <w:tcW w:w="7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32,338</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51,115</w:t>
            </w:r>
          </w:p>
        </w:tc>
      </w:tr>
      <w:tr>
        <w:trPr>
          <w:trHeight w:val="223"/>
        </w:trPr>
        <w:tc>
          <w:tcPr>
            <w:tcW w:w="7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210,229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223,371</w:t>
            </w:r>
          </w:p>
        </w:tc>
      </w:tr>
      <w:tr>
        <w:trPr>
          <w:trHeight w:val="223"/>
        </w:trPr>
        <w:tc>
          <w:tcPr>
            <w:tcW w:w="756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386,854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385,746</w:t>
            </w: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973"/>
        </w:trPr>
        <w:tc>
          <w:tcPr>
            <w:tcW w:w="7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59"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7</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11</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7"/>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8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5"/>
          </w:tcPr>
          <w:p>
            <w:pPr>
              <w:jc w:val="center"/>
              <w:ind w:left="352"/>
              <w:spacing w:after="0"/>
              <w:rPr>
                <w:sz w:val="20"/>
                <w:szCs w:val="20"/>
                <w:color w:val="auto"/>
              </w:rPr>
            </w:pPr>
            <w:r>
              <w:rPr>
                <w:rFonts w:ascii="Times New Roman" w:cs="Times New Roman" w:eastAsia="Times New Roman" w:hAnsi="Times New Roman"/>
                <w:sz w:val="14"/>
                <w:szCs w:val="14"/>
                <w:b w:val="1"/>
                <w:bCs w:val="1"/>
                <w:color w:val="auto"/>
                <w:w w:val="99"/>
              </w:rPr>
              <w:t>October 31,</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6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241,180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243,571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971,948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1,191,073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225,718</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223,210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901,992</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1,117,228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related to Mexican tax matters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Impairment and charges related to Florida facility closure</w:t>
            </w:r>
          </w:p>
        </w:tc>
        <w:tc>
          <w:tcPr>
            <w:tcW w:w="2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(414)</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Unrealized net income (loss) on Limoneira shares</w:t>
            </w:r>
          </w:p>
        </w:tc>
        <w:tc>
          <w:tcPr>
            <w:tcW w:w="2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(2,802)</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 and loss from unconsolidated entities</w:t>
            </w: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(3,614)</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unconsolidated entities</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Net loss (income) attributable to noncontrolling interest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1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8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Borders>
              <w:bottom w:val="single" w:sz="8" w:color="CCEEFF"/>
            </w:tcBorders>
            <w:vMerge w:val="continue"/>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6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17,664</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17,664</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2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59"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8</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11</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 SALES AND GROSS PROFIT BY BUSINESS SEGMENT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Grown</w:t>
            </w: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Elims.</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70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October 31, 2023</w:t>
            </w: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115,902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(462)</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(462)</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225,718</w:t>
            </w:r>
          </w:p>
        </w:tc>
        <w:tc>
          <w:tcPr>
            <w:tcW w:w="0" w:type="dxa"/>
            <w:vAlign w:val="bottom"/>
          </w:tcPr>
          <w:p>
            <w:pPr>
              <w:spacing w:after="0"/>
              <w:rPr>
                <w:sz w:val="1"/>
                <w:szCs w:val="1"/>
                <w:color w:val="auto"/>
              </w:rPr>
            </w:pPr>
          </w:p>
        </w:tc>
      </w:tr>
      <w:tr>
        <w:trPr>
          <w:trHeight w:val="26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2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October 31, 2022</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119,098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124,979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(506)</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110,527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Grown</w:t>
            </w: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Prepared</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Elims.</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70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(All amounts are presented in thousands)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October 31, 2023</w:t>
            </w: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529,025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444,552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(1,629)</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971,948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476,862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426,759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(1,629)</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901,992</w:t>
            </w:r>
          </w:p>
        </w:tc>
        <w:tc>
          <w:tcPr>
            <w:tcW w:w="0" w:type="dxa"/>
            <w:vAlign w:val="bottom"/>
          </w:tcPr>
          <w:p>
            <w:pPr>
              <w:spacing w:after="0"/>
              <w:rPr>
                <w:sz w:val="1"/>
                <w:szCs w:val="1"/>
                <w:color w:val="auto"/>
              </w:rPr>
            </w:pPr>
          </w:p>
        </w:tc>
      </w:tr>
      <w:tr>
        <w:trPr>
          <w:trHeight w:val="26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52,163</w:t>
            </w:r>
          </w:p>
        </w:tc>
        <w:tc>
          <w:tcPr>
            <w:tcW w:w="2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October 31, 2022</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700,270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492,868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(2,065)</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1,191,073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650,105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(2,065)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1,117,228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October 31, 2023 and 2022, intersegment sales and cost of sales of $0.5 million between Grown products and Prepared products were eliminated. For the year ended October 31, 2023 and 2022, intersegment sales and cost of sales of $1.6 million and $2.1 million between Grown products and Prepared products were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466090</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9</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11</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 (LOSS) AND ADJUSTED NET INCOME (LOSS) PER DILUTED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presents adjusted net income (loss) and adjusted net income (loss) per diluted share, each a non-GAAP measure, and reconciles them to net income (loss) attributable to Calavo Growers, Inc., and Diluted EPS, which are the most directly comparable GAAP measures. See “Non-GAAP Financial Measures” earlier in this release.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34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losses (income) recognized from unconsolidated entities (a)</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FreshRealm and other related expenses (b)</w:t>
            </w: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on Limoneira shares (c)</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 expense add back (d)</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Restructure costs - consulting, management recruiting and severance (e)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related to Mexican tax matters (f)</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and charges related to property, plant and equipment (g)</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settlement and related expenses (h)</w:t>
            </w: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 of adjustments (i)</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(697)</w:t>
            </w:r>
          </w:p>
        </w:tc>
        <w:tc>
          <w:tcPr>
            <w:tcW w:w="3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(2,716)</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0" w:type="dxa"/>
            <w:vAlign w:val="bottom"/>
          </w:tcPr>
          <w:p>
            <w:pPr>
              <w:spacing w:after="0"/>
              <w:rPr>
                <w:sz w:val="1"/>
                <w:szCs w:val="1"/>
                <w:color w:val="auto"/>
              </w:rPr>
            </w:pPr>
          </w:p>
        </w:tc>
      </w:tr>
      <w:tr>
        <w:trPr>
          <w:trHeight w:val="263"/>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net income (loss) attributed to Calavo Growers, Inc.</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Calavo Growers, Inc.’s net income (loss) per share:</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 (GAAP)</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(0.47)</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Adjusted net income (loss) per diluted share</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gridSpan w:val="3"/>
            <w:vMerge w:val="continue"/>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vMerge w:val="continue"/>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vMerge w:val="continue"/>
          </w:tcPr>
          <w:p>
            <w:pPr>
              <w:spacing w:after="0"/>
              <w:rPr>
                <w:sz w:val="21"/>
                <w:szCs w:val="21"/>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 used in per share computation:</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17,664</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60" w:right="120" w:hanging="330"/>
        <w:spacing w:after="0" w:line="266"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October 31, 2023 and 2022, we realized losses of $0.5 million and income of $0.2 million from Agricola Don Memo. For the year ended October 31, 2023 and 2022, we realized losses of $0.9 million and losses of $0.6 million from Agricola Don Memo.</w:t>
      </w:r>
    </w:p>
    <w:p>
      <w:pPr>
        <w:spacing w:after="0" w:line="175" w:lineRule="exact"/>
        <w:rPr>
          <w:rFonts w:ascii="Times New Roman" w:cs="Times New Roman" w:eastAsia="Times New Roman" w:hAnsi="Times New Roman"/>
          <w:sz w:val="18"/>
          <w:szCs w:val="18"/>
          <w:color w:val="auto"/>
        </w:rPr>
      </w:pPr>
    </w:p>
    <w:p>
      <w:pPr>
        <w:ind w:left="460" w:right="640" w:hanging="330"/>
        <w:spacing w:after="0" w:line="312" w:lineRule="auto"/>
        <w:tabs>
          <w:tab w:leader="none" w:pos="4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year ended October 31, 2022, we recognized a return to provision discrete tax expense of $0.6 million due to the finalization of the tax treatment of the loss related to the previously recorded impairment of the investment in FreshRealm.</w:t>
      </w:r>
    </w:p>
    <w:p>
      <w:pPr>
        <w:spacing w:after="0" w:line="139" w:lineRule="exact"/>
        <w:rPr>
          <w:rFonts w:ascii="Times New Roman" w:cs="Times New Roman" w:eastAsia="Times New Roman" w:hAnsi="Times New Roman"/>
          <w:sz w:val="17"/>
          <w:szCs w:val="17"/>
          <w:color w:val="auto"/>
        </w:rPr>
      </w:pPr>
    </w:p>
    <w:p>
      <w:pPr>
        <w:ind w:left="460" w:right="60" w:hanging="330"/>
        <w:spacing w:after="0" w:line="28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twelve months ended October 31, 2022, we recorded $3.1 million and $8.9 million in unrealized losses related to these mark-to-market adjustments.</w:t>
      </w:r>
    </w:p>
    <w:p>
      <w:pPr>
        <w:spacing w:after="0" w:line="161" w:lineRule="exact"/>
        <w:rPr>
          <w:rFonts w:ascii="Times New Roman" w:cs="Times New Roman" w:eastAsia="Times New Roman" w:hAnsi="Times New Roman"/>
          <w:sz w:val="18"/>
          <w:szCs w:val="18"/>
          <w:color w:val="auto"/>
        </w:rPr>
      </w:pPr>
    </w:p>
    <w:p>
      <w:pPr>
        <w:ind w:left="460" w:right="620" w:hanging="330"/>
        <w:spacing w:after="0" w:line="28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October 31, 2023 and 2022, we incurred $0.1 million related to rent paid for Prepared’s former corporate office space that we have vacated and plan to sublease. For the year ended October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9"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10</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11</w:t>
      </w:r>
    </w:p>
    <w:p>
      <w:pPr>
        <w:spacing w:after="0" w:line="315" w:lineRule="exact"/>
        <w:rPr>
          <w:sz w:val="20"/>
          <w:szCs w:val="20"/>
          <w:color w:val="auto"/>
        </w:rPr>
      </w:pPr>
    </w:p>
    <w:p>
      <w:pPr>
        <w:ind w:left="500" w:right="620"/>
        <w:spacing w:after="0" w:line="282" w:lineRule="auto"/>
        <w:rPr>
          <w:sz w:val="20"/>
          <w:szCs w:val="20"/>
          <w:color w:val="auto"/>
        </w:rPr>
      </w:pPr>
      <w:r>
        <w:rPr>
          <w:rFonts w:ascii="Times New Roman" w:cs="Times New Roman" w:eastAsia="Times New Roman" w:hAnsi="Times New Roman"/>
          <w:sz w:val="18"/>
          <w:szCs w:val="18"/>
          <w:color w:val="auto"/>
        </w:rPr>
        <w:t>we incurred $0.4 million related to rent paid for Prepared’s former corporate office space that we have vacated and plan to sublease.</w:t>
      </w:r>
    </w:p>
    <w:p>
      <w:pPr>
        <w:spacing w:after="0" w:line="162" w:lineRule="exact"/>
        <w:rPr>
          <w:sz w:val="20"/>
          <w:szCs w:val="20"/>
          <w:color w:val="auto"/>
        </w:rPr>
      </w:pPr>
    </w:p>
    <w:p>
      <w:pPr>
        <w:ind w:left="460" w:right="140" w:hanging="330"/>
        <w:spacing w:after="0" w:line="253"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twelve months ended October 31, 2023, we recorded $0.3 million and $2.9 million in severance costs as part of U.S. restructuring efforts. For the twelve months ended October 31, 2023, we recorded $1.6 million of stock-based compensation related to senior management transitions, which does not impact the underlying cost structure of the Company. Additionally, we incurred $0.5 million related to the divesture of Salsa Lisa. For the year ended October 31, 2022, we recorded $2.8 million of consulting expenses related to an enterprise-wide strategic business operations study conducted by a third-party management consulting organization for the purpose of restructuring to improve the profitability of the organization and efficiency of our operations. In addition, for the three and twelve months ended October 31, 2022, we recorded $0.1 million and $1.4 million of severance accrual related to the Project Uno restructuring. For the three months and twelve months ended October 31, 2022, we incurred $0.3 million and $0.7 million related to management recruiting and severance costs in connection with the restructuring initiative.</w:t>
      </w:r>
    </w:p>
    <w:p>
      <w:pPr>
        <w:spacing w:after="0" w:line="194" w:lineRule="exact"/>
        <w:rPr>
          <w:rFonts w:ascii="Times New Roman" w:cs="Times New Roman" w:eastAsia="Times New Roman" w:hAnsi="Times New Roman"/>
          <w:sz w:val="18"/>
          <w:szCs w:val="18"/>
          <w:color w:val="auto"/>
        </w:rPr>
      </w:pPr>
    </w:p>
    <w:p>
      <w:pPr>
        <w:jc w:val="both"/>
        <w:ind w:left="460" w:right="200" w:hanging="330"/>
        <w:spacing w:after="0" w:line="261"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October 31, 2023 and 2022, we incurred $0.8 million and $0.3 million of professional fees related to the Mexican tax matters. For the twelve months ended October 31, 2023 and 2022, we incurred $2.4 million and $1.4 million of professional fees related to the Mexican tax matters. For the three and twelve months ended October 31, 2023, we recognized a reserve of $1.1 million and $2.5 million related to the collectability of IVA receivables.</w:t>
      </w:r>
    </w:p>
    <w:p>
      <w:pPr>
        <w:spacing w:after="0" w:line="179" w:lineRule="exact"/>
        <w:rPr>
          <w:rFonts w:ascii="Times New Roman" w:cs="Times New Roman" w:eastAsia="Times New Roman" w:hAnsi="Times New Roman"/>
          <w:sz w:val="18"/>
          <w:szCs w:val="18"/>
          <w:color w:val="auto"/>
        </w:rPr>
      </w:pPr>
    </w:p>
    <w:p>
      <w:pPr>
        <w:ind w:left="460" w:right="300" w:hanging="330"/>
        <w:spacing w:after="0" w:line="258"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 2023, we completed the divesture of our salsa business in our Prepared segment and incurred $0.2 million in losses related to the disposal of property, plant and equipment. On October 18, 2021, we announced the closure of Prepared’s food processing operations at our Green Cove Springs (near Jacksonville), Florida facility, as part of our Project Uno profit improvement program. As of November 15, 2021, the Green Cove facility for our Prepared segment ceased operations. We incurred $0.9 million of expenses for the year ended October 31, 2022, related to the closure of this facility.</w:t>
      </w:r>
    </w:p>
    <w:p>
      <w:pPr>
        <w:spacing w:after="0" w:line="183" w:lineRule="exact"/>
        <w:rPr>
          <w:rFonts w:ascii="Times New Roman" w:cs="Times New Roman" w:eastAsia="Times New Roman" w:hAnsi="Times New Roman"/>
          <w:sz w:val="18"/>
          <w:szCs w:val="18"/>
          <w:color w:val="auto"/>
        </w:rPr>
      </w:pPr>
    </w:p>
    <w:p>
      <w:pPr>
        <w:ind w:left="460" w:hanging="330"/>
        <w:spacing w:after="0" w:line="261"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October 31, 2023, we accrued $0.6 million in a legal settlement from a dispute from over 5 years ago connected to an old unused distribution agreement that was entered into over a decade ago. This legal settlement was considered out of the ordinary, due to the length it took to settle and since we have not done business with this party for many years. There are no other similar matters outstanding. In addition, we incurred $0.1 million in associated legal fees.</w:t>
      </w:r>
    </w:p>
    <w:p>
      <w:pPr>
        <w:spacing w:after="0" w:line="179" w:lineRule="exact"/>
        <w:rPr>
          <w:rFonts w:ascii="Times New Roman" w:cs="Times New Roman" w:eastAsia="Times New Roman" w:hAnsi="Times New Roman"/>
          <w:sz w:val="18"/>
          <w:szCs w:val="18"/>
          <w:color w:val="auto"/>
        </w:rPr>
      </w:pPr>
    </w:p>
    <w:p>
      <w:pPr>
        <w:ind w:left="460" w:hanging="330"/>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impact of non-GAAP adjustments are based on effective year-to-date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59" w:right="10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Calavo Growers,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Page </w:t>
      </w:r>
      <w:r>
        <w:rPr>
          <w:rFonts w:ascii="Times New Roman" w:cs="Times New Roman" w:eastAsia="Times New Roman" w:hAnsi="Times New Roman"/>
          <w:sz w:val="18"/>
          <w:szCs w:val="18"/>
          <w:b w:val="1"/>
          <w:bCs w:val="1"/>
          <w:i w:val="1"/>
          <w:iCs w:val="1"/>
          <w:color w:val="auto"/>
        </w:rPr>
        <w:t>11</w:t>
      </w:r>
      <w:r>
        <w:rPr>
          <w:rFonts w:ascii="Times New Roman" w:cs="Times New Roman" w:eastAsia="Times New Roman" w:hAnsi="Times New Roman"/>
          <w:sz w:val="18"/>
          <w:szCs w:val="18"/>
          <w:i w:val="1"/>
          <w:iCs w:val="1"/>
          <w:color w:val="auto"/>
        </w:rPr>
        <w:t xml:space="preserve"> of </w:t>
      </w:r>
      <w:r>
        <w:rPr>
          <w:rFonts w:ascii="Times New Roman" w:cs="Times New Roman" w:eastAsia="Times New Roman" w:hAnsi="Times New Roman"/>
          <w:sz w:val="18"/>
          <w:szCs w:val="18"/>
          <w:b w:val="1"/>
          <w:bCs w:val="1"/>
          <w:i w:val="1"/>
          <w:iCs w:val="1"/>
          <w:color w:val="auto"/>
        </w:rPr>
        <w:t>11</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EBITDA AND ADJUSTED EBITDA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7"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following table presents EBITDA and adjusted EBITDA, each a non-GAAP measure, and reconciles them to net income (loss) attributable to Calavo Growers, Inc., which is the most directly comparable GAAP measure. See “Non-GAAP Financial Measures” earlier in this release.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3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Calavo Growers, Inc.</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(605)</w:t>
            </w: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4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losses (income) recognized from unconsolidated entities (a)</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on Limoneira shares (c)</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 expense add back (d)</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Restructure costs - consulting and management recruiting and severance (e)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related to Mexican tax matters (f)</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and charges related to property, plant and equipment (g)</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settlement and related expenses (h)</w:t>
            </w: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prior page for footnote 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65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2024-01-31T15:38:04Z</dcterms:created>
  <dcterms:modified xsi:type="dcterms:W3CDTF">2024-01-31T15:38:04Z</dcterms:modified>
</cp:coreProperties>
</file>