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581"/>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24"/>
                <w:szCs w:val="24"/>
                <w:color w:val="auto"/>
              </w:rPr>
            </w:pPr>
          </w:p>
        </w:tc>
      </w:tr>
      <w:tr>
        <w:trPr>
          <w:trHeight w:val="417"/>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2, 2020, James E. Gibson, age 57, was appointed to serve as Chief Executive Officer of Calavo Growers, Inc. (Calavo), with such service to commence on February 1, 2020. Mr. Gibson has served as President of Calavo’s Renaissance Food Group (RFG) division since October 26, 2017 and previously served as Chief Operating Officer and a founder member of RFG since 2003. As previously reported by Calavo in a Current Report on Form 8-K filed with the Securities and Exchange Commission on October 28, 2019, Calavo’s current Chief Executive Officer, Lecil E. Cole, has announced his intention to retire as Calavo’s Chief Executive Officer and President upon the appointment of a successor Chief Executive Officer.</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Gibson will receive an initial annual base salary of $1,000,000. Mr. Gibson will also be eligible to participate in other compensation and benefit programs that are available to Calavo’s executive officers, including Calavo’s management incentive plan for executive officers that currently provides executive officers with annual cash and restricted stock awards in amounts that are based on the satisfaction of specified performance criteria.</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Calavo and Mr. Gibson have also agreed that Mr. Gibson will receive annual equity awards with vesting to be based upon the satisfaction of performance criteria to be mutually agreed upon. The form of such awards (for example, stock options or stock grants) and the amounts of such awards have not yet been agreed upon. Mr. Gibson will also receive a lump sum payment of up to $200,000 to reimburse him for expenses incurred in connection with his relocation to Ventura County, California.</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previous owners of RFG, one of whom is Mr. Gibson, have a majority ownership interest in certain entities that provide various services to RFG, specifically LIG Partners, LLC and THNC, LLC. One of RFG’s California operating entities leases a building from LIG Partners, LLC (LIG) pursuant to an operating lease. This lease with LIG was renewed in April 2019, through May 2026. RFG’s Texas operating entity leases a building from THNC, LLC (THNC) pursuant to an operating lease. In the first quarter of fiscal 2020, these facilities have been sold to a third party and Calavo’s lease has transferred to the new owners. See the following tables for the related party activity for fiscal years 2019 and 2018:</w:t>
      </w:r>
    </w:p>
    <w:p>
      <w:pPr>
        <w:spacing w:after="0" w:line="16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4160" w:type="dxa"/>
            <w:vAlign w:val="bottom"/>
            <w:gridSpan w:val="3"/>
            <w:vMerge w:val="continue"/>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2019</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244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579</w:t>
            </w:r>
          </w:p>
        </w:tc>
        <w:tc>
          <w:tcPr>
            <w:tcW w:w="70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2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795</w:t>
            </w:r>
          </w:p>
        </w:tc>
        <w:tc>
          <w:tcPr>
            <w:tcW w:w="7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819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Gibson has a $532,000 investment in FreshRealm, LLC as of October 31, 2018 and October 31, 2019.</w:t>
      </w:r>
    </w:p>
    <w:p>
      <w:pPr>
        <w:spacing w:after="0" w:line="1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 2020</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5715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Lecil E. Cole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2020-01-02T11:19:30Z</dcterms:created>
  <dcterms:modified xsi:type="dcterms:W3CDTF">2020-01-02T11:19:30Z</dcterms:modified>
</cp:coreProperties>
</file>