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12" w:space="1" w:color="000000"/>
        </w:pBdr>
        <w:spacing w:lineRule="atLeast" w:line="141" w:before="0" w:after="40"/>
        <w:jc w:val="left"/>
        <w:rPr/>
      </w:pPr>
      <w:bookmarkStart w:id="0" w:name="d676476d8k.htm"/>
      <w:bookmarkStart w:id="1" w:name="ksd676476d8k"/>
      <w:bookmarkEnd w:id="0"/>
      <w:bookmarkEnd w:id="1"/>
      <w:r>
        <w:rPr/>
        <w:t> </w:t>
      </w:r>
    </w:p>
    <w:p>
      <w:pPr>
        <w:pStyle w:val="TextBody"/>
        <w:spacing w:before="240" w:after="0"/>
        <w:jc w:val="center"/>
        <w:rPr>
          <w:rFonts w:ascii="Times New Roman" w:hAnsi="Times New Roman"/>
          <w:sz w:val="17"/>
        </w:rPr>
      </w:pPr>
      <w:r>
        <w:rPr>
          <w:rFonts w:ascii="Times New Roman" w:hAnsi="Times New Roman"/>
          <w:sz w:val="17"/>
        </w:rPr>
        <w:t xml:space="preserve">UNITED STATES </w:t>
      </w:r>
    </w:p>
    <w:p>
      <w:pPr>
        <w:pStyle w:val="TextBody"/>
        <w:spacing w:before="0" w:after="0"/>
        <w:jc w:val="center"/>
        <w:rPr>
          <w:rFonts w:ascii="Times New Roman" w:hAnsi="Times New Roman"/>
          <w:sz w:val="17"/>
        </w:rPr>
      </w:pPr>
      <w:r>
        <w:rPr>
          <w:rFonts w:ascii="Times New Roman" w:hAnsi="Times New Roman"/>
          <w:sz w:val="17"/>
        </w:rPr>
        <w:t xml:space="preserve">SECURITIES AND EXCHANGE COMMISSION </w:t>
      </w:r>
    </w:p>
    <w:p>
      <w:pPr>
        <w:pStyle w:val="TextBody"/>
        <w:spacing w:before="0" w:after="0"/>
        <w:jc w:val="center"/>
        <w:rPr>
          <w:rFonts w:ascii="Times New Roman" w:hAnsi="Times New Roman"/>
          <w:sz w:val="17"/>
        </w:rPr>
      </w:pPr>
      <w:r>
        <w:rPr>
          <w:rFonts w:ascii="Times New Roman" w:hAnsi="Times New Roman"/>
          <w:sz w:val="17"/>
        </w:rPr>
        <w:t xml:space="preserve">WASHINGTON, D.C. 20549 </w:t>
      </w:r>
    </w:p>
    <w:p>
      <w:pPr>
        <w:pStyle w:val="TextBody"/>
        <w:spacing w:before="240" w:after="0"/>
        <w:jc w:val="center"/>
        <w:rPr>
          <w:rFonts w:ascii="Times New Roman" w:hAnsi="Times New Roman"/>
          <w:b/>
          <w:sz w:val="23"/>
        </w:rPr>
      </w:pPr>
      <w:r>
        <w:rPr>
          <w:rFonts w:ascii="Times New Roman" w:hAnsi="Times New Roman"/>
          <w:b/>
          <w:sz w:val="23"/>
        </w:rPr>
        <w:t xml:space="preserve">FORM 8-K </w:t>
      </w:r>
    </w:p>
    <w:p>
      <w:pPr>
        <w:pStyle w:val="TextBody"/>
        <w:spacing w:before="240" w:after="0"/>
        <w:jc w:val="center"/>
        <w:rPr>
          <w:rFonts w:ascii="Times New Roman" w:hAnsi="Times New Roman"/>
          <w:sz w:val="17"/>
        </w:rPr>
      </w:pPr>
      <w:r>
        <w:rPr>
          <w:rFonts w:ascii="Times New Roman" w:hAnsi="Times New Roman"/>
          <w:sz w:val="17"/>
        </w:rPr>
        <w:t xml:space="preserve">CURRENT REPORT PURSUANT </w:t>
      </w:r>
    </w:p>
    <w:p>
      <w:pPr>
        <w:pStyle w:val="TextBody"/>
        <w:spacing w:before="0" w:after="0"/>
        <w:jc w:val="center"/>
        <w:rPr>
          <w:rFonts w:ascii="Times New Roman" w:hAnsi="Times New Roman"/>
          <w:sz w:val="17"/>
        </w:rPr>
      </w:pPr>
      <w:r>
        <w:rPr>
          <w:rFonts w:ascii="Times New Roman" w:hAnsi="Times New Roman"/>
          <w:sz w:val="17"/>
        </w:rPr>
        <w:t xml:space="preserve">TO SECTION 13 OR 15(d) OF THE </w:t>
      </w:r>
    </w:p>
    <w:p>
      <w:pPr>
        <w:pStyle w:val="TextBody"/>
        <w:spacing w:before="0" w:after="0"/>
        <w:jc w:val="center"/>
        <w:rPr>
          <w:rFonts w:ascii="Times New Roman" w:hAnsi="Times New Roman"/>
          <w:sz w:val="17"/>
        </w:rPr>
      </w:pPr>
      <w:r>
        <w:rPr>
          <w:rFonts w:ascii="Times New Roman" w:hAnsi="Times New Roman"/>
          <w:sz w:val="17"/>
        </w:rPr>
        <w:t xml:space="preserve">SECURITIES EXCHANGE ACT OF 1934 </w:t>
      </w:r>
    </w:p>
    <w:p>
      <w:pPr>
        <w:pStyle w:val="TextBody"/>
        <w:spacing w:before="240" w:after="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December</w:t>
      </w:r>
      <w:r>
        <w:rPr>
          <w:rFonts w:ascii="Times New Roman" w:hAnsi="Times New Roman"/>
          <w:sz w:val="17"/>
        </w:rPr>
        <w:t> </w:t>
      </w:r>
      <w:r>
        <w:rPr>
          <w:rFonts w:ascii="Times New Roman" w:hAnsi="Times New Roman"/>
          <w:b/>
          <w:sz w:val="17"/>
        </w:rPr>
        <w:t>20, 2018</w:t>
      </w:r>
      <w:r>
        <w:rPr>
          <w:rFonts w:ascii="Times New Roman" w:hAnsi="Times New Roman"/>
          <w:sz w:val="17"/>
        </w:rPr>
        <w:t xml:space="preserve"> </w:t>
      </w:r>
    </w:p>
    <w:p>
      <w:pPr>
        <w:pStyle w:val="TextBody"/>
        <w:spacing w:before="240" w:after="0"/>
        <w:jc w:val="center"/>
        <w:rPr>
          <w:rFonts w:ascii="Times New Roman" w:hAnsi="Times New Roman"/>
          <w:b/>
          <w:sz w:val="27"/>
        </w:rPr>
      </w:pPr>
      <w:r>
        <w:rPr>
          <w:rFonts w:ascii="Times New Roman" w:hAnsi="Times New Roman"/>
          <w:b/>
          <w:sz w:val="27"/>
        </w:rPr>
        <w:t xml:space="preserve">CALAVO GROWERS, INC. </w:t>
      </w:r>
    </w:p>
    <w:p>
      <w:pPr>
        <w:pStyle w:val="TextBody"/>
        <w:spacing w:before="0" w:after="0"/>
        <w:jc w:val="center"/>
        <w:rPr>
          <w:rFonts w:ascii="Times New Roman" w:hAnsi="Times New Roman"/>
          <w:sz w:val="17"/>
        </w:rPr>
      </w:pPr>
      <w:r>
        <w:rPr>
          <w:rFonts w:ascii="Times New Roman" w:hAnsi="Times New Roman"/>
          <w:sz w:val="17"/>
        </w:rPr>
        <w:t xml:space="preserve">(Exact Name of Registrant as Specified in Charter) </w:t>
      </w:r>
    </w:p>
    <w:p>
      <w:pPr>
        <w:pStyle w:val="TextBody"/>
        <w:spacing w:before="0" w:after="0"/>
        <w:jc w:val="left"/>
        <w:rPr/>
      </w:pPr>
      <w:r>
        <w:rPr/>
        <w:t> </w:t>
      </w:r>
    </w:p>
    <w:tbl>
      <w:tblPr>
        <w:tblW w:w="3500" w:type="pct"/>
        <w:jc w:val="center"/>
        <w:tblInd w:w="0" w:type="dxa"/>
        <w:tblCellMar>
          <w:top w:w="0" w:type="dxa"/>
          <w:left w:w="0" w:type="dxa"/>
          <w:bottom w:w="0" w:type="dxa"/>
          <w:right w:w="0" w:type="dxa"/>
        </w:tblCellMar>
      </w:tblPr>
      <w:tblGrid>
        <w:gridCol w:w="2428"/>
        <w:gridCol w:w="72"/>
        <w:gridCol w:w="2285"/>
        <w:gridCol w:w="72"/>
        <w:gridCol w:w="2286"/>
      </w:tblGrid>
      <w:tr>
        <w:trPr/>
        <w:tc>
          <w:tcPr>
            <w:tcW w:w="242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2286" w:type="dxa"/>
            <w:tcBorders/>
            <w:shd w:fill="auto" w:val="clear"/>
            <w:vAlign w:val="center"/>
          </w:tcPr>
          <w:p>
            <w:pPr>
              <w:pStyle w:val="TableContents"/>
              <w:spacing w:before="0" w:after="283"/>
              <w:rPr>
                <w:sz w:val="4"/>
                <w:szCs w:val="4"/>
              </w:rPr>
            </w:pPr>
            <w:r>
              <w:rPr>
                <w:sz w:val="4"/>
                <w:szCs w:val="4"/>
              </w:rPr>
            </w:r>
          </w:p>
        </w:tc>
      </w:tr>
      <w:tr>
        <w:trPr/>
        <w:tc>
          <w:tcPr>
            <w:tcW w:w="2428" w:type="dxa"/>
            <w:tcBorders/>
            <w:shd w:fill="auto" w:val="clear"/>
          </w:tcPr>
          <w:p>
            <w:pPr>
              <w:pStyle w:val="TableContents"/>
              <w:spacing w:before="0" w:after="283"/>
              <w:jc w:val="center"/>
              <w:rPr/>
            </w:pPr>
            <w:r>
              <w:rPr/>
              <w:t>        </w:t>
            </w:r>
            <w:r>
              <w:rPr>
                <w:b/>
              </w:rPr>
              <w:t>California        </w:t>
            </w:r>
          </w:p>
        </w:tc>
        <w:tc>
          <w:tcPr>
            <w:tcW w:w="72" w:type="dxa"/>
            <w:tcBorders/>
            <w:shd w:fill="auto" w:val="clear"/>
            <w:vAlign w:val="bottom"/>
          </w:tcPr>
          <w:p>
            <w:pPr>
              <w:pStyle w:val="TableContents"/>
              <w:spacing w:before="0" w:after="283"/>
              <w:rPr/>
            </w:pPr>
            <w:r>
              <w:rPr/>
              <w:t> </w:t>
            </w:r>
          </w:p>
        </w:tc>
        <w:tc>
          <w:tcPr>
            <w:tcW w:w="2285" w:type="dxa"/>
            <w:tcBorders/>
            <w:shd w:fill="auto" w:val="clear"/>
          </w:tcPr>
          <w:p>
            <w:pPr>
              <w:pStyle w:val="TableContents"/>
              <w:spacing w:before="0" w:after="283"/>
              <w:jc w:val="center"/>
              <w:rPr>
                <w:b/>
              </w:rPr>
            </w:pPr>
            <w:r>
              <w:rPr>
                <w:b/>
              </w:rPr>
              <w:t>000-33385</w:t>
            </w:r>
          </w:p>
        </w:tc>
        <w:tc>
          <w:tcPr>
            <w:tcW w:w="72" w:type="dxa"/>
            <w:tcBorders/>
            <w:shd w:fill="auto" w:val="clear"/>
            <w:vAlign w:val="bottom"/>
          </w:tcPr>
          <w:p>
            <w:pPr>
              <w:pStyle w:val="TableContents"/>
              <w:spacing w:before="0" w:after="283"/>
              <w:rPr/>
            </w:pPr>
            <w:r>
              <w:rPr/>
              <w:t> </w:t>
            </w:r>
          </w:p>
        </w:tc>
        <w:tc>
          <w:tcPr>
            <w:tcW w:w="2286" w:type="dxa"/>
            <w:tcBorders/>
            <w:shd w:fill="auto" w:val="clear"/>
          </w:tcPr>
          <w:p>
            <w:pPr>
              <w:pStyle w:val="TableContents"/>
              <w:spacing w:before="0" w:after="283"/>
              <w:jc w:val="center"/>
              <w:rPr>
                <w:b/>
              </w:rPr>
            </w:pPr>
            <w:r>
              <w:rPr>
                <w:b/>
              </w:rPr>
              <w:t>33-0945304</w:t>
            </w:r>
          </w:p>
        </w:tc>
      </w:tr>
      <w:tr>
        <w:trPr/>
        <w:tc>
          <w:tcPr>
            <w:tcW w:w="2428" w:type="dxa"/>
            <w:tcBorders/>
            <w:shd w:fill="auto" w:val="clea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pPr>
            <w:r>
              <w:rPr/>
              <w:t> </w:t>
            </w:r>
          </w:p>
        </w:tc>
        <w:tc>
          <w:tcPr>
            <w:tcW w:w="2285" w:type="dxa"/>
            <w:tcBorders/>
            <w:shd w:fill="auto" w:val="clea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pPr>
            <w:r>
              <w:rPr/>
              <w:t> </w:t>
            </w:r>
          </w:p>
        </w:tc>
        <w:tc>
          <w:tcPr>
            <w:tcW w:w="2286" w:type="dxa"/>
            <w:tcBorders/>
            <w:shd w:fill="auto" w:val="clear"/>
          </w:tcPr>
          <w:p>
            <w:pPr>
              <w:pStyle w:val="TableContents"/>
              <w:spacing w:before="0" w:after="283"/>
              <w:rPr>
                <w:sz w:val="4"/>
                <w:szCs w:val="4"/>
              </w:rPr>
            </w:pPr>
            <w:r>
              <w:rPr>
                <w:sz w:val="4"/>
                <w:szCs w:val="4"/>
              </w:rPr>
            </w:r>
          </w:p>
        </w:tc>
      </w:tr>
      <w:tr>
        <w:trPr/>
        <w:tc>
          <w:tcPr>
            <w:tcW w:w="2428" w:type="dxa"/>
            <w:tcBorders/>
            <w:shd w:fill="auto" w:val="clear"/>
            <w:vAlign w:val="bottom"/>
          </w:tcPr>
          <w:p>
            <w:pPr>
              <w:pStyle w:val="TableContents"/>
              <w:pBdr>
                <w:top w:val="single" w:sz="2" w:space="1" w:color="000000"/>
              </w:pBdr>
              <w:spacing w:before="0" w:after="0"/>
              <w:rPr/>
            </w:pPr>
            <w:r>
              <w:rPr/>
              <w:t> </w:t>
            </w:r>
          </w:p>
        </w:tc>
        <w:tc>
          <w:tcPr>
            <w:tcW w:w="72" w:type="dxa"/>
            <w:tcBorders/>
            <w:shd w:fill="auto" w:val="clear"/>
            <w:vAlign w:val="bottom"/>
          </w:tcPr>
          <w:p>
            <w:pPr>
              <w:pStyle w:val="TableContents"/>
              <w:spacing w:before="0" w:after="283"/>
              <w:rPr/>
            </w:pPr>
            <w:r>
              <w:rPr/>
              <w:t> </w:t>
            </w:r>
          </w:p>
        </w:tc>
        <w:tc>
          <w:tcPr>
            <w:tcW w:w="2285" w:type="dxa"/>
            <w:tcBorders/>
            <w:shd w:fill="auto" w:val="clear"/>
            <w:vAlign w:val="bottom"/>
          </w:tcPr>
          <w:p>
            <w:pPr>
              <w:pStyle w:val="TableContents"/>
              <w:pBdr>
                <w:top w:val="single" w:sz="2" w:space="1" w:color="000000"/>
              </w:pBdr>
              <w:spacing w:before="0" w:after="0"/>
              <w:rPr/>
            </w:pPr>
            <w:r>
              <w:rPr/>
              <w:t> </w:t>
            </w:r>
          </w:p>
        </w:tc>
        <w:tc>
          <w:tcPr>
            <w:tcW w:w="72" w:type="dxa"/>
            <w:tcBorders/>
            <w:shd w:fill="auto" w:val="clear"/>
            <w:vAlign w:val="bottom"/>
          </w:tcPr>
          <w:p>
            <w:pPr>
              <w:pStyle w:val="TableContents"/>
              <w:spacing w:before="0" w:after="283"/>
              <w:rPr/>
            </w:pPr>
            <w:r>
              <w:rPr/>
              <w:t> </w:t>
            </w:r>
          </w:p>
        </w:tc>
        <w:tc>
          <w:tcPr>
            <w:tcW w:w="2286" w:type="dxa"/>
            <w:tcBorders/>
            <w:shd w:fill="auto" w:val="clear"/>
            <w:vAlign w:val="bottom"/>
          </w:tcPr>
          <w:p>
            <w:pPr>
              <w:pStyle w:val="TableContents"/>
              <w:pBdr>
                <w:top w:val="single" w:sz="2" w:space="1" w:color="000000"/>
              </w:pBdr>
              <w:spacing w:before="0" w:after="0"/>
              <w:rPr/>
            </w:pPr>
            <w:r>
              <w:rPr/>
              <w:t> </w:t>
            </w:r>
          </w:p>
        </w:tc>
      </w:tr>
      <w:tr>
        <w:trPr/>
        <w:tc>
          <w:tcPr>
            <w:tcW w:w="2428" w:type="dxa"/>
            <w:tcBorders/>
            <w:shd w:fill="auto" w:val="clear"/>
          </w:tcPr>
          <w:p>
            <w:pPr>
              <w:pStyle w:val="TableContents"/>
              <w:spacing w:before="0" w:after="0"/>
              <w:rPr/>
            </w:pPr>
            <w:r>
              <w:rPr/>
              <w:t> </w:t>
            </w:r>
          </w:p>
          <w:p>
            <w:pPr>
              <w:pStyle w:val="TableContents"/>
              <w:spacing w:before="0" w:after="20"/>
              <w:jc w:val="center"/>
              <w:rPr>
                <w:rFonts w:ascii="Times New Roman" w:hAnsi="Times New Roman"/>
                <w:sz w:val="17"/>
              </w:rPr>
            </w:pPr>
            <w:r>
              <w:rPr>
                <w:rFonts w:ascii="Times New Roman" w:hAnsi="Times New Roman"/>
                <w:sz w:val="17"/>
              </w:rPr>
              <w:t>(State or Other</w:t>
              <w:br/>
              <w:t>Jurisdiction of</w:t>
              <w:br/>
              <w:t>Incorporation)</w:t>
            </w:r>
          </w:p>
        </w:tc>
        <w:tc>
          <w:tcPr>
            <w:tcW w:w="72" w:type="dxa"/>
            <w:tcBorders/>
            <w:shd w:fill="auto" w:val="clear"/>
            <w:vAlign w:val="bottom"/>
          </w:tcPr>
          <w:p>
            <w:pPr>
              <w:pStyle w:val="TableContents"/>
              <w:spacing w:before="0" w:after="283"/>
              <w:rPr/>
            </w:pPr>
            <w:r>
              <w:rPr/>
              <w:t> </w:t>
            </w:r>
          </w:p>
        </w:tc>
        <w:tc>
          <w:tcPr>
            <w:tcW w:w="2285" w:type="dxa"/>
            <w:tcBorders/>
            <w:shd w:fill="auto" w:val="clear"/>
          </w:tcPr>
          <w:p>
            <w:pPr>
              <w:pStyle w:val="TableContents"/>
              <w:spacing w:before="0" w:after="0"/>
              <w:rPr/>
            </w:pPr>
            <w:r>
              <w:rPr/>
              <w:t> </w:t>
            </w:r>
          </w:p>
          <w:p>
            <w:pPr>
              <w:pStyle w:val="TableContents"/>
              <w:spacing w:before="0" w:after="0"/>
              <w:jc w:val="center"/>
              <w:rPr>
                <w:rFonts w:ascii="Times New Roman" w:hAnsi="Times New Roman"/>
                <w:sz w:val="17"/>
              </w:rPr>
            </w:pPr>
            <w:r>
              <w:rPr>
                <w:rFonts w:ascii="Times New Roman" w:hAnsi="Times New Roman"/>
                <w:sz w:val="17"/>
              </w:rPr>
              <w:t>(Commission File</w:t>
            </w:r>
          </w:p>
          <w:p>
            <w:pPr>
              <w:pStyle w:val="TableContents"/>
              <w:spacing w:before="0" w:after="20"/>
              <w:jc w:val="center"/>
              <w:rPr>
                <w:rFonts w:ascii="Times New Roman" w:hAnsi="Times New Roman"/>
                <w:sz w:val="17"/>
              </w:rPr>
            </w:pPr>
            <w:r>
              <w:rPr>
                <w:rFonts w:ascii="Times New Roman" w:hAnsi="Times New Roman"/>
                <w:sz w:val="17"/>
              </w:rPr>
              <w:t>Number)</w:t>
            </w:r>
          </w:p>
        </w:tc>
        <w:tc>
          <w:tcPr>
            <w:tcW w:w="72" w:type="dxa"/>
            <w:tcBorders/>
            <w:shd w:fill="auto" w:val="clear"/>
            <w:vAlign w:val="bottom"/>
          </w:tcPr>
          <w:p>
            <w:pPr>
              <w:pStyle w:val="TableContents"/>
              <w:spacing w:before="0" w:after="283"/>
              <w:rPr/>
            </w:pPr>
            <w:r>
              <w:rPr/>
              <w:t> </w:t>
            </w:r>
          </w:p>
        </w:tc>
        <w:tc>
          <w:tcPr>
            <w:tcW w:w="2286" w:type="dxa"/>
            <w:tcBorders/>
            <w:shd w:fill="auto" w:val="clear"/>
          </w:tcPr>
          <w:p>
            <w:pPr>
              <w:pStyle w:val="TableContents"/>
              <w:spacing w:before="0" w:after="0"/>
              <w:rPr/>
            </w:pPr>
            <w:r>
              <w:rPr/>
              <w:t> </w:t>
            </w:r>
          </w:p>
          <w:p>
            <w:pPr>
              <w:pStyle w:val="TableContents"/>
              <w:spacing w:before="0" w:after="20"/>
              <w:jc w:val="center"/>
              <w:rPr>
                <w:rFonts w:ascii="Times New Roman" w:hAnsi="Times New Roman"/>
                <w:sz w:val="17"/>
              </w:rPr>
            </w:pPr>
            <w:r>
              <w:rPr>
                <w:rFonts w:ascii="Times New Roman" w:hAnsi="Times New Roman"/>
                <w:sz w:val="17"/>
              </w:rPr>
              <w:t>(IRS Employer</w:t>
              <w:b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1141-A Cummings Road, Santa Paula, California 93060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center"/>
        <w:rPr>
          <w:rFonts w:ascii="Times New Roman" w:hAnsi="Times New Roman"/>
          <w:sz w:val="17"/>
        </w:rPr>
      </w:pPr>
      <w:r>
        <w:rPr>
          <w:rFonts w:ascii="Times New Roman" w:hAnsi="Times New Roman"/>
          <w:sz w:val="17"/>
        </w:rPr>
        <w:t xml:space="preserve">(Address of Principal Executive Offices) (Zip Code)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center"/>
        <w:rPr>
          <w:rFonts w:ascii="Times New Roman" w:hAnsi="Times New Roman"/>
          <w:sz w:val="17"/>
        </w:rPr>
      </w:pPr>
      <w:r>
        <w:rPr>
          <w:rFonts w:ascii="Times New Roman" w:hAnsi="Times New Roman"/>
          <w:sz w:val="17"/>
        </w:rPr>
        <w:t xml:space="preserve">(Former Name or Former Address, if Changed Since Last Report) </w:t>
      </w:r>
    </w:p>
    <w:p>
      <w:pPr>
        <w:pStyle w:val="TextBody"/>
        <w:spacing w:before="240" w:after="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(805)</w:t>
      </w:r>
      <w:r>
        <w:rPr>
          <w:rFonts w:ascii="Times New Roman" w:hAnsi="Times New Roman"/>
          <w:sz w:val="17"/>
        </w:rPr>
        <w:t> </w:t>
      </w:r>
      <w:r>
        <w:rPr>
          <w:rFonts w:ascii="Times New Roman" w:hAnsi="Times New Roman"/>
          <w:b/>
          <w:sz w:val="17"/>
        </w:rPr>
        <w:t xml:space="preserve">525-1245 </w:t>
      </w:r>
    </w:p>
    <w:p>
      <w:pPr>
        <w:pStyle w:val="TextBody"/>
        <w:spacing w:before="240" w:after="0"/>
        <w:jc w:val="left"/>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9"/>
        <w:gridCol w:w="9758"/>
      </w:tblGrid>
      <w:tr>
        <w:trPr/>
        <w:tc>
          <w:tcPr>
            <w:tcW w:w="208"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w:t>
            </w:r>
          </w:p>
        </w:tc>
        <w:tc>
          <w:tcPr>
            <w:tcW w:w="975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Written communications pursuant to Rule 425 under the Securities Act (17 CFR 230.425)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1"/>
        <w:gridCol w:w="246"/>
        <w:gridCol w:w="9748"/>
      </w:tblGrid>
      <w:tr>
        <w:trPr/>
        <w:tc>
          <w:tcPr>
            <w:tcW w:w="211" w:type="dxa"/>
            <w:tcBorders/>
            <w:shd w:fill="auto" w:val="clear"/>
            <w:vAlign w:val="center"/>
          </w:tcPr>
          <w:p>
            <w:pPr>
              <w:pStyle w:val="TableContents"/>
              <w:spacing w:before="0" w:after="283"/>
              <w:rPr/>
            </w:pPr>
            <w:r>
              <w:rPr/>
              <w:t> </w:t>
            </w:r>
          </w:p>
        </w:tc>
        <w:tc>
          <w:tcPr>
            <w:tcW w:w="246" w:type="dxa"/>
            <w:tcBorders/>
            <w:shd w:fill="auto" w:val="clear"/>
          </w:tcPr>
          <w:p>
            <w:pPr>
              <w:pStyle w:val="TableContents"/>
              <w:spacing w:before="0" w:after="283"/>
              <w:jc w:val="left"/>
              <w:rPr/>
            </w:pPr>
            <w:r>
              <w:rPr/>
              <w:t>☐</w:t>
            </w:r>
          </w:p>
        </w:tc>
        <w:tc>
          <w:tcPr>
            <w:tcW w:w="974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Soliciting material pursuant to Rule 14a-12 under the Exchange Act (17 CFR 240.14a-12)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9"/>
        <w:gridCol w:w="9759"/>
      </w:tblGrid>
      <w:tr>
        <w:trPr/>
        <w:tc>
          <w:tcPr>
            <w:tcW w:w="207"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w:t>
            </w:r>
          </w:p>
        </w:tc>
        <w:tc>
          <w:tcPr>
            <w:tcW w:w="975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Pre-commencement communications pursuant to Rule 14d-2(b) under the Exchange Act (17 CFR 240.14d-2(b))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9"/>
        <w:gridCol w:w="9759"/>
      </w:tblGrid>
      <w:tr>
        <w:trPr/>
        <w:tc>
          <w:tcPr>
            <w:tcW w:w="207"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w:t>
            </w:r>
          </w:p>
        </w:tc>
        <w:tc>
          <w:tcPr>
            <w:tcW w:w="975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Pre-commencement communications pursuant to Rule 13e-4(c) under the Exchange Act (17 CFR 240.13e-4(c)) </w:t>
            </w:r>
          </w:p>
        </w:tc>
      </w:tr>
    </w:tbl>
    <w:p>
      <w:pPr>
        <w:pStyle w:val="TextBody"/>
        <w:spacing w:before="240" w:after="0"/>
        <w:jc w:val="left"/>
        <w:rPr>
          <w:rFonts w:ascii="Times New Roman" w:hAnsi="Times New Roman"/>
          <w:sz w:val="17"/>
        </w:rPr>
      </w:pPr>
      <w:r>
        <w:rPr>
          <w:rFonts w:ascii="Times New Roman" w:hAnsi="Times New Roman"/>
          <w:sz w:val="17"/>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before="240" w:after="0"/>
        <w:jc w:val="left"/>
        <w:rPr>
          <w:rFonts w:ascii="Times New Roman" w:hAnsi="Times New Roman"/>
          <w:sz w:val="17"/>
        </w:rPr>
      </w:pPr>
      <w:r>
        <w:rPr>
          <w:rFonts w:ascii="Times New Roman" w:hAnsi="Times New Roman"/>
          <w:sz w:val="17"/>
        </w:rPr>
        <w:t xml:space="preserve">Emerging growth company  ☐ </w:t>
      </w:r>
    </w:p>
    <w:p>
      <w:pPr>
        <w:pStyle w:val="TextBody"/>
        <w:spacing w:before="24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left"/>
        <w:rPr/>
      </w:pPr>
      <w:r>
        <w:rPr/>
        <w:t> </w:t>
      </w:r>
    </w:p>
    <w:p>
      <w:pPr>
        <w:pStyle w:val="TextBody"/>
        <w:pBdr>
          <w:bottom w:val="single" w:sz="1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8"/>
        </w:rPr>
      </w:pPr>
      <w:r>
        <w:rPr>
          <w:rFonts w:ascii="Times New Roman" w:hAnsi="Times New Roman"/>
          <w:b/>
          <w:sz w:val="18"/>
        </w:rPr>
        <w:t xml:space="preserve">Item 2.02 Results of Operations and Financial Condition.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5"/>
        <w:gridCol w:w="205"/>
        <w:gridCol w:w="9795"/>
      </w:tblGrid>
      <w:tr>
        <w:trPr/>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9795" w:type="dxa"/>
            <w:tcBorders/>
            <w:shd w:fill="auto" w:val="clear"/>
            <w:vAlign w:val="center"/>
          </w:tcPr>
          <w:p>
            <w:pPr>
              <w:pStyle w:val="TableContents"/>
              <w:spacing w:before="0" w:after="283"/>
              <w:rPr>
                <w:sz w:val="4"/>
                <w:szCs w:val="4"/>
              </w:rPr>
            </w:pPr>
            <w:r>
              <w:rPr>
                <w:sz w:val="4"/>
                <w:szCs w:val="4"/>
              </w:rPr>
            </w:r>
          </w:p>
        </w:tc>
      </w:tr>
      <w:tr>
        <w:trPr/>
        <w:tc>
          <w:tcPr>
            <w:tcW w:w="205" w:type="dxa"/>
            <w:tcBorders/>
            <w:shd w:fill="auto" w:val="clear"/>
          </w:tcPr>
          <w:p>
            <w:pPr>
              <w:pStyle w:val="TableContents"/>
              <w:spacing w:before="0" w:after="283"/>
              <w:rPr/>
            </w:pPr>
            <w:r>
              <w:rPr/>
              <w:t>(a)</w:t>
            </w:r>
          </w:p>
        </w:tc>
        <w:tc>
          <w:tcPr>
            <w:tcW w:w="205" w:type="dxa"/>
            <w:tcBorders/>
            <w:shd w:fill="auto" w:val="clear"/>
            <w:vAlign w:val="bottom"/>
          </w:tcPr>
          <w:p>
            <w:pPr>
              <w:pStyle w:val="TableContents"/>
              <w:spacing w:before="0" w:after="283"/>
              <w:rPr/>
            </w:pPr>
            <w:r>
              <w:rPr/>
              <w:t>  </w:t>
            </w:r>
          </w:p>
        </w:tc>
        <w:tc>
          <w:tcPr>
            <w:tcW w:w="9795" w:type="dxa"/>
            <w:tcBorders/>
            <w:shd w:fill="auto" w:val="clear"/>
          </w:tcPr>
          <w:p>
            <w:pPr>
              <w:pStyle w:val="TableContents"/>
              <w:spacing w:before="0" w:after="0"/>
              <w:rPr>
                <w:rFonts w:ascii="Times New Roman" w:hAnsi="Times New Roman"/>
                <w:sz w:val="20"/>
              </w:rPr>
            </w:pPr>
            <w:r>
              <w:rPr>
                <w:rFonts w:ascii="Times New Roman" w:hAnsi="Times New Roman"/>
                <w:sz w:val="20"/>
              </w:rPr>
              <w:t>On December 20, 2018 Calavo Growers, Inc. issued a press release containing our financial results for the three and twelve month periods ended October 31, 2018. A copy of our press release is attached hereto as Exhibit 99.1 and is incorporated by reference.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tc>
      </w:tr>
    </w:tbl>
    <w:p>
      <w:pPr>
        <w:pStyle w:val="TextBody"/>
        <w:spacing w:before="240" w:after="0"/>
        <w:jc w:val="left"/>
        <w:rPr>
          <w:rFonts w:ascii="Times New Roman" w:hAnsi="Times New Roman"/>
          <w:b/>
          <w:sz w:val="18"/>
        </w:rPr>
      </w:pPr>
      <w:r>
        <w:rPr>
          <w:rFonts w:ascii="Times New Roman" w:hAnsi="Times New Roman"/>
          <w:b/>
          <w:sz w:val="18"/>
        </w:rPr>
        <w:t xml:space="preserve">Item 9.01 Financial Statements and 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5"/>
        <w:gridCol w:w="1298"/>
        <w:gridCol w:w="8692"/>
      </w:tblGrid>
      <w:tr>
        <w:trPr/>
        <w:tc>
          <w:tcPr>
            <w:tcW w:w="21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bottom"/>
          </w:tcPr>
          <w:p>
            <w:pPr>
              <w:pStyle w:val="TableContents"/>
              <w:spacing w:before="0" w:after="283"/>
              <w:rPr>
                <w:sz w:val="4"/>
                <w:szCs w:val="4"/>
              </w:rPr>
            </w:pPr>
            <w:r>
              <w:rPr>
                <w:sz w:val="4"/>
                <w:szCs w:val="4"/>
              </w:rPr>
            </w:r>
          </w:p>
        </w:tc>
        <w:tc>
          <w:tcPr>
            <w:tcW w:w="8692"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bottom"/>
          </w:tcPr>
          <w:p>
            <w:pPr>
              <w:pStyle w:val="TableContents"/>
              <w:spacing w:before="0" w:after="283"/>
              <w:jc w:val="center"/>
              <w:rPr/>
            </w:pPr>
            <w:r>
              <w:rPr/>
              <w:t>(d)</w:t>
            </w:r>
          </w:p>
        </w:tc>
        <w:tc>
          <w:tcPr>
            <w:tcW w:w="1298" w:type="dxa"/>
            <w:tcBorders/>
            <w:shd w:fill="auto" w:val="clear"/>
            <w:vAlign w:val="bottom"/>
          </w:tcPr>
          <w:p>
            <w:pPr>
              <w:pStyle w:val="TableContents"/>
              <w:spacing w:before="0" w:after="283"/>
              <w:rPr/>
            </w:pPr>
            <w:r>
              <w:rPr/>
              <w:t>    </w:t>
            </w:r>
          </w:p>
        </w:tc>
        <w:tc>
          <w:tcPr>
            <w:tcW w:w="8692" w:type="dxa"/>
            <w:tcBorders/>
            <w:shd w:fill="auto" w:val="clear"/>
            <w:vAlign w:val="bottom"/>
          </w:tcPr>
          <w:p>
            <w:pPr>
              <w:pStyle w:val="TableContents"/>
              <w:spacing w:before="0" w:after="283"/>
              <w:rPr/>
            </w:pPr>
            <w:r>
              <w:rPr/>
              <w:t>Exhibits</w:t>
            </w:r>
          </w:p>
        </w:tc>
      </w:tr>
      <w:tr>
        <w:trPr>
          <w:trHeight w:val="120" w:hRule="atLeast"/>
        </w:trPr>
        <w:tc>
          <w:tcPr>
            <w:tcW w:w="215" w:type="dxa"/>
            <w:tcBorders/>
            <w:shd w:fill="auto" w:val="clear"/>
            <w:vAlign w:val="center"/>
          </w:tcPr>
          <w:p>
            <w:pPr>
              <w:pStyle w:val="TableContents"/>
              <w:spacing w:before="0" w:after="283"/>
              <w:rPr>
                <w:sz w:val="4"/>
                <w:szCs w:val="4"/>
              </w:rPr>
            </w:pPr>
            <w:r>
              <w:rPr>
                <w:sz w:val="4"/>
                <w:szCs w:val="4"/>
              </w:rPr>
            </w:r>
          </w:p>
        </w:tc>
        <w:tc>
          <w:tcPr>
            <w:tcW w:w="9990"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tcPr>
          <w:p>
            <w:pPr>
              <w:pStyle w:val="TableContents"/>
              <w:spacing w:before="0" w:after="283"/>
              <w:rPr>
                <w:sz w:val="4"/>
                <w:szCs w:val="4"/>
              </w:rPr>
            </w:pPr>
            <w:r>
              <w:rPr>
                <w:sz w:val="4"/>
                <w:szCs w:val="4"/>
              </w:rPr>
            </w:r>
          </w:p>
        </w:tc>
        <w:tc>
          <w:tcPr>
            <w:tcW w:w="1298" w:type="dxa"/>
            <w:tcBorders/>
            <w:shd w:fill="auto" w:val="clear"/>
            <w:vAlign w:val="bottom"/>
          </w:tcPr>
          <w:p>
            <w:pPr>
              <w:pStyle w:val="TableContents"/>
              <w:spacing w:before="0" w:after="283"/>
              <w:rPr/>
            </w:pPr>
            <w:r>
              <w:rPr/>
              <w:t>    </w:t>
            </w:r>
          </w:p>
        </w:tc>
        <w:tc>
          <w:tcPr>
            <w:tcW w:w="8692" w:type="dxa"/>
            <w:tcBorders/>
            <w:shd w:fill="auto" w:val="clear"/>
          </w:tcPr>
          <w:p>
            <w:pPr>
              <w:pStyle w:val="TableContents"/>
              <w:spacing w:before="0" w:after="283"/>
              <w:rPr/>
            </w:pPr>
            <w:hyperlink w:anchor="d676476dex991.htm">
              <w:r>
                <w:rPr>
                  <w:rStyle w:val="InternetLink"/>
                </w:rPr>
                <w:t xml:space="preserve">99.1 Press release dated December 20, 2018 of the Registrant. </w:t>
              </w:r>
            </w:hyperlink>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8"/>
        </w:rPr>
      </w:pPr>
      <w:r>
        <w:rPr>
          <w:rFonts w:ascii="Times New Roman" w:hAnsi="Times New Roman"/>
          <w:b/>
          <w:sz w:val="18"/>
        </w:rPr>
        <w:t xml:space="preserve">SIGNATURE </w:t>
      </w:r>
    </w:p>
    <w:p>
      <w:pPr>
        <w:pStyle w:val="TextBody"/>
        <w:spacing w:before="240" w:after="0"/>
        <w:jc w:val="left"/>
        <w:rPr>
          <w:rFonts w:ascii="Times New Roman" w:hAnsi="Times New Roman"/>
          <w:sz w:val="18"/>
        </w:rPr>
      </w:pPr>
      <w:r>
        <w:rPr>
          <w:rFonts w:ascii="Times New Roman" w:hAnsi="Times New Roman"/>
          <w:sz w:val="18"/>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Calavo Growers, Inc.</w:t>
            </w:r>
          </w:p>
        </w:tc>
      </w:tr>
      <w:tr>
        <w:trPr/>
        <w:tc>
          <w:tcPr>
            <w:tcW w:w="5204" w:type="dxa"/>
            <w:tcBorders/>
            <w:shd w:fill="auto" w:val="clear"/>
          </w:tcPr>
          <w:p>
            <w:pPr>
              <w:pStyle w:val="TableContents"/>
              <w:spacing w:before="0" w:after="283"/>
              <w:rPr/>
            </w:pPr>
            <w:r>
              <w:rPr/>
              <w:t>December 21, 2018</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By:</w:t>
            </w:r>
            <w:r>
              <w:rPr>
                <w:u w:val="single"/>
              </w:rPr>
              <w:t xml:space="preserve"> /s/ Lecil E. Cole        </w:t>
            </w:r>
          </w:p>
        </w:tc>
      </w:tr>
      <w:tr>
        <w:trPr/>
        <w:tc>
          <w:tcPr>
            <w:tcW w:w="5204"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Lecil E. Cole</w:t>
              <w:br/>
              <w:t>Chairman of the Board of Directors, Chief Executive Officer and President</w:t>
              <w:br/>
              <w:t>(Principal Executive Officer)</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TextBody"/>
        <w:spacing w:before="0" w:after="0"/>
        <w:jc w:val="right"/>
        <w:rPr>
          <w:rFonts w:ascii="Times New Roman" w:hAnsi="Times New Roman"/>
          <w:b/>
          <w:sz w:val="20"/>
        </w:rPr>
      </w:pPr>
      <w:bookmarkStart w:id="2" w:name="d676476dex991.htm"/>
      <w:bookmarkStart w:id="3" w:name="ksd676476dex991"/>
      <w:bookmarkEnd w:id="2"/>
      <w:bookmarkEnd w:id="3"/>
      <w:r>
        <w:rPr>
          <w:rFonts w:ascii="Times New Roman" w:hAnsi="Times New Roman"/>
          <w:b/>
          <w:sz w:val="20"/>
        </w:rPr>
        <w:t xml:space="preserve">Exhibit 99.1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17"/>
        <w:gridCol w:w="204"/>
        <w:gridCol w:w="9084"/>
      </w:tblGrid>
      <w:tr>
        <w:trPr/>
        <w:tc>
          <w:tcPr>
            <w:tcW w:w="91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084" w:type="dxa"/>
            <w:tcBorders/>
            <w:shd w:fill="auto" w:val="clear"/>
            <w:vAlign w:val="center"/>
          </w:tcPr>
          <w:p>
            <w:pPr>
              <w:pStyle w:val="TableContents"/>
              <w:spacing w:before="0" w:after="283"/>
              <w:rPr>
                <w:sz w:val="4"/>
                <w:szCs w:val="4"/>
              </w:rPr>
            </w:pPr>
            <w:r>
              <w:rPr>
                <w:sz w:val="4"/>
                <w:szCs w:val="4"/>
              </w:rPr>
            </w:r>
          </w:p>
        </w:tc>
      </w:tr>
      <w:tr>
        <w:trPr/>
        <w:tc>
          <w:tcPr>
            <w:tcW w:w="917" w:type="dxa"/>
            <w:tcBorders/>
            <w:shd w:fill="auto" w:val="clear"/>
          </w:tcPr>
          <w:p>
            <w:pPr>
              <w:pStyle w:val="TableContents"/>
              <w:spacing w:before="0" w:after="283"/>
              <w:rPr/>
            </w:pPr>
            <w:r>
              <w:rPr/>
              <w:t>For:</w:t>
            </w:r>
          </w:p>
        </w:tc>
        <w:tc>
          <w:tcPr>
            <w:tcW w:w="204"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283"/>
              <w:rPr/>
            </w:pPr>
            <w:r>
              <w:rPr/>
              <w:t>Calavo Growers, Inc.</w:t>
            </w:r>
          </w:p>
        </w:tc>
      </w:tr>
      <w:tr>
        <w:trPr>
          <w:trHeight w:val="240" w:hRule="atLeast"/>
        </w:trPr>
        <w:tc>
          <w:tcPr>
            <w:tcW w:w="917" w:type="dxa"/>
            <w:tcBorders/>
            <w:shd w:fill="auto" w:val="clear"/>
            <w:vAlign w:val="center"/>
          </w:tcPr>
          <w:p>
            <w:pPr>
              <w:pStyle w:val="TableContents"/>
              <w:spacing w:before="0" w:after="283"/>
              <w:rPr>
                <w:sz w:val="4"/>
                <w:szCs w:val="4"/>
              </w:rPr>
            </w:pPr>
            <w:r>
              <w:rPr>
                <w:sz w:val="4"/>
                <w:szCs w:val="4"/>
              </w:rPr>
            </w:r>
          </w:p>
        </w:tc>
        <w:tc>
          <w:tcPr>
            <w:tcW w:w="9288" w:type="dxa"/>
            <w:gridSpan w:val="2"/>
            <w:tcBorders/>
            <w:shd w:fill="auto" w:val="clear"/>
            <w:vAlign w:val="center"/>
          </w:tcPr>
          <w:p>
            <w:pPr>
              <w:pStyle w:val="TableContents"/>
              <w:spacing w:before="0" w:after="283"/>
              <w:rPr>
                <w:sz w:val="4"/>
                <w:szCs w:val="4"/>
              </w:rPr>
            </w:pPr>
            <w:r>
              <w:rPr>
                <w:sz w:val="4"/>
                <w:szCs w:val="4"/>
              </w:rPr>
            </w:r>
          </w:p>
        </w:tc>
      </w:tr>
      <w:tr>
        <w:trPr/>
        <w:tc>
          <w:tcPr>
            <w:tcW w:w="917" w:type="dxa"/>
            <w:tcBorders/>
            <w:shd w:fill="auto" w:val="clear"/>
          </w:tcPr>
          <w:p>
            <w:pPr>
              <w:pStyle w:val="TableContents"/>
              <w:spacing w:before="0" w:after="283"/>
              <w:rPr/>
            </w:pPr>
            <w:r>
              <w:rPr/>
              <w:t>Contact:</w:t>
            </w:r>
          </w:p>
        </w:tc>
        <w:tc>
          <w:tcPr>
            <w:tcW w:w="204" w:type="dxa"/>
            <w:tcBorders/>
            <w:shd w:fill="auto" w:val="clear"/>
            <w:vAlign w:val="bottom"/>
          </w:tcPr>
          <w:p>
            <w:pPr>
              <w:pStyle w:val="TableContents"/>
              <w:spacing w:before="0" w:after="283"/>
              <w:rPr/>
            </w:pPr>
            <w:r>
              <w:rPr/>
              <w:t>  </w:t>
            </w:r>
          </w:p>
        </w:tc>
        <w:tc>
          <w:tcPr>
            <w:tcW w:w="9084" w:type="dxa"/>
            <w:tcBorders/>
            <w:shd w:fill="auto" w:val="clear"/>
          </w:tcPr>
          <w:p>
            <w:pPr>
              <w:pStyle w:val="TableContents"/>
              <w:spacing w:before="0" w:after="0"/>
              <w:rPr>
                <w:rFonts w:ascii="Times New Roman" w:hAnsi="Times New Roman"/>
                <w:sz w:val="20"/>
              </w:rPr>
            </w:pPr>
            <w:r>
              <w:rPr>
                <w:rFonts w:ascii="Times New Roman" w:hAnsi="Times New Roman"/>
                <w:sz w:val="20"/>
              </w:rPr>
              <w:t>Lee E. Cole</w:t>
            </w:r>
          </w:p>
          <w:p>
            <w:pPr>
              <w:pStyle w:val="TableContents"/>
              <w:spacing w:before="0" w:after="0"/>
              <w:rPr>
                <w:rFonts w:ascii="Times New Roman" w:hAnsi="Times New Roman"/>
                <w:sz w:val="20"/>
              </w:rPr>
            </w:pPr>
            <w:r>
              <w:rPr>
                <w:rFonts w:ascii="Times New Roman" w:hAnsi="Times New Roman"/>
                <w:sz w:val="20"/>
              </w:rPr>
              <w:t>Chairman, President and CEO</w:t>
            </w:r>
          </w:p>
          <w:p>
            <w:pPr>
              <w:pStyle w:val="TableContents"/>
              <w:spacing w:before="0" w:after="20"/>
              <w:rPr>
                <w:rFonts w:ascii="Times New Roman" w:hAnsi="Times New Roman"/>
                <w:sz w:val="20"/>
              </w:rPr>
            </w:pPr>
            <w:r>
              <w:rPr>
                <w:rFonts w:ascii="Times New Roman" w:hAnsi="Times New Roman"/>
                <w:sz w:val="20"/>
              </w:rPr>
              <w:t>(805) 525-1245</w:t>
            </w:r>
          </w:p>
        </w:tc>
      </w:tr>
    </w:tbl>
    <w:p>
      <w:pPr>
        <w:pStyle w:val="TextBody"/>
        <w:spacing w:before="240" w:after="0"/>
        <w:jc w:val="center"/>
        <w:rPr>
          <w:rFonts w:ascii="Times New Roman" w:hAnsi="Times New Roman"/>
          <w:b/>
          <w:sz w:val="20"/>
        </w:rPr>
      </w:pPr>
      <w:r>
        <w:rPr>
          <w:rFonts w:ascii="Times New Roman" w:hAnsi="Times New Roman"/>
          <w:b/>
          <w:sz w:val="20"/>
        </w:rPr>
        <w:t xml:space="preserve">CALAVO GROWERS, INC. ANNOUNCES </w:t>
      </w:r>
    </w:p>
    <w:p>
      <w:pPr>
        <w:pStyle w:val="TextBody"/>
        <w:spacing w:before="0" w:after="0"/>
        <w:jc w:val="center"/>
        <w:rPr>
          <w:rFonts w:ascii="Times New Roman" w:hAnsi="Times New Roman"/>
          <w:b/>
          <w:sz w:val="20"/>
        </w:rPr>
      </w:pPr>
      <w:r>
        <w:rPr>
          <w:rFonts w:ascii="Times New Roman" w:hAnsi="Times New Roman"/>
          <w:b/>
          <w:sz w:val="20"/>
        </w:rPr>
        <w:t xml:space="preserve">FISCAL 2018 FOURTH QUARTER AND FULL-YEAR RESULTS </w:t>
      </w:r>
    </w:p>
    <w:p>
      <w:pPr>
        <w:pStyle w:val="TextBody"/>
        <w:spacing w:before="0" w:after="0"/>
        <w:jc w:val="left"/>
        <w:rPr/>
      </w:pPr>
      <w:r>
        <w:rPr/>
        <w:t> </w:t>
      </w:r>
    </w:p>
    <w:p>
      <w:pPr>
        <w:pStyle w:val="TextBody"/>
        <w:pBdr>
          <w:bottom w:val="dashed" w:sz="8" w:space="1" w:color="000000"/>
        </w:pBdr>
        <w:spacing w:lineRule="atLeast" w:line="141" w:before="0" w:after="40"/>
        <w:jc w:val="center"/>
        <w:rPr/>
      </w:pPr>
      <w:r>
        <w:rPr/>
        <w:t> </w:t>
      </w:r>
    </w:p>
    <w:p>
      <w:pPr>
        <w:pStyle w:val="TextBody"/>
        <w:spacing w:before="80" w:after="0"/>
        <w:jc w:val="left"/>
        <w:rPr>
          <w:rFonts w:ascii="Times New Roman" w:hAnsi="Times New Roman"/>
          <w:b/>
          <w:sz w:val="20"/>
        </w:rPr>
      </w:pPr>
      <w:r>
        <w:rPr>
          <w:rFonts w:ascii="Times New Roman" w:hAnsi="Times New Roman"/>
          <w:b/>
          <w:sz w:val="20"/>
        </w:rPr>
        <w:t xml:space="preserve">Fourth Quarter Highlights Include: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Revenues Increased to $280.0 Million from $277.2 Million </w:t>
            </w:r>
          </w:p>
        </w:tc>
      </w:tr>
    </w:tbl>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Avocado Unit Volume Rose More Than 50 Percent </w:t>
            </w:r>
          </w:p>
        </w:tc>
      </w:tr>
    </w:tbl>
    <w:tbl>
      <w:tblPr>
        <w:tblW w:w="5000" w:type="pct"/>
        <w:jc w:val="left"/>
        <w:tblInd w:w="0" w:type="dxa"/>
        <w:tblCellMar>
          <w:top w:w="0" w:type="dxa"/>
          <w:left w:w="0" w:type="dxa"/>
          <w:bottom w:w="0" w:type="dxa"/>
          <w:right w:w="0" w:type="dxa"/>
        </w:tblCellMar>
      </w:tblPr>
      <w:tblGrid>
        <w:gridCol w:w="305"/>
        <w:gridCol w:w="306"/>
        <w:gridCol w:w="102"/>
        <w:gridCol w:w="9492"/>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RFG Segment Posted Higher Sales, Gross Profit Increased by 26 Percent </w:t>
            </w:r>
          </w:p>
        </w:tc>
      </w:tr>
    </w:tbl>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Calavo Foods Segment Posted Higher Sales, 193 Percent Increase in Gross Profit </w:t>
            </w:r>
          </w:p>
        </w:tc>
      </w:tr>
    </w:tbl>
    <w:p>
      <w:pPr>
        <w:pStyle w:val="TextBody"/>
        <w:spacing w:before="240" w:after="0"/>
        <w:jc w:val="left"/>
        <w:rPr>
          <w:rFonts w:ascii="Times New Roman" w:hAnsi="Times New Roman"/>
          <w:b/>
          <w:sz w:val="20"/>
        </w:rPr>
      </w:pPr>
      <w:r>
        <w:rPr>
          <w:rFonts w:ascii="Times New Roman" w:hAnsi="Times New Roman"/>
          <w:b/>
          <w:sz w:val="20"/>
        </w:rPr>
        <w:t xml:space="preserve">Full-Year Highlights Include: </w:t>
      </w:r>
    </w:p>
    <w:tbl>
      <w:tblPr>
        <w:tblW w:w="5000" w:type="pct"/>
        <w:jc w:val="left"/>
        <w:tblInd w:w="0" w:type="dxa"/>
        <w:tblCellMar>
          <w:top w:w="0" w:type="dxa"/>
          <w:left w:w="0" w:type="dxa"/>
          <w:bottom w:w="0" w:type="dxa"/>
          <w:right w:w="0" w:type="dxa"/>
        </w:tblCellMar>
      </w:tblPr>
      <w:tblGrid>
        <w:gridCol w:w="305"/>
        <w:gridCol w:w="305"/>
        <w:gridCol w:w="101"/>
        <w:gridCol w:w="9494"/>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Revenues Reached $1.1 Billion, Slightly Edging Prior-Year Record </w:t>
            </w:r>
          </w:p>
        </w:tc>
      </w:tr>
    </w:tbl>
    <w:tbl>
      <w:tblPr>
        <w:tblW w:w="5000" w:type="pct"/>
        <w:jc w:val="left"/>
        <w:tblInd w:w="0" w:type="dxa"/>
        <w:tblCellMar>
          <w:top w:w="0" w:type="dxa"/>
          <w:left w:w="0" w:type="dxa"/>
          <w:bottom w:w="0" w:type="dxa"/>
          <w:right w:w="0" w:type="dxa"/>
        </w:tblCellMar>
      </w:tblPr>
      <w:tblGrid>
        <w:gridCol w:w="306"/>
        <w:gridCol w:w="306"/>
        <w:gridCol w:w="101"/>
        <w:gridCol w:w="9492"/>
      </w:tblGrid>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Income Totaled $32.3 Million; Adjusted Net Income(1) Rose 15 Percent to a Record $43.7 Million </w:t>
            </w:r>
          </w:p>
        </w:tc>
      </w:tr>
    </w:tbl>
    <w:tbl>
      <w:tblPr>
        <w:tblW w:w="5000" w:type="pct"/>
        <w:jc w:val="left"/>
        <w:tblInd w:w="0" w:type="dxa"/>
        <w:tblCellMar>
          <w:top w:w="0" w:type="dxa"/>
          <w:left w:w="0" w:type="dxa"/>
          <w:bottom w:w="0" w:type="dxa"/>
          <w:right w:w="0" w:type="dxa"/>
        </w:tblCellMar>
      </w:tblPr>
      <w:tblGrid>
        <w:gridCol w:w="305"/>
        <w:gridCol w:w="305"/>
        <w:gridCol w:w="102"/>
        <w:gridCol w:w="9493"/>
      </w:tblGrid>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Diluted EPS Equaled $1.84; Adjusted Diluted EPS(1) Reached $2.49a New All-Time High </w:t>
            </w:r>
          </w:p>
        </w:tc>
      </w:tr>
    </w:tbl>
    <w:p>
      <w:pPr>
        <w:pStyle w:val="TextBody"/>
        <w:spacing w:before="240" w:after="0"/>
        <w:jc w:val="left"/>
        <w:rPr>
          <w:rFonts w:ascii="Times New Roman" w:hAnsi="Times New Roman"/>
          <w:b/>
          <w:sz w:val="20"/>
        </w:rPr>
      </w:pPr>
      <w:r>
        <w:rPr>
          <w:rFonts w:ascii="Times New Roman" w:hAnsi="Times New Roman"/>
          <w:b/>
          <w:sz w:val="20"/>
        </w:rPr>
        <w:t xml:space="preserve">Looking Forward for Fiscal Year 2019: </w:t>
      </w:r>
    </w:p>
    <w:tbl>
      <w:tblPr>
        <w:tblW w:w="5000" w:type="pct"/>
        <w:jc w:val="left"/>
        <w:tblInd w:w="0" w:type="dxa"/>
        <w:tblCellMar>
          <w:top w:w="0" w:type="dxa"/>
          <w:left w:w="0" w:type="dxa"/>
          <w:bottom w:w="0" w:type="dxa"/>
          <w:right w:w="0" w:type="dxa"/>
        </w:tblCellMar>
      </w:tblPr>
      <w:tblGrid>
        <w:gridCol w:w="304"/>
        <w:gridCol w:w="305"/>
        <w:gridCol w:w="101"/>
        <w:gridCol w:w="9495"/>
      </w:tblGrid>
      <w:tr>
        <w:trPr/>
        <w:tc>
          <w:tcPr>
            <w:tcW w:w="30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4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CEO Cole Forecasts Record Revenue (Driven By Growth in All Segments) and Double-Digit Increase in Adjusted Diluted EPS </w:t>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SANTA PAULA, Calif. (Dec. 20, 2018)Calavo Growers, Inc. (Nasdaq-GS: CVGW) today reported fiscal 2018 fourth quarter and full-year operating results. The company, a global avocado-industry leader and expanding provider of value-added fresh food, said that fiscal 2018 revenues and adjusted net income(1) reached new record highs. </w:t>
      </w:r>
    </w:p>
    <w:p>
      <w:pPr>
        <w:pStyle w:val="TextBody"/>
        <w:spacing w:before="120" w:after="0"/>
        <w:jc w:val="left"/>
        <w:rPr>
          <w:rFonts w:ascii="Times New Roman" w:hAnsi="Times New Roman"/>
          <w:sz w:val="20"/>
        </w:rPr>
      </w:pPr>
      <w:r>
        <w:rPr>
          <w:rFonts w:ascii="Times New Roman" w:hAnsi="Times New Roman"/>
          <w:sz w:val="20"/>
        </w:rPr>
        <w:t xml:space="preserve">For the three months ended Oct. 31, 2018, Calavo reported a net loss of $1.3 million, equal to negative $0.08 per diluted share. Excluding certain items impacting comparability, adjusted net income(1) totaled $5.0 million, or $0.29 per diluted share, which compares with $10.3 million, or $0.59 per diluted share, in the year-earlier final quarter. Revenues in the final quarter rose to $280.0 million from $277.2 million, in the fiscal 2017 fourth period. Fourth-quarter gross profit equaled $22.3 million, or 8.0 </w:t>
      </w:r>
    </w:p>
    <w:p>
      <w:pPr>
        <w:pStyle w:val="TextBody"/>
        <w:spacing w:before="120" w:after="0"/>
        <w:jc w:val="center"/>
        <w:rPr>
          <w:rFonts w:ascii="Times New Roman" w:hAnsi="Times New Roman"/>
          <w:sz w:val="20"/>
        </w:rPr>
      </w:pPr>
      <w:r>
        <w:rPr>
          <w:rFonts w:ascii="Times New Roman" w:hAnsi="Times New Roman"/>
          <w:sz w:val="20"/>
        </w:rPr>
        <w:t xml:space="preserve">-more- </w:t>
      </w:r>
    </w:p>
    <w:p>
      <w:pPr>
        <w:pStyle w:val="TextBody"/>
        <w:spacing w:before="480" w:after="0"/>
        <w:jc w:val="left"/>
        <w:rPr>
          <w:rFonts w:ascii="Times New Roman" w:hAnsi="Times New Roman"/>
          <w:sz w:val="17"/>
        </w:rPr>
      </w:pPr>
      <w:r>
        <w:rPr>
          <w:rFonts w:ascii="Times New Roman" w:hAnsi="Times New Roman"/>
          <w:sz w:val="17"/>
        </w:rPr>
        <w:t xml:space="preserve">(1) Adjusted financial metrics, such as adjusted net income and adjusted EPS, used throughout this release are non-GAAP measures that exclude items affecting comparability. Reconciliations of non-GAAP financial measures to GAAP financial measures are provided in the financial tables that accompany this release.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Calavo Growers Announces Fiscal 2018 Fourth Quarter and Full-Year Results/2-2-2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percent of revenues, versus $31.5 million, or 11.4 percent of revenues, in the corresponding quarter last year. Operating income totaled $7.5 million in the most recent quarter versus $16.8 million one year ago. </w:t>
      </w:r>
    </w:p>
    <w:p>
      <w:pPr>
        <w:pStyle w:val="TextBody"/>
        <w:spacing w:before="120" w:after="0"/>
        <w:jc w:val="left"/>
        <w:rPr>
          <w:rFonts w:ascii="Times New Roman" w:hAnsi="Times New Roman"/>
          <w:sz w:val="20"/>
        </w:rPr>
      </w:pPr>
      <w:r>
        <w:rPr>
          <w:rFonts w:ascii="Times New Roman" w:hAnsi="Times New Roman"/>
          <w:sz w:val="20"/>
        </w:rPr>
        <w:t xml:space="preserve">Chairman, President and Chief Executive Officer Lee E. Cole stated: In fiscal 2018, we realized very strong year-over-year growth in key areas of each of our three core business segments: in our Fresh segment, we posted 19 percent growth in avocado unit volumes; in our RFG segment, we increased our gross profit 15 percent; and, in our Foods segment, we increased guacamole sales 20 percent and nearly doubled (+97 percent) our gross profit. And yet, our full-year results were impacted by several unique, unforeseen events that affected each of our business units during the fourth quarter. I do not believe that any of these events impede the long-term growth trajectory of our businesses and I remain highly optimistic about our outlook for fiscal 2019, Cole said. </w:t>
      </w:r>
    </w:p>
    <w:p>
      <w:pPr>
        <w:pStyle w:val="TextBody"/>
        <w:spacing w:before="120" w:after="0"/>
        <w:jc w:val="left"/>
        <w:rPr>
          <w:rFonts w:ascii="Times New Roman" w:hAnsi="Times New Roman"/>
          <w:sz w:val="20"/>
        </w:rPr>
      </w:pPr>
      <w:r>
        <w:rPr>
          <w:rFonts w:ascii="Times New Roman" w:hAnsi="Times New Roman"/>
          <w:sz w:val="20"/>
        </w:rPr>
        <w:t xml:space="preserve">The CEO continued: Calavo sold 53 percent more avocado units in its Fresh segment during the most recent quarter versus the year-earlier fourth period. Compared with last years extraordinary avocado market conditions (during which consumer demand significantly outstripped available supply), we encountered a challenging year-over-year environment in the most-recent quarter, in which industry prices fell sharply over 11 weeks during the period. While this skews year-over-year fourth-quarter comparisons, we are gratified that our per-unit profitability remained strong by long-term historical standards during a significant volume growth period for Calavo and the industry. </w:t>
      </w:r>
    </w:p>
    <w:p>
      <w:pPr>
        <w:pStyle w:val="TextBody"/>
        <w:spacing w:before="120" w:after="0"/>
        <w:jc w:val="left"/>
        <w:rPr>
          <w:rFonts w:ascii="Times New Roman" w:hAnsi="Times New Roman"/>
          <w:sz w:val="20"/>
        </w:rPr>
      </w:pPr>
      <w:r>
        <w:rPr>
          <w:rFonts w:ascii="Times New Roman" w:hAnsi="Times New Roman"/>
          <w:sz w:val="20"/>
        </w:rPr>
        <w:t xml:space="preserve">RFG posted higher year-over-year sales and gross profit in the final period. The business has demonstrated resilience and continues to grow sales and gross profit while navigating a challenging food-safety environment, including a recent supplier occurrence in the fourth quarter. The year-over-year gross profit growth experienced this quarter is indicative of incremental progress in capacity utilization and optimization across RFGs expanded production footprint.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Calavo Growers Announces Fiscal 2018 Fourth Quarter and Full-Year Results/3-3-3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In the final quarter, Calavo Foods turned in solid top-line growth, while virtually tripling gross profit over the fourth period last year, when high fruit input costs proved a drag on results. This enabled the Foods business to cap an outstanding year notable for double-digit sales growth and nearly triple-digit gains in gross margin. Nonetheless, a packaging issue experienced during the fourth quarter 2018, further detailed in segment results below, constrained Calavo Foods revenue and gross profit from rising even more in the most-recent period. </w:t>
      </w:r>
    </w:p>
    <w:p>
      <w:pPr>
        <w:pStyle w:val="TextBody"/>
        <w:spacing w:before="120" w:after="0"/>
        <w:jc w:val="left"/>
        <w:rPr>
          <w:rFonts w:ascii="Times New Roman" w:hAnsi="Times New Roman"/>
          <w:sz w:val="20"/>
        </w:rPr>
      </w:pPr>
      <w:r>
        <w:rPr>
          <w:rFonts w:ascii="Times New Roman" w:hAnsi="Times New Roman"/>
          <w:sz w:val="20"/>
        </w:rPr>
        <w:t xml:space="preserve">Net income for the year ended October 31, 2018 totaled $32.3 million, or $1.84 per diluted share which compares with $37.3 million, or $2.13 per diluted share, last year. Excluding certain items impacting comparability, adjusted fiscal 2018 net income increased by 15 percent to $43.7 million, equal to $2.49 per diluted share, which compares with adjusted net income of $38.0 million, or $2.17 per diluted share in the prior year. Revenues for the most recent year stood at $1.1 billion, slightly edging the companys top line in fiscal 2017. </w:t>
      </w:r>
    </w:p>
    <w:p>
      <w:pPr>
        <w:pStyle w:val="TextBody"/>
        <w:spacing w:before="120" w:after="0"/>
        <w:jc w:val="left"/>
        <w:rPr>
          <w:rFonts w:ascii="Times New Roman" w:hAnsi="Times New Roman"/>
          <w:sz w:val="20"/>
        </w:rPr>
      </w:pPr>
      <w:r>
        <w:rPr>
          <w:rFonts w:ascii="Times New Roman" w:hAnsi="Times New Roman"/>
          <w:sz w:val="20"/>
        </w:rPr>
        <w:t xml:space="preserve">Full-year gross profit equaled $113.6 million, or 10.4 percent of revenues, versus $114.5 million, or 10.6 percent of revenues in fiscal 2017. Operating income measured $56.5 million as compared with $57.9 million for the prior year. </w:t>
      </w:r>
    </w:p>
    <w:p>
      <w:pPr>
        <w:pStyle w:val="TextBody"/>
        <w:spacing w:before="120" w:after="0"/>
        <w:jc w:val="left"/>
        <w:rPr>
          <w:rFonts w:ascii="Times New Roman" w:hAnsi="Times New Roman"/>
          <w:sz w:val="20"/>
        </w:rPr>
      </w:pPr>
      <w:r>
        <w:rPr>
          <w:rFonts w:ascii="Times New Roman" w:hAnsi="Times New Roman"/>
          <w:sz w:val="20"/>
        </w:rPr>
        <w:t xml:space="preserve">In the Fresh business segment, fourth-quarter revenues declined to $141.1 million in fiscal 2018, which compares with $146.1 million in the like period one year ago. Fresh segment gross profit was $9.9 million, equal to 7.0 percent of segment sales, in the most-recent period. This compares with $23.8 million in gross profit, or 16.3 percent of segment sales, in last years final period. Fresh unit sales rose in the fourth quarter by 42 percent to 4.2 million from 2.9 million in the corresponding period last year primarily on the strength of higher avocado unit sales. Despite sharply higher unit sales volume, Fresh segment sales were impacted by lower industry-wide avocado market prices, which decreased steadily across most of the quarter. These circumstances when compared to last years fourth quarter industry conditionswhen a limited avocado supply vastly outstripped consumer demandhave the effect of distorting year-over-year Fresh segment comparisons.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Calavo Growers Announces Fiscal 2018 Fourth Quarter and Full-Year Results/4-4-4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RFG business segment sales grew by nearly 6 percent to $117.0 million in the final period from $110.6 million in last years fourth quarter. Segment gross profit rose by $1.6 million, or 26 percent, to $7.8 million, or 6.6 percent of segment sales, from $6.1 million, or 5.6 percent of segment sales, in the fiscal 2017 final period. The company stated that, per CEO Coles aforementioned reference to food safety events, credits issued to customers related to a July melon recall, as well as a suppliers recall of sweet corn in September, each created headwinds during the quarter. RFGs year-over-year improving gross profit trend line reflects measured progress in achieving economies of scale at its newer production facilities. </w:t>
      </w:r>
    </w:p>
    <w:p>
      <w:pPr>
        <w:pStyle w:val="TextBody"/>
        <w:spacing w:before="120" w:after="0"/>
        <w:jc w:val="left"/>
        <w:rPr>
          <w:rFonts w:ascii="Times New Roman" w:hAnsi="Times New Roman"/>
          <w:sz w:val="20"/>
        </w:rPr>
      </w:pPr>
      <w:r>
        <w:rPr>
          <w:rFonts w:ascii="Times New Roman" w:hAnsi="Times New Roman"/>
          <w:sz w:val="20"/>
        </w:rPr>
        <w:t xml:space="preserve">Sales in the Calavo Foods business segment totaled $21.9 million in the final quarter, rising about 7 percent from $20.5 million in the corresponding fiscal 2017 period. Segment gross profit jumped by $3.1 million, or 193 percent, to $4.6 million, equal to 21.2 percent of segment sales. This compares with gross profit of $1.6 million, or 7.7 percent of segment sales, in the fourth quarter last year, when high fruit input costs due to extraordinary avocado market conditions impacted results. Segment sales and gross profit would have been even higher in the most-recent quarter if not for an unexpected packaging issue with certain guacamole products which was discovered and resolved during the quarter. As a result of this issue, the companys revenue and gross profit were reduced by approximately $1 million during the quarter. </w:t>
      </w:r>
    </w:p>
    <w:p>
      <w:pPr>
        <w:pStyle w:val="TextBody"/>
        <w:spacing w:before="120" w:after="0"/>
        <w:jc w:val="left"/>
        <w:rPr>
          <w:rFonts w:ascii="Times New Roman" w:hAnsi="Times New Roman"/>
          <w:sz w:val="20"/>
        </w:rPr>
      </w:pPr>
      <w:r>
        <w:rPr>
          <w:rFonts w:ascii="Times New Roman" w:hAnsi="Times New Roman"/>
          <w:sz w:val="20"/>
        </w:rPr>
        <w:t xml:space="preserve">Total selling, general and administrative (SG&amp;A) expense in the final quarter was generally in line with last year at $14.8 million, or 5.3 percent of Calavos total revenues, compared to $14.7 million, approximating 5.3 percent of total revenues, in the fiscal 2017 final period. </w:t>
      </w:r>
    </w:p>
    <w:p>
      <w:pPr>
        <w:pStyle w:val="TextBody"/>
        <w:spacing w:before="120" w:after="0"/>
        <w:jc w:val="left"/>
        <w:rPr>
          <w:rFonts w:ascii="Times New Roman" w:hAnsi="Times New Roman"/>
          <w:sz w:val="20"/>
        </w:rPr>
      </w:pPr>
      <w:r>
        <w:rPr>
          <w:rFonts w:ascii="Times New Roman" w:hAnsi="Times New Roman"/>
          <w:sz w:val="20"/>
        </w:rPr>
        <w:t xml:space="preserve">Income from unconsolidated subsidiaries decreased from $0.3 million in last years fourth quarter to a loss of $8.5 million in the most-recent period. This principally reflects $8.5 million in non-cash losses attributable to Calavos ownership interest in FreshRealm, LLC, mitigated somewhat by a small gain from Agricola Don Memo, the companys tomato partnership. More details regarding FreshRealm will be included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Calavo Growers Announces Fiscal 2018 Fourth Quarter and Full-Year Results/5-5-5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Calavos annual report on Form 10-K soon to be filed with the Securities and Exchange Commission for the fiscal year ended Oct. 31, 2018. </w:t>
      </w:r>
    </w:p>
    <w:p>
      <w:pPr>
        <w:pStyle w:val="TextBody"/>
        <w:spacing w:before="360" w:after="0"/>
        <w:jc w:val="left"/>
        <w:rPr>
          <w:rFonts w:ascii="Times New Roman" w:hAnsi="Times New Roman"/>
          <w:b/>
          <w:sz w:val="20"/>
        </w:rPr>
      </w:pPr>
      <w:r>
        <w:rPr>
          <w:rFonts w:ascii="Times New Roman" w:hAnsi="Times New Roman"/>
          <w:b/>
          <w:sz w:val="20"/>
        </w:rPr>
        <w:t xml:space="preserve">Outlook </w:t>
      </w:r>
    </w:p>
    <w:p>
      <w:pPr>
        <w:pStyle w:val="TextBody"/>
        <w:spacing w:before="120" w:after="0"/>
        <w:jc w:val="left"/>
        <w:rPr>
          <w:rFonts w:ascii="Times New Roman" w:hAnsi="Times New Roman"/>
          <w:sz w:val="20"/>
        </w:rPr>
      </w:pPr>
      <w:r>
        <w:rPr>
          <w:rFonts w:ascii="Times New Roman" w:hAnsi="Times New Roman"/>
          <w:sz w:val="20"/>
        </w:rPr>
        <w:t xml:space="preserve">Looking ahead to fiscal 2019, CEO Cole said, We continue to see long-term growth potential in each of our three business segments and Calavo remains in a strong positionboth operationally and financiallyto capitalize on this opportunity. To that end, the company expects top line growth in each of its three business segments, which will put Calavo on a trajectory to deliver record revenues and double-digit growth in consolidated adjusted earnings per share this fiscal year. My optimism is enhanced by a strong start to the current year in our Fresh and Foods businesses which is already apparent in the fiscal 2019 first quarter. </w:t>
      </w:r>
    </w:p>
    <w:p>
      <w:pPr>
        <w:pStyle w:val="TextBody"/>
        <w:spacing w:before="120" w:after="0"/>
        <w:jc w:val="left"/>
        <w:rPr>
          <w:rFonts w:ascii="Times New Roman" w:hAnsi="Times New Roman"/>
          <w:sz w:val="20"/>
        </w:rPr>
      </w:pPr>
      <w:r>
        <w:rPr>
          <w:rFonts w:ascii="Times New Roman" w:hAnsi="Times New Roman"/>
          <w:sz w:val="20"/>
        </w:rPr>
        <w:t xml:space="preserve">Cole continued: The avocado industry extended forecast continues to be highly favorable and a harbinger for future growth. We anticipate that the all-source avocado supply will expand again in fiscal 2019, extending its long-term growth curve. With our companys diverse sourcing, sales and production management strength, as well as considerable distribution capacity, Calavo expects to be a principal beneficiary of the anticipated volume expansion in the coming year. The company anticipates full-year growth in gross profit in the high teens in fiscal 2019. </w:t>
      </w:r>
    </w:p>
    <w:p>
      <w:pPr>
        <w:pStyle w:val="TextBody"/>
        <w:spacing w:before="120" w:after="0"/>
        <w:jc w:val="left"/>
        <w:rPr>
          <w:rFonts w:ascii="Times New Roman" w:hAnsi="Times New Roman"/>
          <w:sz w:val="20"/>
        </w:rPr>
      </w:pPr>
      <w:r>
        <w:rPr>
          <w:rFonts w:ascii="Times New Roman" w:hAnsi="Times New Roman"/>
          <w:sz w:val="20"/>
        </w:rPr>
        <w:t xml:space="preserve">I am extremely enthusiastic about both the near- and longer-term outlooks in the RFG segment, where we expect full-year gross profit growth to exceed 25 percent. Since being acquired by Calavo seven years ago, we have nearly quadrupled revenues, added new production facilities to build a national distribution footprint, and expanded our line-up of products, while adding some of the leading food retailers in the nation as customers. While first-quarter segment results are expected to be impacted by the FDAs romaine lettuce advisory in November, we still believe RFG will attain a low double-digit sales-growth rate for the full year. Further, we continue to invest in RFGs future growth and, to this end, we will be adding a new production facility in metro-Portland, Ore., which will also double as a value-added depot for our fresh avocado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Calavo Growers Announces Fiscal 2018 Fourth Quarter and Full-Year Results/6-6-6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business. We expect this new facility to come online in fiscal 2019 and immediately begin servicing RFGs existing customers in the Pacific Northwest region (previously supplied by an RFG co-packer), Cole continued. </w:t>
      </w:r>
    </w:p>
    <w:p>
      <w:pPr>
        <w:pStyle w:val="TextBody"/>
        <w:spacing w:before="120" w:after="0"/>
        <w:jc w:val="left"/>
        <w:rPr>
          <w:rFonts w:ascii="Times New Roman" w:hAnsi="Times New Roman"/>
          <w:sz w:val="20"/>
        </w:rPr>
      </w:pPr>
      <w:r>
        <w:rPr>
          <w:rFonts w:ascii="Times New Roman" w:hAnsi="Times New Roman"/>
          <w:sz w:val="20"/>
        </w:rPr>
        <w:t xml:space="preserve">Cole stated: We anticipate Calavo Foods will continue to deliver solid overall results in the coming year, with expected double-digit top line growth and segment net sales nearing $100 million. We also expect mid-teen growth in gross profit dollars in 2019 in our Foods business. Operationally, while we continue to explore opportunities to further expand our production capacity, we believe a combination of in-house productivity enhancements and our network of co-packers will facilitate our Foods business growth. </w:t>
      </w:r>
    </w:p>
    <w:p>
      <w:pPr>
        <w:pStyle w:val="TextBody"/>
        <w:spacing w:before="120" w:after="0"/>
        <w:jc w:val="left"/>
        <w:rPr>
          <w:rFonts w:ascii="Times New Roman" w:hAnsi="Times New Roman"/>
          <w:sz w:val="20"/>
        </w:rPr>
      </w:pPr>
      <w:r>
        <w:rPr>
          <w:rFonts w:ascii="Times New Roman" w:hAnsi="Times New Roman"/>
          <w:sz w:val="20"/>
        </w:rPr>
        <w:t xml:space="preserve">We remain optimistic about FreshRealman unconsolidated subsidiary in which Calavo continues to hold a meaningful ownership stake. During the quarter, Calavo funded the first $9 million of its $12 million in committed debt financing. We are closely monitoring FreshRealms progress and believe that this financing should help it to make a meaningful step forward in the growth of its business, Cole stated. </w:t>
      </w:r>
    </w:p>
    <w:p>
      <w:pPr>
        <w:pStyle w:val="TextBody"/>
        <w:spacing w:before="120" w:after="0"/>
        <w:jc w:val="left"/>
        <w:rPr>
          <w:rFonts w:ascii="Times New Roman" w:hAnsi="Times New Roman"/>
          <w:sz w:val="20"/>
        </w:rPr>
      </w:pPr>
      <w:r>
        <w:rPr>
          <w:rFonts w:ascii="Times New Roman" w:hAnsi="Times New Roman"/>
          <w:sz w:val="20"/>
        </w:rPr>
        <w:t xml:space="preserve">FreshRealm CEO Michael Lippold added: The timing of the capital infusion coincides with FreshRealm investing further in its own national infrastructure to support B2B fresh prepped meal-kits, new business development initiatives, and expanded customer programs. </w:t>
      </w:r>
    </w:p>
    <w:p>
      <w:pPr>
        <w:pStyle w:val="TextBody"/>
        <w:spacing w:before="120" w:after="0"/>
        <w:jc w:val="left"/>
        <w:rPr>
          <w:rFonts w:ascii="Times New Roman" w:hAnsi="Times New Roman"/>
          <w:sz w:val="20"/>
        </w:rPr>
      </w:pPr>
      <w:r>
        <w:rPr>
          <w:rFonts w:ascii="Times New Roman" w:hAnsi="Times New Roman"/>
          <w:sz w:val="20"/>
        </w:rPr>
        <w:t xml:space="preserve">As it begins fiscal 2019, Calavo is well-positioned for this yearand beyondwith its multiple revenue and profit engines. We remain very optimistic about the path ahead and the continued implementation of our strategic agenda. With a deep reservoir of resourcesoperating, financial and human capitalto support our mission, we are confident about an excellent year ahead and look forward to reporting on our continued progress along the way, Cole concluded. </w:t>
      </w:r>
    </w:p>
    <w:p>
      <w:pPr>
        <w:pStyle w:val="TextBody"/>
        <w:spacing w:before="360" w:after="0"/>
        <w:jc w:val="left"/>
        <w:rPr>
          <w:rFonts w:ascii="Times New Roman" w:hAnsi="Times New Roman"/>
          <w:b/>
          <w:sz w:val="20"/>
        </w:rPr>
      </w:pPr>
      <w:r>
        <w:rPr>
          <w:rFonts w:ascii="Times New Roman" w:hAnsi="Times New Roman"/>
          <w:b/>
          <w:sz w:val="20"/>
        </w:rPr>
        <w:t xml:space="preserve">About Calavo Growers, Inc. </w:t>
      </w:r>
    </w:p>
    <w:p>
      <w:pPr>
        <w:pStyle w:val="TextBody"/>
        <w:spacing w:before="120" w:after="0"/>
        <w:jc w:val="left"/>
        <w:rPr>
          <w:rFonts w:ascii="Times New Roman" w:hAnsi="Times New Roman"/>
          <w:sz w:val="20"/>
        </w:rPr>
      </w:pPr>
      <w:r>
        <w:rPr>
          <w:rFonts w:ascii="Times New Roman" w:hAnsi="Times New Roman"/>
          <w:sz w:val="20"/>
        </w:rPr>
        <w:t xml:space="preserve">Calavo Growers, Inc. is a global avocado-industry leader and an expanding provider of value-added fresh food serving retail grocery, foodservice, club stores, mass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Calavo Growers Announces Fiscal 2018 Fourth Quarter and Full-Year Results/7-7-7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 </w:t>
      </w:r>
    </w:p>
    <w:p>
      <w:pPr>
        <w:pStyle w:val="TextBody"/>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spacing w:before="120" w:after="0"/>
        <w:jc w:val="left"/>
        <w:rPr>
          <w:rFonts w:ascii="Times New Roman" w:hAnsi="Times New Roman"/>
          <w:sz w:val="20"/>
        </w:rPr>
      </w:pPr>
      <w:r>
        <w:rPr>
          <w:rFonts w:ascii="Times New Roman" w:hAnsi="Times New Roman"/>
          <w:sz w:val="20"/>
        </w:rPr>
        <w:t xml:space="preserve">This news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 (loss) from unconsolidated entities, earnings, earnings per share, tax provisions, cash flows, currency exchange rates, the impact of acquisitions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and any statements of assumptions underlying any of the foregoing. Risks, uncertainties and assumptions include the impact of macroeconomic trends and events;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Calavo Growers Announces Fiscal 2018 Fourth Quarter and Full-Year Results/8-8-8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 </w:t>
      </w:r>
    </w:p>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240" w:after="0"/>
        <w:jc w:val="left"/>
        <w:rPr>
          <w:rFonts w:ascii="Times New Roman" w:hAnsi="Times New Roman"/>
          <w:sz w:val="20"/>
        </w:rPr>
      </w:pPr>
      <w:r>
        <w:rPr>
          <w:rFonts w:ascii="Times New Roman" w:hAnsi="Times New Roman"/>
          <w:sz w:val="20"/>
        </w:rPr>
        <w:t xml:space="preserve">Source: Calavo Growers, Inc.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CALAVO GROWERS, INC. </w:t>
      </w:r>
    </w:p>
    <w:p>
      <w:pPr>
        <w:pStyle w:val="TextBody"/>
        <w:spacing w:before="0" w:after="0"/>
        <w:jc w:val="center"/>
        <w:rPr>
          <w:rFonts w:ascii="Times New Roman" w:hAnsi="Times New Roman"/>
          <w:b/>
          <w:sz w:val="17"/>
        </w:rPr>
      </w:pPr>
      <w:r>
        <w:rPr>
          <w:rFonts w:ascii="Times New Roman" w:hAnsi="Times New Roman"/>
          <w:b/>
          <w:sz w:val="17"/>
        </w:rPr>
        <w:t xml:space="preserve">CONSOLIDATED BALANCE SHEETS </w:t>
      </w:r>
    </w:p>
    <w:p>
      <w:pPr>
        <w:pStyle w:val="TextBody"/>
        <w:spacing w:before="0" w:after="0"/>
        <w:jc w:val="center"/>
        <w:rPr>
          <w:rFonts w:ascii="Times New Roman" w:hAnsi="Times New Roman"/>
          <w:b/>
          <w:sz w:val="17"/>
        </w:rPr>
      </w:pPr>
      <w:r>
        <w:rPr>
          <w:rFonts w:ascii="Times New Roman" w:hAnsi="Times New Roman"/>
          <w:b/>
          <w:sz w:val="17"/>
        </w:rPr>
        <w:t xml:space="preserve">(unaudited; in thousands) </w:t>
      </w:r>
    </w:p>
    <w:p>
      <w:pPr>
        <w:pStyle w:val="TextBody"/>
        <w:spacing w:before="0" w:after="0"/>
        <w:jc w:val="left"/>
        <w:rPr/>
      </w:pPr>
      <w:r>
        <w:rPr/>
        <w:t> </w:t>
      </w:r>
    </w:p>
    <w:tbl>
      <w:tblPr>
        <w:tblW w:w="4500" w:type="pct"/>
        <w:jc w:val="left"/>
        <w:tblInd w:w="0" w:type="dxa"/>
        <w:tblCellMar>
          <w:top w:w="0" w:type="dxa"/>
          <w:left w:w="0" w:type="dxa"/>
          <w:bottom w:w="0" w:type="dxa"/>
          <w:right w:w="0" w:type="dxa"/>
        </w:tblCellMar>
      </w:tblPr>
      <w:tblGrid>
        <w:gridCol w:w="6585"/>
        <w:gridCol w:w="222"/>
        <w:gridCol w:w="140"/>
        <w:gridCol w:w="876"/>
        <w:gridCol w:w="60"/>
        <w:gridCol w:w="222"/>
        <w:gridCol w:w="140"/>
        <w:gridCol w:w="876"/>
        <w:gridCol w:w="63"/>
      </w:tblGrid>
      <w:tr>
        <w:trPr/>
        <w:tc>
          <w:tcPr>
            <w:tcW w:w="658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58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31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October 31,</w:t>
            </w:r>
          </w:p>
        </w:tc>
        <w:tc>
          <w:tcPr>
            <w:tcW w:w="63" w:type="dxa"/>
            <w:tcBorders/>
            <w:shd w:fill="auto" w:val="clear"/>
            <w:vAlign w:val="bottom"/>
          </w:tcPr>
          <w:p>
            <w:pPr>
              <w:pStyle w:val="TableContents"/>
              <w:spacing w:before="0" w:after="283"/>
              <w:rPr/>
            </w:pPr>
            <w:r>
              <w:rPr/>
              <w:t> </w:t>
            </w:r>
          </w:p>
        </w:tc>
      </w:tr>
      <w:tr>
        <w:trPr/>
        <w:tc>
          <w:tcPr>
            <w:tcW w:w="658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b/>
                <w:sz w:val="17"/>
              </w:rPr>
            </w:pPr>
            <w:r>
              <w:rPr>
                <w:rFonts w:ascii="Times New Roman" w:hAnsi="Times New Roman"/>
                <w:b/>
                <w:sz w:val="17"/>
              </w:rPr>
              <w:t>Assets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Current assets: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6" w:type="dxa"/>
            <w:tcBorders/>
            <w:shd w:fill="CCEEFF" w:val="clear"/>
            <w:vAlign w:val="bottom"/>
          </w:tcPr>
          <w:p>
            <w:pPr>
              <w:pStyle w:val="TableContents"/>
              <w:spacing w:before="0" w:after="283"/>
              <w:jc w:val="right"/>
              <w:rPr/>
            </w:pPr>
            <w:r>
              <w:rPr/>
              <w:t>1,520</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6" w:type="dxa"/>
            <w:tcBorders/>
            <w:shd w:fill="CCEEFF" w:val="clear"/>
            <w:vAlign w:val="bottom"/>
          </w:tcPr>
          <w:p>
            <w:pPr>
              <w:pStyle w:val="TableContents"/>
              <w:spacing w:before="0" w:after="283"/>
              <w:jc w:val="right"/>
              <w:rPr/>
            </w:pPr>
            <w:r>
              <w:rPr/>
              <w:t>6,625</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Accounts receivable, net of allowances of $3,227 (2018) and $2,490 (2017)</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66,143</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69,750</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Inventories, net</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35,044</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30,858</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Prepaid expenses and other current assets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16,727</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6,872</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Advances to suppliers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5,555</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4,346</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Income taxes receivable</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3,521</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1,377</w:t>
            </w:r>
          </w:p>
        </w:tc>
        <w:tc>
          <w:tcPr>
            <w:tcW w:w="63" w:type="dxa"/>
            <w:tcBorders/>
            <w:shd w:fill="auto" w:val="clear"/>
            <w:vAlign w:val="bottom"/>
          </w:tcPr>
          <w:p>
            <w:pPr>
              <w:pStyle w:val="TableContents"/>
              <w:spacing w:before="0" w:after="283"/>
              <w:rPr/>
            </w:pPr>
            <w:r>
              <w:rPr/>
              <w:t> </w:t>
            </w:r>
          </w:p>
        </w:tc>
      </w:tr>
      <w:tr>
        <w:trPr/>
        <w:tc>
          <w:tcPr>
            <w:tcW w:w="6585"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Total current assets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128,510</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119,828</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Property, plant, and equipment, net</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122,143</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120,072</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Investment in Limoneira Company</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42,609</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40,362</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Investment in unconsolidated entities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24,805</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33,019</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Deferred income taxes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4,377</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9,783</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Goodwill</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18,262</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18,262</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Other assets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27,030</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22,791</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585" w:type="dxa"/>
            <w:tcBorders/>
            <w:shd w:fill="auto" w:val="clea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6" w:type="dxa"/>
            <w:tcBorders/>
            <w:shd w:fill="auto" w:val="clear"/>
            <w:vAlign w:val="bottom"/>
          </w:tcPr>
          <w:p>
            <w:pPr>
              <w:pStyle w:val="TableContents"/>
              <w:spacing w:before="0" w:after="283"/>
              <w:jc w:val="right"/>
              <w:rPr/>
            </w:pPr>
            <w:r>
              <w:rPr/>
              <w:t> </w:t>
            </w:r>
            <w:r>
              <w:rPr/>
              <w:t>367,736</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6" w:type="dxa"/>
            <w:tcBorders/>
            <w:shd w:fill="auto" w:val="clear"/>
            <w:vAlign w:val="bottom"/>
          </w:tcPr>
          <w:p>
            <w:pPr>
              <w:pStyle w:val="TableContents"/>
              <w:spacing w:before="0" w:after="283"/>
              <w:jc w:val="right"/>
              <w:rPr/>
            </w:pPr>
            <w:r>
              <w:rPr/>
              <w:t> </w:t>
            </w:r>
            <w:r>
              <w:rPr/>
              <w:t>364,117</w:t>
            </w:r>
          </w:p>
        </w:tc>
        <w:tc>
          <w:tcPr>
            <w:tcW w:w="63" w:type="dxa"/>
            <w:tcBorders/>
            <w:shd w:fill="auto" w:val="clear"/>
            <w:vAlign w:val="bottom"/>
          </w:tcPr>
          <w:p>
            <w:pPr>
              <w:pStyle w:val="TableContents"/>
              <w:spacing w:before="0" w:after="283"/>
              <w:rPr/>
            </w:pPr>
            <w:r>
              <w:rPr/>
              <w:t> </w:t>
            </w:r>
          </w:p>
        </w:tc>
      </w:tr>
      <w:tr>
        <w:trPr/>
        <w:tc>
          <w:tcPr>
            <w:tcW w:w="6585"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6"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b/>
                <w:sz w:val="17"/>
              </w:rPr>
            </w:pPr>
            <w:r>
              <w:rPr>
                <w:rFonts w:ascii="Times New Roman" w:hAnsi="Times New Roman"/>
                <w:b/>
                <w:sz w:val="17"/>
              </w:rPr>
              <w:t>Liabilities and shareholders equity</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Current liabilities: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Payable to growers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6" w:type="dxa"/>
            <w:tcBorders/>
            <w:shd w:fill="CCEEFF" w:val="clear"/>
            <w:vAlign w:val="bottom"/>
          </w:tcPr>
          <w:p>
            <w:pPr>
              <w:pStyle w:val="TableContents"/>
              <w:spacing w:before="0" w:after="283"/>
              <w:jc w:val="right"/>
              <w:rPr/>
            </w:pPr>
            <w:r>
              <w:rPr/>
              <w:t>14,001</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6" w:type="dxa"/>
            <w:tcBorders/>
            <w:shd w:fill="CCEEFF" w:val="clear"/>
            <w:vAlign w:val="bottom"/>
          </w:tcPr>
          <w:p>
            <w:pPr>
              <w:pStyle w:val="TableContents"/>
              <w:spacing w:before="0" w:after="283"/>
              <w:jc w:val="right"/>
              <w:rPr/>
            </w:pPr>
            <w:r>
              <w:rPr/>
              <w:t>16,524</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Trade accounts payable</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13,735</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22,911</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Accrued expenses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38,521</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39,946</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Short-term borrowings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15,000</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20,000</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Dividend payable</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17,568</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16,657</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Current portion of long-term obligations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118</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129</w:t>
            </w:r>
          </w:p>
        </w:tc>
        <w:tc>
          <w:tcPr>
            <w:tcW w:w="63" w:type="dxa"/>
            <w:tcBorders/>
            <w:shd w:fill="auto" w:val="clear"/>
            <w:vAlign w:val="bottom"/>
          </w:tcPr>
          <w:p>
            <w:pPr>
              <w:pStyle w:val="TableContents"/>
              <w:spacing w:before="0" w:after="283"/>
              <w:rPr/>
            </w:pPr>
            <w:r>
              <w:rPr/>
              <w:t> </w:t>
            </w:r>
          </w:p>
        </w:tc>
      </w:tr>
      <w:tr>
        <w:trPr/>
        <w:tc>
          <w:tcPr>
            <w:tcW w:w="6585"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Total current liabilities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98,943</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116,167</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Long-term liabilities: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Long-term obligations, less current portion</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314</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439</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Deferred rent</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2,678</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2,732</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Deferred income taxes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842</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657</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Total long-term liabilities</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3,834</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3,828</w:t>
            </w:r>
          </w:p>
        </w:tc>
        <w:tc>
          <w:tcPr>
            <w:tcW w:w="63" w:type="dxa"/>
            <w:tcBorders/>
            <w:shd w:fill="auto" w:val="clear"/>
            <w:vAlign w:val="bottom"/>
          </w:tcPr>
          <w:p>
            <w:pPr>
              <w:pStyle w:val="TableContents"/>
              <w:spacing w:before="0" w:after="283"/>
              <w:rPr/>
            </w:pPr>
            <w:r>
              <w:rPr/>
              <w:t> </w:t>
            </w:r>
          </w:p>
        </w:tc>
      </w:tr>
      <w:tr>
        <w:trPr/>
        <w:tc>
          <w:tcPr>
            <w:tcW w:w="6585" w:type="dxa"/>
            <w:tcBorders/>
            <w:shd w:fill="CCEEFF" w:val="clear"/>
          </w:tcPr>
          <w:p>
            <w:pPr>
              <w:pStyle w:val="TableContents"/>
              <w:spacing w:before="0" w:after="0"/>
              <w:rPr>
                <w:rFonts w:ascii="Times New Roman" w:hAnsi="Times New Roman"/>
                <w:sz w:val="17"/>
              </w:rPr>
            </w:pPr>
            <w:r>
              <w:rPr>
                <w:rFonts w:ascii="Times New Roman" w:hAnsi="Times New Roman"/>
                <w:sz w:val="17"/>
              </w:rPr>
              <w:t>Commitments and contingencies</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6585" w:type="dxa"/>
            <w:tcBorders/>
            <w:shd w:fill="auto" w:val="clear"/>
          </w:tcPr>
          <w:p>
            <w:pPr>
              <w:pStyle w:val="TableContents"/>
              <w:spacing w:before="0" w:after="0"/>
              <w:rPr>
                <w:rFonts w:ascii="Times New Roman" w:hAnsi="Times New Roman"/>
                <w:sz w:val="17"/>
              </w:rPr>
            </w:pPr>
            <w:r>
              <w:rPr>
                <w:rFonts w:ascii="Times New Roman" w:hAnsi="Times New Roman"/>
                <w:sz w:val="17"/>
              </w:rPr>
              <w:t>Total shareholders equity</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264,959</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244,122</w:t>
            </w:r>
          </w:p>
        </w:tc>
        <w:tc>
          <w:tcPr>
            <w:tcW w:w="63" w:type="dxa"/>
            <w:tcBorders/>
            <w:shd w:fill="auto" w:val="clear"/>
            <w:vAlign w:val="bottom"/>
          </w:tcPr>
          <w:p>
            <w:pPr>
              <w:pStyle w:val="TableContents"/>
              <w:spacing w:before="0" w:after="283"/>
              <w:rPr/>
            </w:pPr>
            <w:r>
              <w:rPr/>
              <w:t> </w:t>
            </w:r>
          </w:p>
        </w:tc>
      </w:tr>
      <w:tr>
        <w:trPr/>
        <w:tc>
          <w:tcPr>
            <w:tcW w:w="6585"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585" w:type="dxa"/>
            <w:tcBorders/>
            <w:shd w:fill="CCEEFF" w:val="clear"/>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6" w:type="dxa"/>
            <w:tcBorders/>
            <w:shd w:fill="CCEEFF" w:val="clear"/>
            <w:vAlign w:val="bottom"/>
          </w:tcPr>
          <w:p>
            <w:pPr>
              <w:pStyle w:val="TableContents"/>
              <w:spacing w:before="0" w:after="283"/>
              <w:jc w:val="right"/>
              <w:rPr/>
            </w:pPr>
            <w:r>
              <w:rPr/>
              <w:t>367,736</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6" w:type="dxa"/>
            <w:tcBorders/>
            <w:shd w:fill="CCEEFF" w:val="clear"/>
            <w:vAlign w:val="bottom"/>
          </w:tcPr>
          <w:p>
            <w:pPr>
              <w:pStyle w:val="TableContents"/>
              <w:spacing w:before="0" w:after="283"/>
              <w:jc w:val="right"/>
              <w:rPr/>
            </w:pPr>
            <w:r>
              <w:rPr/>
              <w:t>364,117</w:t>
            </w:r>
          </w:p>
        </w:tc>
        <w:tc>
          <w:tcPr>
            <w:tcW w:w="63" w:type="dxa"/>
            <w:tcBorders/>
            <w:shd w:fill="CCEEFF" w:val="clear"/>
            <w:vAlign w:val="bottom"/>
          </w:tcPr>
          <w:p>
            <w:pPr>
              <w:pStyle w:val="TableContents"/>
              <w:spacing w:before="0" w:after="283"/>
              <w:rPr/>
            </w:pPr>
            <w:r>
              <w:rPr/>
              <w:t> </w:t>
            </w:r>
          </w:p>
        </w:tc>
      </w:tr>
      <w:tr>
        <w:trPr/>
        <w:tc>
          <w:tcPr>
            <w:tcW w:w="6585"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6"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rPr>
      </w:pPr>
      <w:r>
        <w:rPr>
          <w:rFonts w:ascii="Times New Roman" w:hAnsi="Times New Roman"/>
          <w:b/>
          <w:sz w:val="17"/>
        </w:rPr>
        <w:t xml:space="preserve">CALAVO GROWERS, INC. </w:t>
      </w:r>
    </w:p>
    <w:p>
      <w:pPr>
        <w:pStyle w:val="TextBody"/>
        <w:spacing w:before="0" w:after="0"/>
        <w:jc w:val="center"/>
        <w:rPr>
          <w:rFonts w:ascii="Times New Roman" w:hAnsi="Times New Roman"/>
          <w:b/>
          <w:sz w:val="17"/>
        </w:rPr>
      </w:pPr>
      <w:r>
        <w:rPr>
          <w:rFonts w:ascii="Times New Roman" w:hAnsi="Times New Roman"/>
          <w:b/>
          <w:sz w:val="17"/>
        </w:rPr>
        <w:t xml:space="preserve">CONSOLIDATED STATEMENTS OF INCOME </w:t>
      </w:r>
    </w:p>
    <w:p>
      <w:pPr>
        <w:pStyle w:val="TextBody"/>
        <w:spacing w:before="0" w:after="0"/>
        <w:jc w:val="center"/>
        <w:rPr>
          <w:rFonts w:ascii="Times New Roman" w:hAnsi="Times New Roman"/>
          <w:b/>
          <w:sz w:val="17"/>
        </w:rPr>
      </w:pPr>
      <w:r>
        <w:rPr>
          <w:rFonts w:ascii="Times New Roman" w:hAnsi="Times New Roman"/>
          <w:b/>
          <w:sz w:val="17"/>
        </w:rPr>
        <w:t xml:space="preserve">(unaudited; in thousands, except per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641"/>
        <w:gridCol w:w="203"/>
        <w:gridCol w:w="145"/>
        <w:gridCol w:w="839"/>
        <w:gridCol w:w="155"/>
        <w:gridCol w:w="160"/>
        <w:gridCol w:w="145"/>
        <w:gridCol w:w="839"/>
        <w:gridCol w:w="155"/>
        <w:gridCol w:w="160"/>
        <w:gridCol w:w="140"/>
        <w:gridCol w:w="1003"/>
        <w:gridCol w:w="155"/>
        <w:gridCol w:w="160"/>
        <w:gridCol w:w="140"/>
        <w:gridCol w:w="1003"/>
        <w:gridCol w:w="162"/>
      </w:tblGrid>
      <w:tr>
        <w:trPr/>
        <w:tc>
          <w:tcPr>
            <w:tcW w:w="464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283"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October 31,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601"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October 31,</w:t>
            </w:r>
          </w:p>
        </w:tc>
        <w:tc>
          <w:tcPr>
            <w:tcW w:w="162"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84"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2018    </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84"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2017    </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143"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2018    </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143"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2017    </w:t>
            </w:r>
          </w:p>
        </w:tc>
        <w:tc>
          <w:tcPr>
            <w:tcW w:w="162" w:type="dxa"/>
            <w:tcBorders/>
            <w:shd w:fill="auto" w:val="clear"/>
            <w:vAlign w:val="bottom"/>
          </w:tcPr>
          <w:p>
            <w:pPr>
              <w:pStyle w:val="TableContents"/>
              <w:spacing w:before="0" w:after="283"/>
              <w:rPr/>
            </w:pPr>
            <w:r>
              <w:rPr/>
              <w:t> </w:t>
            </w:r>
          </w:p>
        </w:tc>
      </w:tr>
      <w:tr>
        <w:trPr>
          <w:trHeight w:val="195" w:hRule="atLeast"/>
        </w:trPr>
        <w:tc>
          <w:tcPr>
            <w:tcW w:w="4641" w:type="dxa"/>
            <w:tcBorders/>
            <w:shd w:fill="auto" w:val="clear"/>
            <w:vAlign w:val="center"/>
          </w:tcPr>
          <w:p>
            <w:pPr>
              <w:pStyle w:val="TableContents"/>
              <w:spacing w:before="0" w:after="283"/>
              <w:rPr>
                <w:sz w:val="4"/>
                <w:szCs w:val="4"/>
              </w:rPr>
            </w:pPr>
            <w:r>
              <w:rPr>
                <w:sz w:val="4"/>
                <w:szCs w:val="4"/>
              </w:rPr>
            </w:r>
          </w:p>
        </w:tc>
        <w:tc>
          <w:tcPr>
            <w:tcW w:w="1342"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58"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280,005</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277,204</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1,088,758</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1,075,565</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Cost of sales</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257,738</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245,689</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975,142</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961,021</w:t>
            </w:r>
          </w:p>
        </w:tc>
        <w:tc>
          <w:tcPr>
            <w:tcW w:w="162"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Gross profit</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22,267</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31,515</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113,616</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114,544</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14,796</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14,701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57,081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56,651</w:t>
            </w:r>
          </w:p>
        </w:tc>
        <w:tc>
          <w:tcPr>
            <w:tcW w:w="162"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Operating income</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7,471</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16,814</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56,535</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57,893</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Interest expense</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(177</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(226</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(831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(1,023</w:t>
            </w:r>
          </w:p>
        </w:tc>
        <w:tc>
          <w:tcPr>
            <w:tcW w:w="162" w:type="dxa"/>
            <w:tcBorders/>
            <w:shd w:fill="auto" w:val="clear"/>
            <w:vAlign w:val="bottom"/>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Other income, net</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46</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41</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877</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503</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Income before provision for income taxes and income (loss) from unconsolidated entities</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7,340</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16,629</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56,581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57,373</w:t>
            </w:r>
          </w:p>
        </w:tc>
        <w:tc>
          <w:tcPr>
            <w:tcW w:w="162" w:type="dxa"/>
            <w:tcBorders/>
            <w:shd w:fill="auto" w:val="clear"/>
            <w:vAlign w:val="bottom"/>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income taxes</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250</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6,567</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12,719</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20,450</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Income (loss) from unconsolidated entities</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(8,451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311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(11,850</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401</w:t>
            </w:r>
          </w:p>
        </w:tc>
        <w:tc>
          <w:tcPr>
            <w:tcW w:w="162"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(1,361</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10,373</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32,012</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37,324</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Add: Net loss (inc) attributable to noncontrolling interest</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31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(107</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269</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(54</w:t>
            </w:r>
          </w:p>
        </w:tc>
        <w:tc>
          <w:tcPr>
            <w:tcW w:w="162"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(loss) attributable to Calavo Growers, Inc.</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(1,330</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10,266</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32,281</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37,270</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rHeight w:val="120" w:hRule="atLeast"/>
        </w:trPr>
        <w:tc>
          <w:tcPr>
            <w:tcW w:w="4641" w:type="dxa"/>
            <w:tcBorders/>
            <w:shd w:fill="auto" w:val="clear"/>
            <w:vAlign w:val="center"/>
          </w:tcPr>
          <w:p>
            <w:pPr>
              <w:pStyle w:val="TableContents"/>
              <w:spacing w:before="0" w:after="283"/>
              <w:rPr>
                <w:sz w:val="4"/>
                <w:szCs w:val="4"/>
              </w:rPr>
            </w:pPr>
            <w:r>
              <w:rPr>
                <w:sz w:val="4"/>
                <w:szCs w:val="4"/>
              </w:rPr>
            </w:r>
          </w:p>
        </w:tc>
        <w:tc>
          <w:tcPr>
            <w:tcW w:w="1342"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58"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Calavo Growers, Inc.s net income (loss) per share:</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8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8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0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03"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(0.08</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0.59</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1.85</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2.14</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839" w:type="dxa"/>
            <w:tcBorders/>
            <w:shd w:fill="auto" w:val="clear"/>
            <w:vAlign w:val="bottom"/>
          </w:tcPr>
          <w:p>
            <w:pPr>
              <w:pStyle w:val="TableContents"/>
              <w:spacing w:before="0" w:after="283"/>
              <w:jc w:val="right"/>
              <w:rPr/>
            </w:pPr>
            <w:r>
              <w:rPr/>
              <w:t>(0.08</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839" w:type="dxa"/>
            <w:tcBorders/>
            <w:shd w:fill="auto" w:val="clear"/>
            <w:vAlign w:val="bottom"/>
          </w:tcPr>
          <w:p>
            <w:pPr>
              <w:pStyle w:val="TableContents"/>
              <w:spacing w:before="0" w:after="283"/>
              <w:jc w:val="right"/>
              <w:rPr/>
            </w:pPr>
            <w:r>
              <w:rPr/>
              <w:t>0.59</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3" w:type="dxa"/>
            <w:tcBorders/>
            <w:shd w:fill="auto" w:val="clear"/>
            <w:vAlign w:val="bottom"/>
          </w:tcPr>
          <w:p>
            <w:pPr>
              <w:pStyle w:val="TableContents"/>
              <w:spacing w:before="0" w:after="283"/>
              <w:jc w:val="right"/>
              <w:rPr/>
            </w:pPr>
            <w:r>
              <w:rPr/>
              <w:t>1.84</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3" w:type="dxa"/>
            <w:tcBorders/>
            <w:shd w:fill="auto" w:val="clear"/>
            <w:vAlign w:val="bottom"/>
          </w:tcPr>
          <w:p>
            <w:pPr>
              <w:pStyle w:val="TableContents"/>
              <w:spacing w:before="0" w:after="283"/>
              <w:jc w:val="right"/>
              <w:rPr/>
            </w:pPr>
            <w:r>
              <w:rPr/>
              <w:t>2.13</w:t>
            </w:r>
          </w:p>
        </w:tc>
        <w:tc>
          <w:tcPr>
            <w:tcW w:w="162"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rHeight w:val="120" w:hRule="atLeast"/>
        </w:trPr>
        <w:tc>
          <w:tcPr>
            <w:tcW w:w="4641" w:type="dxa"/>
            <w:tcBorders/>
            <w:shd w:fill="auto" w:val="clear"/>
            <w:vAlign w:val="center"/>
          </w:tcPr>
          <w:p>
            <w:pPr>
              <w:pStyle w:val="TableContents"/>
              <w:spacing w:before="0" w:after="283"/>
              <w:rPr>
                <w:sz w:val="4"/>
                <w:szCs w:val="4"/>
              </w:rPr>
            </w:pPr>
            <w:r>
              <w:rPr>
                <w:sz w:val="4"/>
                <w:szCs w:val="4"/>
              </w:rPr>
            </w:r>
          </w:p>
        </w:tc>
        <w:tc>
          <w:tcPr>
            <w:tcW w:w="1342" w:type="dxa"/>
            <w:gridSpan w:val="4"/>
            <w:tcBorders/>
            <w:shd w:fill="auto" w:val="clear"/>
            <w:vAlign w:val="center"/>
          </w:tcPr>
          <w:p>
            <w:pPr>
              <w:pStyle w:val="TableContents"/>
              <w:spacing w:before="0" w:after="283"/>
              <w:rPr>
                <w:sz w:val="4"/>
                <w:szCs w:val="4"/>
              </w:rPr>
            </w:pPr>
            <w:r>
              <w:rPr>
                <w:sz w:val="4"/>
                <w:szCs w:val="4"/>
              </w:rPr>
            </w:r>
          </w:p>
        </w:tc>
        <w:tc>
          <w:tcPr>
            <w:tcW w:w="1299" w:type="dxa"/>
            <w:gridSpan w:val="4"/>
            <w:tcBorders/>
            <w:shd w:fill="auto" w:val="clear"/>
            <w:vAlign w:val="center"/>
          </w:tcPr>
          <w:p>
            <w:pPr>
              <w:pStyle w:val="TableContents"/>
              <w:spacing w:before="0" w:after="283"/>
              <w:rPr>
                <w:sz w:val="4"/>
                <w:szCs w:val="4"/>
              </w:rPr>
            </w:pPr>
            <w:r>
              <w:rPr>
                <w:sz w:val="4"/>
                <w:szCs w:val="4"/>
              </w:rPr>
            </w:r>
          </w:p>
        </w:tc>
        <w:tc>
          <w:tcPr>
            <w:tcW w:w="1458"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Calavo Growers, Inc.s shares used in per share computation:</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8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8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0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03"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4641"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17,482</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17,429</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17,477</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17,416</w:t>
            </w:r>
          </w:p>
        </w:tc>
        <w:tc>
          <w:tcPr>
            <w:tcW w:w="162"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20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17,581</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17,544</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17,568</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17,514</w:t>
            </w:r>
          </w:p>
        </w:tc>
        <w:tc>
          <w:tcPr>
            <w:tcW w:w="162" w:type="dxa"/>
            <w:tcBorders/>
            <w:shd w:fill="CCEEFF"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rPr>
      </w:pPr>
      <w:r>
        <w:rPr>
          <w:rFonts w:ascii="Times New Roman" w:hAnsi="Times New Roman"/>
          <w:b/>
          <w:sz w:val="17"/>
        </w:rPr>
        <w:t xml:space="preserve">CALAVO GROWERS, INC. </w:t>
      </w:r>
    </w:p>
    <w:p>
      <w:pPr>
        <w:pStyle w:val="TextBody"/>
        <w:spacing w:before="0" w:after="0"/>
        <w:jc w:val="center"/>
        <w:rPr>
          <w:rFonts w:ascii="Times New Roman" w:hAnsi="Times New Roman"/>
          <w:b/>
          <w:sz w:val="17"/>
        </w:rPr>
      </w:pPr>
      <w:r>
        <w:rPr>
          <w:rFonts w:ascii="Times New Roman" w:hAnsi="Times New Roman"/>
          <w:b/>
          <w:sz w:val="17"/>
        </w:rPr>
        <w:t xml:space="preserve">NET SALES AND GROSS PROFIT BY BUSINESS SEGMENT </w:t>
      </w:r>
    </w:p>
    <w:p>
      <w:pPr>
        <w:pStyle w:val="TextBody"/>
        <w:spacing w:before="0" w:after="0"/>
        <w:jc w:val="center"/>
        <w:rPr>
          <w:rFonts w:ascii="Times New Roman" w:hAnsi="Times New Roman"/>
          <w:b/>
          <w:sz w:val="17"/>
        </w:rPr>
      </w:pPr>
      <w:r>
        <w:rPr>
          <w:rFonts w:ascii="Times New Roman" w:hAnsi="Times New Roman"/>
          <w:b/>
          <w:sz w:val="17"/>
        </w:rPr>
        <w:t xml:space="preserve">(unaudited) </w:t>
      </w:r>
    </w:p>
    <w:p>
      <w:pPr>
        <w:pStyle w:val="TextBody"/>
        <w:spacing w:before="0" w:after="0"/>
        <w:jc w:val="left"/>
        <w:rPr/>
      </w:pPr>
      <w:r>
        <w:rPr/>
        <w:t> </w:t>
      </w:r>
    </w:p>
    <w:tbl>
      <w:tblPr>
        <w:tblW w:w="4000" w:type="pct"/>
        <w:jc w:val="left"/>
        <w:tblInd w:w="0" w:type="dxa"/>
        <w:tblCellMar>
          <w:top w:w="0" w:type="dxa"/>
          <w:left w:w="0" w:type="dxa"/>
          <w:bottom w:w="0" w:type="dxa"/>
          <w:right w:w="0" w:type="dxa"/>
        </w:tblCellMar>
      </w:tblPr>
      <w:tblGrid>
        <w:gridCol w:w="3183"/>
        <w:gridCol w:w="172"/>
        <w:gridCol w:w="172"/>
        <w:gridCol w:w="1020"/>
        <w:gridCol w:w="60"/>
        <w:gridCol w:w="172"/>
        <w:gridCol w:w="149"/>
        <w:gridCol w:w="726"/>
        <w:gridCol w:w="60"/>
        <w:gridCol w:w="172"/>
        <w:gridCol w:w="140"/>
        <w:gridCol w:w="824"/>
        <w:gridCol w:w="60"/>
        <w:gridCol w:w="172"/>
        <w:gridCol w:w="140"/>
        <w:gridCol w:w="875"/>
        <w:gridCol w:w="67"/>
      </w:tblGrid>
      <w:tr>
        <w:trPr/>
        <w:tc>
          <w:tcPr>
            <w:tcW w:w="318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318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Fresh</w:t>
            </w:r>
            <w:r>
              <w:rPr/>
              <w:br/>
              <w:t>  </w:t>
            </w:r>
            <w:r>
              <w:rPr>
                <w:b/>
              </w:rPr>
              <w:t>products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Calavo</w:t>
            </w:r>
            <w:r>
              <w:rPr/>
              <w:br/>
              <w:t>  </w:t>
            </w:r>
            <w:r>
              <w:rPr>
                <w:b/>
              </w:rPr>
              <w:t>Foods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RFG</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7" w:type="dxa"/>
            <w:tcBorders/>
            <w:shd w:fill="auto" w:val="clear"/>
            <w:vAlign w:val="bottom"/>
          </w:tcPr>
          <w:p>
            <w:pPr>
              <w:pStyle w:val="TableContents"/>
              <w:spacing w:before="0" w:after="283"/>
              <w:rPr/>
            </w:pPr>
            <w:r>
              <w:rPr/>
              <w:t> </w:t>
            </w:r>
          </w:p>
        </w:tc>
      </w:tr>
      <w:tr>
        <w:trPr/>
        <w:tc>
          <w:tcPr>
            <w:tcW w:w="318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4742" w:type="dxa"/>
            <w:gridSpan w:val="14"/>
            <w:tcBorders/>
            <w:shd w:fill="auto" w:val="clear"/>
            <w:vAlign w:val="bottom"/>
          </w:tcPr>
          <w:p>
            <w:pPr>
              <w:pStyle w:val="TableContents"/>
              <w:spacing w:before="0" w:after="283"/>
              <w:jc w:val="right"/>
              <w:rPr>
                <w:b/>
              </w:rPr>
            </w:pPr>
            <w:r>
              <w:rPr>
                <w:b/>
              </w:rPr>
              <w:t>(All amounts are presented in thousands)  </w:t>
            </w:r>
          </w:p>
        </w:tc>
        <w:tc>
          <w:tcPr>
            <w:tcW w:w="67" w:type="dxa"/>
            <w:tcBorders/>
            <w:shd w:fill="auto" w:val="clear"/>
            <w:vAlign w:val="bottom"/>
          </w:tcPr>
          <w:p>
            <w:pPr>
              <w:pStyle w:val="TableContents"/>
              <w:spacing w:before="0" w:after="283"/>
              <w:rPr/>
            </w:pPr>
            <w:r>
              <w:rPr/>
              <w:t> </w:t>
            </w:r>
          </w:p>
        </w:tc>
      </w:tr>
      <w:tr>
        <w:trPr/>
        <w:tc>
          <w:tcPr>
            <w:tcW w:w="3183" w:type="dxa"/>
            <w:tcBorders/>
            <w:shd w:fill="CCEEFF" w:val="clear"/>
          </w:tcPr>
          <w:p>
            <w:pPr>
              <w:pStyle w:val="TableContents"/>
              <w:spacing w:before="0" w:after="0"/>
              <w:rPr>
                <w:rFonts w:ascii="Times New Roman" w:hAnsi="Times New Roman"/>
                <w:b/>
                <w:sz w:val="17"/>
              </w:rPr>
            </w:pPr>
            <w:r>
              <w:rPr>
                <w:rFonts w:ascii="Times New Roman" w:hAnsi="Times New Roman"/>
                <w:b/>
                <w:sz w:val="17"/>
              </w:rPr>
              <w:t>Three months ended October 31, 2018</w:t>
            </w:r>
          </w:p>
        </w:tc>
        <w:tc>
          <w:tcPr>
            <w:tcW w:w="17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0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72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3183" w:type="dxa"/>
            <w:tcBorders/>
            <w:shd w:fill="auto" w:val="clear"/>
          </w:tcPr>
          <w:p>
            <w:pPr>
              <w:pStyle w:val="TableContents"/>
              <w:spacing w:before="0" w:after="0"/>
              <w:rPr>
                <w:rFonts w:ascii="Times New Roman" w:hAnsi="Times New Roman"/>
                <w:sz w:val="17"/>
              </w:rPr>
            </w:pPr>
            <w:r>
              <w:rPr>
                <w:rFonts w:ascii="Times New Roman" w:hAnsi="Times New Roman"/>
                <w:sz w:val="17"/>
              </w:rPr>
              <w:t>Net sales</w:t>
            </w:r>
          </w:p>
        </w:tc>
        <w:tc>
          <w:tcPr>
            <w:tcW w:w="17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20" w:type="dxa"/>
            <w:tcBorders/>
            <w:shd w:fill="auto" w:val="clear"/>
            <w:vAlign w:val="bottom"/>
          </w:tcPr>
          <w:p>
            <w:pPr>
              <w:pStyle w:val="TableContents"/>
              <w:spacing w:before="0" w:after="283"/>
              <w:jc w:val="right"/>
              <w:rPr/>
            </w:pPr>
            <w:r>
              <w:rPr/>
              <w:t>141,099</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726" w:type="dxa"/>
            <w:tcBorders/>
            <w:shd w:fill="auto" w:val="clear"/>
            <w:vAlign w:val="bottom"/>
          </w:tcPr>
          <w:p>
            <w:pPr>
              <w:pStyle w:val="TableContents"/>
              <w:spacing w:before="0" w:after="283"/>
              <w:jc w:val="right"/>
              <w:rPr/>
            </w:pPr>
            <w:r>
              <w:rPr/>
              <w:t>21,884</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4" w:type="dxa"/>
            <w:tcBorders/>
            <w:shd w:fill="auto" w:val="clear"/>
            <w:vAlign w:val="bottom"/>
          </w:tcPr>
          <w:p>
            <w:pPr>
              <w:pStyle w:val="TableContents"/>
              <w:spacing w:before="0" w:after="283"/>
              <w:jc w:val="right"/>
              <w:rPr/>
            </w:pPr>
            <w:r>
              <w:rPr/>
              <w:t>117,022</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 </w:t>
            </w:r>
            <w:r>
              <w:rPr/>
              <w:t>280,005</w:t>
            </w:r>
          </w:p>
        </w:tc>
        <w:tc>
          <w:tcPr>
            <w:tcW w:w="67" w:type="dxa"/>
            <w:tcBorders/>
            <w:shd w:fill="auto" w:val="clear"/>
            <w:vAlign w:val="bottom"/>
          </w:tcPr>
          <w:p>
            <w:pPr>
              <w:pStyle w:val="TableContents"/>
              <w:spacing w:before="0" w:after="283"/>
              <w:rPr/>
            </w:pPr>
            <w:r>
              <w:rPr/>
              <w:t> </w:t>
            </w:r>
          </w:p>
        </w:tc>
      </w:tr>
      <w:tr>
        <w:trPr/>
        <w:tc>
          <w:tcPr>
            <w:tcW w:w="3183" w:type="dxa"/>
            <w:tcBorders/>
            <w:shd w:fill="CCEEFF" w:val="clear"/>
          </w:tcPr>
          <w:p>
            <w:pPr>
              <w:pStyle w:val="TableContents"/>
              <w:spacing w:before="0" w:after="0"/>
              <w:rPr>
                <w:rFonts w:ascii="Times New Roman" w:hAnsi="Times New Roman"/>
                <w:sz w:val="17"/>
              </w:rPr>
            </w:pPr>
            <w:r>
              <w:rPr>
                <w:rFonts w:ascii="Times New Roman" w:hAnsi="Times New Roman"/>
                <w:sz w:val="17"/>
              </w:rPr>
              <w:t>Cost of sales</w:t>
            </w:r>
          </w:p>
        </w:tc>
        <w:tc>
          <w:tcPr>
            <w:tcW w:w="17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pPr>
            <w:r>
              <w:rPr/>
              <w:t>131,247</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17,239</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109,252</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257,738</w:t>
            </w:r>
          </w:p>
        </w:tc>
        <w:tc>
          <w:tcPr>
            <w:tcW w:w="67" w:type="dxa"/>
            <w:tcBorders/>
            <w:shd w:fill="CCEEFF" w:val="clear"/>
            <w:vAlign w:val="bottom"/>
          </w:tcPr>
          <w:p>
            <w:pPr>
              <w:pStyle w:val="TableContents"/>
              <w:spacing w:before="0" w:after="283"/>
              <w:rPr/>
            </w:pPr>
            <w:r>
              <w:rPr/>
              <w:t> </w:t>
            </w:r>
          </w:p>
        </w:tc>
      </w:tr>
      <w:tr>
        <w:trPr/>
        <w:tc>
          <w:tcPr>
            <w:tcW w:w="3183"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0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72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5"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3183" w:type="dxa"/>
            <w:tcBorders/>
            <w:shd w:fill="auto" w:val="clear"/>
          </w:tcPr>
          <w:p>
            <w:pPr>
              <w:pStyle w:val="TableContents"/>
              <w:spacing w:before="0" w:after="0"/>
              <w:rPr>
                <w:rFonts w:ascii="Times New Roman" w:hAnsi="Times New Roman"/>
                <w:sz w:val="17"/>
              </w:rPr>
            </w:pPr>
            <w:r>
              <w:rPr>
                <w:rFonts w:ascii="Times New Roman" w:hAnsi="Times New Roman"/>
                <w:sz w:val="17"/>
              </w:rPr>
              <w:t>Gross profit</w:t>
            </w:r>
          </w:p>
        </w:tc>
        <w:tc>
          <w:tcPr>
            <w:tcW w:w="17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20" w:type="dxa"/>
            <w:tcBorders/>
            <w:shd w:fill="auto" w:val="clear"/>
            <w:vAlign w:val="bottom"/>
          </w:tcPr>
          <w:p>
            <w:pPr>
              <w:pStyle w:val="TableContents"/>
              <w:spacing w:before="0" w:after="283"/>
              <w:jc w:val="right"/>
              <w:rPr/>
            </w:pPr>
            <w:r>
              <w:rPr/>
              <w:t>9,852</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726" w:type="dxa"/>
            <w:tcBorders/>
            <w:shd w:fill="auto" w:val="clear"/>
            <w:vAlign w:val="bottom"/>
          </w:tcPr>
          <w:p>
            <w:pPr>
              <w:pStyle w:val="TableContents"/>
              <w:spacing w:before="0" w:after="283"/>
              <w:jc w:val="right"/>
              <w:rPr/>
            </w:pPr>
            <w:r>
              <w:rPr/>
              <w:t>4,645</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4" w:type="dxa"/>
            <w:tcBorders/>
            <w:shd w:fill="auto" w:val="clear"/>
            <w:vAlign w:val="bottom"/>
          </w:tcPr>
          <w:p>
            <w:pPr>
              <w:pStyle w:val="TableContents"/>
              <w:spacing w:before="0" w:after="283"/>
              <w:jc w:val="right"/>
              <w:rPr/>
            </w:pPr>
            <w:r>
              <w:rPr/>
              <w:t>7,770</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22,267</w:t>
            </w:r>
          </w:p>
        </w:tc>
        <w:tc>
          <w:tcPr>
            <w:tcW w:w="67" w:type="dxa"/>
            <w:tcBorders/>
            <w:shd w:fill="auto" w:val="clear"/>
            <w:vAlign w:val="bottom"/>
          </w:tcPr>
          <w:p>
            <w:pPr>
              <w:pStyle w:val="TableContents"/>
              <w:spacing w:before="0" w:after="283"/>
              <w:rPr/>
            </w:pPr>
            <w:r>
              <w:rPr/>
              <w:t> </w:t>
            </w:r>
          </w:p>
        </w:tc>
      </w:tr>
      <w:tr>
        <w:trPr/>
        <w:tc>
          <w:tcPr>
            <w:tcW w:w="3183"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02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72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2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5" w:type="dxa"/>
            <w:tcBorders/>
            <w:shd w:fill="auto" w:val="clear"/>
            <w:vAlign w:val="bottom"/>
          </w:tcPr>
          <w:p>
            <w:pPr>
              <w:pStyle w:val="TableContents"/>
              <w:pBdr>
                <w:top w:val="double" w:sz="6"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rHeight w:val="120" w:hRule="atLeast"/>
        </w:trPr>
        <w:tc>
          <w:tcPr>
            <w:tcW w:w="3183" w:type="dxa"/>
            <w:tcBorders/>
            <w:shd w:fill="auto" w:val="clear"/>
            <w:vAlign w:val="center"/>
          </w:tcPr>
          <w:p>
            <w:pPr>
              <w:pStyle w:val="TableContents"/>
              <w:spacing w:before="0" w:after="283"/>
              <w:rPr>
                <w:sz w:val="4"/>
                <w:szCs w:val="4"/>
              </w:rPr>
            </w:pPr>
            <w:r>
              <w:rPr>
                <w:sz w:val="4"/>
                <w:szCs w:val="4"/>
              </w:rPr>
            </w:r>
          </w:p>
        </w:tc>
        <w:tc>
          <w:tcPr>
            <w:tcW w:w="1424" w:type="dxa"/>
            <w:gridSpan w:val="4"/>
            <w:tcBorders/>
            <w:shd w:fill="auto" w:val="clear"/>
            <w:vAlign w:val="center"/>
          </w:tcPr>
          <w:p>
            <w:pPr>
              <w:pStyle w:val="TableContents"/>
              <w:spacing w:before="0" w:after="283"/>
              <w:rPr>
                <w:sz w:val="4"/>
                <w:szCs w:val="4"/>
              </w:rPr>
            </w:pPr>
            <w:r>
              <w:rPr>
                <w:sz w:val="4"/>
                <w:szCs w:val="4"/>
              </w:rPr>
            </w:r>
          </w:p>
        </w:tc>
        <w:tc>
          <w:tcPr>
            <w:tcW w:w="1107" w:type="dxa"/>
            <w:gridSpan w:val="4"/>
            <w:tcBorders/>
            <w:shd w:fill="auto" w:val="clear"/>
            <w:vAlign w:val="center"/>
          </w:tcPr>
          <w:p>
            <w:pPr>
              <w:pStyle w:val="TableContents"/>
              <w:spacing w:before="0" w:after="283"/>
              <w:rPr>
                <w:sz w:val="4"/>
                <w:szCs w:val="4"/>
              </w:rPr>
            </w:pPr>
            <w:r>
              <w:rPr>
                <w:sz w:val="4"/>
                <w:szCs w:val="4"/>
              </w:rPr>
            </w:r>
          </w:p>
        </w:tc>
        <w:tc>
          <w:tcPr>
            <w:tcW w:w="1196" w:type="dxa"/>
            <w:gridSpan w:val="4"/>
            <w:tcBorders/>
            <w:shd w:fill="auto" w:val="clear"/>
            <w:vAlign w:val="center"/>
          </w:tcPr>
          <w:p>
            <w:pPr>
              <w:pStyle w:val="TableContents"/>
              <w:spacing w:before="0" w:after="283"/>
              <w:rPr>
                <w:sz w:val="4"/>
                <w:szCs w:val="4"/>
              </w:rPr>
            </w:pPr>
            <w:r>
              <w:rPr>
                <w:sz w:val="4"/>
                <w:szCs w:val="4"/>
              </w:rPr>
            </w:r>
          </w:p>
        </w:tc>
        <w:tc>
          <w:tcPr>
            <w:tcW w:w="1254" w:type="dxa"/>
            <w:gridSpan w:val="4"/>
            <w:tcBorders/>
            <w:shd w:fill="auto" w:val="clear"/>
            <w:vAlign w:val="center"/>
          </w:tcPr>
          <w:p>
            <w:pPr>
              <w:pStyle w:val="TableContents"/>
              <w:spacing w:before="0" w:after="283"/>
              <w:rPr>
                <w:sz w:val="4"/>
                <w:szCs w:val="4"/>
              </w:rPr>
            </w:pPr>
            <w:r>
              <w:rPr>
                <w:sz w:val="4"/>
                <w:szCs w:val="4"/>
              </w:rPr>
            </w:r>
          </w:p>
        </w:tc>
      </w:tr>
      <w:tr>
        <w:trPr/>
        <w:tc>
          <w:tcPr>
            <w:tcW w:w="3183" w:type="dxa"/>
            <w:tcBorders/>
            <w:shd w:fill="CCEEFF" w:val="clear"/>
          </w:tcPr>
          <w:p>
            <w:pPr>
              <w:pStyle w:val="TableContents"/>
              <w:spacing w:before="0" w:after="0"/>
              <w:rPr>
                <w:rFonts w:ascii="Times New Roman" w:hAnsi="Times New Roman"/>
                <w:b/>
                <w:sz w:val="17"/>
              </w:rPr>
            </w:pPr>
            <w:r>
              <w:rPr>
                <w:rFonts w:ascii="Times New Roman" w:hAnsi="Times New Roman"/>
                <w:b/>
                <w:sz w:val="17"/>
              </w:rPr>
              <w:t>Three months ended October 31, 2017</w:t>
            </w:r>
          </w:p>
        </w:tc>
        <w:tc>
          <w:tcPr>
            <w:tcW w:w="17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0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72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3183" w:type="dxa"/>
            <w:tcBorders/>
            <w:shd w:fill="auto" w:val="clear"/>
          </w:tcPr>
          <w:p>
            <w:pPr>
              <w:pStyle w:val="TableContents"/>
              <w:spacing w:before="0" w:after="0"/>
              <w:rPr>
                <w:rFonts w:ascii="Times New Roman" w:hAnsi="Times New Roman"/>
                <w:sz w:val="17"/>
              </w:rPr>
            </w:pPr>
            <w:r>
              <w:rPr>
                <w:rFonts w:ascii="Times New Roman" w:hAnsi="Times New Roman"/>
                <w:sz w:val="17"/>
              </w:rPr>
              <w:t>Net sales</w:t>
            </w:r>
          </w:p>
        </w:tc>
        <w:tc>
          <w:tcPr>
            <w:tcW w:w="17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20" w:type="dxa"/>
            <w:tcBorders/>
            <w:shd w:fill="auto" w:val="clear"/>
            <w:vAlign w:val="bottom"/>
          </w:tcPr>
          <w:p>
            <w:pPr>
              <w:pStyle w:val="TableContents"/>
              <w:spacing w:before="0" w:after="283"/>
              <w:jc w:val="right"/>
              <w:rPr/>
            </w:pPr>
            <w:r>
              <w:rPr/>
              <w:t>146,061</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726" w:type="dxa"/>
            <w:tcBorders/>
            <w:shd w:fill="auto" w:val="clear"/>
            <w:vAlign w:val="bottom"/>
          </w:tcPr>
          <w:p>
            <w:pPr>
              <w:pStyle w:val="TableContents"/>
              <w:spacing w:before="0" w:after="283"/>
              <w:jc w:val="right"/>
              <w:rPr/>
            </w:pPr>
            <w:r>
              <w:rPr/>
              <w:t>20,519</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4" w:type="dxa"/>
            <w:tcBorders/>
            <w:shd w:fill="auto" w:val="clear"/>
            <w:vAlign w:val="bottom"/>
          </w:tcPr>
          <w:p>
            <w:pPr>
              <w:pStyle w:val="TableContents"/>
              <w:spacing w:before="0" w:after="283"/>
              <w:jc w:val="right"/>
              <w:rPr/>
            </w:pPr>
            <w:r>
              <w:rPr/>
              <w:t>110,624</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277,204</w:t>
            </w:r>
          </w:p>
        </w:tc>
        <w:tc>
          <w:tcPr>
            <w:tcW w:w="67" w:type="dxa"/>
            <w:tcBorders/>
            <w:shd w:fill="auto" w:val="clear"/>
            <w:vAlign w:val="bottom"/>
          </w:tcPr>
          <w:p>
            <w:pPr>
              <w:pStyle w:val="TableContents"/>
              <w:spacing w:before="0" w:after="283"/>
              <w:rPr/>
            </w:pPr>
            <w:r>
              <w:rPr/>
              <w:t> </w:t>
            </w:r>
          </w:p>
        </w:tc>
      </w:tr>
      <w:tr>
        <w:trPr/>
        <w:tc>
          <w:tcPr>
            <w:tcW w:w="3183" w:type="dxa"/>
            <w:tcBorders/>
            <w:shd w:fill="CCEEFF" w:val="clear"/>
          </w:tcPr>
          <w:p>
            <w:pPr>
              <w:pStyle w:val="TableContents"/>
              <w:spacing w:before="0" w:after="0"/>
              <w:rPr>
                <w:rFonts w:ascii="Times New Roman" w:hAnsi="Times New Roman"/>
                <w:sz w:val="17"/>
              </w:rPr>
            </w:pPr>
            <w:r>
              <w:rPr>
                <w:rFonts w:ascii="Times New Roman" w:hAnsi="Times New Roman"/>
                <w:sz w:val="17"/>
              </w:rPr>
              <w:t>Cost of sales</w:t>
            </w:r>
          </w:p>
        </w:tc>
        <w:tc>
          <w:tcPr>
            <w:tcW w:w="17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pPr>
            <w:r>
              <w:rPr/>
              <w:t>122,281</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18,933</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104,475</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245,689</w:t>
            </w:r>
          </w:p>
        </w:tc>
        <w:tc>
          <w:tcPr>
            <w:tcW w:w="67" w:type="dxa"/>
            <w:tcBorders/>
            <w:shd w:fill="CCEEFF" w:val="clear"/>
            <w:vAlign w:val="bottom"/>
          </w:tcPr>
          <w:p>
            <w:pPr>
              <w:pStyle w:val="TableContents"/>
              <w:spacing w:before="0" w:after="283"/>
              <w:rPr/>
            </w:pPr>
            <w:r>
              <w:rPr/>
              <w:t> </w:t>
            </w:r>
          </w:p>
        </w:tc>
      </w:tr>
      <w:tr>
        <w:trPr/>
        <w:tc>
          <w:tcPr>
            <w:tcW w:w="3183"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0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72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5"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3183" w:type="dxa"/>
            <w:tcBorders/>
            <w:shd w:fill="auto" w:val="clear"/>
          </w:tcPr>
          <w:p>
            <w:pPr>
              <w:pStyle w:val="TableContents"/>
              <w:spacing w:before="0" w:after="0"/>
              <w:rPr>
                <w:rFonts w:ascii="Times New Roman" w:hAnsi="Times New Roman"/>
                <w:sz w:val="17"/>
              </w:rPr>
            </w:pPr>
            <w:r>
              <w:rPr>
                <w:rFonts w:ascii="Times New Roman" w:hAnsi="Times New Roman"/>
                <w:sz w:val="17"/>
              </w:rPr>
              <w:t>Gross profit</w:t>
            </w:r>
          </w:p>
        </w:tc>
        <w:tc>
          <w:tcPr>
            <w:tcW w:w="17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20" w:type="dxa"/>
            <w:tcBorders/>
            <w:shd w:fill="auto" w:val="clear"/>
            <w:vAlign w:val="bottom"/>
          </w:tcPr>
          <w:p>
            <w:pPr>
              <w:pStyle w:val="TableContents"/>
              <w:spacing w:before="0" w:after="283"/>
              <w:jc w:val="right"/>
              <w:rPr/>
            </w:pPr>
            <w:r>
              <w:rPr/>
              <w:t>23,780</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726" w:type="dxa"/>
            <w:tcBorders/>
            <w:shd w:fill="auto" w:val="clear"/>
            <w:vAlign w:val="bottom"/>
          </w:tcPr>
          <w:p>
            <w:pPr>
              <w:pStyle w:val="TableContents"/>
              <w:spacing w:before="0" w:after="283"/>
              <w:jc w:val="right"/>
              <w:rPr/>
            </w:pPr>
            <w:r>
              <w:rPr/>
              <w:t>1,586</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4" w:type="dxa"/>
            <w:tcBorders/>
            <w:shd w:fill="auto" w:val="clear"/>
            <w:vAlign w:val="bottom"/>
          </w:tcPr>
          <w:p>
            <w:pPr>
              <w:pStyle w:val="TableContents"/>
              <w:spacing w:before="0" w:after="283"/>
              <w:jc w:val="right"/>
              <w:rPr/>
            </w:pPr>
            <w:r>
              <w:rPr/>
              <w:t>6,149</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31,515</w:t>
            </w:r>
          </w:p>
        </w:tc>
        <w:tc>
          <w:tcPr>
            <w:tcW w:w="67" w:type="dxa"/>
            <w:tcBorders/>
            <w:shd w:fill="auto" w:val="clear"/>
            <w:vAlign w:val="bottom"/>
          </w:tcPr>
          <w:p>
            <w:pPr>
              <w:pStyle w:val="TableContents"/>
              <w:spacing w:before="0" w:after="283"/>
              <w:rPr/>
            </w:pPr>
            <w:r>
              <w:rPr/>
              <w:t> </w:t>
            </w:r>
          </w:p>
        </w:tc>
      </w:tr>
      <w:tr>
        <w:trPr/>
        <w:tc>
          <w:tcPr>
            <w:tcW w:w="3183"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02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72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2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5" w:type="dxa"/>
            <w:tcBorders/>
            <w:shd w:fill="auto" w:val="clear"/>
            <w:vAlign w:val="bottom"/>
          </w:tcPr>
          <w:p>
            <w:pPr>
              <w:pStyle w:val="TableContents"/>
              <w:pBdr>
                <w:top w:val="double" w:sz="6"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For the three months ended October 31, 2018, and 2017, inter-segment sales and cost of sales of $0.4 million between Fresh products and RFG were eliminated. For the three months ended October 31, 2018 and 2017, inter-segment sales and cost of sales of $1.0 million and $0.9 million between Calavo Foods and RFG were eliminated. </w:t>
      </w:r>
    </w:p>
    <w:p>
      <w:pPr>
        <w:pStyle w:val="TextBody"/>
        <w:spacing w:before="0" w:after="0"/>
        <w:jc w:val="left"/>
        <w:rPr/>
      </w:pPr>
      <w:r>
        <w:rPr/>
        <w:t> </w:t>
      </w:r>
    </w:p>
    <w:tbl>
      <w:tblPr>
        <w:tblW w:w="4000" w:type="pct"/>
        <w:jc w:val="left"/>
        <w:tblInd w:w="0" w:type="dxa"/>
        <w:tblCellMar>
          <w:top w:w="0" w:type="dxa"/>
          <w:left w:w="0" w:type="dxa"/>
          <w:bottom w:w="0" w:type="dxa"/>
          <w:right w:w="0" w:type="dxa"/>
        </w:tblCellMar>
      </w:tblPr>
      <w:tblGrid>
        <w:gridCol w:w="2997"/>
        <w:gridCol w:w="169"/>
        <w:gridCol w:w="172"/>
        <w:gridCol w:w="1022"/>
        <w:gridCol w:w="60"/>
        <w:gridCol w:w="169"/>
        <w:gridCol w:w="149"/>
        <w:gridCol w:w="729"/>
        <w:gridCol w:w="60"/>
        <w:gridCol w:w="169"/>
        <w:gridCol w:w="140"/>
        <w:gridCol w:w="826"/>
        <w:gridCol w:w="60"/>
        <w:gridCol w:w="169"/>
        <w:gridCol w:w="140"/>
        <w:gridCol w:w="1067"/>
        <w:gridCol w:w="66"/>
      </w:tblGrid>
      <w:tr>
        <w:trPr/>
        <w:tc>
          <w:tcPr>
            <w:tcW w:w="299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29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19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Fresh</w:t>
            </w:r>
            <w:r>
              <w:rPr/>
              <w:br/>
              <w:t>  </w:t>
            </w:r>
            <w:r>
              <w:rPr>
                <w:b/>
              </w:rPr>
              <w:t>products  </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Calavo</w:t>
            </w:r>
            <w:r>
              <w:rPr/>
              <w:br/>
              <w:t>  </w:t>
            </w:r>
            <w:r>
              <w:rPr>
                <w:b/>
              </w:rPr>
              <w:t>Foods  </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RFG</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6" w:type="dxa"/>
            <w:tcBorders/>
            <w:shd w:fill="auto" w:val="clear"/>
            <w:vAlign w:val="bottom"/>
          </w:tcPr>
          <w:p>
            <w:pPr>
              <w:pStyle w:val="TableContents"/>
              <w:spacing w:before="0" w:after="283"/>
              <w:rPr/>
            </w:pPr>
            <w:r>
              <w:rPr/>
              <w:t> </w:t>
            </w:r>
          </w:p>
        </w:tc>
      </w:tr>
      <w:tr>
        <w:trPr/>
        <w:tc>
          <w:tcPr>
            <w:tcW w:w="29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932" w:type="dxa"/>
            <w:gridSpan w:val="14"/>
            <w:tcBorders/>
            <w:shd w:fill="auto" w:val="clear"/>
            <w:vAlign w:val="bottom"/>
          </w:tcPr>
          <w:p>
            <w:pPr>
              <w:pStyle w:val="TableContents"/>
              <w:spacing w:before="0" w:after="283"/>
              <w:jc w:val="right"/>
              <w:rPr>
                <w:b/>
              </w:rPr>
            </w:pPr>
            <w:r>
              <w:rPr>
                <w:b/>
              </w:rPr>
              <w:t>(All amounts are presented in thousands)  </w:t>
            </w:r>
          </w:p>
        </w:tc>
        <w:tc>
          <w:tcPr>
            <w:tcW w:w="66" w:type="dxa"/>
            <w:tcBorders/>
            <w:shd w:fill="auto" w:val="clear"/>
            <w:vAlign w:val="bottom"/>
          </w:tcPr>
          <w:p>
            <w:pPr>
              <w:pStyle w:val="TableContents"/>
              <w:spacing w:before="0" w:after="283"/>
              <w:rPr/>
            </w:pPr>
            <w:r>
              <w:rPr/>
              <w:t> </w:t>
            </w:r>
          </w:p>
        </w:tc>
      </w:tr>
      <w:tr>
        <w:trPr/>
        <w:tc>
          <w:tcPr>
            <w:tcW w:w="2997" w:type="dxa"/>
            <w:tcBorders/>
            <w:shd w:fill="CCEEFF" w:val="clear"/>
          </w:tcPr>
          <w:p>
            <w:pPr>
              <w:pStyle w:val="TableContents"/>
              <w:spacing w:before="0" w:after="0"/>
              <w:rPr>
                <w:rFonts w:ascii="Times New Roman" w:hAnsi="Times New Roman"/>
                <w:b/>
                <w:sz w:val="17"/>
              </w:rPr>
            </w:pPr>
            <w:r>
              <w:rPr>
                <w:rFonts w:ascii="Times New Roman" w:hAnsi="Times New Roman"/>
                <w:b/>
                <w:sz w:val="17"/>
              </w:rPr>
              <w:t>Year ended October 31, 2018</w:t>
            </w:r>
          </w:p>
        </w:tc>
        <w:tc>
          <w:tcPr>
            <w:tcW w:w="1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02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2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67"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2997" w:type="dxa"/>
            <w:tcBorders/>
            <w:shd w:fill="auto" w:val="clear"/>
          </w:tcPr>
          <w:p>
            <w:pPr>
              <w:pStyle w:val="TableContents"/>
              <w:spacing w:before="0" w:after="0"/>
              <w:rPr>
                <w:rFonts w:ascii="Times New Roman" w:hAnsi="Times New Roman"/>
                <w:sz w:val="17"/>
              </w:rPr>
            </w:pPr>
            <w:r>
              <w:rPr>
                <w:rFonts w:ascii="Times New Roman" w:hAnsi="Times New Roman"/>
                <w:sz w:val="17"/>
              </w:rPr>
              <w:t>Net sales</w:t>
            </w:r>
          </w:p>
        </w:tc>
        <w:tc>
          <w:tcPr>
            <w:tcW w:w="1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22" w:type="dxa"/>
            <w:tcBorders/>
            <w:shd w:fill="auto" w:val="clear"/>
            <w:vAlign w:val="bottom"/>
          </w:tcPr>
          <w:p>
            <w:pPr>
              <w:pStyle w:val="TableContents"/>
              <w:spacing w:before="0" w:after="283"/>
              <w:jc w:val="right"/>
              <w:rPr/>
            </w:pPr>
            <w:r>
              <w:rPr/>
              <w:t>551,654</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729" w:type="dxa"/>
            <w:tcBorders/>
            <w:shd w:fill="auto" w:val="clear"/>
            <w:vAlign w:val="bottom"/>
          </w:tcPr>
          <w:p>
            <w:pPr>
              <w:pStyle w:val="TableContents"/>
              <w:spacing w:before="0" w:after="283"/>
              <w:jc w:val="right"/>
              <w:rPr/>
            </w:pPr>
            <w:r>
              <w:rPr/>
              <w:t>88,174</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6" w:type="dxa"/>
            <w:tcBorders/>
            <w:shd w:fill="auto" w:val="clear"/>
            <w:vAlign w:val="bottom"/>
          </w:tcPr>
          <w:p>
            <w:pPr>
              <w:pStyle w:val="TableContents"/>
              <w:spacing w:before="0" w:after="283"/>
              <w:jc w:val="right"/>
              <w:rPr/>
            </w:pPr>
            <w:r>
              <w:rPr/>
              <w:t>448,930</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67" w:type="dxa"/>
            <w:tcBorders/>
            <w:shd w:fill="auto" w:val="clear"/>
            <w:vAlign w:val="bottom"/>
          </w:tcPr>
          <w:p>
            <w:pPr>
              <w:pStyle w:val="TableContents"/>
              <w:spacing w:before="0" w:after="283"/>
              <w:jc w:val="right"/>
              <w:rPr/>
            </w:pPr>
            <w:r>
              <w:rPr/>
              <w:t>1,088,758</w:t>
            </w:r>
          </w:p>
        </w:tc>
        <w:tc>
          <w:tcPr>
            <w:tcW w:w="66" w:type="dxa"/>
            <w:tcBorders/>
            <w:shd w:fill="auto" w:val="clear"/>
            <w:vAlign w:val="bottom"/>
          </w:tcPr>
          <w:p>
            <w:pPr>
              <w:pStyle w:val="TableContents"/>
              <w:spacing w:before="0" w:after="283"/>
              <w:rPr/>
            </w:pPr>
            <w:r>
              <w:rPr/>
              <w:t> </w:t>
            </w:r>
          </w:p>
        </w:tc>
      </w:tr>
      <w:tr>
        <w:trPr/>
        <w:tc>
          <w:tcPr>
            <w:tcW w:w="2997" w:type="dxa"/>
            <w:tcBorders/>
            <w:shd w:fill="CCEEFF" w:val="clear"/>
          </w:tcPr>
          <w:p>
            <w:pPr>
              <w:pStyle w:val="TableContents"/>
              <w:spacing w:before="0" w:after="0"/>
              <w:rPr>
                <w:rFonts w:ascii="Times New Roman" w:hAnsi="Times New Roman"/>
                <w:sz w:val="17"/>
              </w:rPr>
            </w:pPr>
            <w:r>
              <w:rPr>
                <w:rFonts w:ascii="Times New Roman" w:hAnsi="Times New Roman"/>
                <w:sz w:val="17"/>
              </w:rPr>
              <w:t>Cost of sales</w:t>
            </w:r>
          </w:p>
        </w:tc>
        <w:tc>
          <w:tcPr>
            <w:tcW w:w="1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497,494</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pPr>
            <w:r>
              <w:rPr/>
              <w:t>61,861</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415,787</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975,142</w:t>
            </w:r>
          </w:p>
        </w:tc>
        <w:tc>
          <w:tcPr>
            <w:tcW w:w="66" w:type="dxa"/>
            <w:tcBorders/>
            <w:shd w:fill="CCEEFF" w:val="clear"/>
            <w:vAlign w:val="bottom"/>
          </w:tcPr>
          <w:p>
            <w:pPr>
              <w:pStyle w:val="TableContents"/>
              <w:spacing w:before="0" w:after="283"/>
              <w:rPr/>
            </w:pPr>
            <w:r>
              <w:rPr/>
              <w:t> </w:t>
            </w:r>
          </w:p>
        </w:tc>
      </w:tr>
      <w:tr>
        <w:trPr/>
        <w:tc>
          <w:tcPr>
            <w:tcW w:w="2997"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0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72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2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67"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2997" w:type="dxa"/>
            <w:tcBorders/>
            <w:shd w:fill="auto" w:val="clear"/>
          </w:tcPr>
          <w:p>
            <w:pPr>
              <w:pStyle w:val="TableContents"/>
              <w:spacing w:before="0" w:after="0"/>
              <w:rPr>
                <w:rFonts w:ascii="Times New Roman" w:hAnsi="Times New Roman"/>
                <w:sz w:val="17"/>
              </w:rPr>
            </w:pPr>
            <w:r>
              <w:rPr>
                <w:rFonts w:ascii="Times New Roman" w:hAnsi="Times New Roman"/>
                <w:sz w:val="17"/>
              </w:rPr>
              <w:t>Gross profit</w:t>
            </w:r>
          </w:p>
        </w:tc>
        <w:tc>
          <w:tcPr>
            <w:tcW w:w="1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22" w:type="dxa"/>
            <w:tcBorders/>
            <w:shd w:fill="auto" w:val="clear"/>
            <w:vAlign w:val="bottom"/>
          </w:tcPr>
          <w:p>
            <w:pPr>
              <w:pStyle w:val="TableContents"/>
              <w:spacing w:before="0" w:after="283"/>
              <w:jc w:val="right"/>
              <w:rPr/>
            </w:pPr>
            <w:r>
              <w:rPr/>
              <w:t>54,160</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729" w:type="dxa"/>
            <w:tcBorders/>
            <w:shd w:fill="auto" w:val="clear"/>
            <w:vAlign w:val="bottom"/>
          </w:tcPr>
          <w:p>
            <w:pPr>
              <w:pStyle w:val="TableContents"/>
              <w:spacing w:before="0" w:after="283"/>
              <w:jc w:val="right"/>
              <w:rPr/>
            </w:pPr>
            <w:r>
              <w:rPr/>
              <w:t>26,313</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6" w:type="dxa"/>
            <w:tcBorders/>
            <w:shd w:fill="auto" w:val="clear"/>
            <w:vAlign w:val="bottom"/>
          </w:tcPr>
          <w:p>
            <w:pPr>
              <w:pStyle w:val="TableContents"/>
              <w:spacing w:before="0" w:after="283"/>
              <w:jc w:val="right"/>
              <w:rPr/>
            </w:pPr>
            <w:r>
              <w:rPr/>
              <w:t>33,143</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67" w:type="dxa"/>
            <w:tcBorders/>
            <w:shd w:fill="auto" w:val="clear"/>
            <w:vAlign w:val="bottom"/>
          </w:tcPr>
          <w:p>
            <w:pPr>
              <w:pStyle w:val="TableContents"/>
              <w:spacing w:before="0" w:after="283"/>
              <w:jc w:val="right"/>
              <w:rPr/>
            </w:pPr>
            <w:r>
              <w:rPr/>
              <w:t>113,616</w:t>
            </w:r>
          </w:p>
        </w:tc>
        <w:tc>
          <w:tcPr>
            <w:tcW w:w="66" w:type="dxa"/>
            <w:tcBorders/>
            <w:shd w:fill="auto" w:val="clear"/>
            <w:vAlign w:val="bottom"/>
          </w:tcPr>
          <w:p>
            <w:pPr>
              <w:pStyle w:val="TableContents"/>
              <w:spacing w:before="0" w:after="283"/>
              <w:rPr/>
            </w:pPr>
            <w:r>
              <w:rPr/>
              <w:t> </w:t>
            </w:r>
          </w:p>
        </w:tc>
      </w:tr>
      <w:tr>
        <w:trPr/>
        <w:tc>
          <w:tcPr>
            <w:tcW w:w="2997"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02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72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2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67" w:type="dxa"/>
            <w:tcBorders/>
            <w:shd w:fill="auto" w:val="clear"/>
            <w:vAlign w:val="bottom"/>
          </w:tcPr>
          <w:p>
            <w:pPr>
              <w:pStyle w:val="TableContents"/>
              <w:pBdr>
                <w:top w:val="double" w:sz="6"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rHeight w:val="120" w:hRule="atLeast"/>
        </w:trPr>
        <w:tc>
          <w:tcPr>
            <w:tcW w:w="2997" w:type="dxa"/>
            <w:tcBorders/>
            <w:shd w:fill="auto" w:val="clear"/>
            <w:vAlign w:val="center"/>
          </w:tcPr>
          <w:p>
            <w:pPr>
              <w:pStyle w:val="TableContents"/>
              <w:spacing w:before="0" w:after="283"/>
              <w:rPr>
                <w:sz w:val="4"/>
                <w:szCs w:val="4"/>
              </w:rPr>
            </w:pPr>
            <w:r>
              <w:rPr>
                <w:sz w:val="4"/>
                <w:szCs w:val="4"/>
              </w:rPr>
            </w:r>
          </w:p>
        </w:tc>
        <w:tc>
          <w:tcPr>
            <w:tcW w:w="1423" w:type="dxa"/>
            <w:gridSpan w:val="4"/>
            <w:tcBorders/>
            <w:shd w:fill="auto" w:val="clear"/>
            <w:vAlign w:val="center"/>
          </w:tcPr>
          <w:p>
            <w:pPr>
              <w:pStyle w:val="TableContents"/>
              <w:spacing w:before="0" w:after="283"/>
              <w:rPr>
                <w:sz w:val="4"/>
                <w:szCs w:val="4"/>
              </w:rPr>
            </w:pPr>
            <w:r>
              <w:rPr>
                <w:sz w:val="4"/>
                <w:szCs w:val="4"/>
              </w:rPr>
            </w:r>
          </w:p>
        </w:tc>
        <w:tc>
          <w:tcPr>
            <w:tcW w:w="1107"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442" w:type="dxa"/>
            <w:gridSpan w:val="4"/>
            <w:tcBorders/>
            <w:shd w:fill="auto" w:val="clear"/>
            <w:vAlign w:val="center"/>
          </w:tcPr>
          <w:p>
            <w:pPr>
              <w:pStyle w:val="TableContents"/>
              <w:spacing w:before="0" w:after="283"/>
              <w:rPr>
                <w:sz w:val="4"/>
                <w:szCs w:val="4"/>
              </w:rPr>
            </w:pPr>
            <w:r>
              <w:rPr>
                <w:sz w:val="4"/>
                <w:szCs w:val="4"/>
              </w:rPr>
            </w:r>
          </w:p>
        </w:tc>
      </w:tr>
      <w:tr>
        <w:trPr/>
        <w:tc>
          <w:tcPr>
            <w:tcW w:w="2997" w:type="dxa"/>
            <w:tcBorders/>
            <w:shd w:fill="CCEEFF" w:val="clear"/>
          </w:tcPr>
          <w:p>
            <w:pPr>
              <w:pStyle w:val="TableContents"/>
              <w:spacing w:before="0" w:after="0"/>
              <w:rPr>
                <w:rFonts w:ascii="Times New Roman" w:hAnsi="Times New Roman"/>
                <w:b/>
                <w:sz w:val="17"/>
              </w:rPr>
            </w:pPr>
            <w:r>
              <w:rPr>
                <w:rFonts w:ascii="Times New Roman" w:hAnsi="Times New Roman"/>
                <w:b/>
                <w:sz w:val="17"/>
              </w:rPr>
              <w:t>Year ended October 31, 2017</w:t>
            </w:r>
          </w:p>
        </w:tc>
        <w:tc>
          <w:tcPr>
            <w:tcW w:w="1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02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2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67"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2997" w:type="dxa"/>
            <w:tcBorders/>
            <w:shd w:fill="auto" w:val="clear"/>
          </w:tcPr>
          <w:p>
            <w:pPr>
              <w:pStyle w:val="TableContents"/>
              <w:spacing w:before="0" w:after="0"/>
              <w:rPr>
                <w:rFonts w:ascii="Times New Roman" w:hAnsi="Times New Roman"/>
                <w:sz w:val="17"/>
              </w:rPr>
            </w:pPr>
            <w:r>
              <w:rPr>
                <w:rFonts w:ascii="Times New Roman" w:hAnsi="Times New Roman"/>
                <w:sz w:val="17"/>
              </w:rPr>
              <w:t>Net sales</w:t>
            </w:r>
          </w:p>
        </w:tc>
        <w:tc>
          <w:tcPr>
            <w:tcW w:w="1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22" w:type="dxa"/>
            <w:tcBorders/>
            <w:shd w:fill="auto" w:val="clear"/>
            <w:vAlign w:val="bottom"/>
          </w:tcPr>
          <w:p>
            <w:pPr>
              <w:pStyle w:val="TableContents"/>
              <w:spacing w:before="0" w:after="283"/>
              <w:jc w:val="right"/>
              <w:rPr/>
            </w:pPr>
            <w:r>
              <w:rPr/>
              <w:t>582,662</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729" w:type="dxa"/>
            <w:tcBorders/>
            <w:shd w:fill="auto" w:val="clear"/>
            <w:vAlign w:val="bottom"/>
          </w:tcPr>
          <w:p>
            <w:pPr>
              <w:pStyle w:val="TableContents"/>
              <w:spacing w:before="0" w:after="283"/>
              <w:jc w:val="right"/>
              <w:rPr/>
            </w:pPr>
            <w:r>
              <w:rPr/>
              <w:t>74,395</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6" w:type="dxa"/>
            <w:tcBorders/>
            <w:shd w:fill="auto" w:val="clear"/>
            <w:vAlign w:val="bottom"/>
          </w:tcPr>
          <w:p>
            <w:pPr>
              <w:pStyle w:val="TableContents"/>
              <w:spacing w:before="0" w:after="283"/>
              <w:jc w:val="right"/>
              <w:rPr/>
            </w:pPr>
            <w:r>
              <w:rPr/>
              <w:t>418,508</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67" w:type="dxa"/>
            <w:tcBorders/>
            <w:shd w:fill="auto" w:val="clear"/>
            <w:vAlign w:val="bottom"/>
          </w:tcPr>
          <w:p>
            <w:pPr>
              <w:pStyle w:val="TableContents"/>
              <w:spacing w:before="0" w:after="283"/>
              <w:jc w:val="right"/>
              <w:rPr/>
            </w:pPr>
            <w:r>
              <w:rPr/>
              <w:t> </w:t>
            </w:r>
            <w:r>
              <w:rPr/>
              <w:t>1,075,565</w:t>
            </w:r>
          </w:p>
        </w:tc>
        <w:tc>
          <w:tcPr>
            <w:tcW w:w="66" w:type="dxa"/>
            <w:tcBorders/>
            <w:shd w:fill="auto" w:val="clear"/>
            <w:vAlign w:val="bottom"/>
          </w:tcPr>
          <w:p>
            <w:pPr>
              <w:pStyle w:val="TableContents"/>
              <w:spacing w:before="0" w:after="283"/>
              <w:rPr/>
            </w:pPr>
            <w:r>
              <w:rPr/>
              <w:t> </w:t>
            </w:r>
          </w:p>
        </w:tc>
      </w:tr>
      <w:tr>
        <w:trPr/>
        <w:tc>
          <w:tcPr>
            <w:tcW w:w="2997" w:type="dxa"/>
            <w:tcBorders/>
            <w:shd w:fill="CCEEFF" w:val="clear"/>
          </w:tcPr>
          <w:p>
            <w:pPr>
              <w:pStyle w:val="TableContents"/>
              <w:spacing w:before="0" w:after="0"/>
              <w:rPr>
                <w:rFonts w:ascii="Times New Roman" w:hAnsi="Times New Roman"/>
                <w:sz w:val="17"/>
              </w:rPr>
            </w:pPr>
            <w:r>
              <w:rPr>
                <w:rFonts w:ascii="Times New Roman" w:hAnsi="Times New Roman"/>
                <w:sz w:val="17"/>
              </w:rPr>
              <w:t>Cost of sales</w:t>
            </w:r>
          </w:p>
        </w:tc>
        <w:tc>
          <w:tcPr>
            <w:tcW w:w="169"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510,286</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pPr>
            <w:r>
              <w:rPr/>
              <w:t>61,042</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389,693</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961,021</w:t>
            </w:r>
          </w:p>
        </w:tc>
        <w:tc>
          <w:tcPr>
            <w:tcW w:w="66" w:type="dxa"/>
            <w:tcBorders/>
            <w:shd w:fill="CCEEFF" w:val="clear"/>
            <w:vAlign w:val="bottom"/>
          </w:tcPr>
          <w:p>
            <w:pPr>
              <w:pStyle w:val="TableContents"/>
              <w:spacing w:before="0" w:after="283"/>
              <w:rPr/>
            </w:pPr>
            <w:r>
              <w:rPr/>
              <w:t> </w:t>
            </w:r>
          </w:p>
        </w:tc>
      </w:tr>
      <w:tr>
        <w:trPr/>
        <w:tc>
          <w:tcPr>
            <w:tcW w:w="2997"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0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72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2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67"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2997" w:type="dxa"/>
            <w:tcBorders/>
            <w:shd w:fill="auto" w:val="clear"/>
          </w:tcPr>
          <w:p>
            <w:pPr>
              <w:pStyle w:val="TableContents"/>
              <w:spacing w:before="0" w:after="0"/>
              <w:rPr>
                <w:rFonts w:ascii="Times New Roman" w:hAnsi="Times New Roman"/>
                <w:sz w:val="17"/>
              </w:rPr>
            </w:pPr>
            <w:r>
              <w:rPr>
                <w:rFonts w:ascii="Times New Roman" w:hAnsi="Times New Roman"/>
                <w:sz w:val="17"/>
              </w:rPr>
              <w:t>Gross profit</w:t>
            </w:r>
          </w:p>
        </w:tc>
        <w:tc>
          <w:tcPr>
            <w:tcW w:w="1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22" w:type="dxa"/>
            <w:tcBorders/>
            <w:shd w:fill="auto" w:val="clear"/>
            <w:vAlign w:val="bottom"/>
          </w:tcPr>
          <w:p>
            <w:pPr>
              <w:pStyle w:val="TableContents"/>
              <w:spacing w:before="0" w:after="283"/>
              <w:jc w:val="right"/>
              <w:rPr/>
            </w:pPr>
            <w:r>
              <w:rPr/>
              <w:t>72,376</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729" w:type="dxa"/>
            <w:tcBorders/>
            <w:shd w:fill="auto" w:val="clear"/>
            <w:vAlign w:val="bottom"/>
          </w:tcPr>
          <w:p>
            <w:pPr>
              <w:pStyle w:val="TableContents"/>
              <w:spacing w:before="0" w:after="283"/>
              <w:jc w:val="right"/>
              <w:rPr/>
            </w:pPr>
            <w:r>
              <w:rPr/>
              <w:t>13,353</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6" w:type="dxa"/>
            <w:tcBorders/>
            <w:shd w:fill="auto" w:val="clear"/>
            <w:vAlign w:val="bottom"/>
          </w:tcPr>
          <w:p>
            <w:pPr>
              <w:pStyle w:val="TableContents"/>
              <w:spacing w:before="0" w:after="283"/>
              <w:jc w:val="right"/>
              <w:rPr/>
            </w:pPr>
            <w:r>
              <w:rPr/>
              <w:t>28,815</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67" w:type="dxa"/>
            <w:tcBorders/>
            <w:shd w:fill="auto" w:val="clear"/>
            <w:vAlign w:val="bottom"/>
          </w:tcPr>
          <w:p>
            <w:pPr>
              <w:pStyle w:val="TableContents"/>
              <w:spacing w:before="0" w:after="283"/>
              <w:jc w:val="right"/>
              <w:rPr/>
            </w:pPr>
            <w:r>
              <w:rPr/>
              <w:t>114,544</w:t>
            </w:r>
          </w:p>
        </w:tc>
        <w:tc>
          <w:tcPr>
            <w:tcW w:w="66" w:type="dxa"/>
            <w:tcBorders/>
            <w:shd w:fill="auto" w:val="clear"/>
            <w:vAlign w:val="bottom"/>
          </w:tcPr>
          <w:p>
            <w:pPr>
              <w:pStyle w:val="TableContents"/>
              <w:spacing w:before="0" w:after="283"/>
              <w:rPr/>
            </w:pPr>
            <w:r>
              <w:rPr/>
              <w:t> </w:t>
            </w:r>
          </w:p>
        </w:tc>
      </w:tr>
      <w:tr>
        <w:trPr/>
        <w:tc>
          <w:tcPr>
            <w:tcW w:w="2997"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02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0"/>
              <w:rPr/>
            </w:pPr>
            <w:r>
              <w:rPr/>
              <w:t> </w:t>
            </w:r>
          </w:p>
        </w:tc>
        <w:tc>
          <w:tcPr>
            <w:tcW w:w="72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2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67" w:type="dxa"/>
            <w:tcBorders/>
            <w:shd w:fill="auto" w:val="clear"/>
            <w:vAlign w:val="bottom"/>
          </w:tcPr>
          <w:p>
            <w:pPr>
              <w:pStyle w:val="TableContents"/>
              <w:pBdr>
                <w:top w:val="double" w:sz="6"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For fiscal year 2018, and 2017, inter-segment sales and cost of sales of $1.6 million and $1.3 million between Fresh products and RFG were eliminated. For fiscal year 2018 and 2017, inter-segment sales and cost of sales of $3.5 million and $3.2 million between Calavo Foods and RFG were eliminated.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CALAVO GROWERS, INC. </w:t>
      </w:r>
    </w:p>
    <w:p>
      <w:pPr>
        <w:pStyle w:val="TextBody"/>
        <w:spacing w:before="0" w:after="0"/>
        <w:jc w:val="center"/>
        <w:rPr>
          <w:rFonts w:ascii="Times New Roman" w:hAnsi="Times New Roman"/>
          <w:b/>
          <w:sz w:val="17"/>
        </w:rPr>
      </w:pPr>
      <w:r>
        <w:rPr>
          <w:rFonts w:ascii="Times New Roman" w:hAnsi="Times New Roman"/>
          <w:b/>
          <w:sz w:val="17"/>
        </w:rPr>
        <w:t xml:space="preserve">RECONCILIATION OF ADJUSTED NET INCOME AND EPS </w:t>
      </w:r>
    </w:p>
    <w:p>
      <w:pPr>
        <w:pStyle w:val="TextBody"/>
        <w:spacing w:before="0" w:after="0"/>
        <w:jc w:val="center"/>
        <w:rPr>
          <w:rFonts w:ascii="Times New Roman" w:hAnsi="Times New Roman"/>
          <w:b/>
          <w:sz w:val="17"/>
        </w:rPr>
      </w:pPr>
      <w:r>
        <w:rPr>
          <w:rFonts w:ascii="Times New Roman" w:hAnsi="Times New Roman"/>
          <w:b/>
          <w:sz w:val="17"/>
        </w:rPr>
        <w:t xml:space="preserve">(unaudited; in thousands, except per share amounts) </w:t>
      </w:r>
    </w:p>
    <w:p>
      <w:pPr>
        <w:pStyle w:val="TextBody"/>
        <w:spacing w:before="0" w:after="0"/>
        <w:jc w:val="left"/>
        <w:rPr/>
      </w:pPr>
      <w:r>
        <w:rPr/>
        <w:t> </w:t>
      </w:r>
    </w:p>
    <w:tbl>
      <w:tblPr>
        <w:tblW w:w="4900" w:type="pct"/>
        <w:jc w:val="left"/>
        <w:tblInd w:w="0" w:type="dxa"/>
        <w:tblCellMar>
          <w:top w:w="0" w:type="dxa"/>
          <w:left w:w="0" w:type="dxa"/>
          <w:bottom w:w="0" w:type="dxa"/>
          <w:right w:w="0" w:type="dxa"/>
        </w:tblCellMar>
      </w:tblPr>
      <w:tblGrid>
        <w:gridCol w:w="4834"/>
        <w:gridCol w:w="194"/>
        <w:gridCol w:w="140"/>
        <w:gridCol w:w="879"/>
        <w:gridCol w:w="60"/>
        <w:gridCol w:w="194"/>
        <w:gridCol w:w="145"/>
        <w:gridCol w:w="848"/>
        <w:gridCol w:w="60"/>
        <w:gridCol w:w="194"/>
        <w:gridCol w:w="145"/>
        <w:gridCol w:w="848"/>
        <w:gridCol w:w="155"/>
        <w:gridCol w:w="147"/>
        <w:gridCol w:w="145"/>
        <w:gridCol w:w="848"/>
        <w:gridCol w:w="164"/>
      </w:tblGrid>
      <w:tr>
        <w:trPr/>
        <w:tc>
          <w:tcPr>
            <w:tcW w:w="483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83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66" w:type="dxa"/>
            <w:gridSpan w:val="6"/>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Three months ended</w:t>
            </w:r>
          </w:p>
          <w:p>
            <w:pPr>
              <w:pStyle w:val="TableContents"/>
              <w:spacing w:before="0" w:after="20"/>
              <w:jc w:val="center"/>
              <w:rPr>
                <w:rFonts w:ascii="Times New Roman" w:hAnsi="Times New Roman"/>
                <w:b/>
                <w:sz w:val="13"/>
              </w:rPr>
            </w:pPr>
            <w:r>
              <w:rPr>
                <w:rFonts w:ascii="Times New Roman" w:hAnsi="Times New Roman"/>
                <w:b/>
                <w:sz w:val="13"/>
              </w:rPr>
              <w:t>October 31,</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8" w:type="dxa"/>
            <w:gridSpan w:val="6"/>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Year ended</w:t>
            </w:r>
          </w:p>
          <w:p>
            <w:pPr>
              <w:pStyle w:val="TableContents"/>
              <w:spacing w:before="0" w:after="20"/>
              <w:jc w:val="center"/>
              <w:rPr>
                <w:rFonts w:ascii="Times New Roman" w:hAnsi="Times New Roman"/>
                <w:b/>
                <w:sz w:val="13"/>
              </w:rPr>
            </w:pPr>
            <w:r>
              <w:rPr>
                <w:rFonts w:ascii="Times New Roman" w:hAnsi="Times New Roman"/>
                <w:b/>
                <w:sz w:val="13"/>
              </w:rPr>
              <w:t>October 31,</w:t>
            </w:r>
          </w:p>
        </w:tc>
        <w:tc>
          <w:tcPr>
            <w:tcW w:w="164" w:type="dxa"/>
            <w:tcBorders/>
            <w:shd w:fill="auto" w:val="clear"/>
            <w:vAlign w:val="bottom"/>
          </w:tcPr>
          <w:p>
            <w:pPr>
              <w:pStyle w:val="TableContents"/>
              <w:spacing w:before="0" w:after="283"/>
              <w:rPr/>
            </w:pPr>
            <w:r>
              <w:rPr/>
              <w:t> </w:t>
            </w:r>
          </w:p>
        </w:tc>
      </w:tr>
      <w:tr>
        <w:trPr/>
        <w:tc>
          <w:tcPr>
            <w:tcW w:w="483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2018    </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93"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2017    </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93"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2018    </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93"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2017    </w:t>
            </w:r>
          </w:p>
        </w:tc>
        <w:tc>
          <w:tcPr>
            <w:tcW w:w="164" w:type="dxa"/>
            <w:tcBorders/>
            <w:shd w:fill="auto" w:val="clear"/>
            <w:vAlign w:val="bottom"/>
          </w:tcPr>
          <w:p>
            <w:pPr>
              <w:pStyle w:val="TableContents"/>
              <w:spacing w:before="0" w:after="283"/>
              <w:rPr/>
            </w:pPr>
            <w:r>
              <w:rPr/>
              <w:t> </w:t>
            </w:r>
          </w:p>
        </w:tc>
      </w:tr>
      <w:tr>
        <w:trPr/>
        <w:tc>
          <w:tcPr>
            <w:tcW w:w="4834"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attributable to Calavo Growers, Inc.</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(1,330)</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10,267</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 </w:t>
            </w:r>
            <w:r>
              <w:rPr/>
              <w:t>32,281</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 </w:t>
            </w:r>
            <w:r>
              <w:rPr/>
              <w:t>37,270</w:t>
            </w:r>
          </w:p>
        </w:tc>
        <w:tc>
          <w:tcPr>
            <w:tcW w:w="164" w:type="dxa"/>
            <w:tcBorders/>
            <w:shd w:fill="CCEEFF" w:val="clear"/>
            <w:vAlign w:val="bottom"/>
          </w:tcPr>
          <w:p>
            <w:pPr>
              <w:pStyle w:val="TableContents"/>
              <w:spacing w:before="0" w:after="283"/>
              <w:rPr/>
            </w:pPr>
            <w:r>
              <w:rPr/>
              <w:t> </w:t>
            </w:r>
          </w:p>
        </w:tc>
      </w:tr>
      <w:tr>
        <w:trPr/>
        <w:tc>
          <w:tcPr>
            <w:tcW w:w="4834" w:type="dxa"/>
            <w:tcBorders/>
            <w:shd w:fill="auto" w:val="clear"/>
          </w:tcPr>
          <w:p>
            <w:pPr>
              <w:pStyle w:val="TableContents"/>
              <w:spacing w:before="0" w:after="0"/>
              <w:rPr>
                <w:rFonts w:ascii="Times New Roman" w:hAnsi="Times New Roman"/>
                <w:sz w:val="17"/>
              </w:rPr>
            </w:pPr>
            <w:r>
              <w:rPr>
                <w:rFonts w:ascii="Times New Roman" w:hAnsi="Times New Roman"/>
                <w:sz w:val="17"/>
              </w:rPr>
              <w:t>Non-GAAP adjustments:</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8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84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848"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r>
      <w:tr>
        <w:trPr/>
        <w:tc>
          <w:tcPr>
            <w:tcW w:w="4834" w:type="dxa"/>
            <w:tcBorders/>
            <w:shd w:fill="CCEEFF" w:val="clear"/>
          </w:tcPr>
          <w:p>
            <w:pPr>
              <w:pStyle w:val="TableContents"/>
              <w:spacing w:before="0" w:after="0"/>
              <w:rPr>
                <w:rFonts w:ascii="Times New Roman" w:hAnsi="Times New Roman"/>
                <w:sz w:val="17"/>
              </w:rPr>
            </w:pPr>
            <w:r>
              <w:rPr>
                <w:rFonts w:ascii="Times New Roman" w:hAnsi="Times New Roman"/>
                <w:sz w:val="17"/>
              </w:rPr>
              <w:t>Non-cash losses recognized from FreshRealm (a)</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8,492</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12,007</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w:t>
            </w:r>
          </w:p>
        </w:tc>
        <w:tc>
          <w:tcPr>
            <w:tcW w:w="164" w:type="dxa"/>
            <w:tcBorders/>
            <w:shd w:fill="CCEEFF" w:val="clear"/>
            <w:vAlign w:val="bottom"/>
          </w:tcPr>
          <w:p>
            <w:pPr>
              <w:pStyle w:val="TableContents"/>
              <w:spacing w:before="0" w:after="283"/>
              <w:rPr/>
            </w:pPr>
            <w:r>
              <w:rPr/>
              <w:t> </w:t>
            </w:r>
          </w:p>
        </w:tc>
      </w:tr>
      <w:tr>
        <w:trPr/>
        <w:tc>
          <w:tcPr>
            <w:tcW w:w="4834" w:type="dxa"/>
            <w:tcBorders/>
            <w:shd w:fill="auto" w:val="clear"/>
          </w:tcPr>
          <w:p>
            <w:pPr>
              <w:pStyle w:val="TableContents"/>
              <w:spacing w:before="0" w:after="0"/>
              <w:rPr>
                <w:rFonts w:ascii="Times New Roman" w:hAnsi="Times New Roman"/>
                <w:sz w:val="17"/>
              </w:rPr>
            </w:pPr>
            <w:r>
              <w:rPr>
                <w:rFonts w:ascii="Times New Roman" w:hAnsi="Times New Roman"/>
                <w:sz w:val="17"/>
              </w:rPr>
              <w:t>One-time, non-cash tax charges from Tax Cut &amp; Jobs Act (b)</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1,702</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w:t>
            </w:r>
          </w:p>
        </w:tc>
        <w:tc>
          <w:tcPr>
            <w:tcW w:w="164" w:type="dxa"/>
            <w:tcBorders/>
            <w:shd w:fill="auto" w:val="clear"/>
            <w:vAlign w:val="bottom"/>
          </w:tcPr>
          <w:p>
            <w:pPr>
              <w:pStyle w:val="TableContents"/>
              <w:spacing w:before="0" w:after="283"/>
              <w:rPr/>
            </w:pPr>
            <w:r>
              <w:rPr/>
              <w:t> </w:t>
            </w:r>
          </w:p>
        </w:tc>
      </w:tr>
      <w:tr>
        <w:trPr/>
        <w:tc>
          <w:tcPr>
            <w:tcW w:w="4834" w:type="dxa"/>
            <w:tcBorders/>
            <w:shd w:fill="CCEEFF" w:val="clear"/>
          </w:tcPr>
          <w:p>
            <w:pPr>
              <w:pStyle w:val="TableContents"/>
              <w:spacing w:before="0" w:after="0"/>
              <w:rPr>
                <w:rFonts w:ascii="Times New Roman" w:hAnsi="Times New Roman"/>
                <w:sz w:val="17"/>
              </w:rPr>
            </w:pPr>
            <w:r>
              <w:rPr>
                <w:rFonts w:ascii="Times New Roman" w:hAnsi="Times New Roman"/>
                <w:sz w:val="17"/>
              </w:rPr>
              <w:t>Certain management transition expenses (c)</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891</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1,172</w:t>
            </w:r>
          </w:p>
        </w:tc>
        <w:tc>
          <w:tcPr>
            <w:tcW w:w="164" w:type="dxa"/>
            <w:tcBorders/>
            <w:shd w:fill="CCEEFF" w:val="clear"/>
            <w:vAlign w:val="bottom"/>
          </w:tcPr>
          <w:p>
            <w:pPr>
              <w:pStyle w:val="TableContents"/>
              <w:spacing w:before="0" w:after="283"/>
              <w:rPr/>
            </w:pPr>
            <w:r>
              <w:rPr/>
              <w:t> </w:t>
            </w:r>
          </w:p>
        </w:tc>
      </w:tr>
      <w:tr>
        <w:trPr/>
        <w:tc>
          <w:tcPr>
            <w:tcW w:w="4834" w:type="dxa"/>
            <w:tcBorders/>
            <w:shd w:fill="auto" w:val="clear"/>
          </w:tcPr>
          <w:p>
            <w:pPr>
              <w:pStyle w:val="TableContents"/>
              <w:spacing w:before="0" w:after="0"/>
              <w:rPr>
                <w:rFonts w:ascii="Times New Roman" w:hAnsi="Times New Roman"/>
                <w:sz w:val="17"/>
              </w:rPr>
            </w:pPr>
            <w:r>
              <w:rPr>
                <w:rFonts w:ascii="Times New Roman" w:hAnsi="Times New Roman"/>
                <w:sz w:val="17"/>
              </w:rPr>
              <w:t>Tax impact of adjustments (d)</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    </w:t>
            </w:r>
            <w:r>
              <w:rPr/>
              <w:t>(2,142)</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(3,177</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(415</w:t>
            </w:r>
          </w:p>
        </w:tc>
        <w:tc>
          <w:tcPr>
            <w:tcW w:w="164" w:type="dxa"/>
            <w:tcBorders/>
            <w:shd w:fill="auto" w:val="clear"/>
            <w:vAlign w:val="bottom"/>
          </w:tcPr>
          <w:p>
            <w:pPr>
              <w:pStyle w:val="TableContents"/>
              <w:spacing w:before="0" w:after="283"/>
              <w:rPr/>
            </w:pPr>
            <w:r>
              <w:rPr/>
              <w:t>) </w:t>
            </w:r>
          </w:p>
        </w:tc>
      </w:tr>
      <w:tr>
        <w:trPr/>
        <w:tc>
          <w:tcPr>
            <w:tcW w:w="4834"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4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4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48"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4834" w:type="dxa"/>
            <w:tcBorders/>
            <w:shd w:fill="CCEEFF" w:val="clear"/>
          </w:tcPr>
          <w:p>
            <w:pPr>
              <w:pStyle w:val="TableContents"/>
              <w:spacing w:before="0" w:after="0"/>
              <w:rPr>
                <w:rFonts w:ascii="Times New Roman" w:hAnsi="Times New Roman"/>
                <w:sz w:val="17"/>
              </w:rPr>
            </w:pPr>
            <w:r>
              <w:rPr>
                <w:rFonts w:ascii="Times New Roman" w:hAnsi="Times New Roman"/>
                <w:sz w:val="17"/>
              </w:rPr>
              <w:t>Adjusted net income attrib. to Calavo Growers, Inc.</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5,020</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  </w:t>
            </w:r>
            <w:r>
              <w:rPr/>
              <w:t>10,267</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  </w:t>
            </w:r>
            <w:r>
              <w:rPr/>
              <w:t>43,704</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  </w:t>
            </w:r>
            <w:r>
              <w:rPr/>
              <w:t>38,027</w:t>
            </w:r>
          </w:p>
        </w:tc>
        <w:tc>
          <w:tcPr>
            <w:tcW w:w="164" w:type="dxa"/>
            <w:tcBorders/>
            <w:shd w:fill="CCEEFF" w:val="clear"/>
            <w:vAlign w:val="bottom"/>
          </w:tcPr>
          <w:p>
            <w:pPr>
              <w:pStyle w:val="TableContents"/>
              <w:spacing w:before="0" w:after="283"/>
              <w:rPr/>
            </w:pPr>
            <w:r>
              <w:rPr/>
              <w:t> </w:t>
            </w:r>
          </w:p>
        </w:tc>
      </w:tr>
      <w:tr>
        <w:trPr/>
        <w:tc>
          <w:tcPr>
            <w:tcW w:w="4834"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4834" w:type="dxa"/>
            <w:tcBorders/>
            <w:shd w:fill="auto" w:val="clear"/>
          </w:tcPr>
          <w:p>
            <w:pPr>
              <w:pStyle w:val="TableContents"/>
              <w:spacing w:before="0" w:after="0"/>
              <w:rPr>
                <w:rFonts w:ascii="Times New Roman" w:hAnsi="Times New Roman"/>
                <w:sz w:val="17"/>
              </w:rPr>
            </w:pPr>
            <w:r>
              <w:rPr>
                <w:rFonts w:ascii="Times New Roman" w:hAnsi="Times New Roman"/>
                <w:sz w:val="17"/>
              </w:rPr>
              <w:t>Calavo Growers Inc. net income per share:</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8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84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848"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r>
      <w:tr>
        <w:trPr/>
        <w:tc>
          <w:tcPr>
            <w:tcW w:w="4834" w:type="dxa"/>
            <w:tcBorders/>
            <w:shd w:fill="CCEEFF" w:val="clear"/>
          </w:tcPr>
          <w:p>
            <w:pPr>
              <w:pStyle w:val="TableContents"/>
              <w:spacing w:before="0" w:after="0"/>
              <w:rPr>
                <w:rFonts w:ascii="Times New Roman" w:hAnsi="Times New Roman"/>
                <w:sz w:val="17"/>
              </w:rPr>
            </w:pPr>
            <w:r>
              <w:rPr>
                <w:rFonts w:ascii="Times New Roman" w:hAnsi="Times New Roman"/>
                <w:sz w:val="17"/>
              </w:rPr>
              <w:t>Diluted EPS (GAAP)</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(0.08)</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0.59</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1.84</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48" w:type="dxa"/>
            <w:tcBorders/>
            <w:shd w:fill="CCEEFF" w:val="clear"/>
            <w:vAlign w:val="bottom"/>
          </w:tcPr>
          <w:p>
            <w:pPr>
              <w:pStyle w:val="TableContents"/>
              <w:spacing w:before="0" w:after="283"/>
              <w:jc w:val="right"/>
              <w:rPr/>
            </w:pPr>
            <w:r>
              <w:rPr/>
              <w:t>2.13</w:t>
            </w:r>
          </w:p>
        </w:tc>
        <w:tc>
          <w:tcPr>
            <w:tcW w:w="164" w:type="dxa"/>
            <w:tcBorders/>
            <w:shd w:fill="CCEEFF" w:val="clear"/>
            <w:vAlign w:val="bottom"/>
          </w:tcPr>
          <w:p>
            <w:pPr>
              <w:pStyle w:val="TableContents"/>
              <w:spacing w:before="0" w:after="283"/>
              <w:rPr/>
            </w:pPr>
            <w:r>
              <w:rPr/>
              <w:t> </w:t>
            </w:r>
          </w:p>
        </w:tc>
      </w:tr>
      <w:tr>
        <w:trPr/>
        <w:tc>
          <w:tcPr>
            <w:tcW w:w="4834"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4834" w:type="dxa"/>
            <w:tcBorders/>
            <w:shd w:fill="auto" w:val="clear"/>
          </w:tcPr>
          <w:p>
            <w:pPr>
              <w:pStyle w:val="TableContents"/>
              <w:spacing w:before="0" w:after="0"/>
              <w:rPr>
                <w:rFonts w:ascii="Times New Roman" w:hAnsi="Times New Roman"/>
                <w:sz w:val="17"/>
              </w:rPr>
            </w:pPr>
            <w:r>
              <w:rPr>
                <w:rFonts w:ascii="Times New Roman" w:hAnsi="Times New Roman"/>
                <w:sz w:val="17"/>
              </w:rPr>
              <w:t>Adjusted Diluted EPS</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9" w:type="dxa"/>
            <w:tcBorders/>
            <w:shd w:fill="auto" w:val="clear"/>
            <w:vAlign w:val="bottom"/>
          </w:tcPr>
          <w:p>
            <w:pPr>
              <w:pStyle w:val="TableContents"/>
              <w:spacing w:before="0" w:after="283"/>
              <w:jc w:val="right"/>
              <w:rPr/>
            </w:pPr>
            <w:r>
              <w:rPr/>
              <w:t>0.29</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848" w:type="dxa"/>
            <w:tcBorders/>
            <w:shd w:fill="auto" w:val="clear"/>
            <w:vAlign w:val="bottom"/>
          </w:tcPr>
          <w:p>
            <w:pPr>
              <w:pStyle w:val="TableContents"/>
              <w:spacing w:before="0" w:after="283"/>
              <w:jc w:val="right"/>
              <w:rPr/>
            </w:pPr>
            <w:r>
              <w:rPr/>
              <w:t>0.59</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848" w:type="dxa"/>
            <w:tcBorders/>
            <w:shd w:fill="auto" w:val="clear"/>
            <w:vAlign w:val="bottom"/>
          </w:tcPr>
          <w:p>
            <w:pPr>
              <w:pStyle w:val="TableContents"/>
              <w:spacing w:before="0" w:after="283"/>
              <w:jc w:val="right"/>
              <w:rPr/>
            </w:pPr>
            <w:r>
              <w:rPr/>
              <w:t>2.49</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848" w:type="dxa"/>
            <w:tcBorders/>
            <w:shd w:fill="auto" w:val="clear"/>
            <w:vAlign w:val="bottom"/>
          </w:tcPr>
          <w:p>
            <w:pPr>
              <w:pStyle w:val="TableContents"/>
              <w:spacing w:before="0" w:after="283"/>
              <w:jc w:val="right"/>
              <w:rPr/>
            </w:pPr>
            <w:r>
              <w:rPr/>
              <w:t>2.17</w:t>
            </w:r>
          </w:p>
        </w:tc>
        <w:tc>
          <w:tcPr>
            <w:tcW w:w="164" w:type="dxa"/>
            <w:tcBorders/>
            <w:shd w:fill="auto" w:val="clear"/>
            <w:vAlign w:val="bottom"/>
          </w:tcPr>
          <w:p>
            <w:pPr>
              <w:pStyle w:val="TableContents"/>
              <w:spacing w:before="0" w:after="283"/>
              <w:rPr/>
            </w:pPr>
            <w:r>
              <w:rPr/>
              <w:t> </w:t>
            </w:r>
          </w:p>
        </w:tc>
      </w:tr>
      <w:tr>
        <w:trPr/>
        <w:tc>
          <w:tcPr>
            <w:tcW w:w="4834"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4834" w:type="dxa"/>
            <w:tcBorders/>
            <w:shd w:fill="CCEEFF" w:val="clear"/>
          </w:tcPr>
          <w:p>
            <w:pPr>
              <w:pStyle w:val="TableContents"/>
              <w:spacing w:before="0" w:after="0"/>
              <w:rPr>
                <w:rFonts w:ascii="Times New Roman" w:hAnsi="Times New Roman"/>
                <w:sz w:val="17"/>
              </w:rPr>
            </w:pPr>
            <w:r>
              <w:rPr>
                <w:rFonts w:ascii="Times New Roman" w:hAnsi="Times New Roman"/>
                <w:sz w:val="17"/>
              </w:rPr>
              <w:t>Number of shares used in per share computation:</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rPr/>
        <w:tc>
          <w:tcPr>
            <w:tcW w:w="4834"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17,581</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17,544</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17,568</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17,514</w:t>
            </w:r>
          </w:p>
        </w:tc>
        <w:tc>
          <w:tcPr>
            <w:tcW w:w="164" w:type="dxa"/>
            <w:tcBorders/>
            <w:shd w:fill="auto" w:val="clear"/>
            <w:vAlign w:val="bottom"/>
          </w:tcPr>
          <w:p>
            <w:pPr>
              <w:pStyle w:val="TableContents"/>
              <w:spacing w:before="0" w:after="283"/>
              <w:rPr/>
            </w:pPr>
            <w:r>
              <w:rPr/>
              <w:t> </w:t>
            </w:r>
          </w:p>
        </w:tc>
      </w:tr>
      <w:tr>
        <w:trPr/>
        <w:tc>
          <w:tcPr>
            <w:tcW w:w="4834"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48"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3"/>
        <w:gridCol w:w="9742"/>
      </w:tblGrid>
      <w:tr>
        <w:trPr/>
        <w:tc>
          <w:tcPr>
            <w:tcW w:w="463" w:type="dxa"/>
            <w:tcBorders/>
            <w:shd w:fill="auto" w:val="clear"/>
          </w:tcPr>
          <w:p>
            <w:pPr>
              <w:pStyle w:val="TableContents"/>
              <w:spacing w:before="0" w:after="283"/>
              <w:jc w:val="left"/>
              <w:rPr/>
            </w:pPr>
            <w:r>
              <w:rPr/>
              <w:t>    </w:t>
            </w:r>
            <w:r>
              <w:rPr/>
              <w:t>(a)</w:t>
            </w:r>
          </w:p>
        </w:tc>
        <w:tc>
          <w:tcPr>
            <w:tcW w:w="974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the three months ended October 31, 2018, FreshRealm incurred losses totaling $8.5 million, all of which we recorded as non-cash losses during our fourth fiscal quarter of 2018. Certain details regarding FreshRealm will be included in Calavos annual report on Form 10-K soon to be filed with the U.S. Securities and Exchange Commission.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9"/>
        <w:gridCol w:w="9746"/>
      </w:tblGrid>
      <w:tr>
        <w:trPr/>
        <w:tc>
          <w:tcPr>
            <w:tcW w:w="459" w:type="dxa"/>
            <w:tcBorders/>
            <w:shd w:fill="auto" w:val="clear"/>
          </w:tcPr>
          <w:p>
            <w:pPr>
              <w:pStyle w:val="TableContents"/>
              <w:spacing w:before="0" w:after="283"/>
              <w:jc w:val="left"/>
              <w:rPr/>
            </w:pPr>
            <w:r>
              <w:rPr/>
              <w:t>    </w:t>
            </w:r>
            <w:r>
              <w:rPr/>
              <w:t>(b)</w:t>
            </w:r>
          </w:p>
        </w:tc>
        <w:tc>
          <w:tcPr>
            <w:tcW w:w="974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First quarter of fiscal 2018 results include the companys estimate for the effects of the Tax Cuts and Jobs Act. Calavo recorded a one-time, non-cash charge due to the revaluation of our net deferred tax assets and the transition tax on the deemed repatriation of foreign earnings.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6"/>
        <w:gridCol w:w="9739"/>
      </w:tblGrid>
      <w:tr>
        <w:trPr/>
        <w:tc>
          <w:tcPr>
            <w:tcW w:w="466" w:type="dxa"/>
            <w:tcBorders/>
            <w:shd w:fill="auto" w:val="clear"/>
          </w:tcPr>
          <w:p>
            <w:pPr>
              <w:pStyle w:val="TableContents"/>
              <w:spacing w:before="0" w:after="283"/>
              <w:jc w:val="left"/>
              <w:rPr/>
            </w:pPr>
            <w:r>
              <w:rPr/>
              <w:t>    </w:t>
            </w:r>
            <w:r>
              <w:rPr/>
              <w:t>(c)</w:t>
            </w:r>
          </w:p>
        </w:tc>
        <w:tc>
          <w:tcPr>
            <w:tcW w:w="973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First quarter of fiscal 2018 and 2017 results include higher stock-based compensation related to senior management transitions, which does not impact the underlying cost structure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9"/>
        <w:gridCol w:w="9746"/>
      </w:tblGrid>
      <w:tr>
        <w:trPr/>
        <w:tc>
          <w:tcPr>
            <w:tcW w:w="459" w:type="dxa"/>
            <w:tcBorders/>
            <w:shd w:fill="auto" w:val="clear"/>
          </w:tcPr>
          <w:p>
            <w:pPr>
              <w:pStyle w:val="TableContents"/>
              <w:spacing w:before="0" w:after="283"/>
              <w:jc w:val="left"/>
              <w:rPr/>
            </w:pPr>
            <w:r>
              <w:rPr/>
              <w:t>    </w:t>
            </w:r>
            <w:r>
              <w:rPr/>
              <w:t>(d)</w:t>
            </w:r>
          </w:p>
        </w:tc>
        <w:tc>
          <w:tcPr>
            <w:tcW w:w="974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Tax impact of non-GAAP adjustments are based on the latest full year tax rates of 28.4% and 35.4% for the twelve months ended October 31, 2018 and 2017, adjusted for the one-time tax charges described above. The tax impact for the last three months ended October 31, 2018 includes catch-up amount to bring all adjustments for fiscal year 2018 up to the current full year tax rate.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4105</Words>
  <CharactersWithSpaces>27240</CharactersWithSpaces>
  <Paragraphs>1696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