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w:t>
      </w:r>
      <w:r>
        <w:rPr>
          <w:rFonts w:ascii="Arial" w:cs="Arial" w:eastAsia="Arial" w:hAnsi="Arial"/>
          <w:sz w:val="18"/>
          <w:szCs w:val="18"/>
          <w:b w:val="1"/>
          <w:bCs w:val="1"/>
          <w:color w:val="auto"/>
        </w:rPr>
        <w:t>June 07, 2005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earliest event reported: </w:t>
      </w:r>
      <w:r>
        <w:rPr>
          <w:rFonts w:ascii="Arial" w:cs="Arial" w:eastAsia="Arial" w:hAnsi="Arial"/>
          <w:sz w:val="18"/>
          <w:szCs w:val="18"/>
          <w:b w:val="1"/>
          <w:bCs w:val="1"/>
          <w:color w:val="auto"/>
        </w:rPr>
        <w:t>June 01, 2005</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CALAVO GROWERS, INC.</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4560" w:type="dxa"/>
            <w:vAlign w:val="bottom"/>
            <w:gridSpan w:val="3"/>
          </w:tcPr>
          <w:p>
            <w:pPr>
              <w:jc w:val="center"/>
              <w:spacing w:after="0"/>
              <w:rPr>
                <w:sz w:val="20"/>
                <w:szCs w:val="20"/>
                <w:color w:val="auto"/>
              </w:rPr>
            </w:pPr>
            <w:r>
              <w:rPr>
                <w:rFonts w:ascii="Arial" w:cs="Arial" w:eastAsia="Arial" w:hAnsi="Arial"/>
                <w:sz w:val="18"/>
                <w:szCs w:val="18"/>
                <w:color w:val="auto"/>
                <w:w w:val="91"/>
              </w:rPr>
              <w:t>(Exact Name of Registrant as Specified in Charter)</w:t>
            </w:r>
          </w:p>
        </w:tc>
        <w:tc>
          <w:tcPr>
            <w:tcW w:w="3420" w:type="dxa"/>
            <w:vAlign w:val="bottom"/>
          </w:tcPr>
          <w:p>
            <w:pPr>
              <w:spacing w:after="0"/>
              <w:rPr>
                <w:sz w:val="20"/>
                <w:szCs w:val="20"/>
                <w:color w:val="auto"/>
              </w:rPr>
            </w:pPr>
          </w:p>
        </w:tc>
      </w:tr>
      <w:tr>
        <w:trPr>
          <w:trHeight w:val="62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6"/>
              </w:rPr>
              <w:t>California</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000-33385</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94"/>
              </w:rPr>
              <w:t>Jurisdiction of</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92"/>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1"/>
              </w:rPr>
              <w:t>1141A Cummings Road, Santa Paula, California 93060</w:t>
            </w:r>
          </w:p>
        </w:tc>
        <w:tc>
          <w:tcPr>
            <w:tcW w:w="3420" w:type="dxa"/>
            <w:vAlign w:val="bottom"/>
            <w:tcBorders>
              <w:bottom w:val="single" w:sz="8" w:color="auto"/>
            </w:tcBorders>
          </w:tcPr>
          <w:p>
            <w:pPr>
              <w:spacing w:after="0"/>
              <w:rPr>
                <w:sz w:val="24"/>
                <w:szCs w:val="24"/>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0" w:lineRule="exact"/>
        <w:rPr>
          <w:sz w:val="20"/>
          <w:szCs w:val="20"/>
          <w:color w:val="auto"/>
        </w:rPr>
      </w:pPr>
    </w:p>
    <w:p>
      <w:pPr>
        <w:spacing w:after="0" w:line="218" w:lineRule="exact"/>
        <w:rPr>
          <w:sz w:val="20"/>
          <w:szCs w:val="20"/>
          <w:color w:val="auto"/>
        </w:rPr>
      </w:pPr>
    </w:p>
    <w:p>
      <w:pPr>
        <w:ind w:left="540" w:hanging="314"/>
        <w:spacing w:after="0" w:line="270"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Calavo Growers, Inc. (the “Company,” “Calavo” or “we”) entered into a stock purchase agreement with Limoneira Company (“Limoneira”) on June 1, 2005. Pursuant to such agreement, on June 1, 2005 we acquired approximately 15.1% of Limoneira’s outstanding common stock for $23.45 million and Limoneira acquired approximately 6.9% of our outstanding common stock for $10 million. Pursuant to the stock purchase agreement, Calavo and Limoneira entered into a lease agreement on June 1, 2005 pursuant to which Calavo is leasing office space from Limoneira in Santa Paula, California for a period of 10 years at an initial annual gross rental of approximately $0.2 million (subject to annual CPI increases, as defined). The stock purchase agreement also provides for (1) Calavo to market Limoneira’s avocados and (2) Calavo and Limoneira to use good faith reasonable efforts to maximize avocado packing efficiencies for both parties by consolidating their fruit packing operations. Various opportunities are currently being considered, including the use of existing packing facilities, an investment in existing vacant facilities, and/or an investment in a new consolidated facility for both parties.</w:t>
      </w:r>
    </w:p>
    <w:p>
      <w:pPr>
        <w:spacing w:after="0" w:line="181" w:lineRule="exact"/>
        <w:rPr>
          <w:rFonts w:ascii="Arial" w:cs="Arial" w:eastAsia="Arial" w:hAnsi="Arial"/>
          <w:sz w:val="17"/>
          <w:szCs w:val="17"/>
          <w:color w:val="auto"/>
        </w:rPr>
      </w:pPr>
    </w:p>
    <w:p>
      <w:pPr>
        <w:ind w:left="540" w:right="80"/>
        <w:spacing w:after="0" w:line="302" w:lineRule="auto"/>
        <w:rPr>
          <w:rFonts w:ascii="Arial" w:cs="Arial" w:eastAsia="Arial" w:hAnsi="Arial"/>
          <w:sz w:val="17"/>
          <w:szCs w:val="17"/>
          <w:color w:val="auto"/>
        </w:rPr>
      </w:pPr>
      <w:r>
        <w:rPr>
          <w:rFonts w:ascii="Arial" w:cs="Arial" w:eastAsia="Arial" w:hAnsi="Arial"/>
          <w:sz w:val="16"/>
          <w:szCs w:val="16"/>
          <w:color w:val="auto"/>
        </w:rPr>
        <w:t>Limoneira, which generated total revenues of approximately $26 million during fiscal 2004, primarily engages in growing citrus and avocados, picking and hauling citrus, and packing lemons. As a result of the ownership percentage acquired in Limoneira, we will account for our investment in Limoneira under the “cost” method, whereby we will recognize only dividends received from Limoneira as income. We also issued a press release on June 7, 2005, attached as Exhibit 99.1 hereto, regarding this stock purchase agreement, which is incorporated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00" w:lineRule="exact"/>
        <w:rPr>
          <w:sz w:val="20"/>
          <w:szCs w:val="20"/>
          <w:color w:val="auto"/>
        </w:rPr>
      </w:pPr>
    </w:p>
    <w:p>
      <w:pPr>
        <w:spacing w:after="0" w:line="205" w:lineRule="exact"/>
        <w:rPr>
          <w:sz w:val="20"/>
          <w:szCs w:val="20"/>
          <w:color w:val="auto"/>
        </w:rPr>
      </w:pPr>
    </w:p>
    <w:p>
      <w:pPr>
        <w:ind w:left="540" w:hanging="314"/>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June 1, 2005, the Company completed the acquisition of 15.1% of the stock of Limoneira for $23.45 million which is described above in</w:t>
      </w:r>
    </w:p>
    <w:p>
      <w:pPr>
        <w:spacing w:after="0" w:line="34" w:lineRule="exact"/>
        <w:rPr>
          <w:rFonts w:ascii="Arial" w:cs="Arial" w:eastAsia="Arial" w:hAnsi="Arial"/>
          <w:sz w:val="17"/>
          <w:szCs w:val="17"/>
          <w:color w:val="auto"/>
        </w:rPr>
      </w:pPr>
    </w:p>
    <w:p>
      <w:pPr>
        <w:ind w:left="540" w:right="120"/>
        <w:spacing w:after="0" w:line="261" w:lineRule="auto"/>
        <w:rPr>
          <w:rFonts w:ascii="Arial" w:cs="Arial" w:eastAsia="Arial" w:hAnsi="Arial"/>
          <w:sz w:val="17"/>
          <w:szCs w:val="17"/>
          <w:color w:val="auto"/>
        </w:rPr>
      </w:pPr>
      <w:r>
        <w:rPr>
          <w:rFonts w:ascii="Arial" w:cs="Arial" w:eastAsia="Arial" w:hAnsi="Arial"/>
          <w:sz w:val="18"/>
          <w:szCs w:val="18"/>
          <w:color w:val="auto"/>
        </w:rPr>
        <w:t>Item 1.01. The Company also issued a press release, attached as Exhibit 99.1 hereto, regarding the completion of the acquisition of such stock, which is incorporated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00" w:lineRule="exact"/>
        <w:rPr>
          <w:sz w:val="20"/>
          <w:szCs w:val="20"/>
          <w:color w:val="auto"/>
        </w:rPr>
      </w:pPr>
    </w:p>
    <w:p>
      <w:pPr>
        <w:spacing w:after="0" w:line="205" w:lineRule="exact"/>
        <w:rPr>
          <w:sz w:val="20"/>
          <w:szCs w:val="20"/>
          <w:color w:val="auto"/>
        </w:rPr>
      </w:pPr>
    </w:p>
    <w:p>
      <w:pPr>
        <w:ind w:left="540" w:right="80" w:hanging="314"/>
        <w:spacing w:after="0" w:line="31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June 1, 2005, the Company issued 1,000,000 shares of its common stock, par value $0.01 per share, to Limoneira for an aggregate purchase price of $10 million in connection with the transaction described above in Item 1.01. The shares were issued in a transaction not involving a public offering under the exemptions provided for in Section 4(2) of the Securities Act of 1933 and Regulation D under the Securities Act of 1933.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18"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Exhibits</w:t>
      </w:r>
    </w:p>
    <w:p>
      <w:pPr>
        <w:spacing w:after="0" w:line="23"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7, 2005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6600" w:type="dxa"/>
            <w:vAlign w:val="bottom"/>
            <w:gridSpan w:val="2"/>
          </w:tcPr>
          <w:p>
            <w:pPr>
              <w:ind w:left="2220"/>
              <w:spacing w:after="0"/>
              <w:rPr>
                <w:sz w:val="20"/>
                <w:szCs w:val="20"/>
                <w:color w:val="auto"/>
              </w:rPr>
            </w:pPr>
            <w:r>
              <w:rPr>
                <w:rFonts w:ascii="Arial" w:cs="Arial" w:eastAsia="Arial" w:hAnsi="Arial"/>
                <w:sz w:val="18"/>
                <w:szCs w:val="18"/>
                <w:color w:val="auto"/>
              </w:rPr>
              <w:t>Calavo Growers, Inc.</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June 7, 2005</w:t>
            </w:r>
          </w:p>
        </w:tc>
        <w:tc>
          <w:tcPr>
            <w:tcW w:w="6600" w:type="dxa"/>
            <w:vAlign w:val="bottom"/>
            <w:gridSpan w:val="2"/>
          </w:tcPr>
          <w:p>
            <w:pPr>
              <w:ind w:left="2220"/>
              <w:spacing w:after="0"/>
              <w:rPr>
                <w:sz w:val="20"/>
                <w:szCs w:val="20"/>
                <w:color w:val="auto"/>
              </w:rPr>
            </w:pPr>
            <w:r>
              <w:rPr>
                <w:rFonts w:ascii="Arial" w:cs="Arial" w:eastAsia="Arial" w:hAnsi="Arial"/>
                <w:sz w:val="18"/>
                <w:szCs w:val="18"/>
                <w:color w:val="auto"/>
              </w:rPr>
              <w:t>By: /s/ Lecil E. Cole</w:t>
            </w:r>
          </w:p>
        </w:tc>
      </w:tr>
      <w:tr>
        <w:trPr>
          <w:trHeight w:val="195"/>
        </w:trPr>
        <w:tc>
          <w:tcPr>
            <w:tcW w:w="3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3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Chairman of the Board of Directors, Chief Executive</w:t>
            </w:r>
          </w:p>
        </w:tc>
      </w:tr>
      <w:tr>
        <w:trPr>
          <w:trHeight w:val="230"/>
        </w:trPr>
        <w:tc>
          <w:tcPr>
            <w:tcW w:w="3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Officer and President (Principal Executive Officer)</w:t>
            </w:r>
          </w:p>
        </w:tc>
      </w:tr>
      <w:tr>
        <w:trPr>
          <w:trHeight w:val="392"/>
        </w:trPr>
        <w:tc>
          <w:tcPr>
            <w:tcW w:w="3140" w:type="dxa"/>
            <w:vAlign w:val="bottom"/>
          </w:tcPr>
          <w:p>
            <w:pPr>
              <w:spacing w:after="0"/>
              <w:rPr>
                <w:sz w:val="24"/>
                <w:szCs w:val="24"/>
                <w:color w:val="auto"/>
              </w:rPr>
            </w:pPr>
          </w:p>
        </w:tc>
        <w:tc>
          <w:tcPr>
            <w:tcW w:w="660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580"/>
          </w:cols>
          <w:pgMar w:left="240" w:top="931" w:right="10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gridSpan w:val="4"/>
          </w:tcPr>
          <w:p>
            <w:pPr>
              <w:spacing w:after="0"/>
              <w:rPr>
                <w:sz w:val="20"/>
                <w:szCs w:val="20"/>
                <w:color w:val="auto"/>
              </w:rPr>
            </w:pPr>
            <w:r>
              <w:rPr>
                <w:rFonts w:ascii="Arial" w:cs="Arial" w:eastAsia="Arial" w:hAnsi="Arial"/>
                <w:sz w:val="18"/>
                <w:szCs w:val="18"/>
                <w:color w:val="auto"/>
              </w:rPr>
              <w:t>For Immediate Release</w:t>
            </w:r>
          </w:p>
        </w:tc>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93"/>
        </w:trPr>
        <w:tc>
          <w:tcPr>
            <w:tcW w:w="1140" w:type="dxa"/>
            <w:vAlign w:val="bottom"/>
          </w:tcPr>
          <w:p>
            <w:pPr>
              <w:spacing w:after="0"/>
              <w:rPr>
                <w:sz w:val="20"/>
                <w:szCs w:val="20"/>
                <w:color w:val="auto"/>
              </w:rPr>
            </w:pPr>
            <w:r>
              <w:rPr>
                <w:rFonts w:ascii="Arial" w:cs="Arial" w:eastAsia="Arial" w:hAnsi="Arial"/>
                <w:sz w:val="18"/>
                <w:szCs w:val="18"/>
                <w:color w:val="auto"/>
              </w:rPr>
              <w:t>Contact:</w:t>
            </w:r>
          </w:p>
        </w:tc>
        <w:tc>
          <w:tcPr>
            <w:tcW w:w="2340" w:type="dxa"/>
            <w:vAlign w:val="bottom"/>
            <w:gridSpan w:val="3"/>
          </w:tcPr>
          <w:p>
            <w:pPr>
              <w:spacing w:after="0"/>
              <w:rPr>
                <w:sz w:val="20"/>
                <w:szCs w:val="20"/>
                <w:color w:val="auto"/>
              </w:rPr>
            </w:pPr>
            <w:r>
              <w:rPr>
                <w:rFonts w:ascii="Arial" w:cs="Arial" w:eastAsia="Arial" w:hAnsi="Arial"/>
                <w:sz w:val="18"/>
                <w:szCs w:val="18"/>
                <w:color w:val="auto"/>
              </w:rPr>
              <w:t>For Calavo Growers, Inc.:</w:t>
            </w:r>
          </w:p>
        </w:tc>
        <w:tc>
          <w:tcPr>
            <w:tcW w:w="2480" w:type="dxa"/>
            <w:vAlign w:val="bottom"/>
            <w:gridSpan w:val="4"/>
          </w:tcPr>
          <w:p>
            <w:pPr>
              <w:ind w:left="460"/>
              <w:spacing w:after="0"/>
              <w:rPr>
                <w:sz w:val="20"/>
                <w:szCs w:val="20"/>
                <w:color w:val="auto"/>
              </w:rPr>
            </w:pPr>
            <w:r>
              <w:rPr>
                <w:rFonts w:ascii="Arial" w:cs="Arial" w:eastAsia="Arial" w:hAnsi="Arial"/>
                <w:sz w:val="18"/>
                <w:szCs w:val="18"/>
                <w:color w:val="auto"/>
              </w:rPr>
              <w:t>For Limoneira Company:</w:t>
            </w:r>
          </w:p>
        </w:tc>
      </w:tr>
      <w:tr>
        <w:trPr>
          <w:trHeight w:val="216"/>
        </w:trPr>
        <w:tc>
          <w:tcPr>
            <w:tcW w:w="114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Lee Cole</w:t>
            </w:r>
          </w:p>
        </w:tc>
        <w:tc>
          <w:tcPr>
            <w:tcW w:w="2480" w:type="dxa"/>
            <w:vAlign w:val="bottom"/>
            <w:gridSpan w:val="4"/>
          </w:tcPr>
          <w:p>
            <w:pPr>
              <w:ind w:left="460"/>
              <w:spacing w:after="0"/>
              <w:rPr>
                <w:sz w:val="20"/>
                <w:szCs w:val="20"/>
                <w:color w:val="auto"/>
              </w:rPr>
            </w:pPr>
            <w:r>
              <w:rPr>
                <w:rFonts w:ascii="Arial" w:cs="Arial" w:eastAsia="Arial" w:hAnsi="Arial"/>
                <w:sz w:val="18"/>
                <w:szCs w:val="18"/>
                <w:color w:val="auto"/>
              </w:rPr>
              <w:t>Harold Edwards</w:t>
            </w:r>
          </w:p>
        </w:tc>
      </w:tr>
      <w:tr>
        <w:trPr>
          <w:trHeight w:val="216"/>
        </w:trPr>
        <w:tc>
          <w:tcPr>
            <w:tcW w:w="11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805-921-3243</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80" w:type="dxa"/>
            <w:vAlign w:val="bottom"/>
            <w:gridSpan w:val="4"/>
          </w:tcPr>
          <w:p>
            <w:pPr>
              <w:ind w:left="460"/>
              <w:spacing w:after="0"/>
              <w:rPr>
                <w:sz w:val="20"/>
                <w:szCs w:val="20"/>
                <w:color w:val="auto"/>
              </w:rPr>
            </w:pPr>
            <w:r>
              <w:rPr>
                <w:rFonts w:ascii="Arial" w:cs="Arial" w:eastAsia="Arial" w:hAnsi="Arial"/>
                <w:sz w:val="18"/>
                <w:szCs w:val="18"/>
                <w:color w:val="auto"/>
              </w:rPr>
              <w:t>805-525-5541, ext. 236</w:t>
            </w:r>
          </w:p>
        </w:tc>
      </w:tr>
      <w:tr>
        <w:trPr>
          <w:trHeight w:val="190"/>
        </w:trPr>
        <w:tc>
          <w:tcPr>
            <w:tcW w:w="1140" w:type="dxa"/>
            <w:vAlign w:val="bottom"/>
          </w:tcPr>
          <w:p>
            <w:pPr>
              <w:spacing w:after="0"/>
              <w:rPr>
                <w:sz w:val="16"/>
                <w:szCs w:val="16"/>
                <w:color w:val="auto"/>
              </w:rPr>
            </w:pPr>
          </w:p>
        </w:tc>
        <w:tc>
          <w:tcPr>
            <w:tcW w:w="2340" w:type="dxa"/>
            <w:vAlign w:val="bottom"/>
            <w:gridSpan w:val="3"/>
          </w:tcPr>
          <w:p>
            <w:pPr>
              <w:spacing w:after="0" w:line="190" w:lineRule="exact"/>
              <w:rPr>
                <w:sz w:val="20"/>
                <w:szCs w:val="20"/>
                <w:color w:val="auto"/>
              </w:rPr>
            </w:pPr>
            <w:r>
              <w:rPr>
                <w:rFonts w:ascii="Arial" w:cs="Arial" w:eastAsia="Arial" w:hAnsi="Arial"/>
                <w:sz w:val="18"/>
                <w:szCs w:val="18"/>
                <w:color w:val="auto"/>
              </w:rPr>
              <w:t>leec@calavo.com</w:t>
            </w:r>
          </w:p>
        </w:tc>
        <w:tc>
          <w:tcPr>
            <w:tcW w:w="2480" w:type="dxa"/>
            <w:vAlign w:val="bottom"/>
            <w:gridSpan w:val="4"/>
          </w:tcPr>
          <w:p>
            <w:pPr>
              <w:ind w:left="460"/>
              <w:spacing w:after="0" w:line="190" w:lineRule="exact"/>
              <w:rPr>
                <w:sz w:val="20"/>
                <w:szCs w:val="20"/>
                <w:color w:val="auto"/>
              </w:rPr>
            </w:pPr>
            <w:r>
              <w:rPr>
                <w:rFonts w:ascii="Arial" w:cs="Arial" w:eastAsia="Arial" w:hAnsi="Arial"/>
                <w:sz w:val="18"/>
                <w:szCs w:val="18"/>
                <w:color w:val="auto"/>
                <w:w w:val="95"/>
              </w:rPr>
              <w:t>hedwards@limoneira.com</w:t>
            </w:r>
          </w:p>
        </w:tc>
      </w:tr>
      <w:tr>
        <w:trPr>
          <w:trHeight w:val="20"/>
        </w:trPr>
        <w:tc>
          <w:tcPr>
            <w:tcW w:w="1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or</w:t>
            </w:r>
          </w:p>
        </w:tc>
        <w:tc>
          <w:tcPr>
            <w:tcW w:w="1060" w:type="dxa"/>
            <w:vAlign w:val="bottom"/>
            <w:gridSpan w:val="2"/>
          </w:tcPr>
          <w:p>
            <w:pPr>
              <w:spacing w:after="0"/>
              <w:rPr>
                <w:sz w:val="19"/>
                <w:szCs w:val="19"/>
                <w:color w:val="auto"/>
              </w:rPr>
            </w:pPr>
          </w:p>
        </w:tc>
        <w:tc>
          <w:tcPr>
            <w:tcW w:w="2480" w:type="dxa"/>
            <w:vAlign w:val="bottom"/>
            <w:gridSpan w:val="4"/>
          </w:tcPr>
          <w:p>
            <w:pPr>
              <w:ind w:left="460"/>
              <w:spacing w:after="0"/>
              <w:rPr>
                <w:sz w:val="20"/>
                <w:szCs w:val="20"/>
                <w:color w:val="auto"/>
              </w:rPr>
            </w:pPr>
            <w:r>
              <w:rPr>
                <w:rFonts w:ascii="Arial" w:cs="Arial" w:eastAsia="Arial" w:hAnsi="Arial"/>
                <w:sz w:val="18"/>
                <w:szCs w:val="18"/>
                <w:color w:val="auto"/>
              </w:rPr>
              <w:t>or</w:t>
            </w:r>
          </w:p>
        </w:tc>
      </w:tr>
      <w:tr>
        <w:trPr>
          <w:trHeight w:val="216"/>
        </w:trPr>
        <w:tc>
          <w:tcPr>
            <w:tcW w:w="114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Jerry Freisleben</w:t>
            </w:r>
          </w:p>
        </w:tc>
        <w:tc>
          <w:tcPr>
            <w:tcW w:w="2480" w:type="dxa"/>
            <w:vAlign w:val="bottom"/>
            <w:gridSpan w:val="4"/>
          </w:tcPr>
          <w:p>
            <w:pPr>
              <w:ind w:left="460"/>
              <w:spacing w:after="0"/>
              <w:rPr>
                <w:sz w:val="20"/>
                <w:szCs w:val="20"/>
                <w:color w:val="auto"/>
              </w:rPr>
            </w:pPr>
            <w:r>
              <w:rPr>
                <w:rFonts w:ascii="Arial" w:cs="Arial" w:eastAsia="Arial" w:hAnsi="Arial"/>
                <w:sz w:val="18"/>
                <w:szCs w:val="18"/>
                <w:color w:val="auto"/>
              </w:rPr>
              <w:t>Diane Rumbaugh</w:t>
            </w:r>
          </w:p>
        </w:tc>
      </w:tr>
      <w:tr>
        <w:trPr>
          <w:trHeight w:val="216"/>
        </w:trPr>
        <w:tc>
          <w:tcPr>
            <w:tcW w:w="114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Foley/Freisleben LLC</w:t>
            </w:r>
          </w:p>
        </w:tc>
        <w:tc>
          <w:tcPr>
            <w:tcW w:w="2480" w:type="dxa"/>
            <w:vAlign w:val="bottom"/>
            <w:gridSpan w:val="4"/>
          </w:tcPr>
          <w:p>
            <w:pPr>
              <w:ind w:left="460"/>
              <w:spacing w:after="0"/>
              <w:rPr>
                <w:sz w:val="20"/>
                <w:szCs w:val="20"/>
                <w:color w:val="auto"/>
              </w:rPr>
            </w:pPr>
            <w:r>
              <w:rPr>
                <w:rFonts w:ascii="Arial" w:cs="Arial" w:eastAsia="Arial" w:hAnsi="Arial"/>
                <w:sz w:val="18"/>
                <w:szCs w:val="18"/>
                <w:color w:val="auto"/>
                <w:w w:val="90"/>
              </w:rPr>
              <w:t>Rumbaugh Public Relations</w:t>
            </w:r>
          </w:p>
        </w:tc>
      </w:tr>
      <w:tr>
        <w:trPr>
          <w:trHeight w:val="216"/>
        </w:trPr>
        <w:tc>
          <w:tcPr>
            <w:tcW w:w="114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213-955-0020</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60" w:type="dxa"/>
            <w:vAlign w:val="bottom"/>
            <w:gridSpan w:val="2"/>
          </w:tcPr>
          <w:p>
            <w:pPr>
              <w:ind w:left="460"/>
              <w:spacing w:after="0"/>
              <w:rPr>
                <w:sz w:val="20"/>
                <w:szCs w:val="20"/>
                <w:color w:val="auto"/>
              </w:rPr>
            </w:pPr>
            <w:r>
              <w:rPr>
                <w:rFonts w:ascii="Arial" w:cs="Arial" w:eastAsia="Arial" w:hAnsi="Arial"/>
                <w:sz w:val="18"/>
                <w:szCs w:val="18"/>
                <w:color w:val="auto"/>
              </w:rPr>
              <w:t>805-493-2877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1140" w:type="dxa"/>
            <w:vAlign w:val="bottom"/>
          </w:tcPr>
          <w:p>
            <w:pPr>
              <w:spacing w:after="0"/>
              <w:rPr>
                <w:sz w:val="16"/>
                <w:szCs w:val="16"/>
                <w:color w:val="auto"/>
              </w:rPr>
            </w:pPr>
          </w:p>
        </w:tc>
        <w:tc>
          <w:tcPr>
            <w:tcW w:w="1640" w:type="dxa"/>
            <w:vAlign w:val="bottom"/>
            <w:gridSpan w:val="2"/>
          </w:tcPr>
          <w:p>
            <w:pPr>
              <w:spacing w:after="0" w:line="190" w:lineRule="exact"/>
              <w:rPr>
                <w:sz w:val="20"/>
                <w:szCs w:val="20"/>
                <w:color w:val="auto"/>
              </w:rPr>
            </w:pPr>
            <w:r>
              <w:rPr>
                <w:rFonts w:ascii="Arial" w:cs="Arial" w:eastAsia="Arial" w:hAnsi="Arial"/>
                <w:sz w:val="18"/>
                <w:szCs w:val="18"/>
                <w:color w:val="auto"/>
                <w:w w:val="92"/>
              </w:rPr>
              <w:t>freisleben@folfry.com</w:t>
            </w:r>
          </w:p>
        </w:tc>
        <w:tc>
          <w:tcPr>
            <w:tcW w:w="700" w:type="dxa"/>
            <w:vAlign w:val="bottom"/>
          </w:tcPr>
          <w:p>
            <w:pPr>
              <w:spacing w:after="0"/>
              <w:rPr>
                <w:sz w:val="16"/>
                <w:szCs w:val="16"/>
                <w:color w:val="auto"/>
              </w:rPr>
            </w:pPr>
          </w:p>
        </w:tc>
        <w:tc>
          <w:tcPr>
            <w:tcW w:w="2480" w:type="dxa"/>
            <w:vAlign w:val="bottom"/>
            <w:gridSpan w:val="4"/>
          </w:tcPr>
          <w:p>
            <w:pPr>
              <w:ind w:left="460"/>
              <w:spacing w:after="0" w:line="190" w:lineRule="exact"/>
              <w:rPr>
                <w:sz w:val="20"/>
                <w:szCs w:val="20"/>
                <w:color w:val="auto"/>
              </w:rPr>
            </w:pPr>
            <w:r>
              <w:rPr>
                <w:rFonts w:ascii="Arial" w:cs="Arial" w:eastAsia="Arial" w:hAnsi="Arial"/>
                <w:sz w:val="18"/>
                <w:szCs w:val="18"/>
                <w:color w:val="auto"/>
              </w:rPr>
              <w:t>rumbaugh@earthlink.net</w:t>
            </w:r>
          </w:p>
        </w:tc>
      </w:tr>
      <w:tr>
        <w:trPr>
          <w:trHeight w:val="20"/>
        </w:trPr>
        <w:tc>
          <w:tcPr>
            <w:tcW w:w="1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AND LIMONEIRA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ALLIANCE THROUGH EQUITY OWNERSHIP STAKES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Transaction Highlights Include:</w:t>
      </w:r>
    </w:p>
    <w:p>
      <w:pPr>
        <w:spacing w:after="0" w:line="2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Calavo To Pack and Market 7 to 10 Million Pounds Annually of Limoneira Avocados, Representing Substantial Incremental Volume Increase</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Calavo Relocates Corporate Headquarters to Offices on Limoneira’s Santa Paula Ranch</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Limoneira Holdings Include 7,000 Acres of Well-Situated Agricultural Land with Development Prospects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Companies to Consider Developing New Avocado Packinghouse on Limoneira Ranch Land</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Complementary Business Segments Offer Synergies, New Platforms for 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SANTA PAULA, Calif. (June 7, 2005)—Calavo Growers, Inc. (Nasdaq-NMS: CVGW) and Limoneira Company today announced equity cross-investments in each other’s operations, creating a far-reaching agribusiness alliance that brings together the leading packer and marketer of avocados with one of its industry’s largest growers. The transaction involves an exchange of cash, stock and other considerations, but terms were not further disclosed.</w:t>
      </w:r>
    </w:p>
    <w:p>
      <w:pPr>
        <w:spacing w:after="0" w:line="106"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Under the agreement, Calavo, the global leader in the marketing of fresh and processed avocados and other perishable food products, acquires approximately 15 percent ownership interest in Limoneira, and becomes the company’s single-largest shareholder. Limoneira’s land holdings include 7,000 prime California agriculture acres, principally located in Ventura Country, that also afford promising real-estate development opportunities. The 112-year-old international land, farming and food company becomes Calavo’s second-largest shareholder through its newly obtained approximately seven percent equity stake.</w:t>
      </w:r>
    </w:p>
    <w:p>
      <w:pPr>
        <w:spacing w:after="0" w:line="161"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synergies of the alliance become immediately evident. Most significantly, Calavo now packs, markets and distributes an estimated seven to 10 million pounds annually of avocados grown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by Limoneira, which also produces lemons, oranges and other specialty crops. As point of note, Calavo distributes the fresh avocado crops of the world’s two largest growers: Limoneira and the Irvine Company. Additionally, Calavo recently relocated its corporate headquarters from Santa Ana, Calif., to leased office space on the Limoneira Company ranch in Santa Paula.</w:t>
      </w:r>
    </w:p>
    <w:p>
      <w:pPr>
        <w:spacing w:after="0" w:line="154"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Calavo Chairman, President and Chief Executive Officer Lee E. Cole and Harold S. Edwards, Limoneira’s president and CEO, jointly disclosed that among possible future initiatives is the construction of a new state-of-the art avocado packinghouse that would be constructed on Limoneira land. The CEOs left open the possibility that the companies might prospectively collaborate on additional programs in the future, but said presently there are no specific projects in mind.</w:t>
      </w:r>
    </w:p>
    <w:p>
      <w:pPr>
        <w:spacing w:after="0" w:line="146"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Cole stated: “This transaction is highly significant to Calavo and its shareholders. Through its investment in Limoneira, our company strengthens its business operations through substantial incremental avocado-packing volume and gives Calavo shareholders a stake in one of the country’s most diversified agribusiness and land companies. Limoneira’s 7,000 acres of land provide Calavo the opportunity to benefit from future commercial, residential and recreational real-estate development, creating additional value for our shareholders.”</w:t>
      </w:r>
    </w:p>
    <w:p>
      <w:pPr>
        <w:spacing w:after="0" w:line="146"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“For Limoneira, the relationship means becoming a substantial owner of the world’s leading avocado company and one of the most respected brand names in all of agribusiness,” said Edwards. “It also enables us to utilize available company office space and creates the prospect of future projects, such as the new packing facility. We are extremely pleased to become significant investors in Calavo, and are impressed with its operating strength, commanding market position and seasoned senior management team.”</w:t>
      </w:r>
    </w:p>
    <w:p>
      <w:pPr>
        <w:spacing w:after="0" w:line="16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Calavo Growers and Limoneira Company are located at 1141 Cummings Road, Santa Paula, Calif., 93060. Calavo can be reached by telephone at 805-525-1245 or at www.calavo.com. Contact Limoneira at 805-525-5541 or www.limoneira.com.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Calavo Growers, Inc.</w:t>
      </w:r>
    </w:p>
    <w:p>
      <w:pPr>
        <w:spacing w:after="0" w:line="189"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Calavo Growers, Inc. is the worldwide leader in the procurement and marketing of fresh avocados and other perishable foods, as well as the manufacturing and distribution of processed avocado products. Founded in 1924, Calavo’s expertise in marketing and distributing avocados, processed avocados, and other perishable products enables it to serve food distributors, produce wholesalers, supermarkets and restaurants on a global basis.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Limoneira Company</w:t>
      </w:r>
    </w:p>
    <w:p>
      <w:pPr>
        <w:spacing w:after="0" w:line="202"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Limoneira Company, a 112-year-old international land, farming and food company headquartered in Santa Paula, Calif., has grown to become one of the premier integrated agribusiness operations in the world. It played a major role in the development and growth of California’s citrus industry. Limoneira (pronounced lç mon ´âra), through its affiliated companies, partnerships, and strategic alliances, encompasses thousands of rich agricultural lands and commercial property throughout California.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89"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This news release contains statements relating to future events and results of Calavo (including certain projections and business trends) that are “forward-looking statements” as defined in the Private Securities Litigation Reform Act of 1995. Actual results and events may differ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detailed from time to time in the company’s Securities and Exchange Commission filings, including, without limitation, the company’s Report on Form 10-K for the year ended October 31, 2004. These forward-looking statements are made only as of the date hereof, and the company undertakes no obligation to update or revise the forward-looking statements, whether as a result of new information, future events or otherwise.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9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2020-02-10T17:14:59Z</dcterms:created>
  <dcterms:modified xsi:type="dcterms:W3CDTF">2020-02-10T17:14:59Z</dcterms:modified>
</cp:coreProperties>
</file>