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Gibson James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12/26/2017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President of Subsidiary Corp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12/26/2017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10,000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79.14</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34"/>
              <w:spacing w:after="0"/>
              <w:rPr>
                <w:sz w:val="20"/>
                <w:szCs w:val="20"/>
                <w:color w:val="auto"/>
              </w:rPr>
            </w:pPr>
            <w:r>
              <w:rPr>
                <w:rFonts w:ascii="Arial" w:cs="Arial" w:eastAsia="Arial" w:hAnsi="Arial"/>
                <w:sz w:val="18"/>
                <w:szCs w:val="18"/>
                <w:color w:val="0000FF"/>
                <w:w w:val="83"/>
              </w:rPr>
              <w:t>61,991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7"/>
              </w:rPr>
              <w:t>838</w:t>
            </w:r>
            <w:r>
              <w:rPr>
                <w:rFonts w:ascii="Arial" w:cs="Arial" w:eastAsia="Arial" w:hAnsi="Arial"/>
                <w:sz w:val="22"/>
                <w:szCs w:val="22"/>
                <w:color w:val="008000"/>
                <w:w w:val="87"/>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Gibson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00" w:type="dxa"/>
            <w:vAlign w:val="bottom"/>
            <w:tcBorders>
              <w:bottom w:val="single" w:sz="8" w:color="2C2C2C"/>
            </w:tcBorders>
            <w:gridSpan w:val="10"/>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$79.00 to $79.35,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indirectly by the reporting person in the name of The Gibson Family Trust, of which the reporting person is a trustee and in which the reporting person has a pecuniary interest.</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0000FF"/>
                <w:w w:val="85"/>
              </w:rPr>
              <w:t>/s/ James E. Gibson</w:t>
            </w:r>
          </w:p>
        </w:tc>
        <w:tc>
          <w:tcPr>
            <w:tcW w:w="7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01/09/2018</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1830"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2020-01-13T22:15:18Z</dcterms:created>
  <dcterms:modified xsi:type="dcterms:W3CDTF">2020-01-13T22:15:18Z</dcterms:modified>
</cp:coreProperties>
</file>