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5379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65379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34290</wp:posOffset>
            </wp:positionV>
            <wp:extent cx="163449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4490" cy="1143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30" w:lineRule="exact"/>
        <w:rPr>
          <w:sz w:val="24"/>
          <w:szCs w:val="24"/>
          <w:color w:val="auto"/>
        </w:rPr>
      </w:pPr>
    </w:p>
    <w:p>
      <w:pPr>
        <w:ind w:left="1500" w:hanging="855"/>
        <w:spacing w:after="0"/>
        <w:tabs>
          <w:tab w:leader="none" w:pos="150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w:t>
      </w:r>
    </w:p>
    <w:p>
      <w:pPr>
        <w:spacing w:after="0" w:line="17" w:lineRule="exact"/>
        <w:rPr>
          <w:rFonts w:ascii="MS PGothic" w:cs="MS PGothic" w:eastAsia="MS PGothic" w:hAnsi="MS PGothic"/>
          <w:sz w:val="13"/>
          <w:szCs w:val="13"/>
          <w:color w:val="auto"/>
        </w:rPr>
      </w:pPr>
    </w:p>
    <w:p>
      <w:pPr>
        <w:ind w:left="1500"/>
        <w:spacing w:after="0"/>
        <w:rPr>
          <w:rFonts w:ascii="MS PGothic" w:cs="MS PGothic" w:eastAsia="MS PGothic" w:hAnsi="MS PGothic"/>
          <w:sz w:val="13"/>
          <w:szCs w:val="13"/>
          <w:color w:val="auto"/>
        </w:rPr>
      </w:pPr>
      <w:r>
        <w:rPr>
          <w:rFonts w:ascii="Arial" w:cs="Arial" w:eastAsia="Arial" w:hAnsi="Arial"/>
          <w:sz w:val="13"/>
          <w:szCs w:val="13"/>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417195</wp:posOffset>
            </wp:positionH>
            <wp:positionV relativeFrom="paragraph">
              <wp:posOffset>-175895</wp:posOffset>
            </wp:positionV>
            <wp:extent cx="63500" cy="64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00" cy="6477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quarterly period ended January 31, 2021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147" w:lineRule="exact"/>
        <w:rPr>
          <w:sz w:val="24"/>
          <w:szCs w:val="24"/>
          <w:color w:val="auto"/>
        </w:rPr>
      </w:pPr>
    </w:p>
    <w:p>
      <w:pPr>
        <w:ind w:left="1500" w:hanging="855"/>
        <w:spacing w:after="0"/>
        <w:tabs>
          <w:tab w:leader="none" w:pos="15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w:t>
      </w:r>
    </w:p>
    <w:p>
      <w:pPr>
        <w:spacing w:after="0" w:line="17" w:lineRule="exact"/>
        <w:rPr>
          <w:rFonts w:ascii="MS PGothic" w:cs="MS PGothic" w:eastAsia="MS PGothic" w:hAnsi="MS PGothic"/>
          <w:sz w:val="13"/>
          <w:szCs w:val="13"/>
          <w:color w:val="auto"/>
        </w:rPr>
      </w:pPr>
    </w:p>
    <w:p>
      <w:pPr>
        <w:ind w:left="1500"/>
        <w:spacing w:after="0"/>
        <w:rPr>
          <w:rFonts w:ascii="MS PGothic" w:cs="MS PGothic" w:eastAsia="MS PGothic" w:hAnsi="MS PGothic"/>
          <w:sz w:val="13"/>
          <w:szCs w:val="13"/>
          <w:color w:val="auto"/>
        </w:rPr>
      </w:pPr>
      <w:r>
        <w:rPr>
          <w:rFonts w:ascii="Arial" w:cs="Arial" w:eastAsia="Arial" w:hAnsi="Arial"/>
          <w:sz w:val="13"/>
          <w:szCs w:val="13"/>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417195</wp:posOffset>
            </wp:positionH>
            <wp:positionV relativeFrom="paragraph">
              <wp:posOffset>-175895</wp:posOffset>
            </wp:positionV>
            <wp:extent cx="63500" cy="64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00" cy="6477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number: 000-33385</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CALAVO GROWERS,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1940" w:type="dxa"/>
            <w:vAlign w:val="bottom"/>
          </w:tcPr>
          <w:p>
            <w:pPr>
              <w:spacing w:after="0"/>
              <w:rPr>
                <w:sz w:val="12"/>
                <w:szCs w:val="12"/>
                <w:color w:val="auto"/>
              </w:rPr>
            </w:pPr>
          </w:p>
        </w:tc>
        <w:tc>
          <w:tcPr>
            <w:tcW w:w="3620" w:type="dxa"/>
            <w:vAlign w:val="bottom"/>
            <w:gridSpan w:val="3"/>
          </w:tcPr>
          <w:p>
            <w:pPr>
              <w:jc w:val="center"/>
              <w:ind w:right="2309"/>
              <w:spacing w:after="0"/>
              <w:rPr>
                <w:sz w:val="20"/>
                <w:szCs w:val="20"/>
                <w:color w:val="auto"/>
              </w:rPr>
            </w:pPr>
            <w:r>
              <w:rPr>
                <w:rFonts w:ascii="Arial" w:cs="Arial" w:eastAsia="Arial" w:hAnsi="Arial"/>
                <w:sz w:val="11"/>
                <w:szCs w:val="11"/>
                <w:b w:val="1"/>
                <w:bCs w:val="1"/>
                <w:color w:val="auto"/>
                <w:w w:val="90"/>
              </w:rPr>
              <w:t>California</w:t>
            </w:r>
          </w:p>
        </w:tc>
        <w:tc>
          <w:tcPr>
            <w:tcW w:w="4740" w:type="dxa"/>
            <w:vAlign w:val="bottom"/>
            <w:gridSpan w:val="3"/>
          </w:tcPr>
          <w:p>
            <w:pPr>
              <w:jc w:val="right"/>
              <w:ind w:right="2270"/>
              <w:spacing w:after="0"/>
              <w:rPr>
                <w:sz w:val="20"/>
                <w:szCs w:val="20"/>
                <w:color w:val="auto"/>
              </w:rPr>
            </w:pPr>
            <w:r>
              <w:rPr>
                <w:rFonts w:ascii="Arial" w:cs="Arial" w:eastAsia="Arial" w:hAnsi="Arial"/>
                <w:sz w:val="11"/>
                <w:szCs w:val="11"/>
                <w:b w:val="1"/>
                <w:bCs w:val="1"/>
                <w:color w:val="auto"/>
              </w:rPr>
              <w:t>33-0945304</w:t>
            </w:r>
          </w:p>
        </w:tc>
      </w:tr>
      <w:tr>
        <w:trPr>
          <w:trHeight w:val="154"/>
        </w:trPr>
        <w:tc>
          <w:tcPr>
            <w:tcW w:w="1940" w:type="dxa"/>
            <w:vAlign w:val="bottom"/>
          </w:tcPr>
          <w:p>
            <w:pPr>
              <w:spacing w:after="0"/>
              <w:rPr>
                <w:sz w:val="13"/>
                <w:szCs w:val="13"/>
                <w:color w:val="auto"/>
              </w:rPr>
            </w:pPr>
          </w:p>
        </w:tc>
        <w:tc>
          <w:tcPr>
            <w:tcW w:w="3620" w:type="dxa"/>
            <w:vAlign w:val="bottom"/>
            <w:gridSpan w:val="3"/>
          </w:tcPr>
          <w:p>
            <w:pPr>
              <w:jc w:val="center"/>
              <w:ind w:right="2309"/>
              <w:spacing w:after="0"/>
              <w:rPr>
                <w:sz w:val="20"/>
                <w:szCs w:val="20"/>
                <w:color w:val="auto"/>
              </w:rPr>
            </w:pPr>
            <w:r>
              <w:rPr>
                <w:rFonts w:ascii="Arial" w:cs="Arial" w:eastAsia="Arial" w:hAnsi="Arial"/>
                <w:sz w:val="8"/>
                <w:szCs w:val="8"/>
                <w:color w:val="auto"/>
                <w:w w:val="95"/>
              </w:rPr>
              <w:t>(State of incorporation)</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80" w:type="dxa"/>
            <w:vAlign w:val="bottom"/>
          </w:tcPr>
          <w:p>
            <w:pPr>
              <w:jc w:val="center"/>
              <w:ind w:right="1150"/>
              <w:spacing w:after="0"/>
              <w:rPr>
                <w:sz w:val="20"/>
                <w:szCs w:val="20"/>
                <w:color w:val="auto"/>
              </w:rPr>
            </w:pPr>
            <w:r>
              <w:rPr>
                <w:rFonts w:ascii="Arial" w:cs="Arial" w:eastAsia="Arial" w:hAnsi="Arial"/>
                <w:sz w:val="8"/>
                <w:szCs w:val="8"/>
                <w:color w:val="auto"/>
                <w:w w:val="99"/>
              </w:rPr>
              <w:t>(I.R.S. Employer Identification No.)</w:t>
            </w:r>
          </w:p>
        </w:tc>
      </w:tr>
      <w:tr>
        <w:trPr>
          <w:trHeight w:val="228"/>
        </w:trPr>
        <w:tc>
          <w:tcPr>
            <w:tcW w:w="1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40" w:type="dxa"/>
            <w:vAlign w:val="bottom"/>
            <w:gridSpan w:val="4"/>
          </w:tcPr>
          <w:p>
            <w:pPr>
              <w:jc w:val="center"/>
              <w:ind w:right="2730"/>
              <w:spacing w:after="0"/>
              <w:rPr>
                <w:sz w:val="20"/>
                <w:szCs w:val="20"/>
                <w:color w:val="auto"/>
              </w:rPr>
            </w:pPr>
            <w:r>
              <w:rPr>
                <w:rFonts w:ascii="Arial" w:cs="Arial" w:eastAsia="Arial" w:hAnsi="Arial"/>
                <w:sz w:val="11"/>
                <w:szCs w:val="11"/>
                <w:b w:val="1"/>
                <w:bCs w:val="1"/>
                <w:color w:val="auto"/>
                <w:w w:val="88"/>
              </w:rPr>
              <w:t>1141-A Cummings Road</w:t>
            </w:r>
          </w:p>
        </w:tc>
      </w:tr>
      <w:tr>
        <w:trPr>
          <w:trHeight w:val="135"/>
        </w:trPr>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ind w:left="1660"/>
              <w:spacing w:after="0"/>
              <w:rPr>
                <w:sz w:val="20"/>
                <w:szCs w:val="20"/>
                <w:color w:val="auto"/>
              </w:rPr>
            </w:pPr>
            <w:r>
              <w:rPr>
                <w:rFonts w:ascii="Arial" w:cs="Arial" w:eastAsia="Arial" w:hAnsi="Arial"/>
                <w:sz w:val="11"/>
                <w:szCs w:val="11"/>
                <w:b w:val="1"/>
                <w:bCs w:val="1"/>
                <w:color w:val="auto"/>
                <w:w w:val="93"/>
              </w:rPr>
              <w:t>Santa Paula, California</w:t>
            </w:r>
          </w:p>
        </w:tc>
        <w:tc>
          <w:tcPr>
            <w:tcW w:w="600" w:type="dxa"/>
            <w:vAlign w:val="bottom"/>
          </w:tcPr>
          <w:p>
            <w:pPr>
              <w:jc w:val="right"/>
              <w:ind w:right="246"/>
              <w:spacing w:after="0"/>
              <w:rPr>
                <w:sz w:val="20"/>
                <w:szCs w:val="20"/>
                <w:color w:val="auto"/>
              </w:rPr>
            </w:pPr>
            <w:r>
              <w:rPr>
                <w:rFonts w:ascii="Arial" w:cs="Arial" w:eastAsia="Arial" w:hAnsi="Arial"/>
                <w:sz w:val="11"/>
                <w:szCs w:val="11"/>
                <w:b w:val="1"/>
                <w:bCs w:val="1"/>
                <w:color w:val="auto"/>
                <w:w w:val="91"/>
              </w:rPr>
              <w:t>93060</w:t>
            </w:r>
          </w:p>
        </w:tc>
        <w:tc>
          <w:tcPr>
            <w:tcW w:w="160" w:type="dxa"/>
            <w:vAlign w:val="bottom"/>
          </w:tcPr>
          <w:p>
            <w:pPr>
              <w:spacing w:after="0"/>
              <w:rPr>
                <w:sz w:val="11"/>
                <w:szCs w:val="11"/>
                <w:color w:val="auto"/>
              </w:rPr>
            </w:pPr>
          </w:p>
        </w:tc>
        <w:tc>
          <w:tcPr>
            <w:tcW w:w="3980" w:type="dxa"/>
            <w:vAlign w:val="bottom"/>
          </w:tcPr>
          <w:p>
            <w:pPr>
              <w:spacing w:after="0"/>
              <w:rPr>
                <w:sz w:val="11"/>
                <w:szCs w:val="11"/>
                <w:color w:val="auto"/>
              </w:rPr>
            </w:pPr>
          </w:p>
        </w:tc>
      </w:tr>
      <w:tr>
        <w:trPr>
          <w:trHeight w:val="105"/>
        </w:trPr>
        <w:tc>
          <w:tcPr>
            <w:tcW w:w="1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540" w:type="dxa"/>
            <w:vAlign w:val="bottom"/>
            <w:gridSpan w:val="4"/>
          </w:tcPr>
          <w:p>
            <w:pPr>
              <w:jc w:val="center"/>
              <w:ind w:right="2710"/>
              <w:spacing w:after="0"/>
              <w:rPr>
                <w:sz w:val="20"/>
                <w:szCs w:val="20"/>
                <w:color w:val="auto"/>
              </w:rPr>
            </w:pPr>
            <w:r>
              <w:rPr>
                <w:rFonts w:ascii="Arial" w:cs="Arial" w:eastAsia="Arial" w:hAnsi="Arial"/>
                <w:sz w:val="8"/>
                <w:szCs w:val="8"/>
                <w:color w:val="auto"/>
                <w:w w:val="97"/>
              </w:rPr>
              <w:t>(Address of principal executive offices) (Zip code)</w:t>
            </w:r>
          </w:p>
        </w:tc>
      </w:tr>
      <w:tr>
        <w:trPr>
          <w:trHeight w:val="255"/>
        </w:trPr>
        <w:tc>
          <w:tcPr>
            <w:tcW w:w="1940" w:type="dxa"/>
            <w:vAlign w:val="bottom"/>
          </w:tcPr>
          <w:p>
            <w:pPr>
              <w:spacing w:after="0"/>
              <w:rPr>
                <w:sz w:val="22"/>
                <w:szCs w:val="22"/>
                <w:color w:val="auto"/>
              </w:rPr>
            </w:pPr>
          </w:p>
        </w:tc>
        <w:tc>
          <w:tcPr>
            <w:tcW w:w="3620" w:type="dxa"/>
            <w:vAlign w:val="bottom"/>
            <w:gridSpan w:val="3"/>
          </w:tcPr>
          <w:p>
            <w:pPr>
              <w:jc w:val="center"/>
              <w:ind w:left="2730"/>
              <w:spacing w:after="0"/>
              <w:rPr>
                <w:sz w:val="20"/>
                <w:szCs w:val="20"/>
                <w:color w:val="auto"/>
              </w:rPr>
            </w:pPr>
            <w:r>
              <w:rPr>
                <w:rFonts w:ascii="Arial" w:cs="Arial" w:eastAsia="Arial" w:hAnsi="Arial"/>
                <w:sz w:val="11"/>
                <w:szCs w:val="11"/>
                <w:b w:val="1"/>
                <w:bCs w:val="1"/>
                <w:color w:val="auto"/>
                <w:w w:val="90"/>
              </w:rPr>
              <w:t>(805) 525-1245</w:t>
            </w: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80" w:type="dxa"/>
            <w:vAlign w:val="bottom"/>
          </w:tcPr>
          <w:p>
            <w:pPr>
              <w:spacing w:after="0"/>
              <w:rPr>
                <w:sz w:val="22"/>
                <w:szCs w:val="22"/>
                <w:color w:val="auto"/>
              </w:rPr>
            </w:pPr>
          </w:p>
        </w:tc>
      </w:tr>
      <w:tr>
        <w:trPr>
          <w:trHeight w:val="105"/>
        </w:trPr>
        <w:tc>
          <w:tcPr>
            <w:tcW w:w="1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540" w:type="dxa"/>
            <w:vAlign w:val="bottom"/>
            <w:gridSpan w:val="4"/>
          </w:tcPr>
          <w:p>
            <w:pPr>
              <w:jc w:val="center"/>
              <w:ind w:right="2730"/>
              <w:spacing w:after="0"/>
              <w:rPr>
                <w:sz w:val="20"/>
                <w:szCs w:val="20"/>
                <w:color w:val="auto"/>
              </w:rPr>
            </w:pPr>
            <w:r>
              <w:rPr>
                <w:rFonts w:ascii="Arial" w:cs="Arial" w:eastAsia="Arial" w:hAnsi="Arial"/>
                <w:sz w:val="8"/>
                <w:szCs w:val="8"/>
                <w:color w:val="auto"/>
                <w:w w:val="93"/>
              </w:rPr>
              <w:t>(Registrant's telephone number, including area code)</w:t>
            </w:r>
          </w:p>
        </w:tc>
      </w:tr>
      <w:tr>
        <w:trPr>
          <w:trHeight w:val="215"/>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40" w:type="dxa"/>
            <w:vAlign w:val="bottom"/>
            <w:gridSpan w:val="4"/>
          </w:tcPr>
          <w:p>
            <w:pPr>
              <w:jc w:val="center"/>
              <w:ind w:right="2730"/>
              <w:spacing w:after="0"/>
              <w:rPr>
                <w:sz w:val="20"/>
                <w:szCs w:val="20"/>
                <w:color w:val="auto"/>
              </w:rPr>
            </w:pPr>
            <w:r>
              <w:rPr>
                <w:rFonts w:ascii="Arial" w:cs="Arial" w:eastAsia="Arial" w:hAnsi="Arial"/>
                <w:sz w:val="11"/>
                <w:szCs w:val="11"/>
                <w:color w:val="auto"/>
                <w:w w:val="88"/>
              </w:rPr>
              <w:t>Securities registered pursuant to Section 12(b) of the Act:</w:t>
            </w:r>
          </w:p>
        </w:tc>
      </w:tr>
      <w:tr>
        <w:trPr>
          <w:trHeight w:val="153"/>
        </w:trPr>
        <w:tc>
          <w:tcPr>
            <w:tcW w:w="1940" w:type="dxa"/>
            <w:vAlign w:val="bottom"/>
          </w:tcPr>
          <w:p>
            <w:pPr>
              <w:jc w:val="center"/>
              <w:ind w:left="626"/>
              <w:spacing w:after="0"/>
              <w:rPr>
                <w:sz w:val="20"/>
                <w:szCs w:val="20"/>
                <w:color w:val="auto"/>
              </w:rPr>
            </w:pPr>
            <w:r>
              <w:rPr>
                <w:rFonts w:ascii="Arial" w:cs="Arial" w:eastAsia="Arial" w:hAnsi="Arial"/>
                <w:sz w:val="11"/>
                <w:szCs w:val="11"/>
                <w:color w:val="auto"/>
                <w:w w:val="88"/>
              </w:rPr>
              <w:t>Title of each class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jc w:val="center"/>
              <w:ind w:left="529"/>
              <w:spacing w:after="0"/>
              <w:rPr>
                <w:sz w:val="20"/>
                <w:szCs w:val="20"/>
                <w:color w:val="auto"/>
              </w:rPr>
            </w:pPr>
            <w:r>
              <w:rPr>
                <w:rFonts w:ascii="Arial" w:cs="Arial" w:eastAsia="Arial" w:hAnsi="Arial"/>
                <w:sz w:val="11"/>
                <w:szCs w:val="11"/>
                <w:color w:val="auto"/>
                <w:w w:val="91"/>
              </w:rPr>
              <w:t>Trading Symbol(s)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1"/>
                <w:szCs w:val="11"/>
                <w:color w:val="auto"/>
                <w:w w:val="88"/>
              </w:rPr>
              <w:t>Name of each exchange on which registered</w:t>
            </w:r>
          </w:p>
        </w:tc>
      </w:tr>
      <w:tr>
        <w:trPr>
          <w:trHeight w:val="22"/>
        </w:trPr>
        <w:tc>
          <w:tcPr>
            <w:tcW w:w="1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34"/>
        </w:trPr>
        <w:tc>
          <w:tcPr>
            <w:tcW w:w="1940" w:type="dxa"/>
            <w:vAlign w:val="bottom"/>
          </w:tcPr>
          <w:p>
            <w:pPr>
              <w:jc w:val="center"/>
              <w:ind w:left="646"/>
              <w:spacing w:after="0"/>
              <w:rPr>
                <w:sz w:val="20"/>
                <w:szCs w:val="20"/>
                <w:color w:val="auto"/>
              </w:rPr>
            </w:pPr>
            <w:r>
              <w:rPr>
                <w:rFonts w:ascii="Arial" w:cs="Arial" w:eastAsia="Arial" w:hAnsi="Arial"/>
                <w:sz w:val="11"/>
                <w:szCs w:val="11"/>
                <w:color w:val="auto"/>
                <w:w w:val="90"/>
              </w:rPr>
              <w:t>Common Stock</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jc w:val="center"/>
              <w:ind w:left="529"/>
              <w:spacing w:after="0"/>
              <w:rPr>
                <w:sz w:val="20"/>
                <w:szCs w:val="20"/>
                <w:color w:val="auto"/>
              </w:rPr>
            </w:pPr>
            <w:r>
              <w:rPr>
                <w:rFonts w:ascii="Arial" w:cs="Arial" w:eastAsia="Arial" w:hAnsi="Arial"/>
                <w:sz w:val="11"/>
                <w:szCs w:val="11"/>
                <w:color w:val="auto"/>
                <w:w w:val="99"/>
              </w:rPr>
              <w:t>CVGW</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80" w:type="dxa"/>
            <w:vAlign w:val="bottom"/>
          </w:tcPr>
          <w:p>
            <w:pPr>
              <w:jc w:val="center"/>
              <w:spacing w:after="0"/>
              <w:rPr>
                <w:sz w:val="20"/>
                <w:szCs w:val="20"/>
                <w:color w:val="auto"/>
              </w:rPr>
            </w:pPr>
            <w:r>
              <w:rPr>
                <w:rFonts w:ascii="Arial" w:cs="Arial" w:eastAsia="Arial" w:hAnsi="Arial"/>
                <w:sz w:val="11"/>
                <w:szCs w:val="11"/>
                <w:color w:val="auto"/>
                <w:w w:val="91"/>
              </w:rPr>
              <w:t>Nasdaq Global Market</w:t>
            </w:r>
          </w:p>
        </w:tc>
      </w:tr>
    </w:tbl>
    <w:p>
      <w:pPr>
        <w:spacing w:after="0" w:line="75" w:lineRule="exact"/>
        <w:rPr>
          <w:sz w:val="24"/>
          <w:szCs w:val="24"/>
          <w:color w:val="auto"/>
        </w:rPr>
      </w:pPr>
    </w:p>
    <w:p>
      <w:pPr>
        <w:ind w:right="200"/>
        <w:spacing w:after="0" w:line="14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9" w:lineRule="exact"/>
        <w:rPr>
          <w:sz w:val="24"/>
          <w:szCs w:val="24"/>
          <w:color w:val="auto"/>
        </w:rPr>
      </w:pPr>
    </w:p>
    <w:p>
      <w:pPr>
        <w:ind w:right="200"/>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9" w:lineRule="exact"/>
        <w:rPr>
          <w:sz w:val="24"/>
          <w:szCs w:val="24"/>
          <w:color w:val="auto"/>
        </w:rPr>
      </w:pPr>
    </w:p>
    <w:p>
      <w:pPr>
        <w:ind w:right="540"/>
        <w:spacing w:after="0" w:line="27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00"/>
          </w:cols>
          <w:pgMar w:left="800" w:top="491" w:right="799" w:bottom="1440" w:gutter="0" w:footer="0" w:header="0"/>
        </w:sectPr>
      </w:pPr>
    </w:p>
    <w:p>
      <w:pPr>
        <w:spacing w:after="0" w:line="51"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Non-accelerated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Smaller Reporting Company </w:t>
      </w:r>
      <w:r>
        <w:rPr>
          <w:rFonts w:ascii="MS PGothic" w:cs="MS PGothic" w:eastAsia="MS PGothic" w:hAnsi="MS PGothic"/>
          <w:sz w:val="9"/>
          <w:szCs w:val="9"/>
          <w:color w:val="auto"/>
        </w:rPr>
        <w:t>☐</w:t>
      </w:r>
    </w:p>
    <w:p>
      <w:pPr>
        <w:spacing w:after="0" w:line="65" w:lineRule="exact"/>
        <w:rPr>
          <w:sz w:val="24"/>
          <w:szCs w:val="24"/>
          <w:color w:val="auto"/>
        </w:rPr>
      </w:pPr>
    </w:p>
    <w:p>
      <w:pPr>
        <w:sectPr>
          <w:pgSz w:w="11900" w:h="16838" w:orient="portrait"/>
          <w:cols w:equalWidth="0" w:num="4">
            <w:col w:w="2480" w:space="720"/>
            <w:col w:w="1560" w:space="720"/>
            <w:col w:w="1920" w:space="720"/>
            <w:col w:w="2180"/>
          </w:cols>
          <w:pgMar w:left="800" w:top="491" w:right="799" w:bottom="1440" w:gutter="0" w:footer="0" w:header="0"/>
          <w:type w:val="continuous"/>
        </w:sectPr>
      </w:pPr>
    </w:p>
    <w:p>
      <w:pPr>
        <w:spacing w:after="0" w:line="104" w:lineRule="exact"/>
        <w:rPr>
          <w:sz w:val="20"/>
          <w:szCs w:val="20"/>
          <w:color w:val="auto"/>
        </w:rPr>
      </w:pPr>
      <w:r>
        <w:rPr>
          <w:rFonts w:ascii="Arial" w:cs="Arial" w:eastAsia="Arial" w:hAnsi="Arial"/>
          <w:sz w:val="9"/>
          <w:szCs w:val="9"/>
          <w:color w:val="auto"/>
        </w:rPr>
        <w:t xml:space="preserve">Emerging growth company </w:t>
      </w:r>
      <w:r>
        <w:rPr>
          <w:rFonts w:ascii="MS PGothic" w:cs="MS PGothic" w:eastAsia="MS PGothic" w:hAnsi="MS PGothic"/>
          <w:sz w:val="9"/>
          <w:szCs w:val="9"/>
          <w:color w:val="auto"/>
        </w:rPr>
        <w:t>☐</w:t>
      </w:r>
    </w:p>
    <w:p>
      <w:pPr>
        <w:sectPr>
          <w:pgSz w:w="11900" w:h="16838" w:orient="portrait"/>
          <w:cols w:equalWidth="0" w:num="1">
            <w:col w:w="10300"/>
          </w:cols>
          <w:pgMar w:left="800" w:top="491" w:right="799" w:bottom="1440" w:gutter="0" w:footer="0" w:header="0"/>
          <w:type w:val="continuous"/>
        </w:sectPr>
      </w:pPr>
    </w:p>
    <w:p>
      <w:pPr>
        <w:spacing w:after="0" w:line="99" w:lineRule="exact"/>
        <w:rPr>
          <w:sz w:val="24"/>
          <w:szCs w:val="24"/>
          <w:color w:val="auto"/>
        </w:rPr>
      </w:pPr>
    </w:p>
    <w:p>
      <w:pPr>
        <w:ind w:right="120"/>
        <w:spacing w:after="0" w:line="149"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44" w:lineRule="exact"/>
        <w:rPr>
          <w:sz w:val="24"/>
          <w:szCs w:val="24"/>
          <w:color w:val="auto"/>
        </w:rPr>
      </w:pPr>
    </w:p>
    <w:p>
      <w:pPr>
        <w:ind w:right="4840"/>
        <w:spacing w:after="0" w:line="186"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Registrant's number of shares of common stock outstanding as of January 31, 2021 was 17,686,249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448310</wp:posOffset>
            </wp:positionV>
            <wp:extent cx="65379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5379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168275</wp:posOffset>
            </wp:positionV>
            <wp:extent cx="65379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48260</wp:posOffset>
            </wp:positionV>
            <wp:extent cx="163449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ectPr>
          <w:pgSz w:w="11900" w:h="16838" w:orient="portrait"/>
          <w:cols w:equalWidth="0" w:num="1">
            <w:col w:w="10300"/>
          </w:cols>
          <w:pgMar w:left="800" w:top="491" w:right="799" w:bottom="1440" w:gutter="0" w:footer="0" w:header="0"/>
          <w:type w:val="continuous"/>
        </w:sectPr>
      </w:pPr>
    </w:p>
    <w:bookmarkStart w:id="1" w:name="page2"/>
    <w:bookmarkEnd w:id="1"/>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ind w:left="20" w:right="59" w:firstLine="150"/>
        <w:spacing w:after="0" w:line="307" w:lineRule="auto"/>
        <w:rPr>
          <w:sz w:val="20"/>
          <w:szCs w:val="20"/>
          <w:color w:val="auto"/>
        </w:rPr>
      </w:pPr>
      <w:r>
        <w:rPr>
          <w:rFonts w:ascii="Arial" w:cs="Arial" w:eastAsia="Arial" w:hAnsi="Arial"/>
          <w:sz w:val="10"/>
          <w:szCs w:val="10"/>
          <w:color w:val="auto"/>
        </w:rPr>
        <w:t>This Quarterly Report on Form 10-Q, including “Management’s Discussion and Analysis of Financial Condition and Results of Operations” in Item 2, contains statements relating to future events and results of Calavo Growers, Inc. and its consolidated subsidiaries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251" w:lineRule="exact"/>
        <w:rPr>
          <w:sz w:val="20"/>
          <w:szCs w:val="20"/>
          <w:color w:val="auto"/>
        </w:rPr>
      </w:pPr>
    </w:p>
    <w:p>
      <w:pPr>
        <w:ind w:left="20" w:right="59" w:firstLine="180"/>
        <w:spacing w:after="0" w:line="278" w:lineRule="auto"/>
        <w:rPr>
          <w:sz w:val="20"/>
          <w:szCs w:val="20"/>
          <w:color w:val="auto"/>
        </w:rPr>
      </w:pPr>
      <w:r>
        <w:rPr>
          <w:rFonts w:ascii="Arial" w:cs="Arial" w:eastAsia="Arial" w:hAnsi="Arial"/>
          <w:sz w:val="11"/>
          <w:szCs w:val="11"/>
          <w:color w:val="auto"/>
        </w:rPr>
        <w:t>Risks and uncertainties that may cause our actual results to be materially different from any future results expressed or implied by the forward-looking statements include, but are not limited to, the following: the impact of COVID-19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increased costs that we must incur as a result of COVID-19, the impact of governmental trade restrictions imposed as a result of COVID-19 and the possible adverse impact of COVID-19 on our goodwill and other intangible assets; the impact of macroeconomic trends and events; the competitive pressures faced by Calavo's business; the development and transition of new products and services (and the enhancement of existing products and services) to meet customer needs; integration and other risks associated with acquisitions of other businesses; our ability to hire and retain key employees; the resolution of pending investigations, legal claims and tax disputes; the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and potential cyber-attacks on our information technology systems or on the information technology systems of our suppliers or customers.</w:t>
      </w:r>
    </w:p>
    <w:p>
      <w:pPr>
        <w:spacing w:after="0" w:line="116" w:lineRule="exact"/>
        <w:rPr>
          <w:sz w:val="20"/>
          <w:szCs w:val="20"/>
          <w:color w:val="auto"/>
        </w:rPr>
      </w:pPr>
    </w:p>
    <w:p>
      <w:pPr>
        <w:ind w:left="20" w:right="99" w:firstLine="180"/>
        <w:spacing w:after="0" w:line="256" w:lineRule="auto"/>
        <w:rPr>
          <w:sz w:val="20"/>
          <w:szCs w:val="20"/>
          <w:color w:val="auto"/>
        </w:rPr>
      </w:pPr>
      <w:r>
        <w:rPr>
          <w:rFonts w:ascii="Arial" w:cs="Arial" w:eastAsia="Arial" w:hAnsi="Arial"/>
          <w:sz w:val="12"/>
          <w:szCs w:val="12"/>
          <w:color w:val="auto"/>
        </w:rPr>
        <w:t>For a further discussion of these risks and uncertainties and other risks and uncertainties that we face, please see the risk factors described in our most recent Annual Report on Form 10-K for the fiscal year ended October 31, 2020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 w:name="page3"/>
    <w:bookmarkEnd w:id="2"/>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CALAVO GROWERS,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56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2"/>
                <w:szCs w:val="12"/>
                <w:color w:val="auto"/>
              </w:rPr>
              <w:t>PAGE</w:t>
            </w:r>
          </w:p>
        </w:tc>
      </w:tr>
      <w:tr>
        <w:trPr>
          <w:trHeight w:val="288"/>
        </w:trPr>
        <w:tc>
          <w:tcPr>
            <w:tcW w:w="6940" w:type="dxa"/>
            <w:vAlign w:val="bottom"/>
            <w:gridSpan w:val="2"/>
          </w:tcPr>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PART I. FINANCIAL INFORMATION</w:t>
              </w:r>
            </w:hyperlink>
          </w:p>
        </w:tc>
        <w:tc>
          <w:tcPr>
            <w:tcW w:w="2040" w:type="dxa"/>
            <w:vAlign w:val="bottom"/>
          </w:tcPr>
          <w:p>
            <w:pPr>
              <w:spacing w:after="0"/>
              <w:rPr>
                <w:sz w:val="24"/>
                <w:szCs w:val="24"/>
                <w:color w:val="auto"/>
              </w:rPr>
            </w:pPr>
          </w:p>
        </w:tc>
      </w:tr>
      <w:tr>
        <w:trPr>
          <w:trHeight w:val="275"/>
        </w:trPr>
        <w:tc>
          <w:tcPr>
            <w:tcW w:w="560" w:type="dxa"/>
            <w:vAlign w:val="bottom"/>
          </w:tcPr>
          <w:p>
            <w:pPr>
              <w:spacing w:after="0"/>
              <w:rPr>
                <w:rFonts w:ascii="Arial" w:cs="Arial" w:eastAsia="Arial" w:hAnsi="Arial"/>
                <w:sz w:val="11"/>
                <w:szCs w:val="11"/>
                <w:color w:val="0000EE"/>
              </w:rPr>
            </w:pPr>
            <w:hyperlink w:anchor="page4">
              <w:r>
                <w:rPr>
                  <w:rFonts w:ascii="Arial" w:cs="Arial" w:eastAsia="Arial" w:hAnsi="Arial"/>
                  <w:sz w:val="11"/>
                  <w:szCs w:val="11"/>
                  <w:u w:val="single" w:color="auto"/>
                  <w:color w:val="0000EE"/>
                </w:rPr>
                <w:t>Item 1</w:t>
              </w:r>
              <w:r>
                <w:rPr>
                  <w:rFonts w:ascii="Arial" w:cs="Arial" w:eastAsia="Arial" w:hAnsi="Arial"/>
                  <w:sz w:val="11"/>
                  <w:szCs w:val="11"/>
                  <w:color w:val="0000EE"/>
                </w:rPr>
                <w:t>.</w:t>
              </w:r>
            </w:hyperlink>
          </w:p>
        </w:tc>
        <w:tc>
          <w:tcPr>
            <w:tcW w:w="6380" w:type="dxa"/>
            <w:vAlign w:val="bottom"/>
          </w:tcPr>
          <w:p>
            <w:pPr>
              <w:ind w:left="200"/>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Financial Statements (unaudited):</w:t>
              </w:r>
            </w:hyperlink>
          </w:p>
        </w:tc>
        <w:tc>
          <w:tcPr>
            <w:tcW w:w="2040" w:type="dxa"/>
            <w:vAlign w:val="bottom"/>
          </w:tcPr>
          <w:p>
            <w:pPr>
              <w:spacing w:after="0"/>
              <w:rPr>
                <w:sz w:val="23"/>
                <w:szCs w:val="23"/>
                <w:color w:val="auto"/>
              </w:rPr>
            </w:pPr>
          </w:p>
        </w:tc>
      </w:tr>
      <w:tr>
        <w:trPr>
          <w:trHeight w:val="283"/>
        </w:trPr>
        <w:tc>
          <w:tcPr>
            <w:tcW w:w="560" w:type="dxa"/>
            <w:vAlign w:val="bottom"/>
          </w:tcPr>
          <w:p>
            <w:pPr>
              <w:spacing w:after="0"/>
              <w:rPr>
                <w:sz w:val="24"/>
                <w:szCs w:val="24"/>
                <w:color w:val="auto"/>
              </w:rPr>
            </w:pPr>
          </w:p>
        </w:tc>
        <w:tc>
          <w:tcPr>
            <w:tcW w:w="6380" w:type="dxa"/>
            <w:vAlign w:val="bottom"/>
          </w:tcPr>
          <w:p>
            <w:pPr>
              <w:ind w:left="200"/>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Consolidated Condensed Balance Sheets – January 31, 2021 and October 31, 2020</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266"/>
        </w:trPr>
        <w:tc>
          <w:tcPr>
            <w:tcW w:w="560" w:type="dxa"/>
            <w:vAlign w:val="bottom"/>
          </w:tcPr>
          <w:p>
            <w:pPr>
              <w:spacing w:after="0"/>
              <w:rPr>
                <w:sz w:val="23"/>
                <w:szCs w:val="23"/>
                <w:color w:val="auto"/>
              </w:rPr>
            </w:pPr>
          </w:p>
        </w:tc>
        <w:tc>
          <w:tcPr>
            <w:tcW w:w="6380" w:type="dxa"/>
            <w:vAlign w:val="bottom"/>
          </w:tcPr>
          <w:p>
            <w:pPr>
              <w:ind w:left="200"/>
              <w:spacing w:after="0"/>
              <w:rPr>
                <w:rFonts w:ascii="Arial" w:cs="Arial" w:eastAsia="Arial" w:hAnsi="Arial"/>
                <w:sz w:val="11"/>
                <w:szCs w:val="11"/>
                <w:u w:val="single" w:color="auto"/>
                <w:color w:val="0000EE"/>
              </w:rPr>
            </w:pPr>
            <w:hyperlink w:anchor="page5">
              <w:r>
                <w:rPr>
                  <w:rFonts w:ascii="Arial" w:cs="Arial" w:eastAsia="Arial" w:hAnsi="Arial"/>
                  <w:sz w:val="11"/>
                  <w:szCs w:val="11"/>
                  <w:u w:val="single" w:color="auto"/>
                  <w:color w:val="0000EE"/>
                </w:rPr>
                <w:t>Consolidated Condensed Statements of Operations – Three Months Ended January 31, 2021 and 2020</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270"/>
        </w:trPr>
        <w:tc>
          <w:tcPr>
            <w:tcW w:w="560" w:type="dxa"/>
            <w:vAlign w:val="bottom"/>
          </w:tcPr>
          <w:p>
            <w:pPr>
              <w:spacing w:after="0"/>
              <w:rPr>
                <w:sz w:val="23"/>
                <w:szCs w:val="23"/>
                <w:color w:val="auto"/>
              </w:rPr>
            </w:pPr>
          </w:p>
        </w:tc>
        <w:tc>
          <w:tcPr>
            <w:tcW w:w="6380" w:type="dxa"/>
            <w:vAlign w:val="bottom"/>
          </w:tcPr>
          <w:p>
            <w:pPr>
              <w:ind w:left="200"/>
              <w:spacing w:after="0"/>
              <w:rPr>
                <w:rFonts w:ascii="Arial" w:cs="Arial" w:eastAsia="Arial" w:hAnsi="Arial"/>
                <w:sz w:val="11"/>
                <w:szCs w:val="11"/>
                <w:u w:val="single" w:color="auto"/>
                <w:color w:val="0000EE"/>
              </w:rPr>
            </w:pPr>
            <w:hyperlink w:anchor="page6">
              <w:r>
                <w:rPr>
                  <w:rFonts w:ascii="Arial" w:cs="Arial" w:eastAsia="Arial" w:hAnsi="Arial"/>
                  <w:sz w:val="11"/>
                  <w:szCs w:val="11"/>
                  <w:u w:val="single" w:color="auto"/>
                  <w:color w:val="0000EE"/>
                </w:rPr>
                <w:t>Consolidated Condensed Statements of Cash Flows – Three Months Ended January 31, 2021 and 2020</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270"/>
        </w:trPr>
        <w:tc>
          <w:tcPr>
            <w:tcW w:w="560" w:type="dxa"/>
            <w:vAlign w:val="bottom"/>
          </w:tcPr>
          <w:p>
            <w:pPr>
              <w:spacing w:after="0"/>
              <w:rPr>
                <w:sz w:val="23"/>
                <w:szCs w:val="23"/>
                <w:color w:val="auto"/>
              </w:rPr>
            </w:pPr>
          </w:p>
        </w:tc>
        <w:tc>
          <w:tcPr>
            <w:tcW w:w="6380" w:type="dxa"/>
            <w:vAlign w:val="bottom"/>
          </w:tcPr>
          <w:p>
            <w:pPr>
              <w:ind w:left="200"/>
              <w:spacing w:after="0"/>
              <w:rPr>
                <w:rFonts w:ascii="Arial" w:cs="Arial" w:eastAsia="Arial" w:hAnsi="Arial"/>
                <w:sz w:val="11"/>
                <w:szCs w:val="11"/>
                <w:u w:val="single" w:color="auto"/>
                <w:color w:val="0000EE"/>
              </w:rPr>
            </w:pPr>
            <w:hyperlink w:anchor="page7">
              <w:r>
                <w:rPr>
                  <w:rFonts w:ascii="Arial" w:cs="Arial" w:eastAsia="Arial" w:hAnsi="Arial"/>
                  <w:sz w:val="11"/>
                  <w:szCs w:val="11"/>
                  <w:u w:val="single" w:color="auto"/>
                  <w:color w:val="0000EE"/>
                </w:rPr>
                <w:t>Consolidated Condensed Statements of Shareholders’ Equity</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270"/>
        </w:trPr>
        <w:tc>
          <w:tcPr>
            <w:tcW w:w="560" w:type="dxa"/>
            <w:vAlign w:val="bottom"/>
          </w:tcPr>
          <w:p>
            <w:pPr>
              <w:spacing w:after="0"/>
              <w:rPr>
                <w:sz w:val="23"/>
                <w:szCs w:val="23"/>
                <w:color w:val="auto"/>
              </w:rPr>
            </w:pPr>
          </w:p>
        </w:tc>
        <w:tc>
          <w:tcPr>
            <w:tcW w:w="6380" w:type="dxa"/>
            <w:vAlign w:val="bottom"/>
          </w:tcPr>
          <w:p>
            <w:pPr>
              <w:ind w:left="200"/>
              <w:spacing w:after="0"/>
              <w:rPr>
                <w:rFonts w:ascii="Arial" w:cs="Arial" w:eastAsia="Arial" w:hAnsi="Arial"/>
                <w:sz w:val="11"/>
                <w:szCs w:val="11"/>
                <w:u w:val="single" w:color="auto"/>
                <w:color w:val="0000EE"/>
              </w:rPr>
            </w:pPr>
            <w:hyperlink w:anchor="page8">
              <w:r>
                <w:rPr>
                  <w:rFonts w:ascii="Arial" w:cs="Arial" w:eastAsia="Arial" w:hAnsi="Arial"/>
                  <w:sz w:val="11"/>
                  <w:szCs w:val="11"/>
                  <w:u w:val="single" w:color="auto"/>
                  <w:color w:val="0000EE"/>
                </w:rPr>
                <w:t>Notes to Consolidated Condensed Financial Statements</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270"/>
        </w:trPr>
        <w:tc>
          <w:tcPr>
            <w:tcW w:w="560" w:type="dxa"/>
            <w:vAlign w:val="bottom"/>
          </w:tcPr>
          <w:p>
            <w:pPr>
              <w:spacing w:after="0"/>
              <w:rPr>
                <w:rFonts w:ascii="Arial" w:cs="Arial" w:eastAsia="Arial" w:hAnsi="Arial"/>
                <w:sz w:val="11"/>
                <w:szCs w:val="11"/>
                <w:color w:val="0000EE"/>
              </w:rPr>
            </w:pPr>
            <w:hyperlink w:anchor="page20">
              <w:r>
                <w:rPr>
                  <w:rFonts w:ascii="Arial" w:cs="Arial" w:eastAsia="Arial" w:hAnsi="Arial"/>
                  <w:sz w:val="11"/>
                  <w:szCs w:val="11"/>
                  <w:u w:val="single" w:color="auto"/>
                  <w:color w:val="0000EE"/>
                </w:rPr>
                <w:t>Item 2</w:t>
              </w:r>
              <w:r>
                <w:rPr>
                  <w:rFonts w:ascii="Arial" w:cs="Arial" w:eastAsia="Arial" w:hAnsi="Arial"/>
                  <w:sz w:val="11"/>
                  <w:szCs w:val="11"/>
                  <w:color w:val="0000EE"/>
                </w:rPr>
                <w:t>.</w:t>
              </w:r>
            </w:hyperlink>
          </w:p>
        </w:tc>
        <w:tc>
          <w:tcPr>
            <w:tcW w:w="6380" w:type="dxa"/>
            <w:vAlign w:val="bottom"/>
          </w:tcPr>
          <w:p>
            <w:pPr>
              <w:ind w:left="200"/>
              <w:spacing w:after="0"/>
              <w:rPr>
                <w:rFonts w:ascii="Arial" w:cs="Arial" w:eastAsia="Arial" w:hAnsi="Arial"/>
                <w:sz w:val="11"/>
                <w:szCs w:val="11"/>
                <w:u w:val="single" w:color="auto"/>
                <w:color w:val="0000EE"/>
              </w:rPr>
            </w:pPr>
            <w:hyperlink w:anchor="page20">
              <w:r>
                <w:rPr>
                  <w:rFonts w:ascii="Arial" w:cs="Arial" w:eastAsia="Arial" w:hAnsi="Arial"/>
                  <w:sz w:val="11"/>
                  <w:szCs w:val="11"/>
                  <w:u w:val="single" w:color="auto"/>
                  <w:color w:val="0000EE"/>
                </w:rPr>
                <w:t>Management's Discussion and Analysis of Financial Condition and Results of Operations</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270"/>
        </w:trPr>
        <w:tc>
          <w:tcPr>
            <w:tcW w:w="560" w:type="dxa"/>
            <w:vAlign w:val="bottom"/>
          </w:tcPr>
          <w:p>
            <w:pPr>
              <w:spacing w:after="0"/>
              <w:rPr>
                <w:rFonts w:ascii="Arial" w:cs="Arial" w:eastAsia="Arial" w:hAnsi="Arial"/>
                <w:sz w:val="11"/>
                <w:szCs w:val="11"/>
                <w:color w:val="0000EE"/>
              </w:rPr>
            </w:pPr>
            <w:hyperlink w:anchor="page30">
              <w:r>
                <w:rPr>
                  <w:rFonts w:ascii="Arial" w:cs="Arial" w:eastAsia="Arial" w:hAnsi="Arial"/>
                  <w:sz w:val="11"/>
                  <w:szCs w:val="11"/>
                  <w:u w:val="single" w:color="auto"/>
                  <w:color w:val="0000EE"/>
                </w:rPr>
                <w:t>Item 3</w:t>
              </w:r>
              <w:r>
                <w:rPr>
                  <w:rFonts w:ascii="Arial" w:cs="Arial" w:eastAsia="Arial" w:hAnsi="Arial"/>
                  <w:sz w:val="11"/>
                  <w:szCs w:val="11"/>
                  <w:color w:val="0000EE"/>
                </w:rPr>
                <w:t>.</w:t>
              </w:r>
            </w:hyperlink>
          </w:p>
        </w:tc>
        <w:tc>
          <w:tcPr>
            <w:tcW w:w="6380" w:type="dxa"/>
            <w:vAlign w:val="bottom"/>
          </w:tcPr>
          <w:p>
            <w:pPr>
              <w:ind w:left="200"/>
              <w:spacing w:after="0"/>
              <w:rPr>
                <w:rFonts w:ascii="Arial" w:cs="Arial" w:eastAsia="Arial" w:hAnsi="Arial"/>
                <w:sz w:val="11"/>
                <w:szCs w:val="11"/>
                <w:u w:val="single" w:color="auto"/>
                <w:color w:val="0000EE"/>
              </w:rPr>
            </w:pPr>
            <w:hyperlink w:anchor="page30">
              <w:r>
                <w:rPr>
                  <w:rFonts w:ascii="Arial" w:cs="Arial" w:eastAsia="Arial" w:hAnsi="Arial"/>
                  <w:sz w:val="11"/>
                  <w:szCs w:val="11"/>
                  <w:u w:val="single" w:color="auto"/>
                  <w:color w:val="0000EE"/>
                </w:rPr>
                <w:t>Quantitative and Qualitative Disclosures About Market Risk</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270"/>
        </w:trPr>
        <w:tc>
          <w:tcPr>
            <w:tcW w:w="560" w:type="dxa"/>
            <w:vAlign w:val="bottom"/>
          </w:tcPr>
          <w:p>
            <w:pPr>
              <w:spacing w:after="0"/>
              <w:rPr>
                <w:rFonts w:ascii="Arial" w:cs="Arial" w:eastAsia="Arial" w:hAnsi="Arial"/>
                <w:sz w:val="11"/>
                <w:szCs w:val="11"/>
                <w:color w:val="0000EE"/>
              </w:rPr>
            </w:pPr>
            <w:hyperlink w:anchor="page30">
              <w:r>
                <w:rPr>
                  <w:rFonts w:ascii="Arial" w:cs="Arial" w:eastAsia="Arial" w:hAnsi="Arial"/>
                  <w:sz w:val="11"/>
                  <w:szCs w:val="11"/>
                  <w:u w:val="single" w:color="auto"/>
                  <w:color w:val="0000EE"/>
                </w:rPr>
                <w:t>Item 4</w:t>
              </w:r>
              <w:r>
                <w:rPr>
                  <w:rFonts w:ascii="Arial" w:cs="Arial" w:eastAsia="Arial" w:hAnsi="Arial"/>
                  <w:sz w:val="11"/>
                  <w:szCs w:val="11"/>
                  <w:color w:val="0000EE"/>
                </w:rPr>
                <w:t>.</w:t>
              </w:r>
            </w:hyperlink>
          </w:p>
        </w:tc>
        <w:tc>
          <w:tcPr>
            <w:tcW w:w="6380" w:type="dxa"/>
            <w:vAlign w:val="bottom"/>
          </w:tcPr>
          <w:p>
            <w:pPr>
              <w:ind w:left="200"/>
              <w:spacing w:after="0"/>
              <w:rPr>
                <w:rFonts w:ascii="Arial" w:cs="Arial" w:eastAsia="Arial" w:hAnsi="Arial"/>
                <w:sz w:val="11"/>
                <w:szCs w:val="11"/>
                <w:u w:val="single" w:color="auto"/>
                <w:color w:val="0000EE"/>
              </w:rPr>
            </w:pPr>
            <w:hyperlink w:anchor="page30">
              <w:r>
                <w:rPr>
                  <w:rFonts w:ascii="Arial" w:cs="Arial" w:eastAsia="Arial" w:hAnsi="Arial"/>
                  <w:sz w:val="11"/>
                  <w:szCs w:val="11"/>
                  <w:u w:val="single" w:color="auto"/>
                  <w:color w:val="0000EE"/>
                </w:rPr>
                <w:t>Controls and Procedures</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405"/>
        </w:trPr>
        <w:tc>
          <w:tcPr>
            <w:tcW w:w="6940" w:type="dxa"/>
            <w:vAlign w:val="bottom"/>
            <w:gridSpan w:val="2"/>
          </w:tcPr>
          <w:p>
            <w:pPr>
              <w:spacing w:after="0"/>
              <w:rPr>
                <w:rFonts w:ascii="Arial" w:cs="Arial" w:eastAsia="Arial" w:hAnsi="Arial"/>
                <w:sz w:val="11"/>
                <w:szCs w:val="11"/>
                <w:b w:val="1"/>
                <w:bCs w:val="1"/>
                <w:u w:val="single" w:color="auto"/>
                <w:color w:val="0000EE"/>
              </w:rPr>
            </w:pPr>
            <w:hyperlink w:anchor="page30">
              <w:r>
                <w:rPr>
                  <w:rFonts w:ascii="Arial" w:cs="Arial" w:eastAsia="Arial" w:hAnsi="Arial"/>
                  <w:sz w:val="11"/>
                  <w:szCs w:val="11"/>
                  <w:b w:val="1"/>
                  <w:bCs w:val="1"/>
                  <w:u w:val="single" w:color="auto"/>
                  <w:color w:val="0000EE"/>
                </w:rPr>
                <w:t>PART II. OTHER INFORMATION</w:t>
              </w:r>
            </w:hyperlink>
          </w:p>
        </w:tc>
        <w:tc>
          <w:tcPr>
            <w:tcW w:w="2040" w:type="dxa"/>
            <w:vAlign w:val="bottom"/>
          </w:tcPr>
          <w:p>
            <w:pPr>
              <w:spacing w:after="0"/>
              <w:rPr>
                <w:sz w:val="24"/>
                <w:szCs w:val="24"/>
                <w:color w:val="auto"/>
              </w:rPr>
            </w:pPr>
          </w:p>
        </w:tc>
      </w:tr>
      <w:tr>
        <w:trPr>
          <w:trHeight w:val="270"/>
        </w:trPr>
        <w:tc>
          <w:tcPr>
            <w:tcW w:w="560" w:type="dxa"/>
            <w:vAlign w:val="bottom"/>
          </w:tcPr>
          <w:p>
            <w:pPr>
              <w:spacing w:after="0"/>
              <w:rPr>
                <w:rFonts w:ascii="Arial" w:cs="Arial" w:eastAsia="Arial" w:hAnsi="Arial"/>
                <w:sz w:val="11"/>
                <w:szCs w:val="11"/>
                <w:color w:val="0000EE"/>
              </w:rPr>
            </w:pPr>
            <w:hyperlink w:anchor="page30">
              <w:r>
                <w:rPr>
                  <w:rFonts w:ascii="Arial" w:cs="Arial" w:eastAsia="Arial" w:hAnsi="Arial"/>
                  <w:sz w:val="11"/>
                  <w:szCs w:val="11"/>
                  <w:u w:val="single" w:color="auto"/>
                  <w:color w:val="0000EE"/>
                </w:rPr>
                <w:t>Item 1</w:t>
              </w:r>
              <w:r>
                <w:rPr>
                  <w:rFonts w:ascii="Arial" w:cs="Arial" w:eastAsia="Arial" w:hAnsi="Arial"/>
                  <w:sz w:val="11"/>
                  <w:szCs w:val="11"/>
                  <w:color w:val="0000EE"/>
                </w:rPr>
                <w:t>.</w:t>
              </w:r>
            </w:hyperlink>
          </w:p>
        </w:tc>
        <w:tc>
          <w:tcPr>
            <w:tcW w:w="6380" w:type="dxa"/>
            <w:vAlign w:val="bottom"/>
          </w:tcPr>
          <w:p>
            <w:pPr>
              <w:ind w:left="200"/>
              <w:spacing w:after="0"/>
              <w:rPr>
                <w:rFonts w:ascii="Arial" w:cs="Arial" w:eastAsia="Arial" w:hAnsi="Arial"/>
                <w:sz w:val="11"/>
                <w:szCs w:val="11"/>
                <w:u w:val="single" w:color="auto"/>
                <w:color w:val="0000EE"/>
              </w:rPr>
            </w:pPr>
            <w:hyperlink w:anchor="page30">
              <w:r>
                <w:rPr>
                  <w:rFonts w:ascii="Arial" w:cs="Arial" w:eastAsia="Arial" w:hAnsi="Arial"/>
                  <w:sz w:val="11"/>
                  <w:szCs w:val="11"/>
                  <w:u w:val="single" w:color="auto"/>
                  <w:color w:val="0000EE"/>
                </w:rPr>
                <w:t>Legal Proceedings</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270"/>
        </w:trPr>
        <w:tc>
          <w:tcPr>
            <w:tcW w:w="560" w:type="dxa"/>
            <w:vAlign w:val="bottom"/>
          </w:tcPr>
          <w:p>
            <w:pPr>
              <w:spacing w:after="0"/>
              <w:rPr>
                <w:rFonts w:ascii="Arial" w:cs="Arial" w:eastAsia="Arial" w:hAnsi="Arial"/>
                <w:sz w:val="11"/>
                <w:szCs w:val="11"/>
                <w:u w:val="single" w:color="auto"/>
                <w:color w:val="0000EE"/>
              </w:rPr>
            </w:pPr>
            <w:hyperlink w:anchor="page31">
              <w:r>
                <w:rPr>
                  <w:rFonts w:ascii="Arial" w:cs="Arial" w:eastAsia="Arial" w:hAnsi="Arial"/>
                  <w:sz w:val="11"/>
                  <w:szCs w:val="11"/>
                  <w:u w:val="single" w:color="auto"/>
                  <w:color w:val="0000EE"/>
                </w:rPr>
                <w:t>Item 1A.</w:t>
              </w:r>
            </w:hyperlink>
          </w:p>
        </w:tc>
        <w:tc>
          <w:tcPr>
            <w:tcW w:w="6380" w:type="dxa"/>
            <w:vAlign w:val="bottom"/>
          </w:tcPr>
          <w:p>
            <w:pPr>
              <w:ind w:left="200"/>
              <w:spacing w:after="0"/>
              <w:rPr>
                <w:rFonts w:ascii="Arial" w:cs="Arial" w:eastAsia="Arial" w:hAnsi="Arial"/>
                <w:sz w:val="11"/>
                <w:szCs w:val="11"/>
                <w:u w:val="single" w:color="auto"/>
                <w:color w:val="0000EE"/>
              </w:rPr>
            </w:pPr>
            <w:hyperlink w:anchor="page31">
              <w:r>
                <w:rPr>
                  <w:rFonts w:ascii="Arial" w:cs="Arial" w:eastAsia="Arial" w:hAnsi="Arial"/>
                  <w:sz w:val="11"/>
                  <w:szCs w:val="11"/>
                  <w:u w:val="single" w:color="auto"/>
                  <w:color w:val="0000EE"/>
                </w:rPr>
                <w:t>Risk Factors</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270"/>
        </w:trPr>
        <w:tc>
          <w:tcPr>
            <w:tcW w:w="560" w:type="dxa"/>
            <w:vAlign w:val="bottom"/>
          </w:tcPr>
          <w:p>
            <w:pPr>
              <w:spacing w:after="0"/>
              <w:rPr>
                <w:rFonts w:ascii="Arial" w:cs="Arial" w:eastAsia="Arial" w:hAnsi="Arial"/>
                <w:sz w:val="11"/>
                <w:szCs w:val="11"/>
                <w:color w:val="0000EE"/>
              </w:rPr>
            </w:pPr>
            <w:hyperlink w:anchor="page31">
              <w:r>
                <w:rPr>
                  <w:rFonts w:ascii="Arial" w:cs="Arial" w:eastAsia="Arial" w:hAnsi="Arial"/>
                  <w:sz w:val="11"/>
                  <w:szCs w:val="11"/>
                  <w:u w:val="single" w:color="auto"/>
                  <w:color w:val="0000EE"/>
                </w:rPr>
                <w:t>Item 6</w:t>
              </w:r>
              <w:r>
                <w:rPr>
                  <w:rFonts w:ascii="Arial" w:cs="Arial" w:eastAsia="Arial" w:hAnsi="Arial"/>
                  <w:sz w:val="11"/>
                  <w:szCs w:val="11"/>
                  <w:color w:val="0000EE"/>
                </w:rPr>
                <w:t>.</w:t>
              </w:r>
            </w:hyperlink>
          </w:p>
        </w:tc>
        <w:tc>
          <w:tcPr>
            <w:tcW w:w="6380" w:type="dxa"/>
            <w:vAlign w:val="bottom"/>
          </w:tcPr>
          <w:p>
            <w:pPr>
              <w:ind w:left="200"/>
              <w:spacing w:after="0"/>
              <w:rPr>
                <w:rFonts w:ascii="Arial" w:cs="Arial" w:eastAsia="Arial" w:hAnsi="Arial"/>
                <w:sz w:val="11"/>
                <w:szCs w:val="11"/>
                <w:u w:val="single" w:color="auto"/>
                <w:color w:val="0000EE"/>
              </w:rPr>
            </w:pPr>
            <w:hyperlink w:anchor="page31">
              <w:r>
                <w:rPr>
                  <w:rFonts w:ascii="Arial" w:cs="Arial" w:eastAsia="Arial" w:hAnsi="Arial"/>
                  <w:sz w:val="11"/>
                  <w:szCs w:val="11"/>
                  <w:u w:val="single" w:color="auto"/>
                  <w:color w:val="0000EE"/>
                </w:rPr>
                <w:t>Exhibits</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270"/>
        </w:trPr>
        <w:tc>
          <w:tcPr>
            <w:tcW w:w="560" w:type="dxa"/>
            <w:vAlign w:val="bottom"/>
          </w:tcPr>
          <w:p>
            <w:pPr>
              <w:spacing w:after="0"/>
              <w:rPr>
                <w:sz w:val="23"/>
                <w:szCs w:val="23"/>
                <w:color w:val="auto"/>
              </w:rPr>
            </w:pPr>
          </w:p>
        </w:tc>
        <w:tc>
          <w:tcPr>
            <w:tcW w:w="6380" w:type="dxa"/>
            <w:vAlign w:val="bottom"/>
          </w:tcPr>
          <w:p>
            <w:pPr>
              <w:ind w:left="200"/>
              <w:spacing w:after="0"/>
              <w:rPr>
                <w:rFonts w:ascii="Arial" w:cs="Arial" w:eastAsia="Arial" w:hAnsi="Arial"/>
                <w:sz w:val="11"/>
                <w:szCs w:val="11"/>
                <w:u w:val="single" w:color="auto"/>
                <w:color w:val="0000EE"/>
              </w:rPr>
            </w:pPr>
            <w:hyperlink w:anchor="page32">
              <w:r>
                <w:rPr>
                  <w:rFonts w:ascii="Arial" w:cs="Arial" w:eastAsia="Arial" w:hAnsi="Arial"/>
                  <w:sz w:val="11"/>
                  <w:szCs w:val="11"/>
                  <w:u w:val="single" w:color="auto"/>
                  <w:color w:val="0000EE"/>
                </w:rPr>
                <w:t>Signatures</w:t>
              </w:r>
            </w:hyperlink>
          </w:p>
        </w:tc>
        <w:tc>
          <w:tcPr>
            <w:tcW w:w="204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733"/>
        </w:trPr>
        <w:tc>
          <w:tcPr>
            <w:tcW w:w="560" w:type="dxa"/>
            <w:vAlign w:val="bottom"/>
          </w:tcPr>
          <w:p>
            <w:pPr>
              <w:spacing w:after="0"/>
              <w:rPr>
                <w:sz w:val="24"/>
                <w:szCs w:val="24"/>
                <w:color w:val="auto"/>
              </w:rPr>
            </w:pPr>
          </w:p>
        </w:tc>
        <w:tc>
          <w:tcPr>
            <w:tcW w:w="6380" w:type="dxa"/>
            <w:vAlign w:val="bottom"/>
          </w:tcPr>
          <w:p>
            <w:pPr>
              <w:ind w:left="3900"/>
              <w:spacing w:after="0"/>
              <w:rPr>
                <w:sz w:val="20"/>
                <w:szCs w:val="20"/>
                <w:color w:val="auto"/>
              </w:rPr>
            </w:pPr>
            <w:r>
              <w:rPr>
                <w:rFonts w:ascii="Arial" w:cs="Arial" w:eastAsia="Arial" w:hAnsi="Arial"/>
                <w:sz w:val="12"/>
                <w:szCs w:val="12"/>
                <w:color w:val="auto"/>
              </w:rPr>
              <w:t>3</w:t>
            </w:r>
          </w:p>
        </w:tc>
        <w:tc>
          <w:tcPr>
            <w:tcW w:w="2040" w:type="dxa"/>
            <w:vAlign w:val="bottom"/>
          </w:tcPr>
          <w:p>
            <w:pPr>
              <w:spacing w:after="0"/>
              <w:rPr>
                <w:sz w:val="24"/>
                <w:szCs w:val="24"/>
                <w:color w:val="auto"/>
              </w:rPr>
            </w:pPr>
          </w:p>
        </w:tc>
      </w:tr>
      <w:tr>
        <w:trPr>
          <w:trHeight w:val="367"/>
        </w:trPr>
        <w:tc>
          <w:tcPr>
            <w:tcW w:w="5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3" w:name="page4"/>
    <w:bookmarkEnd w:id="3"/>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PART I. FINANCIAL INFORMATION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1. FINANCIAL STATEMENTS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CALAVO GROWERS,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CONDENSED BALANCE SHEETS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January 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October 31,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61"/>
              <w:spacing w:after="0" w:line="114" w:lineRule="exact"/>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61"/>
              <w:spacing w:after="0" w:line="114" w:lineRule="exact"/>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Current 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8,168</w:t>
            </w:r>
          </w:p>
        </w:tc>
        <w:tc>
          <w:tcPr>
            <w:tcW w:w="2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20"/>
              <w:spacing w:after="0"/>
              <w:rPr>
                <w:sz w:val="20"/>
                <w:szCs w:val="20"/>
                <w:color w:val="auto"/>
              </w:rPr>
            </w:pPr>
            <w:r>
              <w:rPr>
                <w:rFonts w:ascii="Arial" w:cs="Arial" w:eastAsia="Arial" w:hAnsi="Arial"/>
                <w:sz w:val="12"/>
                <w:szCs w:val="12"/>
                <w:color w:val="auto"/>
              </w:rPr>
              <w:t>Accounts receivable, net of allowances of $3,791 (2021) and $3,498 (2020)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71,603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63,668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 net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41,706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41,787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12,031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10,733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Advances to suppliers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5,061</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Income taxes receivable</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6,703</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10,591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2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current assets</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145,120</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135,895</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131,888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130,270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right-of-use assets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59,565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60,262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Investment in Limoneira Company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26,786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23,197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Investments in unconsolidated entities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Deferred income taxes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2,486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2,486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28,568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28,568</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Intangibles, net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10,323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3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36,205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32,558</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446,452</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429,624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Current liabilities: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Payable to growers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11,556</w:t>
            </w:r>
          </w:p>
        </w:tc>
        <w:tc>
          <w:tcPr>
            <w:tcW w:w="2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11,346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20"/>
              <w:spacing w:after="0"/>
              <w:rPr>
                <w:sz w:val="20"/>
                <w:szCs w:val="20"/>
                <w:color w:val="auto"/>
              </w:rPr>
            </w:pPr>
            <w:r>
              <w:rPr>
                <w:rFonts w:ascii="Arial" w:cs="Arial" w:eastAsia="Arial" w:hAnsi="Arial"/>
                <w:sz w:val="12"/>
                <w:szCs w:val="12"/>
                <w:color w:val="auto"/>
              </w:rPr>
              <w:t>Trade accounts payable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14,417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9,384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expenses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46,961</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36,922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20"/>
              <w:spacing w:after="0"/>
              <w:rPr>
                <w:sz w:val="20"/>
                <w:szCs w:val="20"/>
                <w:color w:val="auto"/>
              </w:rPr>
            </w:pPr>
            <w:r>
              <w:rPr>
                <w:rFonts w:ascii="Arial" w:cs="Arial" w:eastAsia="Arial" w:hAnsi="Arial"/>
                <w:sz w:val="12"/>
                <w:szCs w:val="12"/>
                <w:color w:val="auto"/>
              </w:rPr>
              <w:t>Borrowings pursuant to credit facilities, current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20,550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 payable</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20"/>
              <w:spacing w:after="0"/>
              <w:rPr>
                <w:sz w:val="20"/>
                <w:szCs w:val="20"/>
                <w:color w:val="auto"/>
              </w:rPr>
            </w:pPr>
            <w:r>
              <w:rPr>
                <w:rFonts w:ascii="Arial" w:cs="Arial" w:eastAsia="Arial" w:hAnsi="Arial"/>
                <w:sz w:val="12"/>
                <w:szCs w:val="12"/>
                <w:color w:val="auto"/>
              </w:rPr>
              <w:t>Current portion of operating leases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6,674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6,443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portion of long-term obligations and finance leases</w:t>
            </w:r>
          </w:p>
        </w:tc>
        <w:tc>
          <w:tcPr>
            <w:tcW w:w="3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20" w:type="dxa"/>
            <w:vAlign w:val="bottom"/>
          </w:tcPr>
          <w:p>
            <w:pPr>
              <w:ind w:left="200"/>
              <w:spacing w:after="0" w:line="133" w:lineRule="exact"/>
              <w:rPr>
                <w:sz w:val="20"/>
                <w:szCs w:val="20"/>
                <w:color w:val="auto"/>
              </w:rPr>
            </w:pPr>
            <w:r>
              <w:rPr>
                <w:rFonts w:ascii="Arial" w:cs="Arial" w:eastAsia="Arial" w:hAnsi="Arial"/>
                <w:sz w:val="12"/>
                <w:szCs w:val="12"/>
                <w:color w:val="auto"/>
              </w:rPr>
              <w:t>Total current liabilities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81,137</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106,331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Long-term liabilities: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20"/>
              <w:spacing w:after="0"/>
              <w:rPr>
                <w:sz w:val="20"/>
                <w:szCs w:val="20"/>
                <w:color w:val="auto"/>
              </w:rPr>
            </w:pPr>
            <w:r>
              <w:rPr>
                <w:rFonts w:ascii="Arial" w:cs="Arial" w:eastAsia="Arial" w:hAnsi="Arial"/>
                <w:sz w:val="12"/>
                <w:szCs w:val="12"/>
                <w:color w:val="auto"/>
              </w:rPr>
              <w:t>Borrowings pursuant to credit facilities, long-term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37,150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Long-term operating leases, less current portion</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57,357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58,273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20"/>
              <w:spacing w:after="0"/>
              <w:rPr>
                <w:sz w:val="20"/>
                <w:szCs w:val="20"/>
                <w:color w:val="auto"/>
              </w:rPr>
            </w:pPr>
            <w:r>
              <w:rPr>
                <w:rFonts w:ascii="Arial" w:cs="Arial" w:eastAsia="Arial" w:hAnsi="Arial"/>
                <w:sz w:val="12"/>
                <w:szCs w:val="12"/>
                <w:color w:val="auto"/>
              </w:rPr>
              <w:t>Long-term obligations and finance leases, less current portion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5,835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5,716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long-term liabilities</w:t>
            </w:r>
          </w:p>
        </w:tc>
        <w:tc>
          <w:tcPr>
            <w:tcW w:w="3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3,247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20" w:type="dxa"/>
            <w:vAlign w:val="bottom"/>
          </w:tcPr>
          <w:p>
            <w:pPr>
              <w:ind w:left="200"/>
              <w:spacing w:after="0" w:line="133" w:lineRule="exact"/>
              <w:rPr>
                <w:sz w:val="20"/>
                <w:szCs w:val="20"/>
                <w:color w:val="auto"/>
              </w:rPr>
            </w:pPr>
            <w:r>
              <w:rPr>
                <w:rFonts w:ascii="Arial" w:cs="Arial" w:eastAsia="Arial" w:hAnsi="Arial"/>
                <w:sz w:val="12"/>
                <w:szCs w:val="12"/>
                <w:color w:val="auto"/>
              </w:rPr>
              <w:t>Total long-term liabilities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103,589</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67,291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Shareholders' equity: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Common stock ($0.001 par value, 100,000 shares authorized; 17,686 (2021) and 17,661 (2020) shares issued and outstanding)</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165,487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165,000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Noncontrolling interest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Retained earnings</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94,789</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89,512</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2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shareholders' equity</w:t>
            </w:r>
          </w:p>
        </w:tc>
        <w:tc>
          <w:tcPr>
            <w:tcW w:w="3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261,726</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256,002</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446,452</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429,624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The accompanying notes are an integral part of these consolidated condensed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 w:name="page5"/>
    <w:bookmarkEnd w:id="4"/>
    <w:p>
      <w:pPr>
        <w:ind w:left="6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CALAVO GROWERS,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CONDENSED STATEMENTS OF OPERATIONS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139" w:lineRule="exact"/>
        <w:rPr>
          <w:sz w:val="20"/>
          <w:szCs w:val="20"/>
          <w:color w:val="auto"/>
        </w:rPr>
      </w:pPr>
    </w:p>
    <w:p>
      <w:pPr>
        <w:ind w:left="7440"/>
        <w:spacing w:after="0"/>
        <w:rPr>
          <w:sz w:val="20"/>
          <w:szCs w:val="20"/>
          <w:color w:val="auto"/>
        </w:rPr>
      </w:pPr>
      <w:r>
        <w:rPr>
          <w:rFonts w:ascii="Arial" w:cs="Arial" w:eastAsia="Arial" w:hAnsi="Arial"/>
          <w:sz w:val="10"/>
          <w:szCs w:val="10"/>
          <w:b w:val="1"/>
          <w:bCs w:val="1"/>
          <w:color w:val="auto"/>
        </w:rPr>
        <w:t>Three months ended</w:t>
      </w:r>
    </w:p>
    <w:p>
      <w:pPr>
        <w:ind w:left="7600"/>
        <w:spacing w:after="0" w:line="215" w:lineRule="auto"/>
        <w:rPr>
          <w:sz w:val="20"/>
          <w:szCs w:val="20"/>
          <w:color w:val="auto"/>
        </w:rPr>
      </w:pPr>
      <w:r>
        <w:rPr>
          <w:rFonts w:ascii="Arial" w:cs="Arial" w:eastAsia="Arial" w:hAnsi="Arial"/>
          <w:sz w:val="10"/>
          <w:szCs w:val="10"/>
          <w:b w:val="1"/>
          <w:bCs w:val="1"/>
          <w:color w:val="auto"/>
        </w:rPr>
        <w:t>January 31,</w:t>
      </w:r>
    </w:p>
    <w:tbl>
      <w:tblPr>
        <w:tblLayout w:type="fixed"/>
        <w:tblInd w:w="0" w:type="dxa"/>
        <w:tblCellMar>
          <w:top w:w="0" w:type="dxa"/>
          <w:left w:w="0" w:type="dxa"/>
          <w:bottom w:w="0" w:type="dxa"/>
          <w:right w:w="0" w:type="dxa"/>
        </w:tblCellMar>
      </w:tblPr>
      <w:tr>
        <w:trPr>
          <w:trHeight w:val="88"/>
        </w:trPr>
        <w:tc>
          <w:tcPr>
            <w:tcW w:w="6920" w:type="dxa"/>
            <w:vAlign w:val="bottom"/>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1"/>
              <w:spacing w:after="0" w:line="88"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top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61"/>
              <w:spacing w:after="0" w:line="88" w:lineRule="exact"/>
              <w:rPr>
                <w:sz w:val="20"/>
                <w:szCs w:val="20"/>
                <w:color w:val="auto"/>
              </w:rPr>
            </w:pPr>
            <w:r>
              <w:rPr>
                <w:rFonts w:ascii="Arial" w:cs="Arial" w:eastAsia="Arial" w:hAnsi="Arial"/>
                <w:sz w:val="10"/>
                <w:szCs w:val="10"/>
                <w:b w:val="1"/>
                <w:bCs w:val="1"/>
                <w:color w:val="auto"/>
              </w:rPr>
              <w:t>2020</w:t>
            </w:r>
          </w:p>
        </w:tc>
        <w:tc>
          <w:tcPr>
            <w:tcW w:w="280" w:type="dxa"/>
            <w:vAlign w:val="bottom"/>
          </w:tcPr>
          <w:p>
            <w:pPr>
              <w:spacing w:after="0"/>
              <w:rPr>
                <w:sz w:val="7"/>
                <w:szCs w:val="7"/>
                <w:color w:val="auto"/>
              </w:rPr>
            </w:pPr>
          </w:p>
        </w:tc>
      </w:tr>
      <w:tr>
        <w:trPr>
          <w:trHeight w:val="88"/>
        </w:trPr>
        <w:tc>
          <w:tcPr>
            <w:tcW w:w="6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4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220,578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273,348</w:t>
            </w:r>
          </w:p>
        </w:tc>
        <w:tc>
          <w:tcPr>
            <w:tcW w:w="280" w:type="dxa"/>
            <w:vAlign w:val="bottom"/>
            <w:shd w:val="clear" w:color="auto" w:fill="CCEEFF"/>
          </w:tcPr>
          <w:p>
            <w:pPr>
              <w:spacing w:after="0"/>
              <w:rPr>
                <w:sz w:val="12"/>
                <w:szCs w:val="12"/>
                <w:color w:val="auto"/>
              </w:rPr>
            </w:pPr>
          </w:p>
        </w:tc>
      </w:tr>
      <w:tr>
        <w:trPr>
          <w:trHeight w:val="144"/>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sales</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202,739</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257,540</w:t>
            </w:r>
          </w:p>
        </w:tc>
        <w:tc>
          <w:tcPr>
            <w:tcW w:w="280" w:type="dxa"/>
            <w:vAlign w:val="bottom"/>
            <w:tcBorders>
              <w:bottom w:val="single" w:sz="8" w:color="CCEEFF"/>
            </w:tcBorders>
          </w:tcPr>
          <w:p>
            <w:pPr>
              <w:spacing w:after="0"/>
              <w:rPr>
                <w:sz w:val="12"/>
                <w:szCs w:val="12"/>
                <w:color w:val="auto"/>
              </w:rPr>
            </w:pPr>
          </w:p>
        </w:tc>
      </w:tr>
      <w:tr>
        <w:trPr>
          <w:trHeight w:val="133"/>
        </w:trPr>
        <w:tc>
          <w:tcPr>
            <w:tcW w:w="69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Gross profit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17,839</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15,808</w:t>
            </w:r>
          </w:p>
        </w:tc>
        <w:tc>
          <w:tcPr>
            <w:tcW w:w="280" w:type="dxa"/>
            <w:vAlign w:val="bottom"/>
            <w:shd w:val="clear" w:color="auto" w:fill="CCEEFF"/>
          </w:tcPr>
          <w:p>
            <w:pPr>
              <w:spacing w:after="0"/>
              <w:rPr>
                <w:sz w:val="11"/>
                <w:szCs w:val="11"/>
                <w:color w:val="auto"/>
              </w:rPr>
            </w:pPr>
          </w:p>
        </w:tc>
      </w:tr>
      <w:tr>
        <w:trPr>
          <w:trHeight w:val="144"/>
        </w:trPr>
        <w:tc>
          <w:tcPr>
            <w:tcW w:w="6920" w:type="dxa"/>
            <w:vAlign w:val="bottom"/>
          </w:tcPr>
          <w:p>
            <w:pPr>
              <w:ind w:left="20"/>
              <w:spacing w:after="0"/>
              <w:rPr>
                <w:sz w:val="20"/>
                <w:szCs w:val="20"/>
                <w:color w:val="auto"/>
              </w:rPr>
            </w:pPr>
            <w:r>
              <w:rPr>
                <w:rFonts w:ascii="Arial" w:cs="Arial" w:eastAsia="Arial" w:hAnsi="Arial"/>
                <w:sz w:val="12"/>
                <w:szCs w:val="12"/>
                <w:color w:val="auto"/>
              </w:rPr>
              <w:t>Selling, general and administrative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14,174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16,298</w:t>
            </w:r>
          </w:p>
        </w:tc>
        <w:tc>
          <w:tcPr>
            <w:tcW w:w="280" w:type="dxa"/>
            <w:vAlign w:val="bottom"/>
          </w:tcPr>
          <w:p>
            <w:pPr>
              <w:spacing w:after="0"/>
              <w:rPr>
                <w:sz w:val="12"/>
                <w:szCs w:val="12"/>
                <w:color w:val="auto"/>
              </w:rPr>
            </w:pPr>
          </w:p>
        </w:tc>
      </w:tr>
      <w:tr>
        <w:trPr>
          <w:trHeight w:val="14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on sale of Temecula packinghouse</w:t>
            </w: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280" w:type="dxa"/>
            <w:vAlign w:val="bottom"/>
            <w:shd w:val="clear" w:color="auto" w:fill="CCEEFF"/>
          </w:tcPr>
          <w:p>
            <w:pPr>
              <w:spacing w:after="0"/>
              <w:rPr>
                <w:sz w:val="12"/>
                <w:szCs w:val="12"/>
                <w:color w:val="auto"/>
              </w:rPr>
            </w:pPr>
          </w:p>
        </w:tc>
      </w:tr>
      <w:tr>
        <w:trPr>
          <w:trHeight w:val="133"/>
        </w:trPr>
        <w:tc>
          <w:tcPr>
            <w:tcW w:w="6920" w:type="dxa"/>
            <w:vAlign w:val="bottom"/>
          </w:tcPr>
          <w:p>
            <w:pPr>
              <w:ind w:left="20"/>
              <w:spacing w:after="0" w:line="133" w:lineRule="exact"/>
              <w:rPr>
                <w:sz w:val="20"/>
                <w:szCs w:val="20"/>
                <w:color w:val="auto"/>
              </w:rPr>
            </w:pPr>
            <w:r>
              <w:rPr>
                <w:rFonts w:ascii="Arial" w:cs="Arial" w:eastAsia="Arial" w:hAnsi="Arial"/>
                <w:sz w:val="12"/>
                <w:szCs w:val="12"/>
                <w:color w:val="auto"/>
              </w:rPr>
              <w:t>Operating income (loss)</w:t>
            </w:r>
          </w:p>
        </w:tc>
        <w:tc>
          <w:tcPr>
            <w:tcW w:w="1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3,719</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(436)</w:t>
            </w:r>
          </w:p>
        </w:tc>
        <w:tc>
          <w:tcPr>
            <w:tcW w:w="280" w:type="dxa"/>
            <w:vAlign w:val="bottom"/>
          </w:tcPr>
          <w:p>
            <w:pPr>
              <w:spacing w:after="0"/>
              <w:rPr>
                <w:sz w:val="11"/>
                <w:szCs w:val="11"/>
                <w:color w:val="auto"/>
              </w:rPr>
            </w:pPr>
          </w:p>
        </w:tc>
      </w:tr>
      <w:tr>
        <w:trPr>
          <w:trHeight w:val="14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(174)</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(187)</w:t>
            </w:r>
          </w:p>
        </w:tc>
      </w:tr>
      <w:tr>
        <w:trPr>
          <w:trHeight w:val="144"/>
        </w:trPr>
        <w:tc>
          <w:tcPr>
            <w:tcW w:w="6920" w:type="dxa"/>
            <w:vAlign w:val="bottom"/>
          </w:tcPr>
          <w:p>
            <w:pPr>
              <w:ind w:left="20"/>
              <w:spacing w:after="0"/>
              <w:rPr>
                <w:sz w:val="20"/>
                <w:szCs w:val="20"/>
                <w:color w:val="auto"/>
              </w:rPr>
            </w:pPr>
            <w:r>
              <w:rPr>
                <w:rFonts w:ascii="Arial" w:cs="Arial" w:eastAsia="Arial" w:hAnsi="Arial"/>
                <w:sz w:val="12"/>
                <w:szCs w:val="12"/>
                <w:color w:val="auto"/>
              </w:rPr>
              <w:t>Other income, net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994</w:t>
            </w:r>
          </w:p>
        </w:tc>
        <w:tc>
          <w:tcPr>
            <w:tcW w:w="280" w:type="dxa"/>
            <w:vAlign w:val="bottom"/>
          </w:tcPr>
          <w:p>
            <w:pPr>
              <w:spacing w:after="0"/>
              <w:rPr>
                <w:sz w:val="12"/>
                <w:szCs w:val="12"/>
                <w:color w:val="auto"/>
              </w:rPr>
            </w:pPr>
          </w:p>
        </w:tc>
      </w:tr>
      <w:tr>
        <w:trPr>
          <w:trHeight w:val="14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Unrealized net gain on Limoneira shares</w:t>
            </w: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3,589</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1,006</w:t>
            </w:r>
          </w:p>
        </w:tc>
        <w:tc>
          <w:tcPr>
            <w:tcW w:w="280" w:type="dxa"/>
            <w:vAlign w:val="bottom"/>
            <w:shd w:val="clear" w:color="auto" w:fill="CCEEFF"/>
          </w:tcPr>
          <w:p>
            <w:pPr>
              <w:spacing w:after="0"/>
              <w:rPr>
                <w:sz w:val="12"/>
                <w:szCs w:val="12"/>
                <w:color w:val="auto"/>
              </w:rPr>
            </w:pPr>
          </w:p>
        </w:tc>
      </w:tr>
      <w:tr>
        <w:trPr>
          <w:trHeight w:val="133"/>
        </w:trPr>
        <w:tc>
          <w:tcPr>
            <w:tcW w:w="6920" w:type="dxa"/>
            <w:vAlign w:val="bottom"/>
          </w:tcPr>
          <w:p>
            <w:pPr>
              <w:ind w:left="20"/>
              <w:spacing w:after="0" w:line="133" w:lineRule="exact"/>
              <w:rPr>
                <w:sz w:val="20"/>
                <w:szCs w:val="20"/>
                <w:color w:val="auto"/>
              </w:rPr>
            </w:pPr>
            <w:r>
              <w:rPr>
                <w:rFonts w:ascii="Arial" w:cs="Arial" w:eastAsia="Arial" w:hAnsi="Arial"/>
                <w:sz w:val="12"/>
                <w:szCs w:val="12"/>
                <w:color w:val="auto"/>
              </w:rPr>
              <w:t>Income before income taxes and loss from unconsolidated entities</w:t>
            </w:r>
          </w:p>
        </w:tc>
        <w:tc>
          <w:tcPr>
            <w:tcW w:w="1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7,335</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1,377</w:t>
            </w:r>
          </w:p>
        </w:tc>
        <w:tc>
          <w:tcPr>
            <w:tcW w:w="280" w:type="dxa"/>
            <w:vAlign w:val="bottom"/>
          </w:tcPr>
          <w:p>
            <w:pPr>
              <w:spacing w:after="0"/>
              <w:rPr>
                <w:sz w:val="11"/>
                <w:szCs w:val="11"/>
                <w:color w:val="auto"/>
              </w:rPr>
            </w:pPr>
          </w:p>
        </w:tc>
      </w:tr>
      <w:tr>
        <w:trPr>
          <w:trHeight w:val="14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(provision) benefit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(1,943)</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w:t>
            </w:r>
          </w:p>
        </w:tc>
        <w:tc>
          <w:tcPr>
            <w:tcW w:w="280" w:type="dxa"/>
            <w:vAlign w:val="bottom"/>
            <w:shd w:val="clear" w:color="auto" w:fill="CCEEFF"/>
          </w:tcPr>
          <w:p>
            <w:pPr>
              <w:spacing w:after="0"/>
              <w:rPr>
                <w:sz w:val="12"/>
                <w:szCs w:val="12"/>
                <w:color w:val="auto"/>
              </w:rPr>
            </w:pPr>
          </w:p>
        </w:tc>
      </w:tr>
      <w:tr>
        <w:trPr>
          <w:trHeight w:val="144"/>
        </w:trPr>
        <w:tc>
          <w:tcPr>
            <w:tcW w:w="6920" w:type="dxa"/>
            <w:vAlign w:val="bottom"/>
          </w:tcPr>
          <w:p>
            <w:pPr>
              <w:ind w:left="20"/>
              <w:spacing w:after="0"/>
              <w:rPr>
                <w:sz w:val="20"/>
                <w:szCs w:val="20"/>
                <w:color w:val="auto"/>
              </w:rPr>
            </w:pPr>
            <w:r>
              <w:rPr>
                <w:rFonts w:ascii="Arial" w:cs="Arial" w:eastAsia="Arial" w:hAnsi="Arial"/>
                <w:sz w:val="12"/>
                <w:szCs w:val="12"/>
                <w:color w:val="auto"/>
              </w:rPr>
              <w:t>Net loss from unconsolidated entities</w:t>
            </w: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(155)</w:t>
            </w:r>
          </w:p>
        </w:tc>
        <w:tc>
          <w:tcPr>
            <w:tcW w:w="20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(3,028)</w:t>
            </w:r>
          </w:p>
        </w:tc>
      </w:tr>
      <w:tr>
        <w:trPr>
          <w:trHeight w:val="133"/>
        </w:trPr>
        <w:tc>
          <w:tcPr>
            <w:tcW w:w="69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Net income (loss)</w:t>
            </w: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5,237</w:t>
            </w: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(1,001)</w:t>
            </w:r>
          </w:p>
        </w:tc>
        <w:tc>
          <w:tcPr>
            <w:tcW w:w="280" w:type="dxa"/>
            <w:vAlign w:val="bottom"/>
            <w:tcBorders>
              <w:top w:val="single" w:sz="8" w:color="CCEEFF"/>
            </w:tcBorders>
            <w:shd w:val="clear" w:color="auto" w:fill="CCEEFF"/>
          </w:tcPr>
          <w:p>
            <w:pPr>
              <w:spacing w:after="0"/>
              <w:rPr>
                <w:sz w:val="11"/>
                <w:szCs w:val="11"/>
                <w:color w:val="auto"/>
              </w:rPr>
            </w:pPr>
          </w:p>
        </w:tc>
      </w:tr>
      <w:tr>
        <w:trPr>
          <w:trHeight w:val="144"/>
        </w:trPr>
        <w:tc>
          <w:tcPr>
            <w:tcW w:w="69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Less: Net loss attributable to noncontrolling interest</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280" w:type="dxa"/>
            <w:vAlign w:val="bottom"/>
            <w:tcBorders>
              <w:bottom w:val="single" w:sz="8" w:color="CCEEFF"/>
            </w:tcBorders>
          </w:tcPr>
          <w:p>
            <w:pPr>
              <w:spacing w:after="0"/>
              <w:rPr>
                <w:sz w:val="12"/>
                <w:szCs w:val="12"/>
                <w:color w:val="auto"/>
              </w:rPr>
            </w:pPr>
          </w:p>
        </w:tc>
      </w:tr>
      <w:tr>
        <w:trPr>
          <w:trHeight w:val="140"/>
        </w:trPr>
        <w:tc>
          <w:tcPr>
            <w:tcW w:w="6920" w:type="dxa"/>
            <w:vAlign w:val="bottom"/>
            <w:tcBorders>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Net income (loss) attributable to Calavo Growers, Inc.</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5,277</w:t>
            </w: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(938)</w:t>
            </w:r>
          </w:p>
        </w:tc>
        <w:tc>
          <w:tcPr>
            <w:tcW w:w="280" w:type="dxa"/>
            <w:vAlign w:val="bottom"/>
            <w:tcBorders>
              <w:bottom w:val="single" w:sz="8" w:color="CCEEFF"/>
            </w:tcBorders>
            <w:shd w:val="clear" w:color="auto" w:fill="CCEEFF"/>
          </w:tcPr>
          <w:p>
            <w:pPr>
              <w:spacing w:after="0"/>
              <w:rPr>
                <w:sz w:val="12"/>
                <w:szCs w:val="12"/>
                <w:color w:val="auto"/>
              </w:rPr>
            </w:pPr>
          </w:p>
        </w:tc>
      </w:tr>
      <w:tr>
        <w:trPr>
          <w:trHeight w:val="144"/>
        </w:trPr>
        <w:tc>
          <w:tcPr>
            <w:tcW w:w="6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Calavo Growers, Inc.’s net income (loss) per share: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51"/>
        </w:trPr>
        <w:tc>
          <w:tcPr>
            <w:tcW w:w="6920" w:type="dxa"/>
            <w:vAlign w:val="bottom"/>
          </w:tcPr>
          <w:p>
            <w:pPr>
              <w:ind w:left="160"/>
              <w:spacing w:after="0"/>
              <w:rPr>
                <w:sz w:val="20"/>
                <w:szCs w:val="20"/>
                <w:color w:val="auto"/>
              </w:rPr>
            </w:pPr>
            <w:r>
              <w:rPr>
                <w:rFonts w:ascii="Arial" w:cs="Arial" w:eastAsia="Arial" w:hAnsi="Arial"/>
                <w:sz w:val="12"/>
                <w:szCs w:val="12"/>
                <w:color w:val="auto"/>
              </w:rPr>
              <w:t>Basic</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0.30</w:t>
            </w:r>
          </w:p>
        </w:tc>
        <w:tc>
          <w:tcPr>
            <w:tcW w:w="26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(0.05)</w:t>
            </w:r>
          </w:p>
        </w:tc>
      </w:tr>
      <w:tr>
        <w:trPr>
          <w:trHeight w:val="151"/>
        </w:trPr>
        <w:tc>
          <w:tcPr>
            <w:tcW w:w="6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Diluted</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(0.05)</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4"/>
        </w:trPr>
        <w:tc>
          <w:tcPr>
            <w:tcW w:w="6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Number of shares used in per share computation: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51"/>
        </w:trPr>
        <w:tc>
          <w:tcPr>
            <w:tcW w:w="69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Basic</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17,599</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17,536</w:t>
            </w:r>
          </w:p>
        </w:tc>
        <w:tc>
          <w:tcPr>
            <w:tcW w:w="280" w:type="dxa"/>
            <w:vAlign w:val="bottom"/>
            <w:tcBorders>
              <w:bottom w:val="single" w:sz="8" w:color="CCEEFF"/>
            </w:tcBorders>
          </w:tcPr>
          <w:p>
            <w:pPr>
              <w:spacing w:after="0"/>
              <w:rPr>
                <w:sz w:val="13"/>
                <w:szCs w:val="13"/>
                <w:color w:val="auto"/>
              </w:rPr>
            </w:pPr>
          </w:p>
        </w:tc>
      </w:tr>
      <w:tr>
        <w:trPr>
          <w:trHeight w:val="151"/>
        </w:trPr>
        <w:tc>
          <w:tcPr>
            <w:tcW w:w="6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Diluted</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17,669</w:t>
            </w:r>
          </w:p>
        </w:tc>
        <w:tc>
          <w:tcPr>
            <w:tcW w:w="2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17,536</w:t>
            </w:r>
          </w:p>
        </w:tc>
        <w:tc>
          <w:tcPr>
            <w:tcW w:w="280" w:type="dxa"/>
            <w:vAlign w:val="bottom"/>
            <w:tcBorders>
              <w:bottom w:val="single" w:sz="8" w:color="CCEEFF"/>
            </w:tcBorders>
            <w:shd w:val="clear" w:color="auto" w:fill="CCEEFF"/>
          </w:tcPr>
          <w:p>
            <w:pPr>
              <w:spacing w:after="0"/>
              <w:rPr>
                <w:sz w:val="13"/>
                <w:szCs w:val="13"/>
                <w:color w:val="auto"/>
              </w:rPr>
            </w:pPr>
          </w:p>
        </w:tc>
      </w:tr>
    </w:tbl>
    <w:p>
      <w:pPr>
        <w:spacing w:after="0" w:line="135" w:lineRule="exact"/>
        <w:rPr>
          <w:sz w:val="20"/>
          <w:szCs w:val="20"/>
          <w:color w:val="auto"/>
        </w:rPr>
      </w:pPr>
    </w:p>
    <w:p>
      <w:pPr>
        <w:ind w:left="60"/>
        <w:spacing w:after="0"/>
        <w:rPr>
          <w:sz w:val="20"/>
          <w:szCs w:val="20"/>
          <w:color w:val="auto"/>
        </w:rPr>
      </w:pPr>
      <w:r>
        <w:rPr>
          <w:rFonts w:ascii="Arial" w:cs="Arial" w:eastAsia="Arial" w:hAnsi="Arial"/>
          <w:sz w:val="12"/>
          <w:szCs w:val="12"/>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238125</wp:posOffset>
            </wp:positionV>
            <wp:extent cx="57035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80"/>
          </w:cols>
          <w:pgMar w:left="1400" w:top="392" w:right="1419" w:bottom="1440" w:gutter="0" w:footer="0" w:header="0"/>
        </w:sectPr>
      </w:pPr>
    </w:p>
    <w:bookmarkStart w:id="5" w:name="page6"/>
    <w:bookmarkEnd w:id="5"/>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CALAVO GROWERS,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CONDENSED STATEMENTS OF CASH FLOWS (UNAUDITED)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Three months ended January 31,</w:t>
            </w:r>
          </w:p>
        </w:tc>
        <w:tc>
          <w:tcPr>
            <w:tcW w:w="3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88"/>
        </w:trPr>
        <w:tc>
          <w:tcPr>
            <w:tcW w:w="6720" w:type="dxa"/>
            <w:vAlign w:val="bottom"/>
          </w:tcPr>
          <w:p>
            <w:pPr>
              <w:spacing w:after="0"/>
              <w:rPr>
                <w:sz w:val="7"/>
                <w:szCs w:val="7"/>
                <w:color w:val="auto"/>
              </w:rPr>
            </w:pPr>
          </w:p>
        </w:tc>
        <w:tc>
          <w:tcPr>
            <w:tcW w:w="5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88"/>
        </w:trPr>
        <w:tc>
          <w:tcPr>
            <w:tcW w:w="6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9"/>
        </w:trPr>
        <w:tc>
          <w:tcPr>
            <w:tcW w:w="672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Cash Flows from Operating Activities:</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99"/>
        </w:trPr>
        <w:tc>
          <w:tcPr>
            <w:tcW w:w="6720" w:type="dxa"/>
            <w:vAlign w:val="bottom"/>
          </w:tcPr>
          <w:p>
            <w:pPr>
              <w:spacing w:after="0" w:line="99" w:lineRule="exact"/>
              <w:rPr>
                <w:sz w:val="20"/>
                <w:szCs w:val="20"/>
                <w:color w:val="auto"/>
              </w:rPr>
            </w:pPr>
            <w:r>
              <w:rPr>
                <w:rFonts w:ascii="Arial" w:cs="Arial" w:eastAsia="Arial" w:hAnsi="Arial"/>
                <w:sz w:val="10"/>
                <w:szCs w:val="10"/>
                <w:color w:val="auto"/>
              </w:rPr>
              <w:t>Net income (loss)</w:t>
            </w:r>
          </w:p>
        </w:tc>
        <w:tc>
          <w:tcPr>
            <w:tcW w:w="540" w:type="dxa"/>
            <w:vAlign w:val="bottom"/>
          </w:tcPr>
          <w:p>
            <w:pPr>
              <w:jc w:val="right"/>
              <w:ind w:right="468"/>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5,237</w:t>
            </w:r>
          </w:p>
        </w:tc>
        <w:tc>
          <w:tcPr>
            <w:tcW w:w="340" w:type="dxa"/>
            <w:vAlign w:val="bottom"/>
          </w:tcPr>
          <w:p>
            <w:pPr>
              <w:spacing w:after="0"/>
              <w:rPr>
                <w:sz w:val="8"/>
                <w:szCs w:val="8"/>
                <w:color w:val="auto"/>
              </w:rPr>
            </w:pPr>
          </w:p>
        </w:tc>
        <w:tc>
          <w:tcPr>
            <w:tcW w:w="540" w:type="dxa"/>
            <w:vAlign w:val="bottom"/>
          </w:tcPr>
          <w:p>
            <w:pPr>
              <w:jc w:val="right"/>
              <w:ind w:right="433"/>
              <w:spacing w:after="0" w:line="99" w:lineRule="exact"/>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(1,001)</w:t>
            </w:r>
          </w:p>
        </w:tc>
      </w:tr>
      <w:tr>
        <w:trPr>
          <w:trHeight w:val="99"/>
        </w:trPr>
        <w:tc>
          <w:tcPr>
            <w:tcW w:w="67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Adjustments to reconcile net income (loss) to net cash provided by operating activities:</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99"/>
        </w:trPr>
        <w:tc>
          <w:tcPr>
            <w:tcW w:w="6720" w:type="dxa"/>
            <w:vAlign w:val="bottom"/>
          </w:tcPr>
          <w:p>
            <w:pPr>
              <w:ind w:left="60"/>
              <w:spacing w:after="0" w:line="99" w:lineRule="exact"/>
              <w:rPr>
                <w:sz w:val="20"/>
                <w:szCs w:val="20"/>
                <w:color w:val="auto"/>
              </w:rPr>
            </w:pPr>
            <w:r>
              <w:rPr>
                <w:rFonts w:ascii="Arial" w:cs="Arial" w:eastAsia="Arial" w:hAnsi="Arial"/>
                <w:sz w:val="10"/>
                <w:szCs w:val="10"/>
                <w:color w:val="auto"/>
              </w:rPr>
              <w:t>Depreciation and amortization</w:t>
            </w: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4,294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3,567</w:t>
            </w:r>
          </w:p>
        </w:tc>
        <w:tc>
          <w:tcPr>
            <w:tcW w:w="140" w:type="dxa"/>
            <w:vAlign w:val="bottom"/>
          </w:tcPr>
          <w:p>
            <w:pPr>
              <w:spacing w:after="0"/>
              <w:rPr>
                <w:sz w:val="8"/>
                <w:szCs w:val="8"/>
                <w:color w:val="auto"/>
              </w:rPr>
            </w:pPr>
          </w:p>
        </w:tc>
      </w:tr>
      <w:tr>
        <w:trPr>
          <w:trHeight w:val="99"/>
        </w:trPr>
        <w:tc>
          <w:tcPr>
            <w:tcW w:w="6720" w:type="dxa"/>
            <w:vAlign w:val="bottom"/>
            <w:shd w:val="clear" w:color="auto" w:fill="CCEEFF"/>
          </w:tcPr>
          <w:p>
            <w:pPr>
              <w:ind w:left="60"/>
              <w:spacing w:after="0" w:line="99" w:lineRule="exact"/>
              <w:rPr>
                <w:sz w:val="20"/>
                <w:szCs w:val="20"/>
                <w:color w:val="auto"/>
              </w:rPr>
            </w:pPr>
            <w:r>
              <w:rPr>
                <w:rFonts w:ascii="Arial" w:cs="Arial" w:eastAsia="Arial" w:hAnsi="Arial"/>
                <w:sz w:val="10"/>
                <w:szCs w:val="10"/>
                <w:color w:val="auto"/>
              </w:rPr>
              <w:t>Non-cash operating lease expense</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16</w:t>
            </w: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65</w:t>
            </w:r>
          </w:p>
        </w:tc>
        <w:tc>
          <w:tcPr>
            <w:tcW w:w="140" w:type="dxa"/>
            <w:vAlign w:val="bottom"/>
            <w:shd w:val="clear" w:color="auto" w:fill="CCEEFF"/>
          </w:tcPr>
          <w:p>
            <w:pPr>
              <w:spacing w:after="0"/>
              <w:rPr>
                <w:sz w:val="8"/>
                <w:szCs w:val="8"/>
                <w:color w:val="auto"/>
              </w:rPr>
            </w:pPr>
          </w:p>
        </w:tc>
      </w:tr>
      <w:tr>
        <w:trPr>
          <w:trHeight w:val="99"/>
        </w:trPr>
        <w:tc>
          <w:tcPr>
            <w:tcW w:w="6720" w:type="dxa"/>
            <w:vAlign w:val="bottom"/>
          </w:tcPr>
          <w:p>
            <w:pPr>
              <w:ind w:left="60"/>
              <w:spacing w:after="0" w:line="99" w:lineRule="exact"/>
              <w:rPr>
                <w:sz w:val="20"/>
                <w:szCs w:val="20"/>
                <w:color w:val="auto"/>
              </w:rPr>
            </w:pPr>
            <w:r>
              <w:rPr>
                <w:rFonts w:ascii="Arial" w:cs="Arial" w:eastAsia="Arial" w:hAnsi="Arial"/>
                <w:sz w:val="10"/>
                <w:szCs w:val="10"/>
                <w:color w:val="auto"/>
              </w:rPr>
              <w:t>Net loss from unconsolidated entities</w:t>
            </w: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155</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3,028</w:t>
            </w:r>
          </w:p>
        </w:tc>
        <w:tc>
          <w:tcPr>
            <w:tcW w:w="140" w:type="dxa"/>
            <w:vAlign w:val="bottom"/>
          </w:tcPr>
          <w:p>
            <w:pPr>
              <w:spacing w:after="0"/>
              <w:rPr>
                <w:sz w:val="8"/>
                <w:szCs w:val="8"/>
                <w:color w:val="auto"/>
              </w:rPr>
            </w:pPr>
          </w:p>
        </w:tc>
      </w:tr>
      <w:tr>
        <w:trPr>
          <w:trHeight w:val="99"/>
        </w:trPr>
        <w:tc>
          <w:tcPr>
            <w:tcW w:w="6720" w:type="dxa"/>
            <w:vAlign w:val="bottom"/>
            <w:shd w:val="clear" w:color="auto" w:fill="CCEEFF"/>
          </w:tcPr>
          <w:p>
            <w:pPr>
              <w:ind w:left="60"/>
              <w:spacing w:after="0" w:line="99" w:lineRule="exact"/>
              <w:rPr>
                <w:sz w:val="20"/>
                <w:szCs w:val="20"/>
                <w:color w:val="auto"/>
              </w:rPr>
            </w:pPr>
            <w:r>
              <w:rPr>
                <w:rFonts w:ascii="Arial" w:cs="Arial" w:eastAsia="Arial" w:hAnsi="Arial"/>
                <w:sz w:val="10"/>
                <w:szCs w:val="10"/>
                <w:color w:val="auto"/>
              </w:rPr>
              <w:t>Unrealized net gain on Limoneira shares</w:t>
            </w:r>
          </w:p>
        </w:tc>
        <w:tc>
          <w:tcPr>
            <w:tcW w:w="5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(3,589)</w:t>
            </w:r>
          </w:p>
        </w:tc>
        <w:tc>
          <w:tcPr>
            <w:tcW w:w="5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(1,006)</w:t>
            </w:r>
          </w:p>
        </w:tc>
      </w:tr>
      <w:tr>
        <w:trPr>
          <w:trHeight w:val="99"/>
        </w:trPr>
        <w:tc>
          <w:tcPr>
            <w:tcW w:w="6720" w:type="dxa"/>
            <w:vAlign w:val="bottom"/>
          </w:tcPr>
          <w:p>
            <w:pPr>
              <w:ind w:left="60"/>
              <w:spacing w:after="0" w:line="99" w:lineRule="exact"/>
              <w:rPr>
                <w:sz w:val="20"/>
                <w:szCs w:val="20"/>
                <w:color w:val="auto"/>
              </w:rPr>
            </w:pPr>
            <w:r>
              <w:rPr>
                <w:rFonts w:ascii="Arial" w:cs="Arial" w:eastAsia="Arial" w:hAnsi="Arial"/>
                <w:sz w:val="10"/>
                <w:szCs w:val="10"/>
                <w:color w:val="auto"/>
              </w:rPr>
              <w:t>Interest income on notes to FreshRealm</w:t>
            </w:r>
          </w:p>
        </w:tc>
        <w:tc>
          <w:tcPr>
            <w:tcW w:w="540" w:type="dxa"/>
            <w:vAlign w:val="bottom"/>
          </w:tcPr>
          <w:p>
            <w:pPr>
              <w:spacing w:after="0"/>
              <w:rPr>
                <w:sz w:val="8"/>
                <w:szCs w:val="8"/>
                <w:color w:val="auto"/>
              </w:rPr>
            </w:pPr>
          </w:p>
        </w:tc>
        <w:tc>
          <w:tcPr>
            <w:tcW w:w="680" w:type="dxa"/>
            <w:vAlign w:val="bottom"/>
            <w:gridSpan w:val="2"/>
          </w:tcPr>
          <w:p>
            <w:pPr>
              <w:jc w:val="right"/>
              <w:ind w:right="380"/>
              <w:spacing w:after="0" w:line="99" w:lineRule="exact"/>
              <w:rPr>
                <w:sz w:val="20"/>
                <w:szCs w:val="20"/>
                <w:color w:val="auto"/>
              </w:rPr>
            </w:pPr>
            <w:r>
              <w:rPr>
                <w:rFonts w:ascii="Arial" w:cs="Arial" w:eastAsia="Arial" w:hAnsi="Arial"/>
                <w:sz w:val="10"/>
                <w:szCs w:val="10"/>
                <w:color w:val="auto"/>
              </w:rPr>
              <w:t>—</w:t>
            </w:r>
          </w:p>
        </w:tc>
        <w:tc>
          <w:tcPr>
            <w:tcW w:w="54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(871)</w:t>
            </w:r>
          </w:p>
        </w:tc>
      </w:tr>
      <w:tr>
        <w:trPr>
          <w:trHeight w:val="99"/>
        </w:trPr>
        <w:tc>
          <w:tcPr>
            <w:tcW w:w="6720" w:type="dxa"/>
            <w:vAlign w:val="bottom"/>
            <w:shd w:val="clear" w:color="auto" w:fill="CCEEFF"/>
          </w:tcPr>
          <w:p>
            <w:pPr>
              <w:ind w:left="60"/>
              <w:spacing w:after="0" w:line="99" w:lineRule="exact"/>
              <w:rPr>
                <w:sz w:val="20"/>
                <w:szCs w:val="20"/>
                <w:color w:val="auto"/>
              </w:rPr>
            </w:pPr>
            <w:r>
              <w:rPr>
                <w:rFonts w:ascii="Arial" w:cs="Arial" w:eastAsia="Arial" w:hAnsi="Arial"/>
                <w:sz w:val="10"/>
                <w:szCs w:val="10"/>
                <w:color w:val="auto"/>
              </w:rPr>
              <w:t>Stock-based compensation expense</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907</w:t>
            </w: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931</w:t>
            </w:r>
          </w:p>
        </w:tc>
        <w:tc>
          <w:tcPr>
            <w:tcW w:w="140" w:type="dxa"/>
            <w:vAlign w:val="bottom"/>
            <w:shd w:val="clear" w:color="auto" w:fill="CCEEFF"/>
          </w:tcPr>
          <w:p>
            <w:pPr>
              <w:spacing w:after="0"/>
              <w:rPr>
                <w:sz w:val="8"/>
                <w:szCs w:val="8"/>
                <w:color w:val="auto"/>
              </w:rPr>
            </w:pPr>
          </w:p>
        </w:tc>
      </w:tr>
      <w:tr>
        <w:trPr>
          <w:trHeight w:val="99"/>
        </w:trPr>
        <w:tc>
          <w:tcPr>
            <w:tcW w:w="6720" w:type="dxa"/>
            <w:vAlign w:val="bottom"/>
          </w:tcPr>
          <w:p>
            <w:pPr>
              <w:ind w:left="60"/>
              <w:spacing w:after="0" w:line="99" w:lineRule="exact"/>
              <w:rPr>
                <w:sz w:val="20"/>
                <w:szCs w:val="20"/>
                <w:color w:val="auto"/>
              </w:rPr>
            </w:pPr>
            <w:r>
              <w:rPr>
                <w:rFonts w:ascii="Arial" w:cs="Arial" w:eastAsia="Arial" w:hAnsi="Arial"/>
                <w:sz w:val="10"/>
                <w:szCs w:val="10"/>
                <w:color w:val="auto"/>
              </w:rPr>
              <w:t>Gain on sale of Temecula packinghouse</w:t>
            </w:r>
          </w:p>
        </w:tc>
        <w:tc>
          <w:tcPr>
            <w:tcW w:w="540" w:type="dxa"/>
            <w:vAlign w:val="bottom"/>
          </w:tcPr>
          <w:p>
            <w:pPr>
              <w:spacing w:after="0"/>
              <w:rPr>
                <w:sz w:val="8"/>
                <w:szCs w:val="8"/>
                <w:color w:val="auto"/>
              </w:rPr>
            </w:pPr>
          </w:p>
        </w:tc>
        <w:tc>
          <w:tcPr>
            <w:tcW w:w="6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(54)</w:t>
            </w:r>
          </w:p>
        </w:tc>
        <w:tc>
          <w:tcPr>
            <w:tcW w:w="54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(54)</w:t>
            </w:r>
          </w:p>
        </w:tc>
      </w:tr>
      <w:tr>
        <w:trPr>
          <w:trHeight w:val="99"/>
        </w:trPr>
        <w:tc>
          <w:tcPr>
            <w:tcW w:w="67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Effect on cash of changes in operating assets and liabilities:</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99"/>
        </w:trPr>
        <w:tc>
          <w:tcPr>
            <w:tcW w:w="6720" w:type="dxa"/>
            <w:vAlign w:val="bottom"/>
          </w:tcPr>
          <w:p>
            <w:pPr>
              <w:ind w:left="140"/>
              <w:spacing w:after="0" w:line="99" w:lineRule="exact"/>
              <w:rPr>
                <w:sz w:val="20"/>
                <w:szCs w:val="20"/>
                <w:color w:val="auto"/>
              </w:rPr>
            </w:pPr>
            <w:r>
              <w:rPr>
                <w:rFonts w:ascii="Arial" w:cs="Arial" w:eastAsia="Arial" w:hAnsi="Arial"/>
                <w:sz w:val="10"/>
                <w:szCs w:val="10"/>
                <w:color w:val="auto"/>
              </w:rPr>
              <w:t>Accounts receivable, net</w:t>
            </w:r>
          </w:p>
        </w:tc>
        <w:tc>
          <w:tcPr>
            <w:tcW w:w="540" w:type="dxa"/>
            <w:vAlign w:val="bottom"/>
          </w:tcPr>
          <w:p>
            <w:pPr>
              <w:spacing w:after="0"/>
              <w:rPr>
                <w:sz w:val="8"/>
                <w:szCs w:val="8"/>
                <w:color w:val="auto"/>
              </w:rPr>
            </w:pPr>
          </w:p>
        </w:tc>
        <w:tc>
          <w:tcPr>
            <w:tcW w:w="6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(7,935)</w:t>
            </w:r>
          </w:p>
        </w:tc>
        <w:tc>
          <w:tcPr>
            <w:tcW w:w="54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w w:val="85"/>
              </w:rPr>
              <w:t>(15,231)</w:t>
            </w:r>
          </w:p>
        </w:tc>
      </w:tr>
      <w:tr>
        <w:trPr>
          <w:trHeight w:val="99"/>
        </w:trPr>
        <w:tc>
          <w:tcPr>
            <w:tcW w:w="6720" w:type="dxa"/>
            <w:vAlign w:val="bottom"/>
            <w:shd w:val="clear" w:color="auto" w:fill="CCEEFF"/>
          </w:tcPr>
          <w:p>
            <w:pPr>
              <w:ind w:left="140"/>
              <w:spacing w:after="0" w:line="99" w:lineRule="exact"/>
              <w:rPr>
                <w:sz w:val="20"/>
                <w:szCs w:val="20"/>
                <w:color w:val="auto"/>
              </w:rPr>
            </w:pPr>
            <w:r>
              <w:rPr>
                <w:rFonts w:ascii="Arial" w:cs="Arial" w:eastAsia="Arial" w:hAnsi="Arial"/>
                <w:sz w:val="10"/>
                <w:szCs w:val="10"/>
                <w:color w:val="auto"/>
              </w:rPr>
              <w:t>Inventories, net</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81</w:t>
            </w: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(5,348)</w:t>
            </w:r>
          </w:p>
        </w:tc>
      </w:tr>
      <w:tr>
        <w:trPr>
          <w:trHeight w:val="99"/>
        </w:trPr>
        <w:tc>
          <w:tcPr>
            <w:tcW w:w="6720" w:type="dxa"/>
            <w:vAlign w:val="bottom"/>
          </w:tcPr>
          <w:p>
            <w:pPr>
              <w:ind w:left="140"/>
              <w:spacing w:after="0" w:line="99" w:lineRule="exact"/>
              <w:rPr>
                <w:sz w:val="20"/>
                <w:szCs w:val="20"/>
                <w:color w:val="auto"/>
              </w:rPr>
            </w:pPr>
            <w:r>
              <w:rPr>
                <w:rFonts w:ascii="Arial" w:cs="Arial" w:eastAsia="Arial" w:hAnsi="Arial"/>
                <w:sz w:val="10"/>
                <w:szCs w:val="10"/>
                <w:color w:val="auto"/>
              </w:rPr>
              <w:t>Prepaid expenses and other current assets</w:t>
            </w:r>
          </w:p>
        </w:tc>
        <w:tc>
          <w:tcPr>
            <w:tcW w:w="540" w:type="dxa"/>
            <w:vAlign w:val="bottom"/>
          </w:tcPr>
          <w:p>
            <w:pPr>
              <w:spacing w:after="0"/>
              <w:rPr>
                <w:sz w:val="8"/>
                <w:szCs w:val="8"/>
                <w:color w:val="auto"/>
              </w:rPr>
            </w:pPr>
          </w:p>
        </w:tc>
        <w:tc>
          <w:tcPr>
            <w:tcW w:w="6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(1,298)</w:t>
            </w:r>
          </w:p>
        </w:tc>
        <w:tc>
          <w:tcPr>
            <w:tcW w:w="54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(1,799)</w:t>
            </w:r>
          </w:p>
        </w:tc>
      </w:tr>
      <w:tr>
        <w:trPr>
          <w:trHeight w:val="99"/>
        </w:trPr>
        <w:tc>
          <w:tcPr>
            <w:tcW w:w="6720" w:type="dxa"/>
            <w:vAlign w:val="bottom"/>
            <w:shd w:val="clear" w:color="auto" w:fill="CCEEFF"/>
          </w:tcPr>
          <w:p>
            <w:pPr>
              <w:ind w:left="140"/>
              <w:spacing w:after="0" w:line="99" w:lineRule="exact"/>
              <w:rPr>
                <w:sz w:val="20"/>
                <w:szCs w:val="20"/>
                <w:color w:val="auto"/>
              </w:rPr>
            </w:pPr>
            <w:r>
              <w:rPr>
                <w:rFonts w:ascii="Arial" w:cs="Arial" w:eastAsia="Arial" w:hAnsi="Arial"/>
                <w:sz w:val="10"/>
                <w:szCs w:val="10"/>
                <w:color w:val="auto"/>
              </w:rPr>
              <w:t>Advances to suppliers</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152</w:t>
            </w: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3,466</w:t>
            </w:r>
          </w:p>
        </w:tc>
        <w:tc>
          <w:tcPr>
            <w:tcW w:w="140" w:type="dxa"/>
            <w:vAlign w:val="bottom"/>
            <w:shd w:val="clear" w:color="auto" w:fill="CCEEFF"/>
          </w:tcPr>
          <w:p>
            <w:pPr>
              <w:spacing w:after="0"/>
              <w:rPr>
                <w:sz w:val="8"/>
                <w:szCs w:val="8"/>
                <w:color w:val="auto"/>
              </w:rPr>
            </w:pPr>
          </w:p>
        </w:tc>
      </w:tr>
      <w:tr>
        <w:trPr>
          <w:trHeight w:val="99"/>
        </w:trPr>
        <w:tc>
          <w:tcPr>
            <w:tcW w:w="6720" w:type="dxa"/>
            <w:vAlign w:val="bottom"/>
          </w:tcPr>
          <w:p>
            <w:pPr>
              <w:ind w:left="140"/>
              <w:spacing w:after="0" w:line="99" w:lineRule="exact"/>
              <w:rPr>
                <w:sz w:val="20"/>
                <w:szCs w:val="20"/>
                <w:color w:val="auto"/>
              </w:rPr>
            </w:pPr>
            <w:r>
              <w:rPr>
                <w:rFonts w:ascii="Arial" w:cs="Arial" w:eastAsia="Arial" w:hAnsi="Arial"/>
                <w:sz w:val="10"/>
                <w:szCs w:val="10"/>
                <w:color w:val="auto"/>
              </w:rPr>
              <w:t>Income taxes receivable/payable</w:t>
            </w: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3,888</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(1,139)</w:t>
            </w:r>
          </w:p>
        </w:tc>
      </w:tr>
      <w:tr>
        <w:trPr>
          <w:trHeight w:val="99"/>
        </w:trPr>
        <w:tc>
          <w:tcPr>
            <w:tcW w:w="6720" w:type="dxa"/>
            <w:vAlign w:val="bottom"/>
            <w:shd w:val="clear" w:color="auto" w:fill="CCEEFF"/>
          </w:tcPr>
          <w:p>
            <w:pPr>
              <w:ind w:left="140"/>
              <w:spacing w:after="0" w:line="99" w:lineRule="exact"/>
              <w:rPr>
                <w:sz w:val="20"/>
                <w:szCs w:val="20"/>
                <w:color w:val="auto"/>
              </w:rPr>
            </w:pPr>
            <w:r>
              <w:rPr>
                <w:rFonts w:ascii="Arial" w:cs="Arial" w:eastAsia="Arial" w:hAnsi="Arial"/>
                <w:sz w:val="10"/>
                <w:szCs w:val="10"/>
                <w:color w:val="auto"/>
              </w:rPr>
              <w:t>Other assets</w:t>
            </w:r>
          </w:p>
        </w:tc>
        <w:tc>
          <w:tcPr>
            <w:tcW w:w="5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(3,638)</w:t>
            </w:r>
          </w:p>
        </w:tc>
        <w:tc>
          <w:tcPr>
            <w:tcW w:w="5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(1,924)</w:t>
            </w:r>
          </w:p>
        </w:tc>
      </w:tr>
      <w:tr>
        <w:trPr>
          <w:trHeight w:val="99"/>
        </w:trPr>
        <w:tc>
          <w:tcPr>
            <w:tcW w:w="6720" w:type="dxa"/>
            <w:vAlign w:val="bottom"/>
          </w:tcPr>
          <w:p>
            <w:pPr>
              <w:ind w:left="140"/>
              <w:spacing w:after="0" w:line="99" w:lineRule="exact"/>
              <w:rPr>
                <w:sz w:val="20"/>
                <w:szCs w:val="20"/>
                <w:color w:val="auto"/>
              </w:rPr>
            </w:pPr>
            <w:r>
              <w:rPr>
                <w:rFonts w:ascii="Arial" w:cs="Arial" w:eastAsia="Arial" w:hAnsi="Arial"/>
                <w:sz w:val="10"/>
                <w:szCs w:val="10"/>
                <w:color w:val="auto"/>
              </w:rPr>
              <w:t>Payable to growers</w:t>
            </w: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210</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7,589</w:t>
            </w:r>
          </w:p>
        </w:tc>
        <w:tc>
          <w:tcPr>
            <w:tcW w:w="140" w:type="dxa"/>
            <w:vAlign w:val="bottom"/>
          </w:tcPr>
          <w:p>
            <w:pPr>
              <w:spacing w:after="0"/>
              <w:rPr>
                <w:sz w:val="8"/>
                <w:szCs w:val="8"/>
                <w:color w:val="auto"/>
              </w:rPr>
            </w:pPr>
          </w:p>
        </w:tc>
      </w:tr>
      <w:tr>
        <w:trPr>
          <w:trHeight w:val="99"/>
        </w:trPr>
        <w:tc>
          <w:tcPr>
            <w:tcW w:w="6720" w:type="dxa"/>
            <w:vAlign w:val="bottom"/>
            <w:shd w:val="clear" w:color="auto" w:fill="CCEEFF"/>
          </w:tcPr>
          <w:p>
            <w:pPr>
              <w:ind w:left="140"/>
              <w:spacing w:after="0" w:line="99" w:lineRule="exact"/>
              <w:rPr>
                <w:sz w:val="20"/>
                <w:szCs w:val="20"/>
                <w:color w:val="auto"/>
              </w:rPr>
            </w:pPr>
            <w:r>
              <w:rPr>
                <w:rFonts w:ascii="Arial" w:cs="Arial" w:eastAsia="Arial" w:hAnsi="Arial"/>
                <w:sz w:val="10"/>
                <w:szCs w:val="10"/>
                <w:color w:val="auto"/>
              </w:rPr>
              <w:t>Trade accounts payable, accrued expenses and other long-term liabilities</w:t>
            </w:r>
          </w:p>
        </w:tc>
        <w:tc>
          <w:tcPr>
            <w:tcW w:w="5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10"/>
                <w:szCs w:val="10"/>
                <w:color w:val="auto"/>
                <w:w w:val="91"/>
              </w:rPr>
              <w:t>14,739</w:t>
            </w:r>
          </w:p>
        </w:tc>
        <w:tc>
          <w:tcPr>
            <w:tcW w:w="34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10"/>
                <w:szCs w:val="10"/>
                <w:color w:val="auto"/>
              </w:rPr>
              <w:t>3,206</w:t>
            </w:r>
          </w:p>
        </w:tc>
        <w:tc>
          <w:tcPr>
            <w:tcW w:w="140" w:type="dxa"/>
            <w:vAlign w:val="bottom"/>
            <w:shd w:val="clear" w:color="auto" w:fill="CCEEFF"/>
          </w:tcPr>
          <w:p>
            <w:pPr>
              <w:spacing w:after="0"/>
              <w:rPr>
                <w:sz w:val="8"/>
                <w:szCs w:val="8"/>
                <w:color w:val="auto"/>
              </w:rPr>
            </w:pPr>
          </w:p>
        </w:tc>
      </w:tr>
      <w:tr>
        <w:trPr>
          <w:trHeight w:val="88"/>
        </w:trPr>
        <w:tc>
          <w:tcPr>
            <w:tcW w:w="6720" w:type="dxa"/>
            <w:vAlign w:val="bottom"/>
          </w:tcPr>
          <w:p>
            <w:pPr>
              <w:ind w:left="280"/>
              <w:spacing w:after="0" w:line="88" w:lineRule="exact"/>
              <w:rPr>
                <w:sz w:val="20"/>
                <w:szCs w:val="20"/>
                <w:color w:val="auto"/>
              </w:rPr>
            </w:pPr>
            <w:r>
              <w:rPr>
                <w:rFonts w:ascii="Arial" w:cs="Arial" w:eastAsia="Arial" w:hAnsi="Arial"/>
                <w:sz w:val="10"/>
                <w:szCs w:val="10"/>
                <w:color w:val="auto"/>
              </w:rPr>
              <w:t>Net cash provided (used) by operating activities</w:t>
            </w:r>
          </w:p>
        </w:tc>
        <w:tc>
          <w:tcPr>
            <w:tcW w:w="54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10"/>
                <w:szCs w:val="10"/>
                <w:color w:val="auto"/>
                <w:w w:val="91"/>
              </w:rPr>
              <w:t>13,165</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10"/>
                <w:szCs w:val="10"/>
                <w:color w:val="auto"/>
              </w:rPr>
              <w:t>(6,521)</w:t>
            </w:r>
          </w:p>
        </w:tc>
        <w:tc>
          <w:tcPr>
            <w:tcW w:w="140" w:type="dxa"/>
            <w:vAlign w:val="bottom"/>
          </w:tcPr>
          <w:p>
            <w:pPr>
              <w:spacing w:after="0"/>
              <w:rPr>
                <w:sz w:val="7"/>
                <w:szCs w:val="7"/>
                <w:color w:val="auto"/>
              </w:rPr>
            </w:pPr>
          </w:p>
        </w:tc>
      </w:tr>
      <w:tr>
        <w:trPr>
          <w:trHeight w:val="99"/>
        </w:trPr>
        <w:tc>
          <w:tcPr>
            <w:tcW w:w="672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Cash Flows from Investing Activities:</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99"/>
        </w:trPr>
        <w:tc>
          <w:tcPr>
            <w:tcW w:w="6720" w:type="dxa"/>
            <w:vAlign w:val="bottom"/>
          </w:tcPr>
          <w:p>
            <w:pPr>
              <w:spacing w:after="0" w:line="99" w:lineRule="exact"/>
              <w:rPr>
                <w:sz w:val="20"/>
                <w:szCs w:val="20"/>
                <w:color w:val="auto"/>
              </w:rPr>
            </w:pPr>
            <w:r>
              <w:rPr>
                <w:rFonts w:ascii="Arial" w:cs="Arial" w:eastAsia="Arial" w:hAnsi="Arial"/>
                <w:sz w:val="10"/>
                <w:szCs w:val="10"/>
                <w:color w:val="auto"/>
              </w:rPr>
              <w:t>Purchases of property, plant, and equipment</w:t>
            </w:r>
          </w:p>
        </w:tc>
        <w:tc>
          <w:tcPr>
            <w:tcW w:w="540" w:type="dxa"/>
            <w:vAlign w:val="bottom"/>
          </w:tcPr>
          <w:p>
            <w:pPr>
              <w:spacing w:after="0"/>
              <w:rPr>
                <w:sz w:val="8"/>
                <w:szCs w:val="8"/>
                <w:color w:val="auto"/>
              </w:rPr>
            </w:pPr>
          </w:p>
        </w:tc>
        <w:tc>
          <w:tcPr>
            <w:tcW w:w="6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(4,768)</w:t>
            </w:r>
          </w:p>
        </w:tc>
        <w:tc>
          <w:tcPr>
            <w:tcW w:w="54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(3,331)</w:t>
            </w:r>
          </w:p>
        </w:tc>
      </w:tr>
      <w:tr>
        <w:trPr>
          <w:trHeight w:val="88"/>
        </w:trPr>
        <w:tc>
          <w:tcPr>
            <w:tcW w:w="6720" w:type="dxa"/>
            <w:vAlign w:val="bottom"/>
            <w:tcBorders>
              <w:top w:val="single" w:sz="8" w:color="CCEEFF"/>
            </w:tcBorders>
            <w:shd w:val="clear" w:color="auto" w:fill="CCEEFF"/>
          </w:tcPr>
          <w:p>
            <w:pPr>
              <w:ind w:left="280"/>
              <w:spacing w:after="0" w:line="88" w:lineRule="exact"/>
              <w:rPr>
                <w:sz w:val="20"/>
                <w:szCs w:val="20"/>
                <w:color w:val="auto"/>
              </w:rPr>
            </w:pPr>
            <w:r>
              <w:rPr>
                <w:rFonts w:ascii="Arial" w:cs="Arial" w:eastAsia="Arial" w:hAnsi="Arial"/>
                <w:sz w:val="10"/>
                <w:szCs w:val="10"/>
                <w:color w:val="auto"/>
              </w:rPr>
              <w:t>Net cash used in investing activities</w:t>
            </w:r>
          </w:p>
        </w:tc>
        <w:tc>
          <w:tcPr>
            <w:tcW w:w="5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(4,768)</w:t>
            </w:r>
          </w:p>
        </w:tc>
        <w:tc>
          <w:tcPr>
            <w:tcW w:w="34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(3,331)</w:t>
            </w:r>
          </w:p>
        </w:tc>
        <w:tc>
          <w:tcPr>
            <w:tcW w:w="140" w:type="dxa"/>
            <w:vAlign w:val="bottom"/>
            <w:tcBorders>
              <w:top w:val="single" w:sz="8" w:color="CCEEFF"/>
            </w:tcBorders>
            <w:shd w:val="clear" w:color="auto" w:fill="CCEEFF"/>
          </w:tcPr>
          <w:p>
            <w:pPr>
              <w:spacing w:after="0"/>
              <w:rPr>
                <w:sz w:val="7"/>
                <w:szCs w:val="7"/>
                <w:color w:val="auto"/>
              </w:rPr>
            </w:pPr>
          </w:p>
        </w:tc>
      </w:tr>
      <w:tr>
        <w:trPr>
          <w:trHeight w:val="99"/>
        </w:trPr>
        <w:tc>
          <w:tcPr>
            <w:tcW w:w="6720" w:type="dxa"/>
            <w:vAlign w:val="bottom"/>
          </w:tcPr>
          <w:p>
            <w:pPr>
              <w:spacing w:after="0" w:line="99" w:lineRule="exact"/>
              <w:rPr>
                <w:sz w:val="20"/>
                <w:szCs w:val="20"/>
                <w:color w:val="auto"/>
              </w:rPr>
            </w:pPr>
            <w:r>
              <w:rPr>
                <w:rFonts w:ascii="Arial" w:cs="Arial" w:eastAsia="Arial" w:hAnsi="Arial"/>
                <w:sz w:val="10"/>
                <w:szCs w:val="10"/>
                <w:b w:val="1"/>
                <w:bCs w:val="1"/>
                <w:color w:val="auto"/>
              </w:rPr>
              <w:t>Cash Flows from Financing Activities: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9"/>
        </w:trPr>
        <w:tc>
          <w:tcPr>
            <w:tcW w:w="67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Payment of dividend to shareholders</w:t>
            </w:r>
          </w:p>
        </w:tc>
        <w:tc>
          <w:tcPr>
            <w:tcW w:w="5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w w:val="85"/>
              </w:rPr>
              <w:t>(20,343)</w:t>
            </w:r>
          </w:p>
        </w:tc>
        <w:tc>
          <w:tcPr>
            <w:tcW w:w="5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w w:val="85"/>
              </w:rPr>
              <w:t>(19,354)</w:t>
            </w:r>
          </w:p>
        </w:tc>
      </w:tr>
      <w:tr>
        <w:trPr>
          <w:trHeight w:val="99"/>
        </w:trPr>
        <w:tc>
          <w:tcPr>
            <w:tcW w:w="6720" w:type="dxa"/>
            <w:vAlign w:val="bottom"/>
          </w:tcPr>
          <w:p>
            <w:pPr>
              <w:spacing w:after="0" w:line="99" w:lineRule="exact"/>
              <w:rPr>
                <w:sz w:val="20"/>
                <w:szCs w:val="20"/>
                <w:color w:val="auto"/>
              </w:rPr>
            </w:pPr>
            <w:r>
              <w:rPr>
                <w:rFonts w:ascii="Arial" w:cs="Arial" w:eastAsia="Arial" w:hAnsi="Arial"/>
                <w:sz w:val="10"/>
                <w:szCs w:val="10"/>
                <w:color w:val="auto"/>
              </w:rPr>
              <w:t>Proceeds from revolving credit facility</w:t>
            </w: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w w:val="91"/>
              </w:rPr>
              <w:t>91,000</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w w:val="91"/>
              </w:rPr>
              <w:t>53,500</w:t>
            </w:r>
          </w:p>
        </w:tc>
        <w:tc>
          <w:tcPr>
            <w:tcW w:w="140" w:type="dxa"/>
            <w:vAlign w:val="bottom"/>
          </w:tcPr>
          <w:p>
            <w:pPr>
              <w:spacing w:after="0"/>
              <w:rPr>
                <w:sz w:val="8"/>
                <w:szCs w:val="8"/>
                <w:color w:val="auto"/>
              </w:rPr>
            </w:pPr>
          </w:p>
        </w:tc>
      </w:tr>
      <w:tr>
        <w:trPr>
          <w:trHeight w:val="99"/>
        </w:trPr>
        <w:tc>
          <w:tcPr>
            <w:tcW w:w="67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Payments on revolving credit facility</w:t>
            </w:r>
          </w:p>
        </w:tc>
        <w:tc>
          <w:tcPr>
            <w:tcW w:w="5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w w:val="85"/>
              </w:rPr>
              <w:t>(74,400)</w:t>
            </w:r>
          </w:p>
        </w:tc>
        <w:tc>
          <w:tcPr>
            <w:tcW w:w="5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w w:val="85"/>
              </w:rPr>
              <w:t>(26,000)</w:t>
            </w:r>
          </w:p>
        </w:tc>
      </w:tr>
      <w:tr>
        <w:trPr>
          <w:trHeight w:val="99"/>
        </w:trPr>
        <w:tc>
          <w:tcPr>
            <w:tcW w:w="6720" w:type="dxa"/>
            <w:vAlign w:val="bottom"/>
          </w:tcPr>
          <w:p>
            <w:pPr>
              <w:spacing w:after="0" w:line="99" w:lineRule="exact"/>
              <w:rPr>
                <w:sz w:val="20"/>
                <w:szCs w:val="20"/>
                <w:color w:val="auto"/>
              </w:rPr>
            </w:pPr>
            <w:r>
              <w:rPr>
                <w:rFonts w:ascii="Arial" w:cs="Arial" w:eastAsia="Arial" w:hAnsi="Arial"/>
                <w:sz w:val="10"/>
                <w:szCs w:val="10"/>
                <w:color w:val="auto"/>
              </w:rPr>
              <w:t>Payments of minimum withholding taxes on net share settlement of equity awards</w:t>
            </w:r>
          </w:p>
        </w:tc>
        <w:tc>
          <w:tcPr>
            <w:tcW w:w="540" w:type="dxa"/>
            <w:vAlign w:val="bottom"/>
          </w:tcPr>
          <w:p>
            <w:pPr>
              <w:spacing w:after="0"/>
              <w:rPr>
                <w:sz w:val="8"/>
                <w:szCs w:val="8"/>
                <w:color w:val="auto"/>
              </w:rPr>
            </w:pPr>
          </w:p>
        </w:tc>
        <w:tc>
          <w:tcPr>
            <w:tcW w:w="6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(467)</w:t>
            </w:r>
          </w:p>
        </w:tc>
        <w:tc>
          <w:tcPr>
            <w:tcW w:w="54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(1,179)</w:t>
            </w:r>
          </w:p>
        </w:tc>
      </w:tr>
      <w:tr>
        <w:trPr>
          <w:trHeight w:val="99"/>
        </w:trPr>
        <w:tc>
          <w:tcPr>
            <w:tcW w:w="67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Proceeds (payments) on long-term obligations and finance leases</w:t>
            </w:r>
          </w:p>
        </w:tc>
        <w:tc>
          <w:tcPr>
            <w:tcW w:w="5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(121)</w:t>
            </w:r>
          </w:p>
        </w:tc>
        <w:tc>
          <w:tcPr>
            <w:tcW w:w="5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(198)</w:t>
            </w:r>
          </w:p>
        </w:tc>
      </w:tr>
      <w:tr>
        <w:trPr>
          <w:trHeight w:val="99"/>
        </w:trPr>
        <w:tc>
          <w:tcPr>
            <w:tcW w:w="6720" w:type="dxa"/>
            <w:vAlign w:val="bottom"/>
          </w:tcPr>
          <w:p>
            <w:pPr>
              <w:spacing w:after="0" w:line="99" w:lineRule="exact"/>
              <w:rPr>
                <w:sz w:val="20"/>
                <w:szCs w:val="20"/>
                <w:color w:val="auto"/>
              </w:rPr>
            </w:pPr>
            <w:r>
              <w:rPr>
                <w:rFonts w:ascii="Arial" w:cs="Arial" w:eastAsia="Arial" w:hAnsi="Arial"/>
                <w:sz w:val="10"/>
                <w:szCs w:val="10"/>
                <w:color w:val="auto"/>
              </w:rPr>
              <w:t>Proceeds from stock option exercises</w:t>
            </w: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47</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rPr>
              <w:t>47</w:t>
            </w:r>
          </w:p>
        </w:tc>
        <w:tc>
          <w:tcPr>
            <w:tcW w:w="140" w:type="dxa"/>
            <w:vAlign w:val="bottom"/>
          </w:tcPr>
          <w:p>
            <w:pPr>
              <w:spacing w:after="0"/>
              <w:rPr>
                <w:sz w:val="8"/>
                <w:szCs w:val="8"/>
                <w:color w:val="auto"/>
              </w:rPr>
            </w:pPr>
          </w:p>
        </w:tc>
      </w:tr>
      <w:tr>
        <w:trPr>
          <w:trHeight w:val="99"/>
        </w:trPr>
        <w:tc>
          <w:tcPr>
            <w:tcW w:w="6720" w:type="dxa"/>
            <w:vAlign w:val="bottom"/>
            <w:shd w:val="clear" w:color="auto" w:fill="CCEEFF"/>
          </w:tcPr>
          <w:p>
            <w:pPr>
              <w:ind w:left="280"/>
              <w:spacing w:after="0" w:line="99" w:lineRule="exact"/>
              <w:rPr>
                <w:sz w:val="20"/>
                <w:szCs w:val="20"/>
                <w:color w:val="auto"/>
              </w:rPr>
            </w:pPr>
            <w:r>
              <w:rPr>
                <w:rFonts w:ascii="Arial" w:cs="Arial" w:eastAsia="Arial" w:hAnsi="Arial"/>
                <w:sz w:val="10"/>
                <w:szCs w:val="10"/>
                <w:color w:val="auto"/>
              </w:rPr>
              <w:t>Net cash provided (used) in financing activities</w:t>
            </w:r>
          </w:p>
        </w:tc>
        <w:tc>
          <w:tcPr>
            <w:tcW w:w="5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(4,284)</w:t>
            </w: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6,816</w:t>
            </w:r>
          </w:p>
        </w:tc>
        <w:tc>
          <w:tcPr>
            <w:tcW w:w="140" w:type="dxa"/>
            <w:vAlign w:val="bottom"/>
            <w:shd w:val="clear" w:color="auto" w:fill="CCEEFF"/>
          </w:tcPr>
          <w:p>
            <w:pPr>
              <w:spacing w:after="0"/>
              <w:rPr>
                <w:sz w:val="8"/>
                <w:szCs w:val="8"/>
                <w:color w:val="auto"/>
              </w:rPr>
            </w:pPr>
          </w:p>
        </w:tc>
      </w:tr>
      <w:tr>
        <w:trPr>
          <w:trHeight w:val="88"/>
        </w:trPr>
        <w:tc>
          <w:tcPr>
            <w:tcW w:w="6720" w:type="dxa"/>
            <w:vAlign w:val="bottom"/>
          </w:tcPr>
          <w:p>
            <w:pPr>
              <w:spacing w:after="0" w:line="88" w:lineRule="exact"/>
              <w:rPr>
                <w:sz w:val="20"/>
                <w:szCs w:val="20"/>
                <w:color w:val="auto"/>
              </w:rPr>
            </w:pPr>
            <w:r>
              <w:rPr>
                <w:rFonts w:ascii="Arial" w:cs="Arial" w:eastAsia="Arial" w:hAnsi="Arial"/>
                <w:sz w:val="10"/>
                <w:szCs w:val="10"/>
                <w:color w:val="auto"/>
              </w:rPr>
              <w:t>Net increase (decrease) in cash and cash equivalents</w:t>
            </w:r>
          </w:p>
        </w:tc>
        <w:tc>
          <w:tcPr>
            <w:tcW w:w="5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4,113</w:t>
            </w:r>
          </w:p>
        </w:tc>
        <w:tc>
          <w:tcPr>
            <w:tcW w:w="3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(3,036)</w:t>
            </w:r>
          </w:p>
        </w:tc>
        <w:tc>
          <w:tcPr>
            <w:tcW w:w="140" w:type="dxa"/>
            <w:vAlign w:val="bottom"/>
          </w:tcPr>
          <w:p>
            <w:pPr>
              <w:spacing w:after="0"/>
              <w:rPr>
                <w:sz w:val="7"/>
                <w:szCs w:val="7"/>
                <w:color w:val="auto"/>
              </w:rPr>
            </w:pPr>
          </w:p>
        </w:tc>
      </w:tr>
      <w:tr>
        <w:trPr>
          <w:trHeight w:val="99"/>
        </w:trPr>
        <w:tc>
          <w:tcPr>
            <w:tcW w:w="67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Cash and cash equivalents, beginning of period</w:t>
            </w:r>
          </w:p>
        </w:tc>
        <w:tc>
          <w:tcPr>
            <w:tcW w:w="5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10"/>
                <w:szCs w:val="10"/>
                <w:color w:val="auto"/>
              </w:rPr>
              <w:t>4,055</w:t>
            </w:r>
          </w:p>
        </w:tc>
        <w:tc>
          <w:tcPr>
            <w:tcW w:w="34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10"/>
                <w:szCs w:val="10"/>
                <w:color w:val="auto"/>
              </w:rPr>
              <w:t>7,973</w:t>
            </w:r>
          </w:p>
        </w:tc>
        <w:tc>
          <w:tcPr>
            <w:tcW w:w="140" w:type="dxa"/>
            <w:vAlign w:val="bottom"/>
            <w:shd w:val="clear" w:color="auto" w:fill="CCEEFF"/>
          </w:tcPr>
          <w:p>
            <w:pPr>
              <w:spacing w:after="0"/>
              <w:rPr>
                <w:sz w:val="8"/>
                <w:szCs w:val="8"/>
                <w:color w:val="auto"/>
              </w:rPr>
            </w:pPr>
          </w:p>
        </w:tc>
      </w:tr>
      <w:tr>
        <w:trPr>
          <w:trHeight w:val="95"/>
        </w:trPr>
        <w:tc>
          <w:tcPr>
            <w:tcW w:w="6720" w:type="dxa"/>
            <w:vAlign w:val="bottom"/>
            <w:tcBorders>
              <w:bottom w:val="single" w:sz="8" w:color="CCEEFF"/>
            </w:tcBorders>
          </w:tcPr>
          <w:p>
            <w:pPr>
              <w:spacing w:after="0" w:line="88" w:lineRule="exact"/>
              <w:rPr>
                <w:sz w:val="20"/>
                <w:szCs w:val="20"/>
                <w:color w:val="auto"/>
              </w:rPr>
            </w:pPr>
            <w:r>
              <w:rPr>
                <w:rFonts w:ascii="Arial" w:cs="Arial" w:eastAsia="Arial" w:hAnsi="Arial"/>
                <w:sz w:val="10"/>
                <w:szCs w:val="10"/>
                <w:color w:val="auto"/>
              </w:rPr>
              <w:t>Cash and cash equivalents, end of period</w:t>
            </w:r>
          </w:p>
        </w:tc>
        <w:tc>
          <w:tcPr>
            <w:tcW w:w="540" w:type="dxa"/>
            <w:vAlign w:val="bottom"/>
            <w:tcBorders>
              <w:bottom w:val="single" w:sz="8" w:color="auto"/>
            </w:tcBorders>
          </w:tcPr>
          <w:p>
            <w:pPr>
              <w:jc w:val="right"/>
              <w:ind w:right="468"/>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8,168</w:t>
            </w:r>
          </w:p>
        </w:tc>
        <w:tc>
          <w:tcPr>
            <w:tcW w:w="34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tcPr>
          <w:p>
            <w:pPr>
              <w:jc w:val="right"/>
              <w:ind w:right="433"/>
              <w:spacing w:after="0" w:line="88" w:lineRule="exact"/>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4,937</w:t>
            </w:r>
          </w:p>
        </w:tc>
        <w:tc>
          <w:tcPr>
            <w:tcW w:w="140" w:type="dxa"/>
            <w:vAlign w:val="bottom"/>
            <w:tcBorders>
              <w:bottom w:val="single" w:sz="8" w:color="CCEEFF"/>
            </w:tcBorders>
          </w:tcPr>
          <w:p>
            <w:pPr>
              <w:spacing w:after="0"/>
              <w:rPr>
                <w:sz w:val="8"/>
                <w:szCs w:val="8"/>
                <w:color w:val="auto"/>
              </w:rPr>
            </w:pPr>
          </w:p>
        </w:tc>
      </w:tr>
      <w:tr>
        <w:trPr>
          <w:trHeight w:val="99"/>
        </w:trPr>
        <w:tc>
          <w:tcPr>
            <w:tcW w:w="67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99"/>
        </w:trPr>
        <w:tc>
          <w:tcPr>
            <w:tcW w:w="6720" w:type="dxa"/>
            <w:vAlign w:val="bottom"/>
          </w:tcPr>
          <w:p>
            <w:pPr>
              <w:spacing w:after="0" w:line="99" w:lineRule="exact"/>
              <w:rPr>
                <w:sz w:val="20"/>
                <w:szCs w:val="20"/>
                <w:color w:val="auto"/>
              </w:rPr>
            </w:pPr>
            <w:r>
              <w:rPr>
                <w:rFonts w:ascii="Arial" w:cs="Arial" w:eastAsia="Arial" w:hAnsi="Arial"/>
                <w:sz w:val="10"/>
                <w:szCs w:val="10"/>
                <w:b w:val="1"/>
                <w:bCs w:val="1"/>
                <w:color w:val="auto"/>
              </w:rPr>
              <w:t>Noncash Investing and Financing Activities: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19"/>
        </w:trPr>
        <w:tc>
          <w:tcPr>
            <w:tcW w:w="6720" w:type="dxa"/>
            <w:vAlign w:val="bottom"/>
            <w:tcBorders>
              <w:bottom w:val="single" w:sz="8" w:color="CCEEFF"/>
            </w:tcBorders>
            <w:shd w:val="clear" w:color="auto" w:fill="CCEEFF"/>
          </w:tcPr>
          <w:p>
            <w:pPr>
              <w:spacing w:after="0" w:line="99" w:lineRule="exact"/>
              <w:rPr>
                <w:sz w:val="20"/>
                <w:szCs w:val="20"/>
                <w:color w:val="auto"/>
              </w:rPr>
            </w:pPr>
            <w:r>
              <w:rPr>
                <w:rFonts w:ascii="Arial" w:cs="Arial" w:eastAsia="Arial" w:hAnsi="Arial"/>
                <w:sz w:val="10"/>
                <w:szCs w:val="10"/>
                <w:color w:val="auto"/>
              </w:rPr>
              <w:t>Right of use assets obtained in exchange for new financing lease obligations</w:t>
            </w:r>
          </w:p>
        </w:tc>
        <w:tc>
          <w:tcPr>
            <w:tcW w:w="5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10"/>
                <w:szCs w:val="10"/>
                <w:color w:val="auto"/>
              </w:rPr>
              <w:t>301</w:t>
            </w:r>
          </w:p>
        </w:tc>
        <w:tc>
          <w:tcPr>
            <w:tcW w:w="34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33"/>
              <w:spacing w:after="0" w:line="99" w:lineRule="exact"/>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10"/>
                <w:szCs w:val="10"/>
                <w:color w:val="auto"/>
              </w:rPr>
              <w:t>390</w:t>
            </w:r>
          </w:p>
        </w:tc>
        <w:tc>
          <w:tcPr>
            <w:tcW w:w="140" w:type="dxa"/>
            <w:vAlign w:val="bottom"/>
            <w:tcBorders>
              <w:bottom w:val="single" w:sz="8" w:color="CCEEFF"/>
            </w:tcBorders>
            <w:shd w:val="clear" w:color="auto" w:fill="CCEEFF"/>
          </w:tcPr>
          <w:p>
            <w:pPr>
              <w:spacing w:after="0"/>
              <w:rPr>
                <w:sz w:val="10"/>
                <w:szCs w:val="10"/>
                <w:color w:val="auto"/>
              </w:rPr>
            </w:pPr>
          </w:p>
        </w:tc>
      </w:tr>
      <w:tr>
        <w:trPr>
          <w:trHeight w:val="93"/>
        </w:trPr>
        <w:tc>
          <w:tcPr>
            <w:tcW w:w="6720" w:type="dxa"/>
            <w:vAlign w:val="bottom"/>
          </w:tcPr>
          <w:p>
            <w:pPr>
              <w:spacing w:after="0" w:line="86" w:lineRule="exact"/>
              <w:rPr>
                <w:sz w:val="20"/>
                <w:szCs w:val="20"/>
                <w:color w:val="auto"/>
              </w:rPr>
            </w:pPr>
            <w:r>
              <w:rPr>
                <w:rFonts w:ascii="Arial" w:cs="Arial" w:eastAsia="Arial" w:hAnsi="Arial"/>
                <w:sz w:val="8"/>
                <w:szCs w:val="8"/>
                <w:color w:val="auto"/>
              </w:rPr>
              <w:t>Property, plant, and equipment included in trade accounts payable and accrued expenses</w:t>
            </w:r>
          </w:p>
        </w:tc>
        <w:tc>
          <w:tcPr>
            <w:tcW w:w="540" w:type="dxa"/>
            <w:vAlign w:val="bottom"/>
            <w:tcBorders>
              <w:bottom w:val="single" w:sz="8" w:color="auto"/>
            </w:tcBorders>
          </w:tcPr>
          <w:p>
            <w:pPr>
              <w:jc w:val="right"/>
              <w:ind w:right="468"/>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863</w:t>
            </w:r>
          </w:p>
        </w:tc>
        <w:tc>
          <w:tcPr>
            <w:tcW w:w="340" w:type="dxa"/>
            <w:vAlign w:val="bottom"/>
          </w:tcPr>
          <w:p>
            <w:pPr>
              <w:spacing w:after="0"/>
              <w:rPr>
                <w:sz w:val="8"/>
                <w:szCs w:val="8"/>
                <w:color w:val="auto"/>
              </w:rPr>
            </w:pPr>
          </w:p>
        </w:tc>
        <w:tc>
          <w:tcPr>
            <w:tcW w:w="540" w:type="dxa"/>
            <w:vAlign w:val="bottom"/>
            <w:tcBorders>
              <w:bottom w:val="single" w:sz="8" w:color="auto"/>
            </w:tcBorders>
          </w:tcPr>
          <w:p>
            <w:pPr>
              <w:jc w:val="right"/>
              <w:ind w:right="433"/>
              <w:spacing w:after="0" w:line="86" w:lineRule="exact"/>
              <w:rPr>
                <w:sz w:val="20"/>
                <w:szCs w:val="20"/>
                <w:color w:val="auto"/>
              </w:rPr>
            </w:pPr>
            <w:r>
              <w:rPr>
                <w:rFonts w:ascii="Arial" w:cs="Arial" w:eastAsia="Arial" w:hAnsi="Arial"/>
                <w:sz w:val="8"/>
                <w:szCs w:val="8"/>
                <w:color w:val="auto"/>
                <w:w w:val="88"/>
              </w:rPr>
              <w:t>$</w:t>
            </w: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935</w:t>
            </w:r>
          </w:p>
        </w:tc>
        <w:tc>
          <w:tcPr>
            <w:tcW w:w="140" w:type="dxa"/>
            <w:vAlign w:val="bottom"/>
          </w:tcPr>
          <w:p>
            <w:pPr>
              <w:spacing w:after="0"/>
              <w:rPr>
                <w:sz w:val="8"/>
                <w:szCs w:val="8"/>
                <w:color w:val="auto"/>
              </w:rPr>
            </w:pPr>
          </w:p>
        </w:tc>
      </w:tr>
    </w:tbl>
    <w:p>
      <w:pPr>
        <w:spacing w:after="0" w:line="27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 w:name="page7"/>
    <w:bookmarkEnd w:id="6"/>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9"/>
          <w:szCs w:val="9"/>
          <w:b w:val="1"/>
          <w:bCs w:val="1"/>
          <w:color w:val="auto"/>
        </w:rPr>
        <w:t>CALAVO GROWERS,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9"/>
          <w:szCs w:val="9"/>
          <w:b w:val="1"/>
          <w:bCs w:val="1"/>
          <w:color w:val="auto"/>
        </w:rPr>
        <w:t>CONSOLIDATED CONDENSED STATEMENTS OF SHAREHOLDERS’ EQUITY (UNAUDITED)</w:t>
      </w:r>
    </w:p>
    <w:p>
      <w:pPr>
        <w:jc w:val="center"/>
        <w:ind w:right="19"/>
        <w:spacing w:after="0"/>
        <w:rPr>
          <w:sz w:val="20"/>
          <w:szCs w:val="20"/>
          <w:color w:val="auto"/>
        </w:rPr>
      </w:pPr>
      <w:r>
        <w:rPr>
          <w:rFonts w:ascii="Arial" w:cs="Arial" w:eastAsia="Arial" w:hAnsi="Arial"/>
          <w:sz w:val="9"/>
          <w:szCs w:val="9"/>
          <w:b w:val="1"/>
          <w:bCs w:val="1"/>
          <w:color w:val="auto"/>
        </w:rPr>
        <w:t>(in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3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b w:val="1"/>
                <w:bCs w:val="1"/>
                <w:color w:val="auto"/>
              </w:rPr>
              <w:t>Additional</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101"/>
        </w:trPr>
        <w:tc>
          <w:tcPr>
            <w:tcW w:w="3440" w:type="dxa"/>
            <w:vAlign w:val="bottom"/>
          </w:tcPr>
          <w:p>
            <w:pPr>
              <w:spacing w:after="0"/>
              <w:rPr>
                <w:sz w:val="8"/>
                <w:szCs w:val="8"/>
                <w:color w:val="auto"/>
              </w:rPr>
            </w:pPr>
          </w:p>
        </w:tc>
        <w:tc>
          <w:tcPr>
            <w:tcW w:w="136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8"/>
                <w:szCs w:val="8"/>
                <w:b w:val="1"/>
                <w:bCs w:val="1"/>
                <w:color w:val="auto"/>
              </w:rPr>
              <w:t>Common Stock</w:t>
            </w: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right"/>
              <w:ind w:right="198"/>
              <w:spacing w:after="0"/>
              <w:rPr>
                <w:sz w:val="20"/>
                <w:szCs w:val="20"/>
                <w:color w:val="auto"/>
              </w:rPr>
            </w:pPr>
            <w:r>
              <w:rPr>
                <w:rFonts w:ascii="Arial" w:cs="Arial" w:eastAsia="Arial" w:hAnsi="Arial"/>
                <w:sz w:val="8"/>
                <w:szCs w:val="8"/>
                <w:b w:val="1"/>
                <w:bCs w:val="1"/>
                <w:color w:val="auto"/>
              </w:rPr>
              <w:t>Paid-in</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ind w:right="158"/>
              <w:spacing w:after="0"/>
              <w:rPr>
                <w:sz w:val="20"/>
                <w:szCs w:val="20"/>
                <w:color w:val="auto"/>
              </w:rPr>
            </w:pPr>
            <w:r>
              <w:rPr>
                <w:rFonts w:ascii="Arial" w:cs="Arial" w:eastAsia="Arial" w:hAnsi="Arial"/>
                <w:sz w:val="8"/>
                <w:szCs w:val="8"/>
                <w:b w:val="1"/>
                <w:bCs w:val="1"/>
                <w:color w:val="auto"/>
              </w:rPr>
              <w:t>Retained</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198"/>
              <w:spacing w:after="0"/>
              <w:rPr>
                <w:sz w:val="20"/>
                <w:szCs w:val="20"/>
                <w:color w:val="auto"/>
              </w:rPr>
            </w:pPr>
            <w:r>
              <w:rPr>
                <w:rFonts w:ascii="Arial" w:cs="Arial" w:eastAsia="Arial" w:hAnsi="Arial"/>
                <w:sz w:val="8"/>
                <w:szCs w:val="8"/>
                <w:b w:val="1"/>
                <w:bCs w:val="1"/>
                <w:color w:val="auto"/>
              </w:rPr>
              <w:t>Noncontrolling</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79"/>
        </w:trPr>
        <w:tc>
          <w:tcPr>
            <w:tcW w:w="3440" w:type="dxa"/>
            <w:vAlign w:val="bottom"/>
          </w:tcPr>
          <w:p>
            <w:pPr>
              <w:spacing w:after="0"/>
              <w:rPr>
                <w:sz w:val="6"/>
                <w:szCs w:val="6"/>
                <w:color w:val="auto"/>
              </w:rPr>
            </w:pPr>
          </w:p>
        </w:tc>
        <w:tc>
          <w:tcPr>
            <w:tcW w:w="620" w:type="dxa"/>
            <w:vAlign w:val="bottom"/>
            <w:tcBorders>
              <w:bottom w:val="single" w:sz="8" w:color="auto"/>
            </w:tcBorders>
          </w:tcPr>
          <w:p>
            <w:pPr>
              <w:jc w:val="right"/>
              <w:ind w:right="158"/>
              <w:spacing w:after="0" w:line="79" w:lineRule="exact"/>
              <w:rPr>
                <w:sz w:val="20"/>
                <w:szCs w:val="20"/>
                <w:color w:val="auto"/>
              </w:rPr>
            </w:pPr>
            <w:r>
              <w:rPr>
                <w:rFonts w:ascii="Arial" w:cs="Arial" w:eastAsia="Arial" w:hAnsi="Arial"/>
                <w:sz w:val="8"/>
                <w:szCs w:val="8"/>
                <w:b w:val="1"/>
                <w:bCs w:val="1"/>
                <w:color w:val="auto"/>
              </w:rPr>
              <w:t>Shares</w:t>
            </w:r>
          </w:p>
        </w:tc>
        <w:tc>
          <w:tcPr>
            <w:tcW w:w="180" w:type="dxa"/>
            <w:vAlign w:val="bottom"/>
          </w:tcPr>
          <w:p>
            <w:pPr>
              <w:spacing w:after="0"/>
              <w:rPr>
                <w:sz w:val="6"/>
                <w:szCs w:val="6"/>
                <w:color w:val="auto"/>
              </w:rPr>
            </w:pPr>
          </w:p>
        </w:tc>
        <w:tc>
          <w:tcPr>
            <w:tcW w:w="560" w:type="dxa"/>
            <w:vAlign w:val="bottom"/>
            <w:tcBorders>
              <w:bottom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Amount</w:t>
            </w:r>
          </w:p>
        </w:tc>
        <w:tc>
          <w:tcPr>
            <w:tcW w:w="1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right"/>
              <w:ind w:right="198"/>
              <w:spacing w:after="0" w:line="79" w:lineRule="exact"/>
              <w:rPr>
                <w:sz w:val="20"/>
                <w:szCs w:val="20"/>
                <w:color w:val="auto"/>
              </w:rPr>
            </w:pPr>
            <w:r>
              <w:rPr>
                <w:rFonts w:ascii="Arial" w:cs="Arial" w:eastAsia="Arial" w:hAnsi="Arial"/>
                <w:sz w:val="8"/>
                <w:szCs w:val="8"/>
                <w:b w:val="1"/>
                <w:bCs w:val="1"/>
                <w:color w:val="auto"/>
              </w:rPr>
              <w:t>Capital</w:t>
            </w:r>
          </w:p>
        </w:tc>
        <w:tc>
          <w:tcPr>
            <w:tcW w:w="1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right"/>
              <w:ind w:right="158"/>
              <w:spacing w:after="0" w:line="79" w:lineRule="exact"/>
              <w:rPr>
                <w:sz w:val="20"/>
                <w:szCs w:val="20"/>
                <w:color w:val="auto"/>
              </w:rPr>
            </w:pPr>
            <w:r>
              <w:rPr>
                <w:rFonts w:ascii="Arial" w:cs="Arial" w:eastAsia="Arial" w:hAnsi="Arial"/>
                <w:sz w:val="8"/>
                <w:szCs w:val="8"/>
                <w:b w:val="1"/>
                <w:bCs w:val="1"/>
                <w:color w:val="auto"/>
              </w:rPr>
              <w:t>Earnings</w:t>
            </w: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jc w:val="right"/>
              <w:ind w:right="318"/>
              <w:spacing w:after="0" w:line="79" w:lineRule="exact"/>
              <w:rPr>
                <w:sz w:val="20"/>
                <w:szCs w:val="20"/>
                <w:color w:val="auto"/>
              </w:rPr>
            </w:pPr>
            <w:r>
              <w:rPr>
                <w:rFonts w:ascii="Arial" w:cs="Arial" w:eastAsia="Arial" w:hAnsi="Arial"/>
                <w:sz w:val="8"/>
                <w:szCs w:val="8"/>
                <w:b w:val="1"/>
                <w:bCs w:val="1"/>
                <w:color w:val="auto"/>
              </w:rPr>
              <w:t>Interest</w:t>
            </w: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jc w:val="right"/>
              <w:ind w:right="258"/>
              <w:spacing w:after="0" w:line="79" w:lineRule="exact"/>
              <w:rPr>
                <w:sz w:val="20"/>
                <w:szCs w:val="20"/>
                <w:color w:val="auto"/>
              </w:rPr>
            </w:pPr>
            <w:r>
              <w:rPr>
                <w:rFonts w:ascii="Arial" w:cs="Arial" w:eastAsia="Arial" w:hAnsi="Arial"/>
                <w:sz w:val="8"/>
                <w:szCs w:val="8"/>
                <w:b w:val="1"/>
                <w:bCs w:val="1"/>
                <w:color w:val="auto"/>
              </w:rPr>
              <w:t>Total</w:t>
            </w:r>
          </w:p>
        </w:tc>
      </w:tr>
      <w:tr>
        <w:trPr>
          <w:trHeight w:val="79"/>
        </w:trPr>
        <w:tc>
          <w:tcPr>
            <w:tcW w:w="3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90"/>
        </w:trPr>
        <w:tc>
          <w:tcPr>
            <w:tcW w:w="344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Balance, October 31, 2019</w:t>
            </w:r>
          </w:p>
        </w:tc>
        <w:tc>
          <w:tcPr>
            <w:tcW w:w="6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17,595</w:t>
            </w:r>
          </w:p>
        </w:tc>
        <w:tc>
          <w:tcPr>
            <w:tcW w:w="740" w:type="dxa"/>
            <w:vAlign w:val="bottom"/>
            <w:gridSpan w:val="2"/>
            <w:shd w:val="clear" w:color="auto" w:fill="CCEEFF"/>
          </w:tcPr>
          <w:p>
            <w:pPr>
              <w:jc w:val="right"/>
              <w:ind w:right="478"/>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18</w:t>
            </w:r>
          </w:p>
        </w:tc>
        <w:tc>
          <w:tcPr>
            <w:tcW w:w="30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161,606</w:t>
            </w:r>
          </w:p>
        </w:tc>
        <w:tc>
          <w:tcPr>
            <w:tcW w:w="3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122,557</w:t>
            </w:r>
          </w:p>
        </w:tc>
        <w:tc>
          <w:tcPr>
            <w:tcW w:w="32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1,688</w:t>
            </w:r>
          </w:p>
        </w:tc>
        <w:tc>
          <w:tcPr>
            <w:tcW w:w="36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285,869</w:t>
            </w:r>
          </w:p>
        </w:tc>
      </w:tr>
      <w:tr>
        <w:trPr>
          <w:trHeight w:val="90"/>
        </w:trPr>
        <w:tc>
          <w:tcPr>
            <w:tcW w:w="3440" w:type="dxa"/>
            <w:vAlign w:val="bottom"/>
          </w:tcPr>
          <w:p>
            <w:pPr>
              <w:spacing w:after="0" w:line="90" w:lineRule="exact"/>
              <w:rPr>
                <w:sz w:val="20"/>
                <w:szCs w:val="20"/>
                <w:color w:val="auto"/>
              </w:rPr>
            </w:pPr>
            <w:r>
              <w:rPr>
                <w:rFonts w:ascii="Arial" w:cs="Arial" w:eastAsia="Arial" w:hAnsi="Arial"/>
                <w:sz w:val="8"/>
                <w:szCs w:val="8"/>
                <w:color w:val="auto"/>
              </w:rPr>
              <w:t>Cumulative effect adjustment on ASC 842 related to leases</w:t>
            </w:r>
          </w:p>
        </w:tc>
        <w:tc>
          <w:tcPr>
            <w:tcW w:w="62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jc w:val="right"/>
              <w:spacing w:after="0" w:line="90" w:lineRule="exact"/>
              <w:rPr>
                <w:sz w:val="20"/>
                <w:szCs w:val="20"/>
                <w:color w:val="auto"/>
              </w:rPr>
            </w:pPr>
            <w:r>
              <w:rPr>
                <w:rFonts w:ascii="Arial" w:cs="Arial" w:eastAsia="Arial" w:hAnsi="Arial"/>
                <w:sz w:val="8"/>
                <w:szCs w:val="8"/>
                <w:color w:val="auto"/>
              </w:rPr>
              <w:t>1,165</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1,165</w:t>
            </w:r>
          </w:p>
        </w:tc>
      </w:tr>
      <w:tr>
        <w:trPr>
          <w:trHeight w:val="90"/>
        </w:trPr>
        <w:tc>
          <w:tcPr>
            <w:tcW w:w="34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Exercise of stock options and income tax benefit</w:t>
            </w:r>
          </w:p>
        </w:tc>
        <w:tc>
          <w:tcPr>
            <w:tcW w:w="6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w:t>
            </w: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47</w:t>
            </w: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47</w:t>
            </w:r>
          </w:p>
        </w:tc>
      </w:tr>
      <w:tr>
        <w:trPr>
          <w:trHeight w:val="90"/>
        </w:trPr>
        <w:tc>
          <w:tcPr>
            <w:tcW w:w="3440" w:type="dxa"/>
            <w:vAlign w:val="bottom"/>
          </w:tcPr>
          <w:p>
            <w:pPr>
              <w:spacing w:after="0" w:line="90" w:lineRule="exact"/>
              <w:rPr>
                <w:sz w:val="20"/>
                <w:szCs w:val="20"/>
                <w:color w:val="auto"/>
              </w:rPr>
            </w:pPr>
            <w:r>
              <w:rPr>
                <w:rFonts w:ascii="Arial" w:cs="Arial" w:eastAsia="Arial" w:hAnsi="Arial"/>
                <w:sz w:val="8"/>
                <w:szCs w:val="8"/>
                <w:color w:val="auto"/>
              </w:rPr>
              <w:t>Stock compensation expense</w:t>
            </w:r>
          </w:p>
        </w:tc>
        <w:tc>
          <w:tcPr>
            <w:tcW w:w="62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931</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931</w:t>
            </w:r>
          </w:p>
        </w:tc>
      </w:tr>
      <w:tr>
        <w:trPr>
          <w:trHeight w:val="90"/>
        </w:trPr>
        <w:tc>
          <w:tcPr>
            <w:tcW w:w="34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Restricted stock issued</w:t>
            </w:r>
          </w:p>
        </w:tc>
        <w:tc>
          <w:tcPr>
            <w:tcW w:w="6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17</w:t>
            </w: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r>
      <w:tr>
        <w:trPr>
          <w:trHeight w:val="90"/>
        </w:trPr>
        <w:tc>
          <w:tcPr>
            <w:tcW w:w="3440" w:type="dxa"/>
            <w:vAlign w:val="bottom"/>
          </w:tcPr>
          <w:p>
            <w:pPr>
              <w:spacing w:after="0" w:line="90" w:lineRule="exact"/>
              <w:rPr>
                <w:sz w:val="20"/>
                <w:szCs w:val="20"/>
                <w:color w:val="auto"/>
              </w:rPr>
            </w:pPr>
            <w:r>
              <w:rPr>
                <w:rFonts w:ascii="Arial" w:cs="Arial" w:eastAsia="Arial" w:hAnsi="Arial"/>
                <w:sz w:val="8"/>
                <w:szCs w:val="8"/>
                <w:color w:val="auto"/>
              </w:rPr>
              <w:t>Avocados de Jalisco noncontrolling interest contribution</w:t>
            </w:r>
          </w:p>
        </w:tc>
        <w:tc>
          <w:tcPr>
            <w:tcW w:w="62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jc w:val="right"/>
              <w:spacing w:after="0" w:line="90" w:lineRule="exact"/>
              <w:rPr>
                <w:sz w:val="20"/>
                <w:szCs w:val="20"/>
                <w:color w:val="auto"/>
              </w:rPr>
            </w:pPr>
            <w:r>
              <w:rPr>
                <w:rFonts w:ascii="Arial" w:cs="Arial" w:eastAsia="Arial" w:hAnsi="Arial"/>
                <w:sz w:val="8"/>
                <w:szCs w:val="8"/>
                <w:color w:val="auto"/>
              </w:rPr>
              <w:t>(63)</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(63)</w:t>
            </w:r>
          </w:p>
        </w:tc>
      </w:tr>
      <w:tr>
        <w:trPr>
          <w:trHeight w:val="90"/>
        </w:trPr>
        <w:tc>
          <w:tcPr>
            <w:tcW w:w="34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Net income attributable to Calavo Growers, Inc.</w:t>
            </w:r>
          </w:p>
        </w:tc>
        <w:tc>
          <w:tcPr>
            <w:tcW w:w="62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(938)</w:t>
            </w:r>
          </w:p>
        </w:tc>
        <w:tc>
          <w:tcPr>
            <w:tcW w:w="2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(938)</w:t>
            </w:r>
          </w:p>
        </w:tc>
      </w:tr>
      <w:tr>
        <w:trPr>
          <w:trHeight w:val="86"/>
        </w:trPr>
        <w:tc>
          <w:tcPr>
            <w:tcW w:w="3440" w:type="dxa"/>
            <w:vAlign w:val="bottom"/>
          </w:tcPr>
          <w:p>
            <w:pPr>
              <w:spacing w:after="0" w:line="79" w:lineRule="exact"/>
              <w:rPr>
                <w:sz w:val="20"/>
                <w:szCs w:val="20"/>
                <w:color w:val="auto"/>
              </w:rPr>
            </w:pPr>
            <w:r>
              <w:rPr>
                <w:rFonts w:ascii="Arial" w:cs="Arial" w:eastAsia="Arial" w:hAnsi="Arial"/>
                <w:sz w:val="8"/>
                <w:szCs w:val="8"/>
                <w:b w:val="1"/>
                <w:bCs w:val="1"/>
                <w:color w:val="auto"/>
              </w:rPr>
              <w:t>Balance, January 31, 2020</w:t>
            </w:r>
          </w:p>
        </w:tc>
        <w:tc>
          <w:tcPr>
            <w:tcW w:w="62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17,614</w:t>
            </w:r>
          </w:p>
        </w:tc>
        <w:tc>
          <w:tcPr>
            <w:tcW w:w="1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18</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162,584</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122,784</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1,625</w:t>
            </w: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287,011</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Additional</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101"/>
        </w:trPr>
        <w:tc>
          <w:tcPr>
            <w:tcW w:w="4260" w:type="dxa"/>
            <w:vAlign w:val="bottom"/>
          </w:tcPr>
          <w:p>
            <w:pPr>
              <w:spacing w:after="0"/>
              <w:rPr>
                <w:sz w:val="8"/>
                <w:szCs w:val="8"/>
                <w:color w:val="auto"/>
              </w:rPr>
            </w:pPr>
          </w:p>
        </w:tc>
        <w:tc>
          <w:tcPr>
            <w:tcW w:w="120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8"/>
                <w:szCs w:val="8"/>
                <w:b w:val="1"/>
                <w:bCs w:val="1"/>
                <w:color w:val="auto"/>
              </w:rPr>
              <w:t>Common Stock</w:t>
            </w:r>
          </w:p>
        </w:tc>
        <w:tc>
          <w:tcPr>
            <w:tcW w:w="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8"/>
                <w:szCs w:val="8"/>
                <w:color w:val="auto"/>
              </w:rPr>
            </w:pPr>
          </w:p>
        </w:tc>
        <w:tc>
          <w:tcPr>
            <w:tcW w:w="680" w:type="dxa"/>
            <w:vAlign w:val="bottom"/>
            <w:gridSpan w:val="2"/>
          </w:tcPr>
          <w:p>
            <w:pPr>
              <w:ind w:left="60"/>
              <w:spacing w:after="0"/>
              <w:rPr>
                <w:sz w:val="20"/>
                <w:szCs w:val="20"/>
                <w:color w:val="auto"/>
              </w:rPr>
            </w:pPr>
            <w:r>
              <w:rPr>
                <w:rFonts w:ascii="Arial" w:cs="Arial" w:eastAsia="Arial" w:hAnsi="Arial"/>
                <w:sz w:val="8"/>
                <w:szCs w:val="8"/>
                <w:b w:val="1"/>
                <w:bCs w:val="1"/>
                <w:color w:val="auto"/>
              </w:rPr>
              <w:t>Retained</w:t>
            </w:r>
          </w:p>
        </w:tc>
        <w:tc>
          <w:tcPr>
            <w:tcW w:w="120" w:type="dxa"/>
            <w:vAlign w:val="bottom"/>
          </w:tcPr>
          <w:p>
            <w:pPr>
              <w:spacing w:after="0"/>
              <w:rPr>
                <w:sz w:val="8"/>
                <w:szCs w:val="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4"/>
              </w:rPr>
              <w:t>Noncontrolling</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79"/>
        </w:trPr>
        <w:tc>
          <w:tcPr>
            <w:tcW w:w="4260" w:type="dxa"/>
            <w:vAlign w:val="bottom"/>
          </w:tcPr>
          <w:p>
            <w:pPr>
              <w:spacing w:after="0"/>
              <w:rPr>
                <w:sz w:val="6"/>
                <w:szCs w:val="6"/>
                <w:color w:val="auto"/>
              </w:rPr>
            </w:pPr>
          </w:p>
        </w:tc>
        <w:tc>
          <w:tcPr>
            <w:tcW w:w="700" w:type="dxa"/>
            <w:vAlign w:val="bottom"/>
            <w:gridSpan w:val="2"/>
          </w:tcPr>
          <w:p>
            <w:pPr>
              <w:ind w:left="160"/>
              <w:spacing w:after="0" w:line="79" w:lineRule="exact"/>
              <w:rPr>
                <w:sz w:val="20"/>
                <w:szCs w:val="20"/>
                <w:color w:val="auto"/>
              </w:rPr>
            </w:pPr>
            <w:r>
              <w:rPr>
                <w:rFonts w:ascii="Arial" w:cs="Arial" w:eastAsia="Arial" w:hAnsi="Arial"/>
                <w:sz w:val="8"/>
                <w:szCs w:val="8"/>
                <w:b w:val="1"/>
                <w:bCs w:val="1"/>
                <w:color w:val="auto"/>
              </w:rPr>
              <w:t>Shares</w:t>
            </w:r>
          </w:p>
        </w:tc>
        <w:tc>
          <w:tcPr>
            <w:tcW w:w="500" w:type="dxa"/>
            <w:vAlign w:val="bottom"/>
          </w:tcPr>
          <w:p>
            <w:pPr>
              <w:jc w:val="right"/>
              <w:ind w:right="6"/>
              <w:spacing w:after="0" w:line="79"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tcPr>
          <w:p>
            <w:pPr>
              <w:jc w:val="right"/>
              <w:ind w:right="320"/>
              <w:spacing w:after="0" w:line="79" w:lineRule="exact"/>
              <w:rPr>
                <w:sz w:val="20"/>
                <w:szCs w:val="20"/>
                <w:color w:val="auto"/>
              </w:rPr>
            </w:pPr>
            <w:r>
              <w:rPr>
                <w:rFonts w:ascii="Arial" w:cs="Arial" w:eastAsia="Arial" w:hAnsi="Arial"/>
                <w:sz w:val="8"/>
                <w:szCs w:val="8"/>
                <w:b w:val="1"/>
                <w:bCs w:val="1"/>
                <w:color w:val="auto"/>
              </w:rPr>
              <w:t>Capital</w:t>
            </w:r>
          </w:p>
        </w:tc>
        <w:tc>
          <w:tcPr>
            <w:tcW w:w="100" w:type="dxa"/>
            <w:vAlign w:val="bottom"/>
          </w:tcPr>
          <w:p>
            <w:pPr>
              <w:spacing w:after="0"/>
              <w:rPr>
                <w:sz w:val="6"/>
                <w:szCs w:val="6"/>
                <w:color w:val="auto"/>
              </w:rPr>
            </w:pPr>
          </w:p>
        </w:tc>
        <w:tc>
          <w:tcPr>
            <w:tcW w:w="680" w:type="dxa"/>
            <w:vAlign w:val="bottom"/>
            <w:gridSpan w:val="2"/>
          </w:tcPr>
          <w:p>
            <w:pPr>
              <w:ind w:left="60"/>
              <w:spacing w:after="0" w:line="79" w:lineRule="exact"/>
              <w:rPr>
                <w:sz w:val="20"/>
                <w:szCs w:val="20"/>
                <w:color w:val="auto"/>
              </w:rPr>
            </w:pPr>
            <w:r>
              <w:rPr>
                <w:rFonts w:ascii="Arial" w:cs="Arial" w:eastAsia="Arial" w:hAnsi="Arial"/>
                <w:sz w:val="8"/>
                <w:szCs w:val="8"/>
                <w:b w:val="1"/>
                <w:bCs w:val="1"/>
                <w:color w:val="auto"/>
              </w:rPr>
              <w:t>Earnings</w:t>
            </w:r>
          </w:p>
        </w:tc>
        <w:tc>
          <w:tcPr>
            <w:tcW w:w="120" w:type="dxa"/>
            <w:vAlign w:val="bottom"/>
          </w:tcPr>
          <w:p>
            <w:pPr>
              <w:spacing w:after="0"/>
              <w:rPr>
                <w:sz w:val="6"/>
                <w:szCs w:val="6"/>
                <w:color w:val="auto"/>
              </w:rPr>
            </w:pPr>
          </w:p>
        </w:tc>
        <w:tc>
          <w:tcPr>
            <w:tcW w:w="94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w w:val="96"/>
              </w:rPr>
              <w:t>Interest</w:t>
            </w:r>
          </w:p>
        </w:tc>
        <w:tc>
          <w:tcPr>
            <w:tcW w:w="140" w:type="dxa"/>
            <w:vAlign w:val="bottom"/>
          </w:tcPr>
          <w:p>
            <w:pPr>
              <w:spacing w:after="0"/>
              <w:rPr>
                <w:sz w:val="6"/>
                <w:szCs w:val="6"/>
                <w:color w:val="auto"/>
              </w:rPr>
            </w:pPr>
          </w:p>
        </w:tc>
        <w:tc>
          <w:tcPr>
            <w:tcW w:w="520" w:type="dxa"/>
            <w:vAlign w:val="bottom"/>
          </w:tcPr>
          <w:p>
            <w:pPr>
              <w:jc w:val="right"/>
              <w:ind w:right="198"/>
              <w:spacing w:after="0" w:line="79" w:lineRule="exact"/>
              <w:rPr>
                <w:sz w:val="20"/>
                <w:szCs w:val="20"/>
                <w:color w:val="auto"/>
              </w:rPr>
            </w:pPr>
            <w:r>
              <w:rPr>
                <w:rFonts w:ascii="Arial" w:cs="Arial" w:eastAsia="Arial" w:hAnsi="Arial"/>
                <w:sz w:val="8"/>
                <w:szCs w:val="8"/>
                <w:b w:val="1"/>
                <w:bCs w:val="1"/>
                <w:color w:val="auto"/>
              </w:rPr>
              <w:t>Total</w:t>
            </w:r>
          </w:p>
        </w:tc>
      </w:tr>
      <w:tr>
        <w:trPr>
          <w:trHeight w:val="79"/>
        </w:trPr>
        <w:tc>
          <w:tcPr>
            <w:tcW w:w="42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r>
      <w:tr>
        <w:trPr>
          <w:trHeight w:val="90"/>
        </w:trPr>
        <w:tc>
          <w:tcPr>
            <w:tcW w:w="426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Balance, October 31, 2020</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17,661</w:t>
            </w: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426"/>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89"/>
              </w:rPr>
              <w:t>18</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165,000</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89,512</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1,472</w:t>
            </w: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jc w:val="right"/>
              <w:ind w:right="38"/>
              <w:spacing w:after="0" w:line="90" w:lineRule="exact"/>
              <w:rPr>
                <w:sz w:val="20"/>
                <w:szCs w:val="20"/>
                <w:color w:val="auto"/>
              </w:rPr>
            </w:pPr>
            <w:r>
              <w:rPr>
                <w:rFonts w:ascii="Arial" w:cs="Arial" w:eastAsia="Arial" w:hAnsi="Arial"/>
                <w:sz w:val="8"/>
                <w:szCs w:val="8"/>
                <w:color w:val="auto"/>
                <w:w w:val="88"/>
              </w:rPr>
              <w:t>$</w:t>
            </w:r>
          </w:p>
        </w:tc>
        <w:tc>
          <w:tcPr>
            <w:tcW w:w="5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256,002</w:t>
            </w:r>
          </w:p>
        </w:tc>
      </w:tr>
      <w:tr>
        <w:trPr>
          <w:trHeight w:val="90"/>
        </w:trPr>
        <w:tc>
          <w:tcPr>
            <w:tcW w:w="4260" w:type="dxa"/>
            <w:vAlign w:val="bottom"/>
          </w:tcPr>
          <w:p>
            <w:pPr>
              <w:spacing w:after="0" w:line="90" w:lineRule="exact"/>
              <w:rPr>
                <w:sz w:val="20"/>
                <w:szCs w:val="20"/>
                <w:color w:val="auto"/>
              </w:rPr>
            </w:pPr>
            <w:r>
              <w:rPr>
                <w:rFonts w:ascii="Arial" w:cs="Arial" w:eastAsia="Arial" w:hAnsi="Arial"/>
                <w:sz w:val="8"/>
                <w:szCs w:val="8"/>
                <w:color w:val="auto"/>
              </w:rPr>
              <w:t>Exercise of stock options and income tax benefit</w:t>
            </w: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2</w:t>
            </w: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47</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94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520" w:type="dxa"/>
            <w:vAlign w:val="bottom"/>
          </w:tcPr>
          <w:p>
            <w:pPr>
              <w:jc w:val="right"/>
              <w:spacing w:after="0" w:line="90" w:lineRule="exact"/>
              <w:rPr>
                <w:sz w:val="20"/>
                <w:szCs w:val="20"/>
                <w:color w:val="auto"/>
              </w:rPr>
            </w:pPr>
            <w:r>
              <w:rPr>
                <w:rFonts w:ascii="Arial" w:cs="Arial" w:eastAsia="Arial" w:hAnsi="Arial"/>
                <w:sz w:val="8"/>
                <w:szCs w:val="8"/>
                <w:color w:val="auto"/>
              </w:rPr>
              <w:t>47</w:t>
            </w:r>
          </w:p>
        </w:tc>
      </w:tr>
      <w:tr>
        <w:trPr>
          <w:trHeight w:val="90"/>
        </w:trPr>
        <w:tc>
          <w:tcPr>
            <w:tcW w:w="42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Payment of min. withholding of taxes on net share settlement of equity awards</w:t>
            </w:r>
          </w:p>
        </w:tc>
        <w:tc>
          <w:tcPr>
            <w:tcW w:w="70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(467)</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(467)</w:t>
            </w:r>
          </w:p>
        </w:tc>
      </w:tr>
      <w:tr>
        <w:trPr>
          <w:trHeight w:val="90"/>
        </w:trPr>
        <w:tc>
          <w:tcPr>
            <w:tcW w:w="4260" w:type="dxa"/>
            <w:vAlign w:val="bottom"/>
          </w:tcPr>
          <w:p>
            <w:pPr>
              <w:spacing w:after="0" w:line="90" w:lineRule="exact"/>
              <w:rPr>
                <w:sz w:val="20"/>
                <w:szCs w:val="20"/>
                <w:color w:val="auto"/>
              </w:rPr>
            </w:pPr>
            <w:r>
              <w:rPr>
                <w:rFonts w:ascii="Arial" w:cs="Arial" w:eastAsia="Arial" w:hAnsi="Arial"/>
                <w:sz w:val="8"/>
                <w:szCs w:val="8"/>
                <w:color w:val="auto"/>
              </w:rPr>
              <w:t>Stock compensation expense</w:t>
            </w:r>
          </w:p>
        </w:tc>
        <w:tc>
          <w:tcPr>
            <w:tcW w:w="70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500" w:type="dxa"/>
            <w:vAlign w:val="bottom"/>
          </w:tcPr>
          <w:p>
            <w:pPr>
              <w:spacing w:after="0"/>
              <w:rPr>
                <w:sz w:val="7"/>
                <w:szCs w:val="7"/>
                <w:color w:val="auto"/>
              </w:rPr>
            </w:pPr>
          </w:p>
        </w:tc>
        <w:tc>
          <w:tcPr>
            <w:tcW w:w="2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907</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94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520" w:type="dxa"/>
            <w:vAlign w:val="bottom"/>
          </w:tcPr>
          <w:p>
            <w:pPr>
              <w:jc w:val="right"/>
              <w:spacing w:after="0" w:line="90" w:lineRule="exact"/>
              <w:rPr>
                <w:sz w:val="20"/>
                <w:szCs w:val="20"/>
                <w:color w:val="auto"/>
              </w:rPr>
            </w:pPr>
            <w:r>
              <w:rPr>
                <w:rFonts w:ascii="Arial" w:cs="Arial" w:eastAsia="Arial" w:hAnsi="Arial"/>
                <w:sz w:val="8"/>
                <w:szCs w:val="8"/>
                <w:color w:val="auto"/>
              </w:rPr>
              <w:t>907</w:t>
            </w:r>
          </w:p>
        </w:tc>
      </w:tr>
      <w:tr>
        <w:trPr>
          <w:trHeight w:val="90"/>
        </w:trPr>
        <w:tc>
          <w:tcPr>
            <w:tcW w:w="42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Restricted stock issued</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23</w:t>
            </w: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r>
      <w:tr>
        <w:trPr>
          <w:trHeight w:val="90"/>
        </w:trPr>
        <w:tc>
          <w:tcPr>
            <w:tcW w:w="4260" w:type="dxa"/>
            <w:vAlign w:val="bottom"/>
          </w:tcPr>
          <w:p>
            <w:pPr>
              <w:spacing w:after="0" w:line="90" w:lineRule="exact"/>
              <w:rPr>
                <w:sz w:val="20"/>
                <w:szCs w:val="20"/>
                <w:color w:val="auto"/>
              </w:rPr>
            </w:pPr>
            <w:r>
              <w:rPr>
                <w:rFonts w:ascii="Arial" w:cs="Arial" w:eastAsia="Arial" w:hAnsi="Arial"/>
                <w:sz w:val="8"/>
                <w:szCs w:val="8"/>
                <w:color w:val="auto"/>
              </w:rPr>
              <w:t>Avocados de Jalisco noncontrolling interest contribution</w:t>
            </w:r>
          </w:p>
        </w:tc>
        <w:tc>
          <w:tcPr>
            <w:tcW w:w="70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500" w:type="dxa"/>
            <w:vAlign w:val="bottom"/>
          </w:tcPr>
          <w:p>
            <w:pPr>
              <w:spacing w:after="0"/>
              <w:rPr>
                <w:sz w:val="7"/>
                <w:szCs w:val="7"/>
                <w:color w:val="auto"/>
              </w:rPr>
            </w:pPr>
          </w:p>
        </w:tc>
        <w:tc>
          <w:tcPr>
            <w:tcW w:w="2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7"/>
                <w:szCs w:val="7"/>
                <w:color w:val="auto"/>
              </w:rPr>
            </w:pPr>
          </w:p>
        </w:tc>
        <w:tc>
          <w:tcPr>
            <w:tcW w:w="68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68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(40)</w:t>
            </w:r>
          </w:p>
        </w:tc>
        <w:tc>
          <w:tcPr>
            <w:tcW w:w="140" w:type="dxa"/>
            <w:vAlign w:val="bottom"/>
          </w:tcPr>
          <w:p>
            <w:pPr>
              <w:spacing w:after="0"/>
              <w:rPr>
                <w:sz w:val="7"/>
                <w:szCs w:val="7"/>
                <w:color w:val="auto"/>
              </w:rPr>
            </w:pPr>
          </w:p>
        </w:tc>
        <w:tc>
          <w:tcPr>
            <w:tcW w:w="520" w:type="dxa"/>
            <w:vAlign w:val="bottom"/>
          </w:tcPr>
          <w:p>
            <w:pPr>
              <w:jc w:val="right"/>
              <w:spacing w:after="0" w:line="90" w:lineRule="exact"/>
              <w:rPr>
                <w:sz w:val="20"/>
                <w:szCs w:val="20"/>
                <w:color w:val="auto"/>
              </w:rPr>
            </w:pPr>
            <w:r>
              <w:rPr>
                <w:rFonts w:ascii="Arial" w:cs="Arial" w:eastAsia="Arial" w:hAnsi="Arial"/>
                <w:sz w:val="8"/>
                <w:szCs w:val="8"/>
                <w:color w:val="auto"/>
              </w:rPr>
              <w:t>(40)</w:t>
            </w:r>
          </w:p>
        </w:tc>
      </w:tr>
      <w:tr>
        <w:trPr>
          <w:trHeight w:val="90"/>
        </w:trPr>
        <w:tc>
          <w:tcPr>
            <w:tcW w:w="42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Net loss attributable to Calavo Growers, Inc.</w:t>
            </w:r>
          </w:p>
        </w:tc>
        <w:tc>
          <w:tcPr>
            <w:tcW w:w="70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5,277</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5,277</w:t>
            </w:r>
          </w:p>
        </w:tc>
      </w:tr>
      <w:tr>
        <w:trPr>
          <w:trHeight w:val="86"/>
        </w:trPr>
        <w:tc>
          <w:tcPr>
            <w:tcW w:w="4260" w:type="dxa"/>
            <w:vAlign w:val="bottom"/>
          </w:tcPr>
          <w:p>
            <w:pPr>
              <w:spacing w:after="0" w:line="79" w:lineRule="exact"/>
              <w:rPr>
                <w:sz w:val="20"/>
                <w:szCs w:val="20"/>
                <w:color w:val="auto"/>
              </w:rPr>
            </w:pPr>
            <w:r>
              <w:rPr>
                <w:rFonts w:ascii="Arial" w:cs="Arial" w:eastAsia="Arial" w:hAnsi="Arial"/>
                <w:sz w:val="8"/>
                <w:szCs w:val="8"/>
                <w:b w:val="1"/>
                <w:bCs w:val="1"/>
                <w:color w:val="auto"/>
              </w:rPr>
              <w:t>Balance, January 31, 2021</w:t>
            </w:r>
          </w:p>
        </w:tc>
        <w:tc>
          <w:tcPr>
            <w:tcW w:w="5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17,686</w:t>
            </w:r>
          </w:p>
        </w:tc>
        <w:tc>
          <w:tcPr>
            <w:tcW w:w="140" w:type="dxa"/>
            <w:vAlign w:val="bottom"/>
          </w:tcPr>
          <w:p>
            <w:pPr>
              <w:spacing w:after="0"/>
              <w:rPr>
                <w:sz w:val="7"/>
                <w:szCs w:val="7"/>
                <w:color w:val="auto"/>
              </w:rPr>
            </w:pPr>
          </w:p>
        </w:tc>
        <w:tc>
          <w:tcPr>
            <w:tcW w:w="50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w w:val="89"/>
              </w:rPr>
              <w:t>18</w:t>
            </w:r>
          </w:p>
        </w:tc>
        <w:tc>
          <w:tcPr>
            <w:tcW w:w="12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165,487</w:t>
            </w:r>
          </w:p>
        </w:tc>
        <w:tc>
          <w:tcPr>
            <w:tcW w:w="14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94,789</w:t>
            </w:r>
          </w:p>
        </w:tc>
        <w:tc>
          <w:tcPr>
            <w:tcW w:w="14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1,432</w:t>
            </w:r>
          </w:p>
        </w:tc>
        <w:tc>
          <w:tcPr>
            <w:tcW w:w="120" w:type="dxa"/>
            <w:vAlign w:val="bottom"/>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261,726</w:t>
            </w: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See accompanying notes to consolidated condensed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 w:name="page8"/>
    <w:bookmarkEnd w:id="7"/>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CALAVO GROWERS,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 Description of the business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Business</w:t>
      </w:r>
    </w:p>
    <w:p>
      <w:pPr>
        <w:spacing w:after="0" w:line="150" w:lineRule="exact"/>
        <w:rPr>
          <w:sz w:val="20"/>
          <w:szCs w:val="20"/>
          <w:color w:val="auto"/>
        </w:rPr>
      </w:pPr>
    </w:p>
    <w:p>
      <w:pPr>
        <w:ind w:left="20" w:right="59" w:firstLine="173"/>
        <w:spacing w:after="0" w:line="283" w:lineRule="auto"/>
        <w:rPr>
          <w:sz w:val="20"/>
          <w:szCs w:val="20"/>
          <w:color w:val="auto"/>
        </w:rPr>
      </w:pPr>
      <w:r>
        <w:rPr>
          <w:rFonts w:ascii="Arial" w:cs="Arial" w:eastAsia="Arial" w:hAnsi="Arial"/>
          <w:sz w:val="11"/>
          <w:szCs w:val="11"/>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13" w:lineRule="exact"/>
        <w:rPr>
          <w:sz w:val="20"/>
          <w:szCs w:val="20"/>
          <w:color w:val="auto"/>
        </w:rPr>
      </w:pPr>
    </w:p>
    <w:p>
      <w:pPr>
        <w:ind w:left="20" w:right="119" w:firstLine="173"/>
        <w:spacing w:after="0" w:line="254" w:lineRule="auto"/>
        <w:rPr>
          <w:sz w:val="20"/>
          <w:szCs w:val="20"/>
          <w:color w:val="auto"/>
        </w:rPr>
      </w:pPr>
      <w:r>
        <w:rPr>
          <w:rFonts w:ascii="Arial" w:cs="Arial" w:eastAsia="Arial" w:hAnsi="Arial"/>
          <w:sz w:val="12"/>
          <w:szCs w:val="12"/>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2020.</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Recently Adopted Accounting Standards</w:t>
      </w:r>
    </w:p>
    <w:p>
      <w:pPr>
        <w:spacing w:after="0" w:line="150" w:lineRule="exact"/>
        <w:rPr>
          <w:sz w:val="20"/>
          <w:szCs w:val="20"/>
          <w:color w:val="auto"/>
        </w:rPr>
      </w:pPr>
    </w:p>
    <w:p>
      <w:pPr>
        <w:ind w:left="20" w:right="99" w:firstLine="150"/>
        <w:spacing w:after="0" w:line="259" w:lineRule="auto"/>
        <w:rPr>
          <w:sz w:val="20"/>
          <w:szCs w:val="20"/>
          <w:color w:val="auto"/>
        </w:rPr>
      </w:pPr>
      <w:r>
        <w:rPr>
          <w:rFonts w:ascii="Arial" w:cs="Arial" w:eastAsia="Arial" w:hAnsi="Arial"/>
          <w:sz w:val="12"/>
          <w:szCs w:val="12"/>
          <w:color w:val="auto"/>
        </w:rPr>
        <w:t xml:space="preserve">In October 2018, the Financial Accounting Standards Board (FASB) issued Accounting Standards Updated (ASU) 2018-17, </w:t>
      </w:r>
      <w:r>
        <w:rPr>
          <w:rFonts w:ascii="Arial" w:cs="Arial" w:eastAsia="Arial" w:hAnsi="Arial"/>
          <w:sz w:val="12"/>
          <w:szCs w:val="12"/>
          <w:i w:val="1"/>
          <w:iCs w:val="1"/>
          <w:color w:val="auto"/>
        </w:rPr>
        <w:t>Targeted Improvements to Related Party Guidance for</w:t>
      </w:r>
      <w:r>
        <w:rPr>
          <w:rFonts w:ascii="Arial" w:cs="Arial" w:eastAsia="Arial" w:hAnsi="Arial"/>
          <w:sz w:val="12"/>
          <w:szCs w:val="12"/>
          <w:color w:val="auto"/>
        </w:rPr>
        <w:t xml:space="preserve"> </w:t>
      </w:r>
      <w:r>
        <w:rPr>
          <w:rFonts w:ascii="Arial" w:cs="Arial" w:eastAsia="Arial" w:hAnsi="Arial"/>
          <w:sz w:val="12"/>
          <w:szCs w:val="12"/>
          <w:i w:val="1"/>
          <w:iCs w:val="1"/>
          <w:color w:val="auto"/>
        </w:rPr>
        <w:t>Variable Interest Entities</w:t>
      </w:r>
      <w:r>
        <w:rPr>
          <w:rFonts w:ascii="Arial" w:cs="Arial" w:eastAsia="Arial" w:hAnsi="Arial"/>
          <w:sz w:val="12"/>
          <w:szCs w:val="12"/>
          <w:color w:val="auto"/>
        </w:rPr>
        <w:t>. This ASU provides that indirect interests held through related parties in common control arrangements should be considered on a proportional basis for</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determining whether fees paid to decision makers and service providers are variable interests. This ASU was effective for us beginning the first day of our 2021 fiscal year. The adoption of this ASU did not have an impact on the Company’s consolidated financial statements.</w:t>
      </w:r>
    </w:p>
    <w:p>
      <w:pPr>
        <w:spacing w:after="0" w:line="124" w:lineRule="exact"/>
        <w:rPr>
          <w:sz w:val="20"/>
          <w:szCs w:val="20"/>
          <w:color w:val="auto"/>
        </w:rPr>
      </w:pPr>
    </w:p>
    <w:p>
      <w:pPr>
        <w:ind w:left="20" w:right="119" w:firstLine="120"/>
        <w:spacing w:after="0" w:line="285" w:lineRule="auto"/>
        <w:rPr>
          <w:sz w:val="20"/>
          <w:szCs w:val="20"/>
          <w:color w:val="auto"/>
        </w:rPr>
      </w:pPr>
      <w:r>
        <w:rPr>
          <w:rFonts w:ascii="Arial" w:cs="Arial" w:eastAsia="Arial" w:hAnsi="Arial"/>
          <w:sz w:val="11"/>
          <w:szCs w:val="11"/>
          <w:color w:val="auto"/>
        </w:rPr>
        <w:t>On November 1, 2020, the Company adopted an ASU</w:t>
      </w:r>
      <w:r>
        <w:rPr>
          <w:rFonts w:ascii="Arial" w:cs="Arial" w:eastAsia="Arial" w:hAnsi="Arial"/>
          <w:sz w:val="11"/>
          <w:szCs w:val="11"/>
          <w:i w:val="1"/>
          <w:iCs w:val="1"/>
          <w:color w:val="auto"/>
        </w:rPr>
        <w:t>, Intangibles-Goodwill and Other-Internal-Use Software (Subtopic 350-40): Customer’s Accounting for Implementation Costs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Incurred in a Cloud Computing Arrangement That Is a Service Contract. </w:t>
      </w:r>
      <w:r>
        <w:rPr>
          <w:rFonts w:ascii="Arial" w:cs="Arial" w:eastAsia="Arial" w:hAnsi="Arial"/>
          <w:sz w:val="11"/>
          <w:szCs w:val="11"/>
          <w:color w:val="auto"/>
        </w:rPr>
        <w:t>This update provides guidance regarding the capitalization of implementation costs incurred in a cloud</w:t>
      </w:r>
      <w:r>
        <w:rPr>
          <w:rFonts w:ascii="Arial" w:cs="Arial" w:eastAsia="Arial" w:hAnsi="Arial"/>
          <w:sz w:val="11"/>
          <w:szCs w:val="11"/>
          <w:i w:val="1"/>
          <w:iCs w:val="1"/>
          <w:color w:val="auto"/>
        </w:rPr>
        <w:t xml:space="preserve"> </w:t>
      </w:r>
      <w:r>
        <w:rPr>
          <w:rFonts w:ascii="Arial" w:cs="Arial" w:eastAsia="Arial" w:hAnsi="Arial"/>
          <w:sz w:val="11"/>
          <w:szCs w:val="11"/>
          <w:color w:val="auto"/>
        </w:rPr>
        <w:t>computing arrangement that is a service contract. This ASU was adopted prospectively and cloud computing implementation costs incurred on November 1, 2020 or later are included in other noncurrent assets in the consolidated balance sheet and are presented within operating cash flows. As of January 31, 2021, capitalized implementation costs included in other noncurrent assets were less than $0.1 million and there was no accumulated amortization or amortization expense recorded during the three months ended January 31, 2021.</w:t>
      </w:r>
    </w:p>
    <w:p>
      <w:pPr>
        <w:spacing w:after="0" w:line="113" w:lineRule="exact"/>
        <w:rPr>
          <w:sz w:val="20"/>
          <w:szCs w:val="20"/>
          <w:color w:val="auto"/>
        </w:rPr>
      </w:pPr>
    </w:p>
    <w:p>
      <w:pPr>
        <w:ind w:left="20" w:right="119" w:firstLine="173"/>
        <w:spacing w:after="0" w:line="256" w:lineRule="auto"/>
        <w:rPr>
          <w:sz w:val="20"/>
          <w:szCs w:val="20"/>
          <w:color w:val="auto"/>
        </w:rPr>
      </w:pPr>
      <w:r>
        <w:rPr>
          <w:rFonts w:ascii="Arial" w:cs="Arial" w:eastAsia="Arial" w:hAnsi="Arial"/>
          <w:sz w:val="12"/>
          <w:szCs w:val="12"/>
          <w:color w:val="auto"/>
        </w:rPr>
        <w:t xml:space="preserve">In January 2017, the FASB issued an ASU, </w:t>
      </w:r>
      <w:r>
        <w:rPr>
          <w:rFonts w:ascii="Arial" w:cs="Arial" w:eastAsia="Arial" w:hAnsi="Arial"/>
          <w:sz w:val="12"/>
          <w:szCs w:val="12"/>
          <w:i w:val="1"/>
          <w:iCs w:val="1"/>
          <w:color w:val="auto"/>
        </w:rPr>
        <w:t>Simplifying the Test for Goodwill Impairment,</w:t>
      </w:r>
      <w:r>
        <w:rPr>
          <w:rFonts w:ascii="Arial" w:cs="Arial" w:eastAsia="Arial" w:hAnsi="Arial"/>
          <w:sz w:val="12"/>
          <w:szCs w:val="12"/>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was effective for us beginning the first day of our 2021 fiscal year. The adoption of this ASU did not have an impact on the Company’s consolidated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 w:name="page9"/>
    <w:bookmarkEnd w:id="8"/>
    <w:p>
      <w:pPr>
        <w:ind w:left="8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right="120" w:firstLine="180"/>
        <w:spacing w:after="0" w:line="256" w:lineRule="auto"/>
        <w:rPr>
          <w:sz w:val="20"/>
          <w:szCs w:val="20"/>
          <w:color w:val="auto"/>
        </w:rPr>
      </w:pPr>
      <w:r>
        <w:rPr>
          <w:rFonts w:ascii="Arial" w:cs="Arial" w:eastAsia="Arial" w:hAnsi="Arial"/>
          <w:sz w:val="12"/>
          <w:szCs w:val="12"/>
          <w:color w:val="auto"/>
        </w:rPr>
        <w:t xml:space="preserve">On November 1, 2020, the Company adopted ASU No. 2016-13, </w:t>
      </w:r>
      <w:r>
        <w:rPr>
          <w:rFonts w:ascii="Arial" w:cs="Arial" w:eastAsia="Arial" w:hAnsi="Arial"/>
          <w:sz w:val="12"/>
          <w:szCs w:val="12"/>
          <w:i w:val="1"/>
          <w:iCs w:val="1"/>
          <w:color w:val="auto"/>
        </w:rPr>
        <w:t>Financial Instruments - Credit Losses (Topic 326)</w:t>
      </w:r>
      <w:r>
        <w:rPr>
          <w:rFonts w:ascii="Arial" w:cs="Arial" w:eastAsia="Arial" w:hAnsi="Arial"/>
          <w:sz w:val="12"/>
          <w:szCs w:val="12"/>
          <w:color w:val="auto"/>
        </w:rPr>
        <w:t>. This standard requires a financial asset to be presented at the net amount expected to be collected. The financial assets of the Company in scope of ASU 2016-13 were primarily accounts receivable. The Company estimates an allowance for expected credit losses on accounts receivable that result from the inability of customers to make required payments. In estimating the allowance for expected credit losses, consideration is given to the current aging of receivables, historical experience, and a review for potential bad debts. The adoption of this ASU did not have an impact on the Company’s consolidated financial statements.</w:t>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2. Information regarding our operations in different segments</w:t>
      </w:r>
    </w:p>
    <w:p>
      <w:pPr>
        <w:spacing w:after="0" w:line="145" w:lineRule="exact"/>
        <w:rPr>
          <w:sz w:val="20"/>
          <w:szCs w:val="20"/>
          <w:color w:val="auto"/>
        </w:rPr>
      </w:pPr>
    </w:p>
    <w:p>
      <w:pPr>
        <w:ind w:left="80" w:right="100" w:firstLine="173"/>
        <w:spacing w:after="0" w:line="283" w:lineRule="auto"/>
        <w:rPr>
          <w:sz w:val="20"/>
          <w:szCs w:val="20"/>
          <w:color w:val="auto"/>
        </w:rPr>
      </w:pPr>
      <w:r>
        <w:rPr>
          <w:rFonts w:ascii="Arial" w:cs="Arial" w:eastAsia="Arial" w:hAnsi="Arial"/>
          <w:sz w:val="11"/>
          <w:szCs w:val="11"/>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Calavo Foods segment represents operations related to the purchase, manufacturing, and distribution of prepared avocado products, including guacamole, and salsa. The RFG segment represents operations related to the manufacturing and distribution of fresh-cut fruit, fresh-cut vegetables, and prepared foods. Selling, general and administrative expenses, as well as other non-operating income/expense items, are evaluated by our Chief Executive Officer in the aggregate. We do not allocate assets, or specifically identify them to, our operating segments. Data in the following tables is presented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7"/>
          </w:tcPr>
          <w:p>
            <w:pPr>
              <w:ind w:left="140"/>
              <w:spacing w:after="0"/>
              <w:rPr>
                <w:sz w:val="20"/>
                <w:szCs w:val="20"/>
                <w:color w:val="auto"/>
              </w:rPr>
            </w:pPr>
            <w:r>
              <w:rPr>
                <w:rFonts w:ascii="Arial" w:cs="Arial" w:eastAsia="Arial" w:hAnsi="Arial"/>
                <w:sz w:val="10"/>
                <w:szCs w:val="10"/>
                <w:b w:val="1"/>
                <w:bCs w:val="1"/>
                <w:color w:val="auto"/>
                <w:w w:val="86"/>
              </w:rPr>
              <w:t>Three months ended January 31, 2021</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0"/>
                <w:szCs w:val="10"/>
                <w:b w:val="1"/>
                <w:bCs w:val="1"/>
                <w:color w:val="auto"/>
                <w:w w:val="87"/>
              </w:rPr>
              <w:t>Three months ended January 31, 2020</w:t>
            </w: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22"/>
              <w:spacing w:after="0"/>
              <w:rPr>
                <w:sz w:val="20"/>
                <w:szCs w:val="20"/>
                <w:color w:val="auto"/>
              </w:rPr>
            </w:pPr>
            <w:r>
              <w:rPr>
                <w:rFonts w:ascii="Arial" w:cs="Arial" w:eastAsia="Arial" w:hAnsi="Arial"/>
                <w:sz w:val="10"/>
                <w:szCs w:val="10"/>
                <w:b w:val="1"/>
                <w:bCs w:val="1"/>
                <w:color w:val="auto"/>
              </w:rPr>
              <w:t>Fresh</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Calavo</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Fresh</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5"/>
              </w:rPr>
              <w:t>Calavo</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142"/>
              <w:spacing w:after="0" w:line="114" w:lineRule="exact"/>
              <w:rPr>
                <w:sz w:val="20"/>
                <w:szCs w:val="20"/>
                <w:color w:val="auto"/>
              </w:rPr>
            </w:pPr>
            <w:r>
              <w:rPr>
                <w:rFonts w:ascii="Arial" w:cs="Arial" w:eastAsia="Arial" w:hAnsi="Arial"/>
                <w:sz w:val="10"/>
                <w:szCs w:val="10"/>
                <w:b w:val="1"/>
                <w:bCs w:val="1"/>
                <w:color w:val="auto"/>
                <w:w w:val="98"/>
              </w:rPr>
              <w:t>products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ind w:right="201"/>
              <w:spacing w:after="0" w:line="114" w:lineRule="exact"/>
              <w:rPr>
                <w:sz w:val="20"/>
                <w:szCs w:val="20"/>
                <w:color w:val="auto"/>
              </w:rPr>
            </w:pPr>
            <w:r>
              <w:rPr>
                <w:rFonts w:ascii="Arial" w:cs="Arial" w:eastAsia="Arial" w:hAnsi="Arial"/>
                <w:sz w:val="10"/>
                <w:szCs w:val="10"/>
                <w:b w:val="1"/>
                <w:bCs w:val="1"/>
                <w:color w:val="auto"/>
              </w:rPr>
              <w:t>RFG</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6"/>
              </w:rPr>
              <w:t>Foods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88"/>
              </w:rPr>
              <w:t>products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RFG</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79"/>
              </w:rPr>
              <w:t>Foods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3"/>
          </w:tcPr>
          <w:p>
            <w:pPr>
              <w:ind w:lef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Avocados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103,858</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103,858</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117,884</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00" w:type="dxa"/>
            <w:vAlign w:val="bottom"/>
            <w:gridSpan w:val="3"/>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117,884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2"/>
          </w:tcPr>
          <w:p>
            <w:pPr>
              <w:spacing w:after="0"/>
              <w:rPr>
                <w:sz w:val="20"/>
                <w:szCs w:val="20"/>
                <w:color w:val="auto"/>
              </w:rPr>
            </w:pPr>
            <w:r>
              <w:rPr>
                <w:rFonts w:ascii="Arial" w:cs="Arial" w:eastAsia="Arial" w:hAnsi="Arial"/>
                <w:sz w:val="12"/>
                <w:szCs w:val="12"/>
                <w:color w:val="auto"/>
              </w:rPr>
              <w:t>Tomatoes</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9,187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9,187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12,992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12,992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Papayas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2,643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2"/>
          </w:tcPr>
          <w:p>
            <w:pPr>
              <w:spacing w:after="0"/>
              <w:rPr>
                <w:sz w:val="20"/>
                <w:szCs w:val="20"/>
                <w:color w:val="auto"/>
              </w:rPr>
            </w:pPr>
            <w:r>
              <w:rPr>
                <w:rFonts w:ascii="Arial" w:cs="Arial" w:eastAsia="Arial" w:hAnsi="Arial"/>
                <w:sz w:val="12"/>
                <w:szCs w:val="12"/>
                <w:color w:val="auto"/>
              </w:rPr>
              <w:t>Other fresh income</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Prepared avocado products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16,838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16,838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21,800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2"/>
          </w:tcPr>
          <w:p>
            <w:pPr>
              <w:spacing w:after="0"/>
              <w:rPr>
                <w:sz w:val="20"/>
                <w:szCs w:val="20"/>
                <w:color w:val="auto"/>
              </w:rPr>
            </w:pPr>
            <w:r>
              <w:rPr>
                <w:rFonts w:ascii="Arial" w:cs="Arial" w:eastAsia="Arial" w:hAnsi="Arial"/>
                <w:sz w:val="12"/>
                <w:szCs w:val="12"/>
                <w:color w:val="auto"/>
              </w:rPr>
              <w:t>Salsa</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Fresh-cut fruit &amp; veg. and prepared</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foods</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91,251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91,251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121,470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121,470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20" w:type="dxa"/>
            <w:vAlign w:val="bottom"/>
            <w:gridSpan w:val="3"/>
          </w:tcPr>
          <w:p>
            <w:pPr>
              <w:spacing w:after="0" w:line="133" w:lineRule="exact"/>
              <w:rPr>
                <w:sz w:val="20"/>
                <w:szCs w:val="20"/>
                <w:color w:val="auto"/>
              </w:rPr>
            </w:pPr>
            <w:r>
              <w:rPr>
                <w:rFonts w:ascii="Arial" w:cs="Arial" w:eastAsia="Arial" w:hAnsi="Arial"/>
                <w:sz w:val="12"/>
                <w:szCs w:val="12"/>
                <w:color w:val="auto"/>
              </w:rPr>
              <w:t>Total gross sales</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116,122</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91,251</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17,550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224,923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133,646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121,470</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22,519</w:t>
            </w: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277,635</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sales incentives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(2,036)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(3,028)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inter-company eliminations</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(1,645)</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(851)</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(1,259)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sales</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114,933</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90,306</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15,339</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220,578</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132,781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120,935</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19,632</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273,348</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Fresh</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0"/>
                <w:szCs w:val="10"/>
                <w:b w:val="1"/>
                <w:bCs w:val="1"/>
                <w:color w:val="auto"/>
              </w:rPr>
              <w:t>Calavo</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Interco.</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rPr>
              <w:t>products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rPr>
              <w:t>RFG</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62"/>
              <w:spacing w:after="0" w:line="114" w:lineRule="exact"/>
              <w:rPr>
                <w:sz w:val="20"/>
                <w:szCs w:val="20"/>
                <w:color w:val="auto"/>
              </w:rPr>
            </w:pPr>
            <w:r>
              <w:rPr>
                <w:rFonts w:ascii="Arial" w:cs="Arial" w:eastAsia="Arial" w:hAnsi="Arial"/>
                <w:sz w:val="10"/>
                <w:szCs w:val="10"/>
                <w:b w:val="1"/>
                <w:bCs w:val="1"/>
                <w:color w:val="auto"/>
              </w:rPr>
              <w:t>Foods</w:t>
            </w: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center"/>
              <w:ind w:right="42"/>
              <w:spacing w:after="0" w:line="114" w:lineRule="exact"/>
              <w:rPr>
                <w:sz w:val="20"/>
                <w:szCs w:val="20"/>
                <w:color w:val="auto"/>
              </w:rPr>
            </w:pPr>
            <w:r>
              <w:rPr>
                <w:rFonts w:ascii="Arial" w:cs="Arial" w:eastAsia="Arial" w:hAnsi="Arial"/>
                <w:sz w:val="10"/>
                <w:szCs w:val="10"/>
                <w:b w:val="1"/>
                <w:bCs w:val="1"/>
                <w:color w:val="auto"/>
                <w:w w:val="88"/>
              </w:rPr>
              <w:t>Elimins.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1"/>
              <w:spacing w:after="0" w:line="114" w:lineRule="exact"/>
              <w:rPr>
                <w:sz w:val="20"/>
                <w:szCs w:val="20"/>
                <w:color w:val="auto"/>
              </w:rPr>
            </w:pPr>
            <w:r>
              <w:rPr>
                <w:rFonts w:ascii="Arial" w:cs="Arial" w:eastAsia="Arial" w:hAnsi="Arial"/>
                <w:sz w:val="10"/>
                <w:szCs w:val="10"/>
                <w:b w:val="1"/>
                <w:bCs w:val="1"/>
                <w:color w:val="auto"/>
              </w:rPr>
              <w:t>Total</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gridSpan w:val="9"/>
          </w:tcPr>
          <w:p>
            <w:pPr>
              <w:jc w:val="right"/>
              <w:ind w:right="322"/>
              <w:spacing w:after="0" w:line="79" w:lineRule="exact"/>
              <w:rPr>
                <w:sz w:val="20"/>
                <w:szCs w:val="20"/>
                <w:color w:val="auto"/>
              </w:rPr>
            </w:pPr>
            <w:r>
              <w:rPr>
                <w:rFonts w:ascii="Arial" w:cs="Arial" w:eastAsia="Arial" w:hAnsi="Arial"/>
                <w:sz w:val="8"/>
                <w:szCs w:val="8"/>
                <w:b w:val="1"/>
                <w:bCs w:val="1"/>
                <w:color w:val="auto"/>
              </w:rPr>
              <w:t>(All amounts are presented in thousands)</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w w:val="89"/>
              </w:rPr>
              <w:t>Three months ended January 31, 2021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20"/>
                <w:szCs w:val="20"/>
                <w:color w:val="auto"/>
              </w:rPr>
            </w:pPr>
            <w:r>
              <w:rPr>
                <w:rFonts w:ascii="Arial" w:cs="Arial" w:eastAsia="Arial" w:hAnsi="Arial"/>
                <w:sz w:val="12"/>
                <w:szCs w:val="12"/>
                <w:color w:val="auto"/>
              </w:rPr>
              <w:t>Net sales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3"/>
          </w:tcPr>
          <w:p>
            <w:pPr>
              <w:jc w:val="right"/>
              <w:ind w:right="1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115,459</w:t>
            </w:r>
          </w:p>
        </w:tc>
        <w:tc>
          <w:tcPr>
            <w:tcW w:w="240" w:type="dxa"/>
            <w:vAlign w:val="bottom"/>
            <w:gridSpan w:val="3"/>
          </w:tcPr>
          <w:p>
            <w:pPr>
              <w:jc w:val="right"/>
              <w:ind w:right="16"/>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90,306</w:t>
            </w:r>
          </w:p>
        </w:tc>
        <w:tc>
          <w:tcPr>
            <w:tcW w:w="280" w:type="dxa"/>
            <w:vAlign w:val="bottom"/>
            <w:gridSpan w:val="3"/>
          </w:tcPr>
          <w:p>
            <w:pPr>
              <w:jc w:val="right"/>
              <w:ind w:right="3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16,458</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(1,645)</w:t>
            </w:r>
          </w:p>
        </w:tc>
        <w:tc>
          <w:tcPr>
            <w:tcW w:w="40" w:type="dxa"/>
            <w:vAlign w:val="bottom"/>
          </w:tcPr>
          <w:p>
            <w:pPr>
              <w:spacing w:after="0"/>
              <w:rPr>
                <w:sz w:val="12"/>
                <w:szCs w:val="12"/>
                <w:color w:val="auto"/>
              </w:rPr>
            </w:pPr>
          </w:p>
        </w:tc>
        <w:tc>
          <w:tcPr>
            <w:tcW w:w="300" w:type="dxa"/>
            <w:vAlign w:val="bottom"/>
            <w:gridSpan w:val="3"/>
          </w:tcPr>
          <w:p>
            <w:pPr>
              <w:jc w:val="right"/>
              <w:ind w:right="9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220,578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Cost of sales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102,314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90,329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11,741</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202,739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Gross profit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13,145</w:t>
            </w:r>
          </w:p>
        </w:tc>
        <w:tc>
          <w:tcPr>
            <w:tcW w:w="160" w:type="dxa"/>
            <w:vAlign w:val="bottom"/>
            <w:gridSpan w:val="2"/>
          </w:tcPr>
          <w:p>
            <w:pPr>
              <w:spacing w:after="0"/>
              <w:rPr>
                <w:sz w:val="12"/>
                <w:szCs w:val="12"/>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(23)</w:t>
            </w:r>
          </w:p>
        </w:tc>
        <w:tc>
          <w:tcPr>
            <w:tcW w:w="140" w:type="dxa"/>
            <w:vAlign w:val="bottom"/>
            <w:gridSpan w:val="2"/>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4,717</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jc w:val="right"/>
              <w:ind w:right="92"/>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ind w:right="1"/>
              <w:spacing w:after="0" w:line="133" w:lineRule="exact"/>
              <w:rPr>
                <w:sz w:val="20"/>
                <w:szCs w:val="20"/>
                <w:color w:val="auto"/>
              </w:rPr>
            </w:pPr>
            <w:r>
              <w:rPr>
                <w:rFonts w:ascii="Arial" w:cs="Arial" w:eastAsia="Arial" w:hAnsi="Arial"/>
                <w:sz w:val="12"/>
                <w:szCs w:val="12"/>
                <w:color w:val="auto"/>
              </w:rPr>
              <w:t>17,839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1960" w:type="dxa"/>
            <w:vAlign w:val="bottom"/>
            <w:tcBorders>
              <w:top w:val="single" w:sz="8" w:color="CCEEFF"/>
              <w:left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960" w:type="dxa"/>
            <w:vAlign w:val="bottom"/>
          </w:tcPr>
          <w:p>
            <w:pPr>
              <w:spacing w:after="0"/>
              <w:rPr>
                <w:sz w:val="20"/>
                <w:szCs w:val="20"/>
                <w:color w:val="auto"/>
              </w:rPr>
            </w:pPr>
            <w:r>
              <w:rPr>
                <w:rFonts w:ascii="Arial" w:cs="Arial" w:eastAsia="Arial" w:hAnsi="Arial"/>
                <w:sz w:val="12"/>
                <w:szCs w:val="12"/>
                <w:b w:val="1"/>
                <w:bCs w:val="1"/>
                <w:color w:val="auto"/>
                <w:w w:val="89"/>
              </w:rPr>
              <w:t>Three months ended January 31, 2020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sales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133,189</w:t>
            </w:r>
          </w:p>
        </w:tc>
        <w:tc>
          <w:tcPr>
            <w:tcW w:w="240" w:type="dxa"/>
            <w:vAlign w:val="bottom"/>
            <w:gridSpan w:val="3"/>
            <w:shd w:val="clear" w:color="auto" w:fill="CCEEFF"/>
          </w:tcPr>
          <w:p>
            <w:pPr>
              <w:jc w:val="right"/>
              <w:ind w:right="16"/>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120,935</w:t>
            </w:r>
          </w:p>
        </w:tc>
        <w:tc>
          <w:tcPr>
            <w:tcW w:w="280" w:type="dxa"/>
            <w:vAlign w:val="bottom"/>
            <w:gridSpan w:val="3"/>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w:t>
            </w:r>
          </w:p>
        </w:tc>
        <w:tc>
          <w:tcPr>
            <w:tcW w:w="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92"/>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273,348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sales</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126,607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118,059</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(1,259)</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257,540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tcBorders>
              <w:left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Gross profit</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6,582</w:t>
            </w:r>
          </w:p>
        </w:tc>
        <w:tc>
          <w:tcPr>
            <w:tcW w:w="16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2,876</w:t>
            </w:r>
          </w:p>
        </w:tc>
        <w:tc>
          <w:tcPr>
            <w:tcW w:w="140" w:type="dxa"/>
            <w:vAlign w:val="bottom"/>
            <w:tcBorders>
              <w:bottom w:val="single" w:sz="8" w:color="CCEEFF"/>
            </w:tcBorders>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6,350</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right w:val="single" w:sz="8" w:color="CCEEFF"/>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15,808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7"/>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392" w:right="1399" w:bottom="1440" w:gutter="0" w:footer="0" w:header="0"/>
        </w:sectPr>
      </w:pPr>
    </w:p>
    <w:bookmarkStart w:id="9" w:name="page10"/>
    <w:bookmarkEnd w:id="9"/>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59" w:firstLine="150"/>
        <w:spacing w:after="0" w:line="323" w:lineRule="auto"/>
        <w:rPr>
          <w:sz w:val="20"/>
          <w:szCs w:val="20"/>
          <w:color w:val="auto"/>
        </w:rPr>
      </w:pPr>
      <w:r>
        <w:rPr>
          <w:rFonts w:ascii="Arial" w:cs="Arial" w:eastAsia="Arial" w:hAnsi="Arial"/>
          <w:sz w:val="11"/>
          <w:szCs w:val="11"/>
          <w:color w:val="auto"/>
        </w:rPr>
        <w:t>For the three months ended January 31, 2021 and 2020, intercompany sales and cost of sales of $0.5 million and $0.3 million between Fresh products and RFG were eliminated. For the three months ended January 31, 2021 and 2020, intercompany sales and cost of sales of $1.1 million and $0.9 million between Calavo Foods and RFG were eliminated.</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Sales to customers outside the U.S. were approximately $8.1 million, and $7.9 million for the three months ended January 31, 2021 and 2020.</w:t>
      </w:r>
    </w:p>
    <w:p>
      <w:pPr>
        <w:spacing w:after="0" w:line="105" w:lineRule="exact"/>
        <w:rPr>
          <w:sz w:val="20"/>
          <w:szCs w:val="20"/>
          <w:color w:val="auto"/>
        </w:rPr>
      </w:pPr>
    </w:p>
    <w:p>
      <w:pPr>
        <w:ind w:left="20" w:right="79" w:firstLine="180"/>
        <w:spacing w:after="0" w:line="254" w:lineRule="auto"/>
        <w:rPr>
          <w:sz w:val="20"/>
          <w:szCs w:val="20"/>
          <w:color w:val="auto"/>
        </w:rPr>
      </w:pPr>
      <w:r>
        <w:rPr>
          <w:rFonts w:ascii="Arial" w:cs="Arial" w:eastAsia="Arial" w:hAnsi="Arial"/>
          <w:sz w:val="12"/>
          <w:szCs w:val="12"/>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gains in the current quarter. These gains were due primarily to certain long-term net peso receivables. The Mexican peso strengthened compared to the U.S. dollar from 21.25 (MX peso to U.S. dollar) at October 31, 2020 to 20.22 (MX peso to U.S. dollar) at January 31, 2021. Foreign currency remeasurement gains, net of losses, for the three months ended January 31, 2021 and 2020 was $1.0 million and less than $0.1 million.</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Long-lived assets attributed to geographic areas as of January 31, 2021 and October 31, 2020, are as follows (in thousands):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rPr>
              <w:t>United States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2"/>
              </w:rPr>
              <w:t>Mexico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04"/>
              <w:spacing w:after="0"/>
              <w:rPr>
                <w:sz w:val="20"/>
                <w:szCs w:val="20"/>
                <w:color w:val="auto"/>
              </w:rPr>
            </w:pPr>
            <w:r>
              <w:rPr>
                <w:rFonts w:ascii="Arial" w:cs="Arial" w:eastAsia="Arial" w:hAnsi="Arial"/>
                <w:sz w:val="10"/>
                <w:szCs w:val="10"/>
                <w:b w:val="1"/>
                <w:bCs w:val="1"/>
                <w:color w:val="auto"/>
                <w:w w:val="91"/>
              </w:rPr>
              <w:t>Consolidated</w:t>
            </w:r>
          </w:p>
        </w:tc>
      </w:tr>
      <w:tr>
        <w:trPr>
          <w:trHeight w:val="133"/>
        </w:trPr>
        <w:tc>
          <w:tcPr>
            <w:tcW w:w="434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January 31, 2021</w:t>
            </w:r>
          </w:p>
        </w:tc>
        <w:tc>
          <w:tcPr>
            <w:tcW w:w="17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center"/>
              <w:ind w:left="3"/>
              <w:spacing w:after="0" w:line="133" w:lineRule="exact"/>
              <w:rPr>
                <w:sz w:val="20"/>
                <w:szCs w:val="20"/>
                <w:color w:val="auto"/>
              </w:rPr>
            </w:pPr>
            <w:r>
              <w:rPr>
                <w:rFonts w:ascii="Arial" w:cs="Arial" w:eastAsia="Arial" w:hAnsi="Arial"/>
                <w:sz w:val="12"/>
                <w:szCs w:val="12"/>
                <w:color w:val="auto"/>
                <w:w w:val="92"/>
              </w:rPr>
              <w:t>95,785</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5"/>
                <w:szCs w:val="5"/>
                <w:color w:val="auto"/>
                <w:w w:val="70"/>
              </w:rPr>
              <w:t>$</w:t>
            </w: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36,103</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131,888</w:t>
            </w: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October 31, 2020</w:t>
            </w:r>
          </w:p>
        </w:tc>
        <w:tc>
          <w:tcPr>
            <w:tcW w:w="2000" w:type="dxa"/>
            <w:vAlign w:val="bottom"/>
            <w:gridSpan w:val="2"/>
          </w:tcPr>
          <w:p>
            <w:pPr>
              <w:jc w:val="right"/>
              <w:ind w:right="15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Pr>
          <w:p>
            <w:pPr>
              <w:jc w:val="center"/>
              <w:ind w:left="3"/>
              <w:spacing w:after="0"/>
              <w:rPr>
                <w:sz w:val="20"/>
                <w:szCs w:val="20"/>
                <w:color w:val="auto"/>
              </w:rPr>
            </w:pPr>
            <w:r>
              <w:rPr>
                <w:rFonts w:ascii="Arial" w:cs="Arial" w:eastAsia="Arial" w:hAnsi="Arial"/>
                <w:sz w:val="12"/>
                <w:szCs w:val="12"/>
                <w:color w:val="auto"/>
                <w:w w:val="92"/>
              </w:rPr>
              <w:t>95,110</w:t>
            </w:r>
          </w:p>
        </w:tc>
        <w:tc>
          <w:tcPr>
            <w:tcW w:w="160" w:type="dxa"/>
            <w:vAlign w:val="bottom"/>
          </w:tcPr>
          <w:p>
            <w:pPr>
              <w:spacing w:after="0"/>
              <w:rPr>
                <w:sz w:val="13"/>
                <w:szCs w:val="13"/>
                <w:color w:val="auto"/>
              </w:rPr>
            </w:pPr>
          </w:p>
        </w:tc>
        <w:tc>
          <w:tcPr>
            <w:tcW w:w="220" w:type="dxa"/>
            <w:vAlign w:val="bottom"/>
            <w:gridSpan w:val="3"/>
          </w:tcPr>
          <w:p>
            <w:pPr>
              <w:jc w:val="right"/>
              <w:ind w:right="16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35,160</w:t>
            </w:r>
          </w:p>
        </w:tc>
        <w:tc>
          <w:tcPr>
            <w:tcW w:w="14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130,270</w:t>
            </w:r>
          </w:p>
        </w:tc>
      </w:tr>
      <w:tr>
        <w:trPr>
          <w:trHeight w:val="297"/>
        </w:trPr>
        <w:tc>
          <w:tcPr>
            <w:tcW w:w="4340" w:type="dxa"/>
            <w:vAlign w:val="bottom"/>
            <w:gridSpan w:val="2"/>
          </w:tcPr>
          <w:p>
            <w:pPr>
              <w:spacing w:after="0"/>
              <w:rPr>
                <w:sz w:val="20"/>
                <w:szCs w:val="20"/>
                <w:color w:val="auto"/>
              </w:rPr>
            </w:pPr>
            <w:r>
              <w:rPr>
                <w:rFonts w:ascii="Arial" w:cs="Arial" w:eastAsia="Arial" w:hAnsi="Arial"/>
                <w:sz w:val="12"/>
                <w:szCs w:val="12"/>
                <w:b w:val="1"/>
                <w:bCs w:val="1"/>
                <w:color w:val="auto"/>
              </w:rPr>
              <w:t>3.  Inventories</w:t>
            </w: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8"/>
        </w:trPr>
        <w:tc>
          <w:tcPr>
            <w:tcW w:w="4340" w:type="dxa"/>
            <w:vAlign w:val="bottom"/>
            <w:gridSpan w:val="2"/>
          </w:tcPr>
          <w:p>
            <w:pPr>
              <w:ind w:left="160"/>
              <w:spacing w:after="0"/>
              <w:rPr>
                <w:sz w:val="20"/>
                <w:szCs w:val="20"/>
                <w:color w:val="auto"/>
              </w:rPr>
            </w:pPr>
            <w:r>
              <w:rPr>
                <w:rFonts w:ascii="Arial" w:cs="Arial" w:eastAsia="Arial" w:hAnsi="Arial"/>
                <w:sz w:val="12"/>
                <w:szCs w:val="12"/>
                <w:color w:val="auto"/>
              </w:rPr>
              <w:t>Inventories consist of the following (in thousands):</w:t>
            </w: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7"/>
        </w:trPr>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January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8"/>
              </w:rPr>
              <w:t>October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34"/>
        </w:trPr>
        <w:tc>
          <w:tcPr>
            <w:tcW w:w="8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left="63"/>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4"/>
        </w:trPr>
        <w:tc>
          <w:tcPr>
            <w:tcW w:w="880" w:type="dxa"/>
            <w:vAlign w:val="bottom"/>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Fresh fruit</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15,973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14,677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color w:val="auto"/>
              </w:rPr>
              <w:t>Packing supplies and ingredients</w:t>
            </w: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12,078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12,540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Finished prepared foods</w:t>
            </w:r>
          </w:p>
        </w:tc>
        <w:tc>
          <w:tcPr>
            <w:tcW w:w="1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13,655</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14,570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0" w:type="dxa"/>
            <w:vAlign w:val="bottom"/>
            <w:gridSpan w:val="2"/>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41,706</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41,787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bl>
    <w:p>
      <w:pPr>
        <w:spacing w:after="0" w:line="135" w:lineRule="exact"/>
        <w:rPr>
          <w:sz w:val="20"/>
          <w:szCs w:val="20"/>
          <w:color w:val="auto"/>
        </w:rPr>
      </w:pPr>
    </w:p>
    <w:p>
      <w:pPr>
        <w:ind w:left="20" w:right="159" w:firstLine="173"/>
        <w:spacing w:after="0" w:line="263" w:lineRule="auto"/>
        <w:rPr>
          <w:sz w:val="20"/>
          <w:szCs w:val="20"/>
          <w:color w:val="auto"/>
        </w:rPr>
      </w:pPr>
      <w:r>
        <w:rPr>
          <w:rFonts w:ascii="Arial" w:cs="Arial" w:eastAsia="Arial" w:hAnsi="Arial"/>
          <w:sz w:val="12"/>
          <w:szCs w:val="12"/>
          <w:color w:val="auto"/>
        </w:rPr>
        <w:t>Inventories are stated at the lower of cost or net realizable value. We periodically review the value of items in inventory and record any necessary write downs of inventory based on our assessment of market conditions. Inventory includes reserves of $0.3 million in slow moving and obsolete packing supply inventory as of January 31, 2021 and October 31, 2020. No additional inventory reserve was considered necessary as of January 31, 2021 and October 31, 2020.</w:t>
      </w:r>
    </w:p>
    <w:p>
      <w:pPr>
        <w:spacing w:after="0" w:line="118"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0"/>
          <w:szCs w:val="10"/>
          <w:b w:val="1"/>
          <w:bCs w:val="1"/>
          <w:color w:val="auto"/>
        </w:rPr>
        <w:t>Related party transactions</w:t>
      </w:r>
    </w:p>
    <w:p>
      <w:pPr>
        <w:spacing w:after="0" w:line="154" w:lineRule="exact"/>
        <w:rPr>
          <w:sz w:val="20"/>
          <w:szCs w:val="20"/>
          <w:color w:val="auto"/>
        </w:rPr>
      </w:pPr>
    </w:p>
    <w:p>
      <w:pPr>
        <w:jc w:val="both"/>
        <w:ind w:left="20" w:right="159" w:firstLine="173"/>
        <w:spacing w:after="0" w:line="289" w:lineRule="auto"/>
        <w:rPr>
          <w:sz w:val="20"/>
          <w:szCs w:val="20"/>
          <w:color w:val="auto"/>
        </w:rPr>
      </w:pPr>
      <w:r>
        <w:rPr>
          <w:rFonts w:ascii="Arial" w:cs="Arial" w:eastAsia="Arial" w:hAnsi="Arial"/>
          <w:sz w:val="11"/>
          <w:szCs w:val="11"/>
          <w:color w:val="auto"/>
        </w:rPr>
        <w:t>Certain members of our Board of Directors market California avocados through Calavo pursuant to marketing agreements substantially similar to the marketing agreements that we enter into with other growers. For the three months ended January 31, 2020, the aggregate amount of avocados procured from entities owned or controlled by members of our Board of Directors was $0.2 million. There were no avocados procured from entities owned or controlled by members of our Board of Directors for the three months ended January 31, 2021. We did not have any amounts payable to these Board members as of January 31, 2021 and October 31, 2020.</w:t>
      </w:r>
    </w:p>
    <w:p>
      <w:pPr>
        <w:spacing w:after="0" w:line="111" w:lineRule="exact"/>
        <w:rPr>
          <w:sz w:val="20"/>
          <w:szCs w:val="20"/>
          <w:color w:val="auto"/>
        </w:rPr>
      </w:pPr>
    </w:p>
    <w:p>
      <w:pPr>
        <w:ind w:left="20" w:right="259" w:firstLine="173"/>
        <w:spacing w:after="0" w:line="323" w:lineRule="auto"/>
        <w:rPr>
          <w:sz w:val="20"/>
          <w:szCs w:val="20"/>
          <w:color w:val="auto"/>
        </w:rPr>
      </w:pPr>
      <w:r>
        <w:rPr>
          <w:rFonts w:ascii="Arial" w:cs="Arial" w:eastAsia="Arial" w:hAnsi="Arial"/>
          <w:sz w:val="11"/>
          <w:szCs w:val="11"/>
          <w:color w:val="auto"/>
        </w:rPr>
        <w:t>During the three months ended January 31, 2021 and 2020, we received $0.1 million as dividend income from Limoneira Company (Limoneira). In addition, we lease office space from Limoneira for our corporate office. We paid rent expense to Limoneira totaling $0.1 million for the three months ended January 31, 2021 and 2020. Harold Edwards,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 w:name="page11"/>
    <w:bookmarkEnd w:id="10"/>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1"/>
          <w:szCs w:val="11"/>
          <w:color w:val="auto"/>
        </w:rPr>
        <w:t>who is a member of our Board of Directors, is the Chief Executive Officer of Limoneira Company. As of January 31, 2021, we own approximately 9% of Limoneira’s outstanding shares.</w:t>
      </w:r>
    </w:p>
    <w:p>
      <w:pPr>
        <w:spacing w:after="0" w:line="162" w:lineRule="exact"/>
        <w:rPr>
          <w:sz w:val="20"/>
          <w:szCs w:val="20"/>
          <w:color w:val="auto"/>
        </w:rPr>
      </w:pPr>
    </w:p>
    <w:p>
      <w:pPr>
        <w:ind w:left="20" w:right="99" w:firstLine="173"/>
        <w:spacing w:after="0" w:line="323" w:lineRule="auto"/>
        <w:rPr>
          <w:sz w:val="20"/>
          <w:szCs w:val="20"/>
          <w:color w:val="auto"/>
        </w:rPr>
      </w:pPr>
      <w:r>
        <w:rPr>
          <w:rFonts w:ascii="Arial" w:cs="Arial" w:eastAsia="Arial" w:hAnsi="Arial"/>
          <w:sz w:val="11"/>
          <w:szCs w:val="11"/>
          <w:color w:val="auto"/>
        </w:rPr>
        <w:t>We currently have a board member who served as a partner in the law firm of TroyGould PC, which has represented Calavo as legal counsel on certain matters, until his retirement in December 2020. During the three months ended January 31, 2021 and 2020, Calavo Growers, Inc. paid fees totaling $0.1 million to TroyGould PC.</w:t>
      </w:r>
    </w:p>
    <w:p>
      <w:pPr>
        <w:spacing w:after="0" w:line="92" w:lineRule="exact"/>
        <w:rPr>
          <w:sz w:val="20"/>
          <w:szCs w:val="20"/>
          <w:color w:val="auto"/>
        </w:rPr>
      </w:pPr>
    </w:p>
    <w:p>
      <w:pPr>
        <w:ind w:left="20" w:right="59" w:firstLine="173"/>
        <w:spacing w:after="0" w:line="276" w:lineRule="auto"/>
        <w:rPr>
          <w:sz w:val="20"/>
          <w:szCs w:val="20"/>
          <w:color w:val="auto"/>
        </w:rPr>
      </w:pPr>
      <w:r>
        <w:rPr>
          <w:rFonts w:ascii="Arial" w:cs="Arial" w:eastAsia="Arial" w:hAnsi="Arial"/>
          <w:sz w:val="12"/>
          <w:szCs w:val="12"/>
          <w:color w:val="auto"/>
        </w:rPr>
        <w:t>Calavo and Agricola Belher (“Belher”) have an equal one-half ownership interest in Agricola Don Memo, S.A. de C.V. (“Don Memo”). Pursuant to a management service agreement, Belher, through its officers and employees, has day-to-day power and authority to manage the operations.</w:t>
      </w:r>
    </w:p>
    <w:p>
      <w:pPr>
        <w:spacing w:after="0" w:line="115" w:lineRule="exact"/>
        <w:rPr>
          <w:sz w:val="20"/>
          <w:szCs w:val="20"/>
          <w:color w:val="auto"/>
        </w:rPr>
      </w:pPr>
    </w:p>
    <w:p>
      <w:pPr>
        <w:ind w:left="20" w:right="79" w:firstLine="173"/>
        <w:spacing w:after="0" w:line="281" w:lineRule="auto"/>
        <w:rPr>
          <w:sz w:val="20"/>
          <w:szCs w:val="20"/>
          <w:color w:val="auto"/>
        </w:rPr>
      </w:pPr>
      <w:r>
        <w:rPr>
          <w:rFonts w:ascii="Arial" w:cs="Arial" w:eastAsia="Arial" w:hAnsi="Arial"/>
          <w:sz w:val="11"/>
          <w:szCs w:val="11"/>
          <w:color w:val="auto"/>
        </w:rPr>
        <w:t>As of January 31, 2021, and October 31, 2020, we had an investment of $5.9 million and $6.0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January 31, 2021 and October 31, 2020, we had outstanding advances of $1.5 million and $2.4 million to Don Memo. In October 2020, we entered into an infrastructure loan agreement with Don Memo for $2.4 million secured by certain property and equipment of Don Memo. This infrastructure loan will incur interest at 7.25%. In October 2020, we funded $0.7 million related to this loan agreement, and we funded an additional $0.7 million in the first quarter of fiscal 2021. During the three months ended January 31, 2021 and 2020, we recorded $3.5 million and $4.0 million of cost of sales to Don Memo pursuant to our consignment agreement.</w:t>
      </w:r>
    </w:p>
    <w:p>
      <w:pPr>
        <w:spacing w:after="0" w:line="115" w:lineRule="exact"/>
        <w:rPr>
          <w:sz w:val="20"/>
          <w:szCs w:val="20"/>
          <w:color w:val="auto"/>
        </w:rPr>
      </w:pPr>
    </w:p>
    <w:p>
      <w:pPr>
        <w:ind w:left="20" w:right="79" w:firstLine="173"/>
        <w:spacing w:after="0" w:line="255" w:lineRule="auto"/>
        <w:rPr>
          <w:sz w:val="20"/>
          <w:szCs w:val="20"/>
          <w:color w:val="auto"/>
        </w:rPr>
      </w:pPr>
      <w:r>
        <w:rPr>
          <w:rFonts w:ascii="Arial" w:cs="Arial" w:eastAsia="Arial" w:hAnsi="Arial"/>
          <w:sz w:val="12"/>
          <w:szCs w:val="12"/>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$4.5 million as of January 31, 2021 and October 31, 2020, which are netted against the grower payable. In addition, we had infrastructure advances due from Belher of $1.8 million as of January 31, 2021 and October 31, 2020. Of these infrastructure advances $0.6 million was recorded as a receivable in prepaid and other current assets as of January 31, 2021 and October 31, 2020. The remaining $1.2 million of these infrastructure advances were recorded in other assets. During the three months ended January 31, 2021 and 2020, we recorded $3.3 million and $7.2 million of cost of sales to Belher pursuant to our consignment agreement.</w:t>
      </w:r>
    </w:p>
    <w:p>
      <w:pPr>
        <w:spacing w:after="0" w:line="128" w:lineRule="exact"/>
        <w:rPr>
          <w:sz w:val="20"/>
          <w:szCs w:val="20"/>
          <w:color w:val="auto"/>
        </w:rPr>
      </w:pPr>
    </w:p>
    <w:p>
      <w:pPr>
        <w:ind w:left="20" w:right="179" w:firstLine="173"/>
        <w:spacing w:after="0" w:line="289" w:lineRule="auto"/>
        <w:rPr>
          <w:sz w:val="20"/>
          <w:szCs w:val="20"/>
          <w:color w:val="auto"/>
        </w:rPr>
      </w:pPr>
      <w:r>
        <w:rPr>
          <w:rFonts w:ascii="Arial" w:cs="Arial" w:eastAsia="Arial" w:hAnsi="Arial"/>
          <w:sz w:val="11"/>
          <w:szCs w:val="11"/>
          <w:color w:val="auto"/>
        </w:rPr>
        <w:t>In August 2015, we entered into a Shareholder’s Agreement with various Mexican partners and created Avocados de Jalisco, S.A.P.I. de C.V. (“Avocados de Jalisco”). Avocados de Jalisco is a Mexican corporation created to engage in procuring, packing and selling avocados. As of January 31, 2021, this entity was approximately 83% owned by Calavo and was consolidated in our financial statements. Avocados de Jalisco built a packinghouse located in Jalisco, Mexico, which began operations in June of 2017. During the three months ended January 31, 2021 and 2020, we purchased approximately $2.2 million and $0.4 million of avocados from the partners of Avocados de Jalisco.</w:t>
      </w:r>
    </w:p>
    <w:p>
      <w:pPr>
        <w:spacing w:after="0" w:line="111" w:lineRule="exact"/>
        <w:rPr>
          <w:sz w:val="20"/>
          <w:szCs w:val="20"/>
          <w:color w:val="auto"/>
        </w:rPr>
      </w:pPr>
    </w:p>
    <w:p>
      <w:pPr>
        <w:ind w:left="20" w:right="79" w:firstLine="173"/>
        <w:spacing w:after="0" w:line="256" w:lineRule="auto"/>
        <w:rPr>
          <w:sz w:val="20"/>
          <w:szCs w:val="20"/>
          <w:color w:val="auto"/>
        </w:rPr>
      </w:pPr>
      <w:r>
        <w:rPr>
          <w:rFonts w:ascii="Arial" w:cs="Arial" w:eastAsia="Arial" w:hAnsi="Arial"/>
          <w:sz w:val="12"/>
          <w:szCs w:val="12"/>
          <w:color w:val="auto"/>
        </w:rPr>
        <w:t>FreshRealm is a start-up company, engaged in activities relating to the marketing of food products directly to consumers or other entities. Prior to the FreshRealm Separation Agreement, signed on February 3, 2021 (see Note 12), we had an equity investment in FreshRealm representing approximately 37% ownership of FreshRealm as of January 31, 2021 and October 31, 2020. We recorded an impairment of 100% of this equity investment, or $2.8 million, in the third quarter of fiscal 2020. We had a note receivable and trade receivables of approximately $34.5 million at October 31, 2020 (which includes accrued interest) from FreshRealm. We recorded a reserve of $34.5 million during fiscal 2020 which continues to be fully reserved as of January 31, 2021.</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1"/>
          <w:szCs w:val="11"/>
          <w:color w:val="auto"/>
        </w:rPr>
        <w:t>On February 3, 2021, Calavo, and FreshRealm, entered into a Limited Liability Company Member Separation and Release Agreement. See Note 12 for more information.</w:t>
      </w:r>
    </w:p>
    <w:p>
      <w:pPr>
        <w:spacing w:after="0" w:line="162" w:lineRule="exact"/>
        <w:rPr>
          <w:sz w:val="20"/>
          <w:szCs w:val="20"/>
          <w:color w:val="auto"/>
        </w:rPr>
      </w:pPr>
    </w:p>
    <w:p>
      <w:pPr>
        <w:ind w:left="20" w:right="39" w:firstLine="173"/>
        <w:spacing w:after="0" w:line="276" w:lineRule="auto"/>
        <w:rPr>
          <w:sz w:val="20"/>
          <w:szCs w:val="20"/>
          <w:color w:val="auto"/>
        </w:rPr>
      </w:pPr>
      <w:r>
        <w:rPr>
          <w:rFonts w:ascii="Arial" w:cs="Arial" w:eastAsia="Arial" w:hAnsi="Arial"/>
          <w:sz w:val="12"/>
          <w:szCs w:val="12"/>
          <w:color w:val="auto"/>
        </w:rPr>
        <w:t>One officer and five members of our board of directors have investments in FreshRealm as of January 31, 2021 and October 31, 2020. Prior to the FreshRealm Separation and Release Agreement, three members of our board of directors served as board members of FreshRealm.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1" w:name="page12"/>
    <w:bookmarkEnd w:id="11"/>
    <w:p>
      <w:pPr>
        <w:ind w:left="4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right="240" w:firstLine="203"/>
        <w:spacing w:after="0" w:line="379" w:lineRule="auto"/>
        <w:rPr>
          <w:sz w:val="20"/>
          <w:szCs w:val="20"/>
          <w:color w:val="auto"/>
        </w:rPr>
      </w:pPr>
      <w:r>
        <w:rPr>
          <w:rFonts w:ascii="Arial" w:cs="Arial" w:eastAsia="Arial" w:hAnsi="Arial"/>
          <w:sz w:val="10"/>
          <w:szCs w:val="10"/>
          <w:color w:val="auto"/>
        </w:rPr>
        <w:t>We provide storage services to FreshRealm from select Value-Added Depots and RFG facilities. We have recorded $0.3 million and $0.2 million in storage services revenue from FreshRealm in the three months ended January 31, 2021 and 2020. For the three months ended January 31, 2020, RFG has sold less than $0.2 million of products to FreshRealm.</w:t>
      </w:r>
    </w:p>
    <w:p>
      <w:pPr>
        <w:spacing w:after="0" w:line="69" w:lineRule="exact"/>
        <w:rPr>
          <w:sz w:val="20"/>
          <w:szCs w:val="20"/>
          <w:color w:val="auto"/>
        </w:rPr>
      </w:pPr>
    </w:p>
    <w:p>
      <w:pPr>
        <w:ind w:left="40" w:right="100" w:firstLine="173"/>
        <w:spacing w:after="0" w:line="263" w:lineRule="auto"/>
        <w:rPr>
          <w:sz w:val="20"/>
          <w:szCs w:val="20"/>
          <w:color w:val="auto"/>
        </w:rPr>
      </w:pPr>
      <w:r>
        <w:rPr>
          <w:rFonts w:ascii="Arial" w:cs="Arial" w:eastAsia="Arial" w:hAnsi="Arial"/>
          <w:sz w:val="12"/>
          <w:szCs w:val="12"/>
          <w:color w:val="auto"/>
        </w:rPr>
        <w:t>The previous owners of RFG, one of which is currently the CEO of Calavo, have a majority ownership of certain entities that historically provided various services to RFG, specifically LIG Partners, LLC and THNC, LLC who leased property to certain RFG operating entities. In the first quarter of fiscal 2020, these facilities were sold to an unaffiliated third party and our lease has transferred to those new owners.</w:t>
      </w:r>
    </w:p>
    <w:p>
      <w:pPr>
        <w:spacing w:after="0" w:line="136" w:lineRule="exact"/>
        <w:rPr>
          <w:sz w:val="20"/>
          <w:szCs w:val="20"/>
          <w:color w:val="auto"/>
        </w:rPr>
      </w:pPr>
    </w:p>
    <w:p>
      <w:pPr>
        <w:ind w:left="40"/>
        <w:spacing w:after="0"/>
        <w:tabs>
          <w:tab w:leader="none" w:pos="22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0"/>
          <w:szCs w:val="10"/>
          <w:b w:val="1"/>
          <w:bCs w:val="1"/>
          <w:color w:val="auto"/>
        </w:rPr>
        <w:t>Other assets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assets consist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0"/>
              </w:rPr>
              <w:t>January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0"/>
                <w:szCs w:val="10"/>
                <w:b w:val="1"/>
                <w:bCs w:val="1"/>
                <w:color w:val="auto"/>
              </w:rPr>
              <w:t>October 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34"/>
        </w:trPr>
        <w:tc>
          <w:tcPr>
            <w:tcW w:w="860" w:type="dxa"/>
            <w:vAlign w:val="bottom"/>
          </w:tcPr>
          <w:p>
            <w:pPr>
              <w:spacing w:after="0"/>
              <w:rPr>
                <w:sz w:val="11"/>
                <w:szCs w:val="11"/>
                <w:color w:val="auto"/>
              </w:rPr>
            </w:pPr>
          </w:p>
        </w:tc>
        <w:tc>
          <w:tcPr>
            <w:tcW w:w="19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3"/>
        </w:trPr>
        <w:tc>
          <w:tcPr>
            <w:tcW w:w="860" w:type="dxa"/>
            <w:vAlign w:val="bottom"/>
          </w:tcPr>
          <w:p>
            <w:pPr>
              <w:spacing w:after="0"/>
              <w:rPr>
                <w:sz w:val="11"/>
                <w:szCs w:val="11"/>
                <w:color w:val="auto"/>
              </w:rPr>
            </w:pPr>
          </w:p>
        </w:tc>
        <w:tc>
          <w:tcPr>
            <w:tcW w:w="2980" w:type="dxa"/>
            <w:vAlign w:val="bottom"/>
            <w:gridSpan w:val="4"/>
            <w:shd w:val="clear" w:color="auto" w:fill="CCEEFF"/>
          </w:tcPr>
          <w:p>
            <w:pPr>
              <w:spacing w:after="0" w:line="133" w:lineRule="exact"/>
              <w:rPr>
                <w:sz w:val="20"/>
                <w:szCs w:val="20"/>
                <w:color w:val="auto"/>
              </w:rPr>
            </w:pPr>
            <w:r>
              <w:rPr>
                <w:rFonts w:ascii="Arial" w:cs="Arial" w:eastAsia="Arial" w:hAnsi="Arial"/>
                <w:sz w:val="12"/>
                <w:szCs w:val="12"/>
                <w:color w:val="auto"/>
                <w:w w:val="90"/>
              </w:rPr>
              <w:t>Mexican IVA (i.e. value-added) taxes receivable (see note 11)</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33,185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30,126</w:t>
            </w:r>
          </w:p>
        </w:tc>
        <w:tc>
          <w:tcPr>
            <w:tcW w:w="40" w:type="dxa"/>
            <w:vAlign w:val="bottom"/>
            <w:tcBorders>
              <w:right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4"/>
        </w:trPr>
        <w:tc>
          <w:tcPr>
            <w:tcW w:w="860" w:type="dxa"/>
            <w:vAlign w:val="bottom"/>
          </w:tcPr>
          <w:p>
            <w:pPr>
              <w:spacing w:after="0"/>
              <w:rPr>
                <w:sz w:val="12"/>
                <w:szCs w:val="12"/>
                <w:color w:val="auto"/>
              </w:rPr>
            </w:pPr>
          </w:p>
        </w:tc>
        <w:tc>
          <w:tcPr>
            <w:tcW w:w="3540" w:type="dxa"/>
            <w:vAlign w:val="bottom"/>
            <w:gridSpan w:val="5"/>
          </w:tcPr>
          <w:p>
            <w:pPr>
              <w:spacing w:after="0"/>
              <w:rPr>
                <w:sz w:val="20"/>
                <w:szCs w:val="20"/>
                <w:color w:val="auto"/>
              </w:rPr>
            </w:pPr>
            <w:r>
              <w:rPr>
                <w:rFonts w:ascii="Arial" w:cs="Arial" w:eastAsia="Arial" w:hAnsi="Arial"/>
                <w:sz w:val="12"/>
                <w:szCs w:val="12"/>
                <w:color w:val="auto"/>
              </w:rPr>
              <w:t>Infrastructure advance to Agricola Belher and Agricola Don Memo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1,895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1,215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1,217</w:t>
            </w:r>
          </w:p>
        </w:tc>
        <w:tc>
          <w:tcPr>
            <w:tcW w:w="40" w:type="dxa"/>
            <w:vAlign w:val="bottom"/>
            <w:tcBorders>
              <w:bottom w:val="single" w:sz="8" w:color="auto"/>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tcPr>
          <w:p>
            <w:pPr>
              <w:jc w:val="right"/>
              <w:ind w:right="20"/>
              <w:spacing w:after="0" w:line="133" w:lineRule="exact"/>
              <w:rPr>
                <w:sz w:val="20"/>
                <w:szCs w:val="20"/>
                <w:color w:val="auto"/>
              </w:rPr>
            </w:pPr>
            <w:r>
              <w:rPr>
                <w:rFonts w:ascii="Arial" w:cs="Arial" w:eastAsia="Arial" w:hAnsi="Arial"/>
                <w:sz w:val="12"/>
                <w:szCs w:val="12"/>
                <w:color w:val="auto"/>
              </w:rPr>
              <w:t>36,205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32,558</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88"/>
        </w:trPr>
        <w:tc>
          <w:tcPr>
            <w:tcW w:w="3540" w:type="dxa"/>
            <w:vAlign w:val="bottom"/>
            <w:gridSpan w:val="3"/>
          </w:tcPr>
          <w:p>
            <w:pPr>
              <w:ind w:left="240"/>
              <w:spacing w:after="0"/>
              <w:rPr>
                <w:sz w:val="20"/>
                <w:szCs w:val="20"/>
                <w:color w:val="auto"/>
              </w:rPr>
            </w:pPr>
            <w:r>
              <w:rPr>
                <w:rFonts w:ascii="Arial" w:cs="Arial" w:eastAsia="Arial" w:hAnsi="Arial"/>
                <w:sz w:val="12"/>
                <w:szCs w:val="12"/>
                <w:color w:val="auto"/>
              </w:rPr>
              <w:t>Intangible assets consist of the following (in thousands):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7"/>
        </w:trPr>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0"/>
                <w:szCs w:val="10"/>
                <w:b w:val="1"/>
                <w:bCs w:val="1"/>
                <w:color w:val="auto"/>
                <w:w w:val="89"/>
              </w:rPr>
              <w:t>January 31, 2021</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87"/>
              </w:rPr>
              <w:t>October 31, 2020</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43"/>
        </w:trPr>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86"/>
              </w:rPr>
              <w:t>Weighted-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65"/>
              <w:spacing w:after="0"/>
              <w:rPr>
                <w:sz w:val="20"/>
                <w:szCs w:val="20"/>
                <w:color w:val="auto"/>
              </w:rPr>
            </w:pPr>
            <w:r>
              <w:rPr>
                <w:rFonts w:ascii="Arial" w:cs="Arial" w:eastAsia="Arial" w:hAnsi="Arial"/>
                <w:sz w:val="10"/>
                <w:szCs w:val="10"/>
                <w:b w:val="1"/>
                <w:bCs w:val="1"/>
                <w:color w:val="auto"/>
                <w:w w:val="82"/>
              </w:rPr>
              <w:t>Gross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85"/>
              <w:spacing w:after="0"/>
              <w:rPr>
                <w:sz w:val="20"/>
                <w:szCs w:val="20"/>
                <w:color w:val="auto"/>
              </w:rPr>
            </w:pPr>
            <w:r>
              <w:rPr>
                <w:rFonts w:ascii="Arial" w:cs="Arial" w:eastAsia="Arial" w:hAnsi="Arial"/>
                <w:sz w:val="10"/>
                <w:szCs w:val="10"/>
                <w:b w:val="1"/>
                <w:bCs w:val="1"/>
                <w:color w:val="auto"/>
                <w:w w:val="86"/>
              </w:rPr>
              <w:t>Net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2"/>
              </w:rPr>
              <w:t>Gross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105"/>
              <w:spacing w:after="0"/>
              <w:rPr>
                <w:sz w:val="20"/>
                <w:szCs w:val="20"/>
                <w:color w:val="auto"/>
              </w:rPr>
            </w:pPr>
            <w:r>
              <w:rPr>
                <w:rFonts w:ascii="Arial" w:cs="Arial" w:eastAsia="Arial" w:hAnsi="Arial"/>
                <w:sz w:val="10"/>
                <w:szCs w:val="10"/>
                <w:b w:val="1"/>
                <w:bCs w:val="1"/>
                <w:color w:val="auto"/>
                <w:w w:val="86"/>
              </w:rPr>
              <w:t>Net</w:t>
            </w:r>
          </w:p>
        </w:tc>
      </w:tr>
      <w:tr>
        <w:trPr>
          <w:trHeight w:val="144"/>
        </w:trPr>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86"/>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85"/>
              <w:spacing w:after="0"/>
              <w:rPr>
                <w:sz w:val="20"/>
                <w:szCs w:val="20"/>
                <w:color w:val="auto"/>
              </w:rPr>
            </w:pPr>
            <w:r>
              <w:rPr>
                <w:rFonts w:ascii="Arial" w:cs="Arial" w:eastAsia="Arial" w:hAnsi="Arial"/>
                <w:sz w:val="10"/>
                <w:szCs w:val="10"/>
                <w:b w:val="1"/>
                <w:bCs w:val="1"/>
                <w:color w:val="auto"/>
                <w:w w:val="92"/>
              </w:rPr>
              <w:t>Carrying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23"/>
              <w:spacing w:after="0"/>
              <w:rPr>
                <w:sz w:val="20"/>
                <w:szCs w:val="20"/>
                <w:color w:val="auto"/>
              </w:rPr>
            </w:pPr>
            <w:r>
              <w:rPr>
                <w:rFonts w:ascii="Arial" w:cs="Arial" w:eastAsia="Arial" w:hAnsi="Arial"/>
                <w:sz w:val="10"/>
                <w:szCs w:val="10"/>
                <w:b w:val="1"/>
                <w:bCs w:val="1"/>
                <w:color w:val="auto"/>
              </w:rPr>
              <w:t>Accum.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85"/>
              <w:spacing w:after="0"/>
              <w:rPr>
                <w:sz w:val="20"/>
                <w:szCs w:val="20"/>
                <w:color w:val="auto"/>
              </w:rPr>
            </w:pPr>
            <w:r>
              <w:rPr>
                <w:rFonts w:ascii="Arial" w:cs="Arial" w:eastAsia="Arial" w:hAnsi="Arial"/>
                <w:sz w:val="10"/>
                <w:szCs w:val="10"/>
                <w:b w:val="1"/>
                <w:bCs w:val="1"/>
                <w:color w:val="auto"/>
                <w:w w:val="87"/>
              </w:rPr>
              <w:t>Book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Carrying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2"/>
              </w:rPr>
              <w:t>Accum.</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105"/>
              <w:spacing w:after="0"/>
              <w:rPr>
                <w:sz w:val="20"/>
                <w:szCs w:val="20"/>
                <w:color w:val="auto"/>
              </w:rPr>
            </w:pPr>
            <w:r>
              <w:rPr>
                <w:rFonts w:ascii="Arial" w:cs="Arial" w:eastAsia="Arial" w:hAnsi="Arial"/>
                <w:sz w:val="10"/>
                <w:szCs w:val="10"/>
                <w:b w:val="1"/>
                <w:bCs w:val="1"/>
                <w:color w:val="auto"/>
                <w:w w:val="87"/>
              </w:rPr>
              <w:t>Book</w:t>
            </w:r>
          </w:p>
        </w:tc>
      </w:tr>
      <w:tr>
        <w:trPr>
          <w:trHeight w:val="134"/>
        </w:trPr>
        <w:tc>
          <w:tcPr>
            <w:tcW w:w="8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89"/>
              </w:rPr>
              <w:t>Useful Life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65"/>
              <w:spacing w:after="0"/>
              <w:rPr>
                <w:sz w:val="20"/>
                <w:szCs w:val="20"/>
                <w:color w:val="auto"/>
              </w:rPr>
            </w:pPr>
            <w:r>
              <w:rPr>
                <w:rFonts w:ascii="Arial" w:cs="Arial" w:eastAsia="Arial" w:hAnsi="Arial"/>
                <w:sz w:val="10"/>
                <w:szCs w:val="10"/>
                <w:b w:val="1"/>
                <w:bCs w:val="1"/>
                <w:color w:val="auto"/>
                <w:w w:val="89"/>
              </w:rPr>
              <w:t>Value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03"/>
              <w:spacing w:after="0"/>
              <w:rPr>
                <w:sz w:val="20"/>
                <w:szCs w:val="20"/>
                <w:color w:val="auto"/>
              </w:rPr>
            </w:pPr>
            <w:r>
              <w:rPr>
                <w:rFonts w:ascii="Arial" w:cs="Arial" w:eastAsia="Arial" w:hAnsi="Arial"/>
                <w:sz w:val="10"/>
                <w:szCs w:val="10"/>
                <w:b w:val="1"/>
                <w:bCs w:val="1"/>
                <w:color w:val="auto"/>
                <w:w w:val="94"/>
              </w:rPr>
              <w:t>Amortization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center"/>
              <w:ind w:right="65"/>
              <w:spacing w:after="0"/>
              <w:rPr>
                <w:sz w:val="20"/>
                <w:szCs w:val="20"/>
                <w:color w:val="auto"/>
              </w:rPr>
            </w:pPr>
            <w:r>
              <w:rPr>
                <w:rFonts w:ascii="Arial" w:cs="Arial" w:eastAsia="Arial" w:hAnsi="Arial"/>
                <w:sz w:val="10"/>
                <w:szCs w:val="10"/>
                <w:b w:val="1"/>
                <w:bCs w:val="1"/>
                <w:color w:val="auto"/>
                <w:w w:val="89"/>
              </w:rPr>
              <w:t>Value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2"/>
              </w:rPr>
              <w:t>Value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88"/>
              </w:rPr>
              <w:t>Amortization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ind w:right="105"/>
              <w:spacing w:after="0"/>
              <w:rPr>
                <w:sz w:val="20"/>
                <w:szCs w:val="20"/>
                <w:color w:val="auto"/>
              </w:rPr>
            </w:pPr>
            <w:r>
              <w:rPr>
                <w:rFonts w:ascii="Arial" w:cs="Arial" w:eastAsia="Arial" w:hAnsi="Arial"/>
                <w:sz w:val="10"/>
                <w:szCs w:val="10"/>
                <w:b w:val="1"/>
                <w:bCs w:val="1"/>
                <w:color w:val="auto"/>
                <w:w w:val="82"/>
              </w:rPr>
              <w:t>Value</w:t>
            </w:r>
          </w:p>
        </w:tc>
      </w:tr>
      <w:tr>
        <w:trPr>
          <w:trHeight w:val="133"/>
        </w:trPr>
        <w:tc>
          <w:tcPr>
            <w:tcW w:w="278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Customer list/relationships</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 years</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17,340</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(8,968)</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8,372</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17,340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(8,613)</w:t>
            </w: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8,727</w:t>
            </w:r>
          </w:p>
        </w:tc>
      </w:tr>
      <w:tr>
        <w:trPr>
          <w:trHeight w:val="144"/>
        </w:trPr>
        <w:tc>
          <w:tcPr>
            <w:tcW w:w="2780" w:type="dxa"/>
            <w:vAlign w:val="bottom"/>
            <w:gridSpan w:val="2"/>
          </w:tcPr>
          <w:p>
            <w:pPr>
              <w:spacing w:after="0"/>
              <w:rPr>
                <w:sz w:val="20"/>
                <w:szCs w:val="20"/>
                <w:color w:val="auto"/>
              </w:rPr>
            </w:pPr>
            <w:r>
              <w:rPr>
                <w:rFonts w:ascii="Arial" w:cs="Arial" w:eastAsia="Arial" w:hAnsi="Arial"/>
                <w:sz w:val="12"/>
                <w:szCs w:val="12"/>
                <w:color w:val="auto"/>
              </w:rPr>
              <w:t>Trade names</w:t>
            </w:r>
          </w:p>
        </w:tc>
        <w:tc>
          <w:tcPr>
            <w:tcW w:w="760" w:type="dxa"/>
            <w:vAlign w:val="bottom"/>
          </w:tcPr>
          <w:p>
            <w:pPr>
              <w:jc w:val="right"/>
              <w:spacing w:after="0"/>
              <w:rPr>
                <w:sz w:val="20"/>
                <w:szCs w:val="20"/>
                <w:color w:val="auto"/>
              </w:rPr>
            </w:pPr>
            <w:r>
              <w:rPr>
                <w:rFonts w:ascii="Arial" w:cs="Arial" w:eastAsia="Arial" w:hAnsi="Arial"/>
                <w:sz w:val="12"/>
                <w:szCs w:val="12"/>
                <w:color w:val="auto"/>
              </w:rPr>
              <w:t>11 years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1,177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1,208</w:t>
            </w:r>
          </w:p>
        </w:tc>
      </w:tr>
      <w:tr>
        <w:trPr>
          <w:trHeight w:val="144"/>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Trade secrets/recipes</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years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w:t>
            </w:r>
          </w:p>
        </w:tc>
        <w:tc>
          <w:tcPr>
            <w:tcW w:w="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r>
      <w:tr>
        <w:trPr>
          <w:trHeight w:val="144"/>
        </w:trPr>
        <w:tc>
          <w:tcPr>
            <w:tcW w:w="2780" w:type="dxa"/>
            <w:vAlign w:val="bottom"/>
            <w:gridSpan w:val="2"/>
          </w:tcPr>
          <w:p>
            <w:pPr>
              <w:spacing w:after="0"/>
              <w:rPr>
                <w:sz w:val="20"/>
                <w:szCs w:val="20"/>
                <w:color w:val="auto"/>
              </w:rPr>
            </w:pPr>
            <w:r>
              <w:rPr>
                <w:rFonts w:ascii="Arial" w:cs="Arial" w:eastAsia="Arial" w:hAnsi="Arial"/>
                <w:sz w:val="12"/>
                <w:szCs w:val="12"/>
                <w:color w:val="auto"/>
              </w:rPr>
              <w:t>Brand name intangibles</w:t>
            </w:r>
          </w:p>
        </w:tc>
        <w:tc>
          <w:tcPr>
            <w:tcW w:w="760" w:type="dxa"/>
            <w:vAlign w:val="bottom"/>
          </w:tcPr>
          <w:p>
            <w:pPr>
              <w:jc w:val="right"/>
              <w:spacing w:after="0"/>
              <w:rPr>
                <w:sz w:val="20"/>
                <w:szCs w:val="20"/>
                <w:color w:val="auto"/>
              </w:rPr>
            </w:pPr>
            <w:r>
              <w:rPr>
                <w:rFonts w:ascii="Arial" w:cs="Arial" w:eastAsia="Arial" w:hAnsi="Arial"/>
                <w:sz w:val="12"/>
                <w:szCs w:val="12"/>
                <w:color w:val="auto"/>
              </w:rPr>
              <w:t>indefinite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275</w:t>
            </w:r>
          </w:p>
        </w:tc>
      </w:tr>
      <w:tr>
        <w:trPr>
          <w:trHeight w:val="140"/>
        </w:trPr>
        <w:tc>
          <w:tcPr>
            <w:tcW w:w="278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Intangibles, net</w:t>
            </w: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22,305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(12,380)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9,925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22,305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(11,982)</w:t>
            </w: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10,323</w:t>
            </w:r>
          </w:p>
        </w:tc>
      </w:tr>
    </w:tbl>
    <w:p>
      <w:pPr>
        <w:spacing w:after="0" w:line="135" w:lineRule="exact"/>
        <w:rPr>
          <w:sz w:val="20"/>
          <w:szCs w:val="20"/>
          <w:color w:val="auto"/>
        </w:rPr>
      </w:pPr>
    </w:p>
    <w:p>
      <w:pPr>
        <w:ind w:left="40" w:right="300" w:firstLine="173"/>
        <w:spacing w:after="0" w:line="276" w:lineRule="auto"/>
        <w:rPr>
          <w:sz w:val="20"/>
          <w:szCs w:val="20"/>
          <w:color w:val="auto"/>
        </w:rPr>
      </w:pPr>
      <w:r>
        <w:rPr>
          <w:rFonts w:ascii="Arial" w:cs="Arial" w:eastAsia="Arial" w:hAnsi="Arial"/>
          <w:sz w:val="12"/>
          <w:szCs w:val="12"/>
          <w:color w:val="auto"/>
        </w:rPr>
        <w:t>We anticipate recording amortization expense of $1.2 million for the remainder of fiscal 2021, $1.6 million for fiscal year 2022, $1.5 million for fiscal year 2023, $1.5 million for fiscal year 2024, and $3.9 million thereafter.</w:t>
      </w:r>
    </w:p>
    <w:p>
      <w:pPr>
        <w:spacing w:after="0" w:line="111" w:lineRule="exact"/>
        <w:rPr>
          <w:sz w:val="20"/>
          <w:szCs w:val="20"/>
          <w:color w:val="auto"/>
        </w:rPr>
      </w:pPr>
    </w:p>
    <w:p>
      <w:pPr>
        <w:ind w:left="40"/>
        <w:spacing w:after="0"/>
        <w:tabs>
          <w:tab w:leader="none" w:pos="22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0"/>
          <w:szCs w:val="10"/>
          <w:b w:val="1"/>
          <w:bCs w:val="1"/>
          <w:color w:val="auto"/>
        </w:rPr>
        <w:t>Stock-Based Compensation</w:t>
      </w:r>
    </w:p>
    <w:p>
      <w:pPr>
        <w:spacing w:after="0" w:line="154" w:lineRule="exact"/>
        <w:rPr>
          <w:sz w:val="20"/>
          <w:szCs w:val="20"/>
          <w:color w:val="auto"/>
        </w:rPr>
      </w:pPr>
    </w:p>
    <w:p>
      <w:pPr>
        <w:ind w:left="40" w:right="20" w:firstLine="173"/>
        <w:spacing w:after="0" w:line="263" w:lineRule="auto"/>
        <w:rPr>
          <w:sz w:val="20"/>
          <w:szCs w:val="20"/>
          <w:color w:val="auto"/>
        </w:rPr>
      </w:pPr>
      <w:r>
        <w:rPr>
          <w:rFonts w:ascii="Arial" w:cs="Arial" w:eastAsia="Arial" w:hAnsi="Arial"/>
          <w:sz w:val="12"/>
          <w:szCs w:val="12"/>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22" w:lineRule="exact"/>
        <w:rPr>
          <w:sz w:val="20"/>
          <w:szCs w:val="20"/>
          <w:color w:val="auto"/>
        </w:rPr>
      </w:pPr>
    </w:p>
    <w:p>
      <w:pPr>
        <w:ind w:left="40" w:right="180" w:firstLine="173"/>
        <w:spacing w:after="0" w:line="259" w:lineRule="auto"/>
        <w:rPr>
          <w:sz w:val="20"/>
          <w:szCs w:val="20"/>
          <w:color w:val="auto"/>
        </w:rPr>
      </w:pPr>
      <w:r>
        <w:rPr>
          <w:rFonts w:ascii="Arial" w:cs="Arial" w:eastAsia="Arial" w:hAnsi="Arial"/>
          <w:sz w:val="12"/>
          <w:szCs w:val="12"/>
          <w:color w:val="auto"/>
        </w:rPr>
        <w:t>On November 2, 2020, 11 of our non-employee directors were each granted 1,500 restricted shares, as part of their annual compensation, (total of 16,500 shares). These shares have full voting rights and participate in dividends as if unrestricted. The closing price of our stock on such date was $67.97. On January 2, 2022, as long as the directors are still serving on the board, these shares lose their restriction and become non-forfeitable and transferable. These shares were granted pursuant to our 2011 Plan. The total recognized stock-based compensation expense for these grants was $0.1 million for the three months ended January 31, 2021.</w:t>
      </w:r>
    </w:p>
    <w:p>
      <w:pPr>
        <w:spacing w:after="0" w:line="124" w:lineRule="exact"/>
        <w:rPr>
          <w:sz w:val="20"/>
          <w:szCs w:val="20"/>
          <w:color w:val="auto"/>
        </w:rPr>
      </w:pPr>
    </w:p>
    <w:p>
      <w:pPr>
        <w:ind w:left="40" w:right="240" w:firstLine="173"/>
        <w:spacing w:after="0" w:line="323" w:lineRule="auto"/>
        <w:rPr>
          <w:sz w:val="20"/>
          <w:szCs w:val="20"/>
          <w:color w:val="auto"/>
        </w:rPr>
      </w:pPr>
      <w:r>
        <w:rPr>
          <w:rFonts w:ascii="Arial" w:cs="Arial" w:eastAsia="Arial" w:hAnsi="Arial"/>
          <w:sz w:val="11"/>
          <w:szCs w:val="11"/>
          <w:color w:val="auto"/>
        </w:rPr>
        <w:t>On November 2, 2020, our executive officers were granted a total of 9,334 restricted shares. These shares have full voting rights and participate in dividends as if unrestricted. The closing price of our stock on such date was $67.97. These shares vest in one-half increments, on an annual basis, beginning November 2, 2021. These shares were granted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238125</wp:posOffset>
            </wp:positionV>
            <wp:extent cx="57035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40"/>
          </w:cols>
          <w:pgMar w:left="1420" w:top="392" w:right="1439" w:bottom="1440" w:gutter="0" w:footer="0" w:header="0"/>
        </w:sectPr>
      </w:pPr>
    </w:p>
    <w:bookmarkStart w:id="12" w:name="page13"/>
    <w:bookmarkEnd w:id="12"/>
    <w:p>
      <w:pPr>
        <w:ind w:left="6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Arial" w:cs="Arial" w:eastAsia="Arial" w:hAnsi="Arial"/>
          <w:sz w:val="12"/>
          <w:szCs w:val="12"/>
          <w:color w:val="auto"/>
        </w:rPr>
        <w:t>pursuant to our 2011 Plan. The total recognized stock-based compensation expense for these grants was $0.1 million for the three months ended January 31, 2021.</w:t>
      </w:r>
    </w:p>
    <w:p>
      <w:pPr>
        <w:spacing w:after="0" w:line="150" w:lineRule="exact"/>
        <w:rPr>
          <w:sz w:val="20"/>
          <w:szCs w:val="20"/>
          <w:color w:val="auto"/>
        </w:rPr>
      </w:pPr>
    </w:p>
    <w:p>
      <w:pPr>
        <w:ind w:left="60" w:right="140" w:firstLine="173"/>
        <w:spacing w:after="0" w:line="298" w:lineRule="auto"/>
        <w:rPr>
          <w:sz w:val="20"/>
          <w:szCs w:val="20"/>
          <w:color w:val="auto"/>
        </w:rPr>
      </w:pPr>
      <w:r>
        <w:rPr>
          <w:rFonts w:ascii="Arial" w:cs="Arial" w:eastAsia="Arial" w:hAnsi="Arial"/>
          <w:sz w:val="11"/>
          <w:szCs w:val="11"/>
          <w:color w:val="auto"/>
        </w:rPr>
        <w:t>On November 2, 2020, key employees were granted a total of 2,600 restricted shares. These shares have full voting rights and participate in dividends as if unrestricted. The closing price of our stock on such date was $67.97. These shares vest in one-third increments, on an annual basis, beginning November 2, 2021. These shares were granted pursuant to our 2011 Plan. The total recognized stock-based compensation expense for these grants were insignificant for the three months ended January 31, 2021.</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summary of restricted stock activity, related to our 2011 Management Incentive Plan, is as follows (in thousands, except for per share amounts):</w:t>
      </w:r>
    </w:p>
    <w:tbl>
      <w:tblPr>
        <w:tblLayout w:type="fixed"/>
        <w:tblInd w:w="60" w:type="dxa"/>
        <w:tblCellMar>
          <w:top w:w="0" w:type="dxa"/>
          <w:left w:w="0" w:type="dxa"/>
          <w:bottom w:w="0" w:type="dxa"/>
          <w:right w:w="0" w:type="dxa"/>
        </w:tblCellMar>
      </w:tblPr>
      <w:tr>
        <w:trPr>
          <w:trHeight w:val="108"/>
        </w:trPr>
        <w:tc>
          <w:tcPr>
            <w:tcW w:w="5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tcPr>
          <w:p>
            <w:pPr>
              <w:ind w:left="200"/>
              <w:spacing w:after="0" w:line="109" w:lineRule="exact"/>
              <w:rPr>
                <w:sz w:val="20"/>
                <w:szCs w:val="20"/>
                <w:color w:val="auto"/>
              </w:rPr>
            </w:pPr>
            <w:r>
              <w:rPr>
                <w:rFonts w:ascii="Arial" w:cs="Arial" w:eastAsia="Arial" w:hAnsi="Arial"/>
                <w:sz w:val="10"/>
                <w:szCs w:val="10"/>
                <w:b w:val="1"/>
                <w:bCs w:val="1"/>
                <w:color w:val="auto"/>
              </w:rPr>
              <w:t>Weighted-Average</w:t>
            </w:r>
          </w:p>
        </w:tc>
        <w:tc>
          <w:tcPr>
            <w:tcW w:w="120" w:type="dxa"/>
            <w:vAlign w:val="bottom"/>
          </w:tcPr>
          <w:p>
            <w:pPr>
              <w:spacing w:after="0"/>
              <w:rPr>
                <w:sz w:val="9"/>
                <w:szCs w:val="9"/>
                <w:color w:val="auto"/>
              </w:rPr>
            </w:pPr>
          </w:p>
        </w:tc>
        <w:tc>
          <w:tcPr>
            <w:tcW w:w="88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4"/>
              </w:rPr>
              <w:t>Aggregate</w:t>
            </w:r>
          </w:p>
        </w:tc>
      </w:tr>
      <w:tr>
        <w:trPr>
          <w:trHeight w:val="113"/>
        </w:trPr>
        <w:tc>
          <w:tcPr>
            <w:tcW w:w="6220" w:type="dxa"/>
            <w:vAlign w:val="bottom"/>
            <w:gridSpan w:val="2"/>
          </w:tcPr>
          <w:p>
            <w:pPr>
              <w:ind w:left="5380"/>
              <w:spacing w:after="0" w:line="114" w:lineRule="exact"/>
              <w:rPr>
                <w:sz w:val="20"/>
                <w:szCs w:val="20"/>
                <w:color w:val="auto"/>
              </w:rPr>
            </w:pPr>
            <w:r>
              <w:rPr>
                <w:rFonts w:ascii="Arial" w:cs="Arial" w:eastAsia="Arial" w:hAnsi="Arial"/>
                <w:sz w:val="10"/>
                <w:szCs w:val="10"/>
                <w:b w:val="1"/>
                <w:bCs w:val="1"/>
                <w:color w:val="auto"/>
                <w:w w:val="95"/>
              </w:rPr>
              <w:t>Number of Shares</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Grant Price</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7"/>
              </w:rPr>
              <w:t>Intrinsic Value</w:t>
            </w:r>
          </w:p>
        </w:tc>
      </w:tr>
      <w:tr>
        <w:trPr>
          <w:trHeight w:val="133"/>
        </w:trPr>
        <w:tc>
          <w:tcPr>
            <w:tcW w:w="5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at October 31, 2020</w:t>
            </w:r>
          </w:p>
        </w:tc>
        <w:tc>
          <w:tcPr>
            <w:tcW w:w="8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w:t>
            </w: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760"/>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80.45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Vested</w:t>
            </w:r>
          </w:p>
        </w:tc>
        <w:tc>
          <w:tcPr>
            <w:tcW w:w="300" w:type="dxa"/>
            <w:vAlign w:val="bottom"/>
          </w:tcPr>
          <w:p>
            <w:pPr>
              <w:jc w:val="right"/>
              <w:spacing w:after="0"/>
              <w:rPr>
                <w:sz w:val="20"/>
                <w:szCs w:val="20"/>
                <w:color w:val="auto"/>
              </w:rPr>
            </w:pPr>
            <w:r>
              <w:rPr>
                <w:rFonts w:ascii="Arial" w:cs="Arial" w:eastAsia="Arial" w:hAnsi="Arial"/>
                <w:sz w:val="12"/>
                <w:szCs w:val="12"/>
                <w:color w:val="auto"/>
              </w:rPr>
              <w:t>(36)</w:t>
            </w:r>
          </w:p>
        </w:tc>
        <w:tc>
          <w:tcPr>
            <w:tcW w:w="100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86"/>
              </w:rPr>
              <w:t>85.32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Granted</w:t>
            </w:r>
          </w:p>
        </w:tc>
        <w:tc>
          <w:tcPr>
            <w:tcW w:w="8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67.97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0"/>
        </w:trPr>
        <w:tc>
          <w:tcPr>
            <w:tcW w:w="5380" w:type="dxa"/>
            <w:vAlign w:val="bottom"/>
          </w:tcPr>
          <w:p>
            <w:pPr>
              <w:spacing w:after="0" w:line="133" w:lineRule="exact"/>
              <w:rPr>
                <w:sz w:val="20"/>
                <w:szCs w:val="20"/>
                <w:color w:val="auto"/>
              </w:rPr>
            </w:pPr>
            <w:r>
              <w:rPr>
                <w:rFonts w:ascii="Arial" w:cs="Arial" w:eastAsia="Arial" w:hAnsi="Arial"/>
                <w:sz w:val="12"/>
                <w:szCs w:val="12"/>
                <w:color w:val="auto"/>
              </w:rPr>
              <w:t>Outstanding at January 31, 2021</w:t>
            </w: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68</w:t>
            </w:r>
          </w:p>
        </w:tc>
        <w:tc>
          <w:tcPr>
            <w:tcW w:w="1000" w:type="dxa"/>
            <w:vAlign w:val="bottom"/>
            <w:gridSpan w:val="2"/>
          </w:tcPr>
          <w:p>
            <w:pPr>
              <w:jc w:val="right"/>
              <w:ind w:right="760"/>
              <w:spacing w:after="0" w:line="133" w:lineRule="exact"/>
              <w:rPr>
                <w:sz w:val="20"/>
                <w:szCs w:val="20"/>
                <w:color w:val="auto"/>
              </w:rPr>
            </w:pPr>
            <w:r>
              <w:rPr>
                <w:rFonts w:ascii="Arial" w:cs="Arial" w:eastAsia="Arial" w:hAnsi="Arial"/>
                <w:sz w:val="12"/>
                <w:szCs w:val="12"/>
                <w:color w:val="auto"/>
              </w:rPr>
              <w:t>$</w:t>
            </w:r>
          </w:p>
        </w:tc>
        <w:tc>
          <w:tcPr>
            <w:tcW w:w="320" w:type="dxa"/>
            <w:vAlign w:val="bottom"/>
          </w:tcPr>
          <w:p>
            <w:pPr>
              <w:jc w:val="right"/>
              <w:spacing w:after="0" w:line="133" w:lineRule="exact"/>
              <w:rPr>
                <w:sz w:val="20"/>
                <w:szCs w:val="20"/>
                <w:color w:val="auto"/>
              </w:rPr>
            </w:pPr>
            <w:r>
              <w:rPr>
                <w:rFonts w:ascii="Arial" w:cs="Arial" w:eastAsia="Arial" w:hAnsi="Arial"/>
                <w:sz w:val="12"/>
                <w:szCs w:val="12"/>
                <w:color w:val="auto"/>
                <w:w w:val="86"/>
              </w:rPr>
              <w:t>74.03</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5,142</w:t>
            </w:r>
          </w:p>
        </w:tc>
        <w:tc>
          <w:tcPr>
            <w:tcW w:w="40" w:type="dxa"/>
            <w:vAlign w:val="bottom"/>
          </w:tcPr>
          <w:p>
            <w:pPr>
              <w:spacing w:after="0"/>
              <w:rPr>
                <w:sz w:val="12"/>
                <w:szCs w:val="12"/>
                <w:color w:val="auto"/>
              </w:rPr>
            </w:pPr>
          </w:p>
        </w:tc>
      </w:tr>
    </w:tbl>
    <w:p>
      <w:pPr>
        <w:spacing w:after="0" w:line="135" w:lineRule="exact"/>
        <w:rPr>
          <w:sz w:val="20"/>
          <w:szCs w:val="20"/>
          <w:color w:val="auto"/>
        </w:rPr>
      </w:pPr>
    </w:p>
    <w:p>
      <w:pPr>
        <w:ind w:left="60" w:right="180" w:firstLine="173"/>
        <w:spacing w:after="0" w:line="276" w:lineRule="auto"/>
        <w:rPr>
          <w:sz w:val="20"/>
          <w:szCs w:val="20"/>
          <w:color w:val="auto"/>
        </w:rPr>
      </w:pPr>
      <w:r>
        <w:rPr>
          <w:rFonts w:ascii="Arial" w:cs="Arial" w:eastAsia="Arial" w:hAnsi="Arial"/>
          <w:sz w:val="12"/>
          <w:szCs w:val="12"/>
          <w:color w:val="auto"/>
        </w:rPr>
        <w:t>The total recognized stock-based compensation expense for restricted stock was $0.9 million for the three months ended January 31, 2021 and 2020. Total unrecognized stock-based compensation expense totaled $4.6 million as of January 31, 2021 and will be amortized through fiscal year 2023.</w:t>
      </w:r>
    </w:p>
    <w:p>
      <w:pPr>
        <w:spacing w:after="0" w:line="115" w:lineRule="exact"/>
        <w:rPr>
          <w:sz w:val="20"/>
          <w:szCs w:val="20"/>
          <w:color w:val="auto"/>
        </w:rPr>
      </w:pPr>
    </w:p>
    <w:p>
      <w:pPr>
        <w:ind w:left="60" w:right="180" w:firstLine="173"/>
        <w:spacing w:after="0" w:line="276" w:lineRule="auto"/>
        <w:rPr>
          <w:sz w:val="20"/>
          <w:szCs w:val="20"/>
          <w:color w:val="auto"/>
        </w:rPr>
      </w:pPr>
      <w:r>
        <w:rPr>
          <w:rFonts w:ascii="Arial" w:cs="Arial" w:eastAsia="Arial" w:hAnsi="Arial"/>
          <w:sz w:val="12"/>
          <w:szCs w:val="12"/>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43" w:lineRule="exact"/>
        <w:rPr>
          <w:sz w:val="20"/>
          <w:szCs w:val="20"/>
          <w:color w:val="auto"/>
        </w:rPr>
      </w:pPr>
    </w:p>
    <w:p>
      <w:pPr>
        <w:ind w:left="60" w:right="120" w:firstLine="173"/>
        <w:spacing w:after="0" w:line="276" w:lineRule="auto"/>
        <w:rPr>
          <w:sz w:val="20"/>
          <w:szCs w:val="20"/>
          <w:color w:val="auto"/>
        </w:rPr>
      </w:pPr>
      <w:r>
        <w:rPr>
          <w:rFonts w:ascii="Arial" w:cs="Arial" w:eastAsia="Arial" w:hAnsi="Arial"/>
          <w:sz w:val="12"/>
          <w:szCs w:val="12"/>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summary of stock option activity, related to our 2011 Management Incentive Plan, is as follows (in thousands, except for per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6"/>
              </w:rPr>
              <w:t>Weighted-Average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47"/>
              <w:spacing w:after="0"/>
              <w:rPr>
                <w:sz w:val="20"/>
                <w:szCs w:val="20"/>
                <w:color w:val="auto"/>
              </w:rPr>
            </w:pPr>
            <w:r>
              <w:rPr>
                <w:rFonts w:ascii="Arial" w:cs="Arial" w:eastAsia="Arial" w:hAnsi="Arial"/>
                <w:sz w:val="10"/>
                <w:szCs w:val="10"/>
                <w:b w:val="1"/>
                <w:bCs w:val="1"/>
                <w:color w:val="auto"/>
                <w:w w:val="84"/>
              </w:rPr>
              <w:t>Aggregate</w:t>
            </w:r>
          </w:p>
        </w:tc>
      </w:tr>
      <w:tr>
        <w:trPr>
          <w:trHeight w:val="144"/>
        </w:trPr>
        <w:tc>
          <w:tcPr>
            <w:tcW w:w="5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left="312"/>
              <w:spacing w:after="0"/>
              <w:rPr>
                <w:sz w:val="20"/>
                <w:szCs w:val="20"/>
                <w:color w:val="auto"/>
              </w:rPr>
            </w:pPr>
            <w:r>
              <w:rPr>
                <w:rFonts w:ascii="Arial" w:cs="Arial" w:eastAsia="Arial" w:hAnsi="Arial"/>
                <w:sz w:val="10"/>
                <w:szCs w:val="10"/>
                <w:b w:val="1"/>
                <w:bCs w:val="1"/>
                <w:color w:val="auto"/>
                <w:w w:val="87"/>
              </w:rPr>
              <w:t>Exercise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47"/>
              <w:spacing w:after="0"/>
              <w:rPr>
                <w:sz w:val="20"/>
                <w:szCs w:val="20"/>
                <w:color w:val="auto"/>
              </w:rPr>
            </w:pPr>
            <w:r>
              <w:rPr>
                <w:rFonts w:ascii="Arial" w:cs="Arial" w:eastAsia="Arial" w:hAnsi="Arial"/>
                <w:sz w:val="10"/>
                <w:szCs w:val="10"/>
                <w:b w:val="1"/>
                <w:bCs w:val="1"/>
                <w:color w:val="auto"/>
                <w:w w:val="87"/>
              </w:rPr>
              <w:t>Intrinsic</w:t>
            </w:r>
          </w:p>
        </w:tc>
      </w:tr>
      <w:tr>
        <w:trPr>
          <w:trHeight w:val="134"/>
        </w:trPr>
        <w:tc>
          <w:tcPr>
            <w:tcW w:w="574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w w:val="88"/>
              </w:rPr>
              <w:t>Number of Shares</w:t>
            </w: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center"/>
              <w:ind w:left="312"/>
              <w:spacing w:after="0"/>
              <w:rPr>
                <w:sz w:val="20"/>
                <w:szCs w:val="20"/>
                <w:color w:val="auto"/>
              </w:rPr>
            </w:pPr>
            <w:r>
              <w:rPr>
                <w:rFonts w:ascii="Arial" w:cs="Arial" w:eastAsia="Arial" w:hAnsi="Arial"/>
                <w:sz w:val="10"/>
                <w:szCs w:val="10"/>
                <w:b w:val="1"/>
                <w:bCs w:val="1"/>
                <w:color w:val="auto"/>
                <w:w w:val="81"/>
              </w:rPr>
              <w:t>Price</w:t>
            </w: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82"/>
              </w:rPr>
              <w:t>Value</w:t>
            </w:r>
          </w:p>
        </w:tc>
      </w:tr>
      <w:tr>
        <w:trPr>
          <w:trHeight w:val="133"/>
        </w:trPr>
        <w:tc>
          <w:tcPr>
            <w:tcW w:w="5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Outstanding at October 31, 2020</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16</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44.21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4"/>
        </w:trPr>
        <w:tc>
          <w:tcPr>
            <w:tcW w:w="5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Exercised</w:t>
            </w:r>
          </w:p>
        </w:tc>
        <w:tc>
          <w:tcPr>
            <w:tcW w:w="9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980" w:type="dxa"/>
            <w:vAlign w:val="bottom"/>
            <w:tcBorders>
              <w:bottom w:val="single" w:sz="8" w:color="CCEEFF"/>
            </w:tcBorders>
            <w:gridSpan w:val="2"/>
          </w:tcPr>
          <w:p>
            <w:pPr>
              <w:jc w:val="right"/>
              <w:ind w:right="692"/>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23.48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r>
      <w:tr>
        <w:trPr>
          <w:trHeight w:val="153"/>
        </w:trPr>
        <w:tc>
          <w:tcPr>
            <w:tcW w:w="5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Outstanding at January 31, 2021</w:t>
            </w: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14</w:t>
            </w:r>
          </w:p>
        </w:tc>
        <w:tc>
          <w:tcPr>
            <w:tcW w:w="980" w:type="dxa"/>
            <w:vAlign w:val="bottom"/>
            <w:gridSpan w:val="2"/>
            <w:shd w:val="clear" w:color="auto" w:fill="CCEEFF"/>
          </w:tcPr>
          <w:p>
            <w:pPr>
              <w:jc w:val="right"/>
              <w:ind w:right="692"/>
              <w:spacing w:after="0" w:line="133"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47.17</w:t>
            </w:r>
          </w:p>
        </w:tc>
        <w:tc>
          <w:tcPr>
            <w:tcW w:w="18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406</w:t>
            </w:r>
          </w:p>
        </w:tc>
      </w:tr>
      <w:tr>
        <w:trPr>
          <w:trHeight w:val="138"/>
        </w:trPr>
        <w:tc>
          <w:tcPr>
            <w:tcW w:w="5740" w:type="dxa"/>
            <w:vAlign w:val="bottom"/>
            <w:tcBorders>
              <w:top w:val="single" w:sz="8" w:color="CCEEFF"/>
            </w:tcBorders>
          </w:tcPr>
          <w:p>
            <w:pPr>
              <w:spacing w:after="0" w:line="131" w:lineRule="exact"/>
              <w:rPr>
                <w:sz w:val="20"/>
                <w:szCs w:val="20"/>
                <w:color w:val="auto"/>
              </w:rPr>
            </w:pPr>
            <w:r>
              <w:rPr>
                <w:rFonts w:ascii="Arial" w:cs="Arial" w:eastAsia="Arial" w:hAnsi="Arial"/>
                <w:sz w:val="12"/>
                <w:szCs w:val="12"/>
                <w:color w:val="auto"/>
              </w:rPr>
              <w:t>Exercisable at January 31, 2021</w:t>
            </w:r>
          </w:p>
        </w:tc>
        <w:tc>
          <w:tcPr>
            <w:tcW w:w="9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w w:val="89"/>
              </w:rPr>
              <w:t>12</w:t>
            </w:r>
          </w:p>
        </w:tc>
        <w:tc>
          <w:tcPr>
            <w:tcW w:w="980" w:type="dxa"/>
            <w:vAlign w:val="bottom"/>
            <w:tcBorders>
              <w:top w:val="single" w:sz="8" w:color="CCEEFF"/>
            </w:tcBorders>
            <w:gridSpan w:val="2"/>
          </w:tcPr>
          <w:p>
            <w:pPr>
              <w:jc w:val="right"/>
              <w:ind w:right="692"/>
              <w:spacing w:after="0" w:line="131"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2"/>
                <w:szCs w:val="12"/>
                <w:color w:val="auto"/>
              </w:rPr>
              <w:t>45.59</w:t>
            </w: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367</w:t>
            </w:r>
          </w:p>
        </w:tc>
      </w:tr>
    </w:tbl>
    <w:p>
      <w:pPr>
        <w:spacing w:after="0" w:line="135" w:lineRule="exact"/>
        <w:rPr>
          <w:sz w:val="20"/>
          <w:szCs w:val="20"/>
          <w:color w:val="auto"/>
        </w:rPr>
      </w:pPr>
    </w:p>
    <w:p>
      <w:pPr>
        <w:ind w:left="60" w:right="180" w:firstLine="173"/>
        <w:spacing w:after="0" w:line="276" w:lineRule="auto"/>
        <w:rPr>
          <w:sz w:val="20"/>
          <w:szCs w:val="20"/>
          <w:color w:val="auto"/>
        </w:rPr>
      </w:pPr>
      <w:r>
        <w:rPr>
          <w:rFonts w:ascii="Arial" w:cs="Arial" w:eastAsia="Arial" w:hAnsi="Arial"/>
          <w:sz w:val="12"/>
          <w:szCs w:val="12"/>
          <w:color w:val="auto"/>
        </w:rPr>
        <w:t>At January 31, 2021, outstanding and exercisable stock options had a weighted-average remaining contractual term of 3.3 years. The total recognized and unrecognized stock-based compensation expense was insignificant for the three months ended January 31, 2021 and 2020.</w:t>
      </w:r>
    </w:p>
    <w:p>
      <w:pPr>
        <w:spacing w:after="0" w:line="111" w:lineRule="exact"/>
        <w:rPr>
          <w:sz w:val="20"/>
          <w:szCs w:val="20"/>
          <w:color w:val="auto"/>
        </w:rPr>
      </w:pPr>
    </w:p>
    <w:p>
      <w:pPr>
        <w:ind w:left="280" w:hanging="225"/>
        <w:spacing w:after="0"/>
        <w:tabs>
          <w:tab w:leader="none" w:pos="28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Other events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Dividend payment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On December 4, 2020, we paid a $1.15 per share dividend in the aggregate amount of $20.3 million to shareholders of record on November 13, 2020.</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238125</wp:posOffset>
            </wp:positionV>
            <wp:extent cx="57035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80"/>
          </w:cols>
          <w:pgMar w:left="1400" w:top="392" w:right="1419" w:bottom="1440" w:gutter="0" w:footer="0" w:header="0"/>
        </w:sectPr>
      </w:pPr>
    </w:p>
    <w:bookmarkStart w:id="13" w:name="page14"/>
    <w:bookmarkEnd w:id="13"/>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Litigation</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From time to time, we are involved in litigation arising in the ordinary course of our business that we do not believe will have a material adverse impact on our financial statements.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Mexico tax audits</w:t>
      </w:r>
    </w:p>
    <w:p>
      <w:pPr>
        <w:spacing w:after="0" w:line="150" w:lineRule="exact"/>
        <w:rPr>
          <w:sz w:val="20"/>
          <w:szCs w:val="20"/>
          <w:color w:val="auto"/>
        </w:rPr>
      </w:pPr>
    </w:p>
    <w:p>
      <w:pPr>
        <w:ind w:left="20" w:right="139" w:firstLine="173"/>
        <w:spacing w:after="0" w:line="281" w:lineRule="auto"/>
        <w:rPr>
          <w:sz w:val="20"/>
          <w:szCs w:val="20"/>
          <w:color w:val="auto"/>
        </w:rPr>
      </w:pPr>
      <w:r>
        <w:rPr>
          <w:rFonts w:ascii="Arial" w:cs="Arial" w:eastAsia="Arial" w:hAnsi="Arial"/>
          <w:sz w:val="11"/>
          <w:szCs w:val="11"/>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15" w:lineRule="exact"/>
        <w:rPr>
          <w:sz w:val="20"/>
          <w:szCs w:val="20"/>
          <w:color w:val="auto"/>
        </w:rPr>
      </w:pPr>
    </w:p>
    <w:p>
      <w:pPr>
        <w:ind w:left="20" w:right="39" w:firstLine="173"/>
        <w:spacing w:after="0" w:line="280" w:lineRule="auto"/>
        <w:rPr>
          <w:sz w:val="20"/>
          <w:szCs w:val="20"/>
          <w:color w:val="auto"/>
        </w:rPr>
      </w:pPr>
      <w:r>
        <w:rPr>
          <w:rFonts w:ascii="Arial" w:cs="Arial" w:eastAsia="Arial" w:hAnsi="Arial"/>
          <w:sz w:val="11"/>
          <w:szCs w:val="11"/>
          <w:color w:val="auto"/>
        </w:rPr>
        <w:t>As a result, in April 2019, the MFM issued a final tax assessment to CDM (the “2011 Assessment”) totaling approximately $2.2 billion Mexican pesos (approx. $108.8 million USD at January 31, 2021)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w:t>
      </w:r>
    </w:p>
    <w:p>
      <w:pPr>
        <w:spacing w:after="0" w:line="115" w:lineRule="exact"/>
        <w:rPr>
          <w:sz w:val="20"/>
          <w:szCs w:val="20"/>
          <w:color w:val="auto"/>
        </w:rPr>
      </w:pPr>
    </w:p>
    <w:p>
      <w:pPr>
        <w:ind w:left="20" w:right="99" w:firstLine="173"/>
        <w:spacing w:after="0" w:line="256" w:lineRule="auto"/>
        <w:rPr>
          <w:sz w:val="20"/>
          <w:szCs w:val="20"/>
          <w:color w:val="auto"/>
        </w:rPr>
      </w:pPr>
      <w:r>
        <w:rPr>
          <w:rFonts w:ascii="Arial" w:cs="Arial" w:eastAsia="Arial" w:hAnsi="Arial"/>
          <w:sz w:val="12"/>
          <w:szCs w:val="12"/>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28" w:lineRule="exact"/>
        <w:rPr>
          <w:sz w:val="20"/>
          <w:szCs w:val="20"/>
          <w:color w:val="auto"/>
        </w:rPr>
      </w:pPr>
    </w:p>
    <w:p>
      <w:pPr>
        <w:jc w:val="both"/>
        <w:ind w:left="20" w:right="59" w:firstLine="173"/>
        <w:spacing w:after="0" w:line="298" w:lineRule="auto"/>
        <w:rPr>
          <w:sz w:val="20"/>
          <w:szCs w:val="20"/>
          <w:color w:val="auto"/>
        </w:rPr>
      </w:pPr>
      <w:r>
        <w:rPr>
          <w:rFonts w:ascii="Arial" w:cs="Arial" w:eastAsia="Arial" w:hAnsi="Arial"/>
          <w:sz w:val="11"/>
          <w:szCs w:val="11"/>
          <w:color w:val="auto"/>
        </w:rPr>
        <w:t>As a result, in July 2018, the SAT’s local office in Uruapan issued to CDM a final tax assessment (the “2013 Assessment”) totaling approximately $2.6 billion Mexican pesos (approx. $128.6 million USD at January 31, 2021) related to Income Tax, Flat Rate Business Tax, and Value Added Tax, related to this fiscal 2013 tax audit. Additionally, the tax authorities have determined that we owe our employee’s profit-sharing liability, totaling approximately $118 million Mexican pesos (approx. $5.8 million USD at January 31, 2021).</w:t>
      </w:r>
    </w:p>
    <w:p>
      <w:pPr>
        <w:spacing w:after="0" w:line="105" w:lineRule="exact"/>
        <w:rPr>
          <w:sz w:val="20"/>
          <w:szCs w:val="20"/>
          <w:color w:val="auto"/>
        </w:rPr>
      </w:pPr>
    </w:p>
    <w:p>
      <w:pPr>
        <w:ind w:left="20" w:right="39" w:firstLine="173"/>
        <w:spacing w:after="0" w:line="256" w:lineRule="auto"/>
        <w:rPr>
          <w:sz w:val="20"/>
          <w:szCs w:val="20"/>
          <w:color w:val="auto"/>
        </w:rPr>
      </w:pPr>
      <w:r>
        <w:rPr>
          <w:rFonts w:ascii="Arial" w:cs="Arial" w:eastAsia="Arial" w:hAnsi="Arial"/>
          <w:sz w:val="12"/>
          <w:szCs w:val="12"/>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4" w:name="page15"/>
    <w:bookmarkEnd w:id="14"/>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light of the foregoing, the Company is currently considering its options for resolution of the two tax assessments:</w:t>
      </w:r>
    </w:p>
    <w:p>
      <w:pPr>
        <w:spacing w:after="0" w:line="150" w:lineRule="exact"/>
        <w:rPr>
          <w:sz w:val="20"/>
          <w:szCs w:val="20"/>
          <w:color w:val="auto"/>
        </w:rPr>
      </w:pPr>
    </w:p>
    <w:p>
      <w:pPr>
        <w:ind w:left="460" w:right="99" w:hanging="211"/>
        <w:spacing w:after="0" w:line="259"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unlikely event of an unfavorable resolution of the administrative appeal, we could file a nullification suit with the Mexican Tax Court. In order to file such suit, we would be required to post collateral or a bond for the total amount of the tax assessment (including inflation adjustments, penalties and surcharges) while the suit is in process, which could last from two to three years. If the suit results in an unfavorable ruling, there is an option to appeal to the Collegiate Circuit Court while maintaining the collateral or bond in place.</w:t>
      </w:r>
    </w:p>
    <w:p>
      <w:pPr>
        <w:spacing w:after="0" w:line="124" w:lineRule="exact"/>
        <w:rPr>
          <w:rFonts w:ascii="Arial" w:cs="Arial" w:eastAsia="Arial" w:hAnsi="Arial"/>
          <w:sz w:val="12"/>
          <w:szCs w:val="12"/>
          <w:color w:val="auto"/>
        </w:rPr>
      </w:pPr>
    </w:p>
    <w:p>
      <w:pPr>
        <w:ind w:left="460" w:right="99" w:hanging="211"/>
        <w:spacing w:after="0" w:line="276"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of filing a nullification suit, the collateral or bonding requirement may be avoided by filing a nullification suit on substantive matters (“Juicio de Fondo”). This type of suit permits only arguments on the legal merits of the taxpayer’s case, and limits arguments on procedural matters.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estimated time for resolution of this matter could be affected by the situation related to the COVID-19 pandemic.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continue to believe that the ultimate resolution of these matters is unlikely to have a material effect on our consolidated financial position.</w:t>
      </w:r>
    </w:p>
    <w:p>
      <w:pPr>
        <w:spacing w:after="0" w:line="137"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0"/>
          <w:szCs w:val="10"/>
          <w:b w:val="1"/>
          <w:bCs w:val="1"/>
          <w:color w:val="auto"/>
        </w:rPr>
        <w:t>Fair value measurements</w:t>
      </w:r>
    </w:p>
    <w:p>
      <w:pPr>
        <w:spacing w:after="0" w:line="154" w:lineRule="exact"/>
        <w:rPr>
          <w:sz w:val="20"/>
          <w:szCs w:val="20"/>
          <w:color w:val="auto"/>
        </w:rPr>
      </w:pPr>
    </w:p>
    <w:p>
      <w:pPr>
        <w:ind w:left="20" w:right="239" w:firstLine="173"/>
        <w:spacing w:after="0" w:line="259" w:lineRule="auto"/>
        <w:rPr>
          <w:sz w:val="20"/>
          <w:szCs w:val="20"/>
          <w:color w:val="auto"/>
        </w:rPr>
      </w:pPr>
      <w:r>
        <w:rPr>
          <w:rFonts w:ascii="Arial" w:cs="Arial" w:eastAsia="Arial" w:hAnsi="Arial"/>
          <w:sz w:val="12"/>
          <w:szCs w:val="12"/>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24" w:lineRule="exact"/>
        <w:rPr>
          <w:sz w:val="20"/>
          <w:szCs w:val="20"/>
          <w:color w:val="auto"/>
        </w:rPr>
      </w:pPr>
    </w:p>
    <w:p>
      <w:pPr>
        <w:ind w:left="20" w:right="239" w:firstLine="203"/>
        <w:spacing w:after="0" w:line="276" w:lineRule="auto"/>
        <w:rPr>
          <w:sz w:val="20"/>
          <w:szCs w:val="20"/>
          <w:color w:val="auto"/>
        </w:rPr>
      </w:pPr>
      <w:r>
        <w:rPr>
          <w:rFonts w:ascii="Arial" w:cs="Arial" w:eastAsia="Arial" w:hAnsi="Arial"/>
          <w:sz w:val="12"/>
          <w:szCs w:val="12"/>
          <w:color w:val="auto"/>
        </w:rPr>
        <w:t>The following table sets forth our financial assets and liabilities as of January 31, 2021 that are measured on a recurring basis during the period, segregated by level within the fair value hierarchy:</w:t>
      </w:r>
    </w:p>
    <w:p>
      <w:pPr>
        <w:spacing w:after="0" w:line="162" w:lineRule="exact"/>
        <w:rPr>
          <w:sz w:val="20"/>
          <w:szCs w:val="20"/>
          <w:color w:val="auto"/>
        </w:rPr>
      </w:pPr>
    </w:p>
    <w:tbl>
      <w:tblPr>
        <w:tblLayout w:type="fixed"/>
        <w:tblInd w:w="8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Level 1</w:t>
            </w:r>
          </w:p>
        </w:tc>
        <w:tc>
          <w:tcPr>
            <w:tcW w:w="180" w:type="dxa"/>
            <w:vAlign w:val="bottom"/>
          </w:tcPr>
          <w:p>
            <w:pPr>
              <w:spacing w:after="0"/>
              <w:rPr>
                <w:sz w:val="10"/>
                <w:szCs w:val="10"/>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Level 2</w:t>
            </w:r>
          </w:p>
        </w:tc>
        <w:tc>
          <w:tcPr>
            <w:tcW w:w="180" w:type="dxa"/>
            <w:vAlign w:val="bottom"/>
          </w:tcPr>
          <w:p>
            <w:pPr>
              <w:spacing w:after="0"/>
              <w:rPr>
                <w:sz w:val="10"/>
                <w:szCs w:val="10"/>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Level 3</w:t>
            </w: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gridSpan w:val="7"/>
          </w:tcPr>
          <w:p>
            <w:pPr>
              <w:jc w:val="right"/>
              <w:ind w:right="12"/>
              <w:spacing w:after="0"/>
              <w:rPr>
                <w:sz w:val="20"/>
                <w:szCs w:val="20"/>
                <w:color w:val="auto"/>
              </w:rPr>
            </w:pPr>
            <w:r>
              <w:rPr>
                <w:rFonts w:ascii="Arial" w:cs="Arial" w:eastAsia="Arial" w:hAnsi="Arial"/>
                <w:sz w:val="10"/>
                <w:szCs w:val="10"/>
                <w:b w:val="1"/>
                <w:bCs w:val="1"/>
                <w:color w:val="auto"/>
              </w:rPr>
              <w:t>(All amounts are pres</w:t>
            </w:r>
            <w:r>
              <w:rPr>
                <w:rFonts w:ascii="Arial" w:cs="Arial" w:eastAsia="Arial" w:hAnsi="Arial"/>
                <w:sz w:val="10"/>
                <w:szCs w:val="10"/>
                <w:color w:val="auto"/>
              </w:rPr>
              <w:t>e</w:t>
            </w:r>
            <w:r>
              <w:rPr>
                <w:rFonts w:ascii="Arial" w:cs="Arial" w:eastAsia="Arial" w:hAnsi="Arial"/>
                <w:sz w:val="10"/>
                <w:szCs w:val="10"/>
                <w:b w:val="1"/>
                <w:bCs w:val="1"/>
                <w:color w:val="auto"/>
              </w:rPr>
              <w:t>nted in thousands)</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 at Fair Value at January 31, 2021:</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line="144" w:lineRule="exact"/>
              <w:rPr>
                <w:sz w:val="20"/>
                <w:szCs w:val="20"/>
                <w:color w:val="auto"/>
              </w:rPr>
            </w:pPr>
            <w:r>
              <w:rPr>
                <w:rFonts w:ascii="Arial" w:cs="Arial" w:eastAsia="Arial" w:hAnsi="Arial"/>
                <w:sz w:val="11"/>
                <w:szCs w:val="11"/>
                <w:color w:val="auto"/>
              </w:rPr>
              <w:t>Investment in Limoneira Company</w:t>
            </w:r>
            <w:r>
              <w:rPr>
                <w:rFonts w:ascii="Arial" w:cs="Arial" w:eastAsia="Arial" w:hAnsi="Arial"/>
                <w:sz w:val="16"/>
                <w:szCs w:val="16"/>
                <w:color w:val="auto"/>
                <w:vertAlign w:val="superscript"/>
              </w:rPr>
              <w:t>(1)</w:t>
            </w:r>
          </w:p>
        </w:tc>
        <w:tc>
          <w:tcPr>
            <w:tcW w:w="136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26,786</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26,786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assets at fair value</w:t>
            </w: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26,786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26,786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 at Fair Value at October 31, 2020:</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line="144" w:lineRule="exact"/>
              <w:rPr>
                <w:sz w:val="20"/>
                <w:szCs w:val="20"/>
                <w:color w:val="auto"/>
              </w:rPr>
            </w:pPr>
            <w:r>
              <w:rPr>
                <w:rFonts w:ascii="Arial" w:cs="Arial" w:eastAsia="Arial" w:hAnsi="Arial"/>
                <w:sz w:val="11"/>
                <w:szCs w:val="11"/>
                <w:color w:val="auto"/>
              </w:rPr>
              <w:t>Investment in Limoneira Company</w:t>
            </w:r>
            <w:r>
              <w:rPr>
                <w:rFonts w:ascii="Arial" w:cs="Arial" w:eastAsia="Arial" w:hAnsi="Arial"/>
                <w:sz w:val="16"/>
                <w:szCs w:val="16"/>
                <w:color w:val="auto"/>
                <w:vertAlign w:val="superscript"/>
              </w:rPr>
              <w:t>(1)</w:t>
            </w:r>
          </w:p>
        </w:tc>
        <w:tc>
          <w:tcPr>
            <w:tcW w:w="136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23,197</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23,197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assets at fair value</w:t>
            </w: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23,197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142875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256" w:lineRule="exact"/>
        <w:rPr>
          <w:sz w:val="20"/>
          <w:szCs w:val="20"/>
          <w:color w:val="auto"/>
        </w:rPr>
      </w:pPr>
    </w:p>
    <w:p>
      <w:pPr>
        <w:jc w:val="both"/>
        <w:ind w:left="820" w:right="339" w:hanging="209"/>
        <w:spacing w:after="0" w:line="222" w:lineRule="auto"/>
        <w:tabs>
          <w:tab w:leader="none" w:pos="812" w:val="left"/>
        </w:tabs>
        <w:numPr>
          <w:ilvl w:val="0"/>
          <w:numId w:val="5"/>
        </w:numPr>
        <w:rPr>
          <w:rFonts w:ascii="Arial" w:cs="Arial" w:eastAsia="Arial" w:hAnsi="Arial"/>
          <w:sz w:val="10"/>
          <w:szCs w:val="10"/>
          <w:color w:val="auto"/>
        </w:rPr>
      </w:pPr>
      <w:r>
        <w:rPr>
          <w:rFonts w:ascii="Arial" w:cs="Arial" w:eastAsia="Arial" w:hAnsi="Arial"/>
          <w:sz w:val="10"/>
          <w:szCs w:val="10"/>
          <w:color w:val="auto"/>
        </w:rPr>
        <w:t>The investment in Limoneira Company consists of marketable securities in the Limoneira Company common stock. We currently own approximately 9% of Limoneira’s outstanding common stock. These securities are measured at fair value using quoted market prices. For the three months ended January 31, 2021 and 2020, we recognized gains of $3.6 million and losses of $1.0 million on the consolidated condensed statement of operations.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5" w:name="page16"/>
    <w:bookmarkEnd w:id="15"/>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0"/>
          <w:szCs w:val="10"/>
          <w:b w:val="1"/>
          <w:bCs w:val="1"/>
          <w:color w:val="auto"/>
        </w:rPr>
        <w:t>Noncontrolling interest</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The following table reconciles shareholders’ equity attributable to noncontrolling interest related to Avocados de Jalisco (in thousands).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7"/>
          </w:tcPr>
          <w:p>
            <w:pPr>
              <w:jc w:val="right"/>
              <w:ind w:right="36"/>
              <w:spacing w:after="0"/>
              <w:rPr>
                <w:sz w:val="20"/>
                <w:szCs w:val="20"/>
                <w:color w:val="auto"/>
              </w:rPr>
            </w:pPr>
            <w:r>
              <w:rPr>
                <w:rFonts w:ascii="Arial" w:cs="Arial" w:eastAsia="Arial" w:hAnsi="Arial"/>
                <w:sz w:val="10"/>
                <w:szCs w:val="10"/>
                <w:b w:val="1"/>
                <w:bCs w:val="1"/>
                <w:color w:val="auto"/>
              </w:rPr>
              <w:t>Three months ended January 31,</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66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Avocados de Jalisco noncontrolling interest</w:t>
            </w:r>
          </w:p>
        </w:tc>
        <w:tc>
          <w:tcPr>
            <w:tcW w:w="64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2021</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tcPr>
          <w:p>
            <w:pPr>
              <w:jc w:val="right"/>
              <w:spacing w:after="0" w:line="114" w:lineRule="exact"/>
              <w:rPr>
                <w:sz w:val="20"/>
                <w:szCs w:val="20"/>
                <w:color w:val="auto"/>
              </w:rPr>
            </w:pPr>
            <w:r>
              <w:rPr>
                <w:rFonts w:ascii="Arial" w:cs="Arial" w:eastAsia="Arial" w:hAnsi="Arial"/>
                <w:sz w:val="10"/>
                <w:szCs w:val="10"/>
                <w:b w:val="1"/>
                <w:bCs w:val="1"/>
                <w:color w:val="auto"/>
              </w:rPr>
              <w:t>2020</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88"/>
        </w:trPr>
        <w:tc>
          <w:tcPr>
            <w:tcW w:w="64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6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Noncontrolling interest, beginning</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1,472</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536"/>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1,688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600" w:type="dxa"/>
            <w:vAlign w:val="bottom"/>
            <w:gridSpan w:val="2"/>
          </w:tcPr>
          <w:p>
            <w:pPr>
              <w:spacing w:after="0"/>
              <w:rPr>
                <w:sz w:val="20"/>
                <w:szCs w:val="20"/>
                <w:color w:val="auto"/>
              </w:rPr>
            </w:pPr>
            <w:r>
              <w:rPr>
                <w:rFonts w:ascii="Arial" w:cs="Arial" w:eastAsia="Arial" w:hAnsi="Arial"/>
                <w:sz w:val="12"/>
                <w:szCs w:val="12"/>
                <w:color w:val="auto"/>
              </w:rPr>
              <w:t>Net loss attributable to noncontrolling interest of Avocados de Jalisco</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2"/>
                <w:szCs w:val="12"/>
                <w:color w:val="auto"/>
              </w:rPr>
              <w:t>(63)</w:t>
            </w:r>
          </w:p>
        </w:tc>
        <w:tc>
          <w:tcPr>
            <w:tcW w:w="20" w:type="dxa"/>
            <w:vAlign w:val="bottom"/>
          </w:tcPr>
          <w:p>
            <w:pPr>
              <w:spacing w:after="0"/>
              <w:rPr>
                <w:sz w:val="12"/>
                <w:szCs w:val="12"/>
                <w:color w:val="auto"/>
              </w:rPr>
            </w:pPr>
          </w:p>
        </w:tc>
      </w:tr>
      <w:tr>
        <w:trPr>
          <w:trHeight w:val="153"/>
        </w:trPr>
        <w:tc>
          <w:tcPr>
            <w:tcW w:w="660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Noncontrolling interest, ending</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1,432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1,625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93"/>
        </w:trPr>
        <w:tc>
          <w:tcPr>
            <w:tcW w:w="6600" w:type="dxa"/>
            <w:vAlign w:val="bottom"/>
            <w:gridSpan w:val="2"/>
          </w:tcPr>
          <w:p>
            <w:pPr>
              <w:spacing w:after="0"/>
              <w:rPr>
                <w:sz w:val="20"/>
                <w:szCs w:val="20"/>
                <w:color w:val="auto"/>
              </w:rPr>
            </w:pPr>
            <w:r>
              <w:rPr>
                <w:rFonts w:ascii="Arial" w:cs="Arial" w:eastAsia="Arial" w:hAnsi="Arial"/>
                <w:sz w:val="12"/>
                <w:szCs w:val="12"/>
                <w:b w:val="1"/>
                <w:bCs w:val="1"/>
                <w:color w:val="auto"/>
              </w:rPr>
              <w:t>10. Earnings per share</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6600" w:type="dxa"/>
            <w:vAlign w:val="bottom"/>
            <w:gridSpan w:val="2"/>
          </w:tcPr>
          <w:p>
            <w:pPr>
              <w:ind w:left="160"/>
              <w:spacing w:after="0"/>
              <w:rPr>
                <w:sz w:val="20"/>
                <w:szCs w:val="20"/>
                <w:color w:val="auto"/>
              </w:rPr>
            </w:pPr>
            <w:r>
              <w:rPr>
                <w:rFonts w:ascii="Arial" w:cs="Arial" w:eastAsia="Arial" w:hAnsi="Arial"/>
                <w:sz w:val="12"/>
                <w:szCs w:val="12"/>
                <w:color w:val="auto"/>
              </w:rPr>
              <w:t>Basic and diluted net income per share is calculated as follows (data in thousands, except per share data):</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80" w:type="dxa"/>
            <w:vAlign w:val="bottom"/>
            <w:gridSpan w:val="10"/>
          </w:tcPr>
          <w:p>
            <w:pPr>
              <w:jc w:val="right"/>
              <w:ind w:right="500"/>
              <w:spacing w:after="0"/>
              <w:rPr>
                <w:sz w:val="20"/>
                <w:szCs w:val="20"/>
                <w:color w:val="auto"/>
              </w:rPr>
            </w:pPr>
            <w:r>
              <w:rPr>
                <w:rFonts w:ascii="Arial" w:cs="Arial" w:eastAsia="Arial" w:hAnsi="Arial"/>
                <w:sz w:val="10"/>
                <w:szCs w:val="10"/>
                <w:b w:val="1"/>
                <w:bCs w:val="1"/>
                <w:color w:val="auto"/>
              </w:rPr>
              <w:t>Three months ended January 31,</w:t>
            </w:r>
          </w:p>
        </w:tc>
        <w:tc>
          <w:tcPr>
            <w:tcW w:w="20" w:type="dxa"/>
            <w:vAlign w:val="bottom"/>
          </w:tcPr>
          <w:p>
            <w:pPr>
              <w:spacing w:after="0"/>
              <w:rPr>
                <w:sz w:val="21"/>
                <w:szCs w:val="21"/>
                <w:color w:val="auto"/>
              </w:rPr>
            </w:pPr>
          </w:p>
        </w:tc>
      </w:tr>
      <w:tr>
        <w:trPr>
          <w:trHeight w:val="88"/>
        </w:trPr>
        <w:tc>
          <w:tcPr>
            <w:tcW w:w="6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2021</w:t>
            </w:r>
          </w:p>
        </w:tc>
        <w:tc>
          <w:tcPr>
            <w:tcW w:w="3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gridSpan w:val="3"/>
          </w:tcPr>
          <w:p>
            <w:pPr>
              <w:jc w:val="right"/>
              <w:ind w:right="16"/>
              <w:spacing w:after="0" w:line="88" w:lineRule="exact"/>
              <w:rPr>
                <w:sz w:val="20"/>
                <w:szCs w:val="20"/>
                <w:color w:val="auto"/>
              </w:rPr>
            </w:pPr>
            <w:r>
              <w:rPr>
                <w:rFonts w:ascii="Arial" w:cs="Arial" w:eastAsia="Arial" w:hAnsi="Arial"/>
                <w:sz w:val="10"/>
                <w:szCs w:val="10"/>
                <w:b w:val="1"/>
                <w:bCs w:val="1"/>
                <w:color w:val="auto"/>
              </w:rPr>
              <w:t>2020</w:t>
            </w:r>
          </w:p>
        </w:tc>
        <w:tc>
          <w:tcPr>
            <w:tcW w:w="3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33"/>
        </w:trPr>
        <w:tc>
          <w:tcPr>
            <w:tcW w:w="660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Numerator:</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44"/>
        </w:trPr>
        <w:tc>
          <w:tcPr>
            <w:tcW w:w="6600" w:type="dxa"/>
            <w:vAlign w:val="bottom"/>
            <w:gridSpan w:val="2"/>
          </w:tcPr>
          <w:p>
            <w:pPr>
              <w:spacing w:after="0"/>
              <w:rPr>
                <w:sz w:val="20"/>
                <w:szCs w:val="20"/>
                <w:color w:val="auto"/>
              </w:rPr>
            </w:pPr>
            <w:r>
              <w:rPr>
                <w:rFonts w:ascii="Arial" w:cs="Arial" w:eastAsia="Arial" w:hAnsi="Arial"/>
                <w:sz w:val="12"/>
                <w:szCs w:val="12"/>
                <w:color w:val="auto"/>
              </w:rPr>
              <w:t>Net income (loss) attributable to Calavo Growers, Inc.</w:t>
            </w:r>
          </w:p>
        </w:tc>
        <w:tc>
          <w:tcPr>
            <w:tcW w:w="640" w:type="dxa"/>
            <w:vAlign w:val="bottom"/>
            <w:gridSpan w:val="2"/>
          </w:tcPr>
          <w:p>
            <w:pPr>
              <w:jc w:val="right"/>
              <w:ind w:right="472"/>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5,277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556"/>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(938)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6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Denominator:</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600" w:type="dxa"/>
            <w:vAlign w:val="bottom"/>
            <w:gridSpan w:val="2"/>
          </w:tcPr>
          <w:p>
            <w:pPr>
              <w:spacing w:after="0"/>
              <w:rPr>
                <w:sz w:val="20"/>
                <w:szCs w:val="20"/>
                <w:color w:val="auto"/>
              </w:rPr>
            </w:pPr>
            <w:r>
              <w:rPr>
                <w:rFonts w:ascii="Arial" w:cs="Arial" w:eastAsia="Arial" w:hAnsi="Arial"/>
                <w:sz w:val="12"/>
                <w:szCs w:val="12"/>
                <w:color w:val="auto"/>
              </w:rPr>
              <w:t>Weighted average shares – Basic</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81"/>
              </w:rPr>
              <w:t>17,599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7"/>
              </w:rPr>
              <w:t>17,536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Effect of dilutive securities – Restricted stock/options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r>
      <w:tr>
        <w:trPr>
          <w:trHeight w:val="140"/>
        </w:trPr>
        <w:tc>
          <w:tcPr>
            <w:tcW w:w="660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Weighted average shares – Diluted</w:t>
            </w:r>
          </w:p>
        </w:tc>
        <w:tc>
          <w:tcPr>
            <w:tcW w:w="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1"/>
              </w:rPr>
              <w:t>17,669</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7"/>
              </w:rPr>
              <w:t>17,536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r>
      <w:tr>
        <w:trPr>
          <w:trHeight w:val="144"/>
        </w:trPr>
        <w:tc>
          <w:tcPr>
            <w:tcW w:w="66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 (loss) per share attributable to Calavo Growers,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600" w:type="dxa"/>
            <w:vAlign w:val="bottom"/>
            <w:gridSpan w:val="2"/>
          </w:tcPr>
          <w:p>
            <w:pPr>
              <w:spacing w:after="0"/>
              <w:rPr>
                <w:sz w:val="20"/>
                <w:szCs w:val="20"/>
                <w:color w:val="auto"/>
              </w:rPr>
            </w:pPr>
            <w:r>
              <w:rPr>
                <w:rFonts w:ascii="Arial" w:cs="Arial" w:eastAsia="Arial" w:hAnsi="Arial"/>
                <w:sz w:val="12"/>
                <w:szCs w:val="12"/>
                <w:color w:val="auto"/>
              </w:rPr>
              <w:t>Basic</w:t>
            </w:r>
          </w:p>
        </w:tc>
        <w:tc>
          <w:tcPr>
            <w:tcW w:w="640" w:type="dxa"/>
            <w:vAlign w:val="bottom"/>
            <w:gridSpan w:val="2"/>
          </w:tcPr>
          <w:p>
            <w:pPr>
              <w:jc w:val="right"/>
              <w:ind w:right="472"/>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0.30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556"/>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w:t>
            </w:r>
          </w:p>
        </w:tc>
        <w:tc>
          <w:tcPr>
            <w:tcW w:w="640" w:type="dxa"/>
            <w:vAlign w:val="bottom"/>
            <w:gridSpan w:val="2"/>
            <w:shd w:val="clear" w:color="auto" w:fill="CCEEFF"/>
          </w:tcPr>
          <w:p>
            <w:pPr>
              <w:jc w:val="right"/>
              <w:ind w:right="472"/>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556"/>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bl>
    <w:p>
      <w:pPr>
        <w:spacing w:after="0" w:line="14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11. Mexican IVA taxes receivable</w:t>
      </w:r>
    </w:p>
    <w:p>
      <w:pPr>
        <w:spacing w:after="0" w:line="154" w:lineRule="exact"/>
        <w:rPr>
          <w:sz w:val="20"/>
          <w:szCs w:val="20"/>
          <w:color w:val="auto"/>
        </w:rPr>
      </w:pPr>
    </w:p>
    <w:p>
      <w:pPr>
        <w:jc w:val="both"/>
        <w:ind w:left="20" w:right="139" w:firstLine="173"/>
        <w:spacing w:after="0" w:line="276" w:lineRule="auto"/>
        <w:rPr>
          <w:sz w:val="20"/>
          <w:szCs w:val="20"/>
          <w:color w:val="auto"/>
        </w:rPr>
      </w:pPr>
      <w:r>
        <w:rPr>
          <w:rFonts w:ascii="Arial" w:cs="Arial" w:eastAsia="Arial" w:hAnsi="Arial"/>
          <w:sz w:val="12"/>
          <w:szCs w:val="12"/>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15" w:lineRule="exact"/>
        <w:rPr>
          <w:sz w:val="20"/>
          <w:szCs w:val="20"/>
          <w:color w:val="auto"/>
        </w:rPr>
      </w:pPr>
    </w:p>
    <w:p>
      <w:pPr>
        <w:ind w:left="20" w:right="19" w:firstLine="173"/>
        <w:spacing w:after="0" w:line="255" w:lineRule="auto"/>
        <w:rPr>
          <w:sz w:val="20"/>
          <w:szCs w:val="20"/>
          <w:color w:val="auto"/>
        </w:rPr>
      </w:pPr>
      <w:r>
        <w:rPr>
          <w:rFonts w:ascii="Arial" w:cs="Arial" w:eastAsia="Arial" w:hAnsi="Arial"/>
          <w:sz w:val="12"/>
          <w:szCs w:val="12"/>
          <w:color w:val="auto"/>
        </w:rPr>
        <w:t>As of January 31, 2021, and October 31, 2020, CDM IVA receivables totaled $33.2 million (671.2 million Mexican pesos) and $30.2 million (640.7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 and/or administrative appeals.</w:t>
      </w:r>
    </w:p>
    <w:p>
      <w:pPr>
        <w:spacing w:after="0" w:line="128" w:lineRule="exact"/>
        <w:rPr>
          <w:sz w:val="20"/>
          <w:szCs w:val="20"/>
          <w:color w:val="auto"/>
        </w:rPr>
      </w:pPr>
    </w:p>
    <w:p>
      <w:pPr>
        <w:ind w:left="20" w:right="39" w:firstLine="173"/>
        <w:spacing w:after="0" w:line="281" w:lineRule="auto"/>
        <w:rPr>
          <w:sz w:val="20"/>
          <w:szCs w:val="20"/>
          <w:color w:val="auto"/>
        </w:rPr>
      </w:pPr>
      <w:r>
        <w:rPr>
          <w:rFonts w:ascii="Arial" w:cs="Arial" w:eastAsia="Arial" w:hAnsi="Arial"/>
          <w:sz w:val="11"/>
          <w:szCs w:val="11"/>
          <w:color w:val="auto"/>
        </w:rPr>
        <w:t>During the first quarter of fiscal 2017,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6" w:name="page17"/>
    <w:bookmarkEnd w:id="16"/>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substance-over-form annulment suit in the Federal Tax Court to recover its full refund for IVA over the subject period, which is currently pending resolution.</w:t>
      </w:r>
    </w:p>
    <w:p>
      <w:pPr>
        <w:spacing w:after="0" w:line="150" w:lineRule="exact"/>
        <w:rPr>
          <w:sz w:val="20"/>
          <w:szCs w:val="20"/>
          <w:color w:val="auto"/>
        </w:rPr>
      </w:pPr>
    </w:p>
    <w:p>
      <w:pPr>
        <w:ind w:left="20" w:right="99" w:firstLine="173"/>
        <w:spacing w:after="0" w:line="256" w:lineRule="auto"/>
        <w:rPr>
          <w:sz w:val="20"/>
          <w:szCs w:val="20"/>
          <w:color w:val="auto"/>
        </w:rPr>
      </w:pPr>
      <w:r>
        <w:rPr>
          <w:rFonts w:ascii="Arial" w:cs="Arial" w:eastAsia="Arial" w:hAnsi="Arial"/>
          <w:sz w:val="12"/>
          <w:szCs w:val="12"/>
          <w:color w:val="auto"/>
        </w:rPr>
        <w:t>In spite of the favorable ruling from the SAT’s central legal department in Mexico City,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2014, and 2015, and January 2017. CDM has strong arguments and supporting documentation to sustain its declared tax structure for IVA and income tax purposes. With assistance from our internationally recognized tax advisory firm, as of January 31, 2021, CDM has filed (or has plans to file) administrative appeals for the IVA related to the preceding months. A response to these administrative appeals is currently pending resolution.</w:t>
      </w:r>
    </w:p>
    <w:p>
      <w:pPr>
        <w:spacing w:after="0" w:line="128" w:lineRule="exact"/>
        <w:rPr>
          <w:sz w:val="20"/>
          <w:szCs w:val="20"/>
          <w:color w:val="auto"/>
        </w:rPr>
      </w:pPr>
    </w:p>
    <w:p>
      <w:pPr>
        <w:ind w:left="20" w:right="339" w:firstLine="173"/>
        <w:spacing w:after="0" w:line="298" w:lineRule="auto"/>
        <w:rPr>
          <w:sz w:val="20"/>
          <w:szCs w:val="20"/>
          <w:color w:val="auto"/>
        </w:rPr>
      </w:pPr>
      <w:r>
        <w:rPr>
          <w:rFonts w:ascii="Arial" w:cs="Arial" w:eastAsia="Arial" w:hAnsi="Arial"/>
          <w:sz w:val="11"/>
          <w:szCs w:val="11"/>
          <w:color w:val="auto"/>
        </w:rPr>
        <w:t>In light of the foregoing, the Company is currently considering its options for resolution of the VAT receivables. In the unlikely event of an unfavorable resolution of the administrative appeals, we plan to file nullification suits with the Mexican Tax Court. If the suits result in an unfavorable ruling, there is an option to appeal to the Collegiate Circuit Court. The estimated time for the resolution of these suits could be 2 – 3 years. This estimated time could be impacted by the situation of the COVID-19 pandemic.</w:t>
      </w:r>
    </w:p>
    <w:p>
      <w:pPr>
        <w:spacing w:after="0" w:line="105" w:lineRule="exact"/>
        <w:rPr>
          <w:sz w:val="20"/>
          <w:szCs w:val="20"/>
          <w:color w:val="auto"/>
        </w:rPr>
      </w:pPr>
    </w:p>
    <w:p>
      <w:pPr>
        <w:ind w:left="20" w:right="19" w:firstLine="173"/>
        <w:spacing w:after="0" w:line="276" w:lineRule="auto"/>
        <w:rPr>
          <w:sz w:val="20"/>
          <w:szCs w:val="20"/>
          <w:color w:val="auto"/>
        </w:rPr>
      </w:pPr>
      <w:r>
        <w:rPr>
          <w:rFonts w:ascii="Arial" w:cs="Arial" w:eastAsia="Arial" w:hAnsi="Arial"/>
          <w:sz w:val="12"/>
          <w:szCs w:val="12"/>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12. FreshRealm Separation</w:t>
      </w:r>
    </w:p>
    <w:p>
      <w:pPr>
        <w:spacing w:after="0" w:line="154" w:lineRule="exact"/>
        <w:rPr>
          <w:sz w:val="20"/>
          <w:szCs w:val="20"/>
          <w:color w:val="auto"/>
        </w:rPr>
      </w:pPr>
    </w:p>
    <w:p>
      <w:pPr>
        <w:ind w:left="20" w:right="339" w:firstLine="259"/>
        <w:spacing w:after="0" w:line="276" w:lineRule="auto"/>
        <w:rPr>
          <w:sz w:val="20"/>
          <w:szCs w:val="20"/>
          <w:color w:val="auto"/>
        </w:rPr>
      </w:pPr>
      <w:r>
        <w:rPr>
          <w:rFonts w:ascii="Arial" w:cs="Arial" w:eastAsia="Arial" w:hAnsi="Arial"/>
          <w:sz w:val="12"/>
          <w:szCs w:val="12"/>
          <w:color w:val="auto"/>
        </w:rPr>
        <w:t>On February 3, 2021, Calavo, and FreshRealm, entered into a Limited Liability Company Member Separation and Release Agreement (the “Separation Agreement”) described below.</w:t>
      </w:r>
    </w:p>
    <w:p>
      <w:pPr>
        <w:spacing w:after="0" w:line="115" w:lineRule="exact"/>
        <w:rPr>
          <w:sz w:val="20"/>
          <w:szCs w:val="20"/>
          <w:color w:val="auto"/>
        </w:rPr>
      </w:pPr>
    </w:p>
    <w:p>
      <w:pPr>
        <w:ind w:left="20" w:right="159" w:firstLine="259"/>
        <w:spacing w:after="0" w:line="259" w:lineRule="auto"/>
        <w:rPr>
          <w:sz w:val="20"/>
          <w:szCs w:val="20"/>
          <w:color w:val="auto"/>
        </w:rPr>
      </w:pPr>
      <w:r>
        <w:rPr>
          <w:rFonts w:ascii="Arial" w:cs="Arial" w:eastAsia="Arial" w:hAnsi="Arial"/>
          <w:sz w:val="12"/>
          <w:szCs w:val="12"/>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w:t>
      </w:r>
    </w:p>
    <w:p>
      <w:pPr>
        <w:spacing w:after="0" w:line="124" w:lineRule="exact"/>
        <w:rPr>
          <w:sz w:val="20"/>
          <w:szCs w:val="20"/>
          <w:color w:val="auto"/>
        </w:rPr>
      </w:pPr>
    </w:p>
    <w:p>
      <w:pPr>
        <w:ind w:left="20" w:right="99" w:firstLine="259"/>
        <w:spacing w:after="0" w:line="255" w:lineRule="auto"/>
        <w:rPr>
          <w:sz w:val="20"/>
          <w:szCs w:val="20"/>
          <w:color w:val="auto"/>
        </w:rPr>
      </w:pPr>
      <w:r>
        <w:rPr>
          <w:rFonts w:ascii="Arial" w:cs="Arial" w:eastAsia="Arial" w:hAnsi="Arial"/>
          <w:sz w:val="12"/>
          <w:szCs w:val="12"/>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 (iii) FreshRealm issued an additional Secured Promissory Note to Calavo in the amount of approximately $5 million that is subordinated to the Amended Note (the “Second Note”, together with the Amended Note, the “Notes”)); (iv) in the event FreshRealm pays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28" w:lineRule="exact"/>
        <w:rPr>
          <w:sz w:val="20"/>
          <w:szCs w:val="20"/>
          <w:color w:val="auto"/>
        </w:rPr>
      </w:pPr>
    </w:p>
    <w:p>
      <w:pPr>
        <w:jc w:val="both"/>
        <w:ind w:left="20" w:right="119" w:firstLine="259"/>
        <w:spacing w:after="0" w:line="298" w:lineRule="auto"/>
        <w:rPr>
          <w:sz w:val="20"/>
          <w:szCs w:val="20"/>
          <w:color w:val="auto"/>
        </w:rPr>
      </w:pPr>
      <w:r>
        <w:rPr>
          <w:rFonts w:ascii="Arial" w:cs="Arial" w:eastAsia="Arial" w:hAnsi="Arial"/>
          <w:sz w:val="11"/>
          <w:szCs w:val="11"/>
          <w:color w:val="auto"/>
        </w:rPr>
        <w:t>In the event FreshRealm fails to pay the Loan Payoff Amount by the Loan Payoff Period, the Notes shall remain in full force and effect, and pursuant to a warrant issued to Calavo, Calavo shall have the right to purchase 4,207,397 equity units in Fresh Realm. The Notes have an interest rate of 1.46% per annum with a maturity date of April 1, 2022 and are secured in all of the assets and collateral of FreshRealm pursuant to that certain Third Amended and Restated Security Agreement dated February 3, 2021.</w:t>
      </w:r>
    </w:p>
    <w:p>
      <w:pPr>
        <w:spacing w:after="0" w:line="105" w:lineRule="exact"/>
        <w:rPr>
          <w:sz w:val="20"/>
          <w:szCs w:val="20"/>
          <w:color w:val="auto"/>
        </w:rPr>
      </w:pPr>
    </w:p>
    <w:p>
      <w:pPr>
        <w:jc w:val="both"/>
        <w:ind w:left="20" w:right="119" w:firstLine="259"/>
        <w:spacing w:after="0" w:line="263" w:lineRule="auto"/>
        <w:rPr>
          <w:sz w:val="20"/>
          <w:szCs w:val="20"/>
          <w:color w:val="auto"/>
        </w:rPr>
      </w:pPr>
      <w:r>
        <w:rPr>
          <w:rFonts w:ascii="Arial" w:cs="Arial" w:eastAsia="Arial" w:hAnsi="Arial"/>
          <w:sz w:val="12"/>
          <w:szCs w:val="12"/>
          <w:color w:val="auto"/>
        </w:rPr>
        <w:t>If FreshRealm (i) pays to Calavo the Loan Payoff Amount within the Loan Payoff Period; and (ii) undergoes a “Success Event” in the future, including: a merger, a majority sale of FreshRealm’s assets or equity ownership interests, a private placement, or an initial public offering where FreshRealm as a company is valued at $100 million or more, FreshRealm shall pay to the Company additional compensation in accordance with the following:</w:t>
      </w:r>
    </w:p>
    <w:p>
      <w:pPr>
        <w:spacing w:after="0" w:line="131" w:lineRule="exact"/>
        <w:rPr>
          <w:sz w:val="20"/>
          <w:szCs w:val="20"/>
          <w:color w:val="auto"/>
        </w:rPr>
      </w:pPr>
    </w:p>
    <w:p>
      <w:pPr>
        <w:ind w:left="4440" w:right="3379" w:hanging="3696"/>
        <w:spacing w:after="0" w:line="792" w:lineRule="auto"/>
        <w:tabs>
          <w:tab w:leader="none" w:pos="1082" w:val="left"/>
        </w:tabs>
        <w:numPr>
          <w:ilvl w:val="0"/>
          <w:numId w:val="6"/>
        </w:numPr>
        <w:rPr>
          <w:rFonts w:ascii="Arial" w:cs="Arial" w:eastAsia="Arial" w:hAnsi="Arial"/>
          <w:sz w:val="12"/>
          <w:szCs w:val="12"/>
          <w:color w:val="auto"/>
        </w:rPr>
      </w:pPr>
      <w:r>
        <w:rPr>
          <w:rFonts w:ascii="Arial" w:cs="Arial" w:eastAsia="Arial" w:hAnsi="Arial"/>
          <w:sz w:val="12"/>
          <w:szCs w:val="12"/>
          <w:color w:val="auto"/>
        </w:rPr>
        <w:t>FreshRealm shall pay Calavo a $10 million payment upon the closing of a Success Event if the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57035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7" w:name="page18"/>
    <w:bookmarkEnd w:id="17"/>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40" w:right="2999"/>
        <w:spacing w:after="0" w:line="276" w:lineRule="auto"/>
        <w:rPr>
          <w:sz w:val="20"/>
          <w:szCs w:val="20"/>
          <w:color w:val="auto"/>
        </w:rPr>
      </w:pPr>
      <w:r>
        <w:rPr>
          <w:rFonts w:ascii="Arial" w:cs="Arial" w:eastAsia="Arial" w:hAnsi="Arial"/>
          <w:sz w:val="12"/>
          <w:szCs w:val="12"/>
          <w:color w:val="auto"/>
        </w:rPr>
        <w:t>valuation of FreshRealm at the time of the Success Event is equal to or greater than $100 million, but less than $230 million;</w:t>
      </w:r>
    </w:p>
    <w:p>
      <w:pPr>
        <w:spacing w:after="0" w:line="133" w:lineRule="exact"/>
        <w:rPr>
          <w:sz w:val="20"/>
          <w:szCs w:val="20"/>
          <w:color w:val="auto"/>
        </w:rPr>
      </w:pPr>
    </w:p>
    <w:p>
      <w:pPr>
        <w:ind w:left="940" w:hanging="295"/>
        <w:spacing w:after="0"/>
        <w:tabs>
          <w:tab w:leader="none" w:pos="9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FreshRealm shall pay Calavo a $20 million payment upon the closing of a Success Event if the</w:t>
      </w:r>
    </w:p>
    <w:p>
      <w:pPr>
        <w:spacing w:after="0" w:line="14" w:lineRule="exact"/>
        <w:rPr>
          <w:rFonts w:ascii="Arial" w:cs="Arial" w:eastAsia="Arial" w:hAnsi="Arial"/>
          <w:sz w:val="12"/>
          <w:szCs w:val="12"/>
          <w:color w:val="auto"/>
        </w:rPr>
      </w:pPr>
    </w:p>
    <w:p>
      <w:pPr>
        <w:ind w:left="980" w:right="2999" w:hanging="30"/>
        <w:spacing w:after="0" w:line="260" w:lineRule="auto"/>
        <w:rPr>
          <w:rFonts w:ascii="Arial" w:cs="Arial" w:eastAsia="Arial" w:hAnsi="Arial"/>
          <w:sz w:val="12"/>
          <w:szCs w:val="12"/>
          <w:color w:val="auto"/>
        </w:rPr>
      </w:pPr>
      <w:r>
        <w:rPr>
          <w:rFonts w:ascii="Arial" w:cs="Arial" w:eastAsia="Arial" w:hAnsi="Arial"/>
          <w:sz w:val="12"/>
          <w:szCs w:val="12"/>
          <w:color w:val="auto"/>
        </w:rPr>
        <w:t>valuation of FreshRealm at the time of the Success Event is equal to or greater than $230 million, but less than $380 million; or</w:t>
      </w:r>
    </w:p>
    <w:p>
      <w:pPr>
        <w:spacing w:after="0" w:line="142" w:lineRule="exact"/>
        <w:rPr>
          <w:rFonts w:ascii="Arial" w:cs="Arial" w:eastAsia="Arial" w:hAnsi="Arial"/>
          <w:sz w:val="12"/>
          <w:szCs w:val="12"/>
          <w:color w:val="auto"/>
        </w:rPr>
      </w:pPr>
    </w:p>
    <w:p>
      <w:pPr>
        <w:ind w:left="940" w:hanging="295"/>
        <w:spacing w:after="0"/>
        <w:tabs>
          <w:tab w:leader="none" w:pos="9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FreshRealm shall pay Calavo a $34 million payment upon the closing of a Success Event if the</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2"/>
          <w:szCs w:val="12"/>
          <w:color w:val="auto"/>
        </w:rPr>
        <w:t>valuation of FreshRealm at the time of the Success Event is equal to or greater than $380 Million.</w:t>
      </w:r>
    </w:p>
    <w:p>
      <w:pPr>
        <w:spacing w:after="0" w:line="150" w:lineRule="exact"/>
        <w:rPr>
          <w:sz w:val="20"/>
          <w:szCs w:val="20"/>
          <w:color w:val="auto"/>
        </w:rPr>
      </w:pPr>
    </w:p>
    <w:p>
      <w:pPr>
        <w:jc w:val="both"/>
        <w:ind w:left="20" w:right="119" w:firstLine="259"/>
        <w:spacing w:after="0" w:line="263" w:lineRule="auto"/>
        <w:rPr>
          <w:sz w:val="20"/>
          <w:szCs w:val="20"/>
          <w:color w:val="auto"/>
        </w:rPr>
      </w:pPr>
      <w:r>
        <w:rPr>
          <w:rFonts w:ascii="Arial" w:cs="Arial" w:eastAsia="Arial" w:hAnsi="Arial"/>
          <w:sz w:val="12"/>
          <w:szCs w:val="12"/>
          <w:color w:val="auto"/>
        </w:rPr>
        <w:t>Aside from the above, if FreshRealm undergoes a sale of its business either through a merger or a majority sale of its assets or equity interests before February 3, 2022, FreshRealm shall pay Calavo $6 million, if it hasn’t already paid the Loan Payoff Amount, plus twenty percent (20%) of the purchase price proceeds from such sale of FreshRealm. Due to the above uncertainty, no amounts have been recorded as of January 31, 2021.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13. Credit Facility</w:t>
      </w:r>
    </w:p>
    <w:p>
      <w:pPr>
        <w:spacing w:after="0" w:line="154" w:lineRule="exact"/>
        <w:rPr>
          <w:sz w:val="20"/>
          <w:szCs w:val="20"/>
          <w:color w:val="auto"/>
        </w:rPr>
      </w:pPr>
    </w:p>
    <w:p>
      <w:pPr>
        <w:ind w:left="20" w:right="59" w:firstLine="150"/>
        <w:spacing w:after="0" w:line="281" w:lineRule="auto"/>
        <w:rPr>
          <w:sz w:val="20"/>
          <w:szCs w:val="20"/>
          <w:color w:val="auto"/>
        </w:rPr>
      </w:pPr>
      <w:r>
        <w:rPr>
          <w:rFonts w:ascii="Arial" w:cs="Arial" w:eastAsia="Arial" w:hAnsi="Arial"/>
          <w:sz w:val="11"/>
          <w:szCs w:val="11"/>
          <w:color w:val="auto"/>
        </w:rPr>
        <w:t>On January 29, 2021, we entered into the Third Amendment to Credit Agreement (the “Third Amendment”) with Farm Credit West, PCA and Bank of America, N.A. relating to our Credit Agreement dated as of June 14, 2016, First Amendment to Credit Agreement dated as of August 29, 2016, and Second Amendment to Credit Agreement dated as of February 28, 2019. This Third Amendment, among other things, provides for a five-year extension of the maturity date to January 29, 2026, a $20 million increase in the revolving commitment to $100 million (from $80 million) (for a total facility size of $150 million if the $50 million accordion is exercised, up from a total size of $130 million), and a 25 basis point increase in the interest rate. The new interest rate schedules are effective mid-June 2021. For our current credit agreement, the weighted-average interest rate was 2.8% and 1.9% at January 31, 2021 and October 31, 2020. Under these credit facilities, we had $37.2 million and $20.6 million outstanding as January 31, 2021 and October 31, 2020. In accordance with the extended due date, the outstanding balance of this credit facility has been reclassified to long-term in the accompanying balance sheet as of January 31, 2021.</w:t>
      </w:r>
    </w:p>
    <w:p>
      <w:pPr>
        <w:spacing w:after="0" w:line="115" w:lineRule="exact"/>
        <w:rPr>
          <w:sz w:val="20"/>
          <w:szCs w:val="20"/>
          <w:color w:val="auto"/>
        </w:rPr>
      </w:pPr>
    </w:p>
    <w:p>
      <w:pPr>
        <w:jc w:val="both"/>
        <w:ind w:left="20" w:right="119" w:firstLine="150"/>
        <w:spacing w:after="0" w:line="263" w:lineRule="auto"/>
        <w:rPr>
          <w:sz w:val="20"/>
          <w:szCs w:val="20"/>
          <w:color w:val="auto"/>
        </w:rPr>
      </w:pPr>
      <w:r>
        <w:rPr>
          <w:rFonts w:ascii="Arial" w:cs="Arial" w:eastAsia="Arial" w:hAnsi="Arial"/>
          <w:sz w:val="12"/>
          <w:szCs w:val="12"/>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financial covenants.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14. COVID-19 Pandemic Impact</w:t>
      </w:r>
    </w:p>
    <w:p>
      <w:pPr>
        <w:spacing w:after="0" w:line="154" w:lineRule="exact"/>
        <w:rPr>
          <w:sz w:val="20"/>
          <w:szCs w:val="20"/>
          <w:color w:val="auto"/>
        </w:rPr>
      </w:pPr>
    </w:p>
    <w:p>
      <w:pPr>
        <w:ind w:left="20" w:right="99" w:firstLine="120"/>
        <w:spacing w:after="0" w:line="263" w:lineRule="auto"/>
        <w:rPr>
          <w:sz w:val="20"/>
          <w:szCs w:val="20"/>
          <w:color w:val="auto"/>
        </w:rPr>
      </w:pPr>
      <w:r>
        <w:rPr>
          <w:rFonts w:ascii="Arial" w:cs="Arial" w:eastAsia="Arial" w:hAnsi="Arial"/>
          <w:sz w:val="12"/>
          <w:szCs w:val="12"/>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22" w:lineRule="exact"/>
        <w:rPr>
          <w:sz w:val="20"/>
          <w:szCs w:val="20"/>
          <w:color w:val="auto"/>
        </w:rPr>
      </w:pPr>
    </w:p>
    <w:p>
      <w:pPr>
        <w:ind w:left="20" w:right="79" w:firstLine="120"/>
        <w:spacing w:after="0" w:line="256" w:lineRule="auto"/>
        <w:rPr>
          <w:sz w:val="20"/>
          <w:szCs w:val="20"/>
          <w:color w:val="auto"/>
        </w:rPr>
      </w:pPr>
      <w:r>
        <w:rPr>
          <w:rFonts w:ascii="Arial" w:cs="Arial" w:eastAsia="Arial" w:hAnsi="Arial"/>
          <w:sz w:val="12"/>
          <w:szCs w:val="12"/>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28" w:lineRule="exact"/>
        <w:rPr>
          <w:sz w:val="20"/>
          <w:szCs w:val="20"/>
          <w:color w:val="auto"/>
        </w:rPr>
      </w:pPr>
    </w:p>
    <w:p>
      <w:pPr>
        <w:ind w:left="20" w:right="119" w:firstLine="150"/>
        <w:spacing w:after="0" w:line="263" w:lineRule="auto"/>
        <w:rPr>
          <w:sz w:val="20"/>
          <w:szCs w:val="20"/>
          <w:color w:val="auto"/>
        </w:rPr>
      </w:pPr>
      <w:r>
        <w:rPr>
          <w:rFonts w:ascii="Arial" w:cs="Arial" w:eastAsia="Arial" w:hAnsi="Arial"/>
          <w:sz w:val="12"/>
          <w:szCs w:val="12"/>
          <w:color w:val="auto"/>
        </w:rPr>
        <w:t>The COVID-19 pandemic began to have an adverse impact on our results of operations in the month of March 2020,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have been more pronounced in the portions of our business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8" w:name="page19"/>
    <w:bookmarkEnd w:id="18"/>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servicing foodservice customers and to a lesser extent certain segments of our retail business, including behind-the-glass deli and grab-and-go convenience items.</w:t>
      </w:r>
    </w:p>
    <w:p>
      <w:pPr>
        <w:spacing w:after="0" w:line="150" w:lineRule="exact"/>
        <w:rPr>
          <w:sz w:val="20"/>
          <w:szCs w:val="20"/>
          <w:color w:val="auto"/>
        </w:rPr>
      </w:pPr>
    </w:p>
    <w:p>
      <w:pPr>
        <w:ind w:left="20" w:right="159" w:firstLine="150"/>
        <w:spacing w:after="0" w:line="285" w:lineRule="auto"/>
        <w:rPr>
          <w:sz w:val="20"/>
          <w:szCs w:val="20"/>
          <w:color w:val="auto"/>
        </w:rPr>
      </w:pPr>
      <w:r>
        <w:rPr>
          <w:rFonts w:ascii="Arial" w:cs="Arial" w:eastAsia="Arial" w:hAnsi="Arial"/>
          <w:sz w:val="11"/>
          <w:szCs w:val="11"/>
          <w:color w:val="auto"/>
        </w:rPr>
        <w:t>We may also experience additional costs related to increased workers’ compensation claims, health and safety inspections and group health insurance expenses as a result of the COVID-19 pandemic. We may also be subject to lawsuits from employees and others exposed to COVID-19 at our production and other facilities. Our professional and general liability insurance may not cover all claims against us. In addition, our operations and financial results may be further adversely affected by federal or state laws, regulations, orders, or other governmental or regulatory actions addressing the current COVID-19 pandemic. While we have managed the pandemic well, with improving results in April 2020 and minimal disruption to our overall business thus far, the continuing impact of the pandemic on our future consolidated results, financial position and cash flows are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9" w:name="page20"/>
    <w:bookmarkEnd w:id="19"/>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54" w:lineRule="exact"/>
        <w:rPr>
          <w:sz w:val="20"/>
          <w:szCs w:val="20"/>
          <w:color w:val="auto"/>
        </w:rPr>
      </w:pPr>
    </w:p>
    <w:p>
      <w:pPr>
        <w:jc w:val="both"/>
        <w:ind w:left="20" w:right="59" w:firstLine="173"/>
        <w:spacing w:after="0" w:line="263" w:lineRule="auto"/>
        <w:rPr>
          <w:sz w:val="20"/>
          <w:szCs w:val="20"/>
          <w:color w:val="auto"/>
        </w:rPr>
      </w:pPr>
      <w:r>
        <w:rPr>
          <w:rFonts w:ascii="Arial" w:cs="Arial" w:eastAsia="Arial" w:hAnsi="Arial"/>
          <w:sz w:val="12"/>
          <w:szCs w:val="12"/>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2020 of Calavo Growers, Inc. (we, Calavo, or the Company).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Recent Developments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COVID-19 Pandemic Impact</w:t>
      </w:r>
    </w:p>
    <w:p>
      <w:pPr>
        <w:spacing w:after="0" w:line="150" w:lineRule="exact"/>
        <w:rPr>
          <w:sz w:val="20"/>
          <w:szCs w:val="20"/>
          <w:color w:val="auto"/>
        </w:rPr>
      </w:pPr>
    </w:p>
    <w:p>
      <w:pPr>
        <w:ind w:left="20" w:right="39" w:firstLine="150"/>
        <w:spacing w:after="0" w:line="256" w:lineRule="auto"/>
        <w:rPr>
          <w:sz w:val="20"/>
          <w:szCs w:val="20"/>
          <w:color w:val="auto"/>
        </w:rPr>
      </w:pPr>
      <w:r>
        <w:rPr>
          <w:rFonts w:ascii="Arial" w:cs="Arial" w:eastAsia="Arial" w:hAnsi="Arial"/>
          <w:sz w:val="12"/>
          <w:szCs w:val="12"/>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28" w:lineRule="exact"/>
        <w:rPr>
          <w:sz w:val="20"/>
          <w:szCs w:val="20"/>
          <w:color w:val="auto"/>
        </w:rPr>
      </w:pPr>
    </w:p>
    <w:p>
      <w:pPr>
        <w:ind w:left="20" w:right="119" w:firstLine="150"/>
        <w:spacing w:after="0" w:line="259" w:lineRule="auto"/>
        <w:rPr>
          <w:sz w:val="20"/>
          <w:szCs w:val="20"/>
          <w:color w:val="auto"/>
        </w:rPr>
      </w:pPr>
      <w:r>
        <w:rPr>
          <w:rFonts w:ascii="Arial" w:cs="Arial" w:eastAsia="Arial" w:hAnsi="Arial"/>
          <w:sz w:val="12"/>
          <w:szCs w:val="12"/>
          <w:color w:val="auto"/>
        </w:rPr>
        <w:t>The COVID-19 pandemic began to have an adverse impact on our results of operations in the month of March 2020,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24" w:lineRule="exact"/>
        <w:rPr>
          <w:sz w:val="20"/>
          <w:szCs w:val="20"/>
          <w:color w:val="auto"/>
        </w:rPr>
      </w:pPr>
    </w:p>
    <w:p>
      <w:pPr>
        <w:ind w:left="20" w:right="159" w:firstLine="150"/>
        <w:spacing w:after="0" w:line="285" w:lineRule="auto"/>
        <w:rPr>
          <w:sz w:val="20"/>
          <w:szCs w:val="20"/>
          <w:color w:val="auto"/>
        </w:rPr>
      </w:pPr>
      <w:r>
        <w:rPr>
          <w:rFonts w:ascii="Arial" w:cs="Arial" w:eastAsia="Arial" w:hAnsi="Arial"/>
          <w:sz w:val="11"/>
          <w:szCs w:val="11"/>
          <w:color w:val="auto"/>
        </w:rPr>
        <w:t>We may also experience additional costs related to increased workers’ compensation claims, health and safety inspections and group health insurance expenses as a result of the COVID-19 pandemic. We may also be subject to lawsuits from employees and others exposed to COVID-19 at our production and other facilities. Our professional and general liability insurance may not cover all claims against us. In addition, our operations and financial results may be further adversely affected by federal or state laws, regulations, orders, or other governmental or regulatory actions addressing the current COVID-19 pandemic. While we have managed the pandemic well, with improving results in April 2020 and minimal disruption to our overall business thus far, the continuing impact of the pandemic on our future consolidated results, financial position and cash flows are uncertain.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Dividend payment</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On December 4, 2020, we paid a $1.15 per share dividend in the aggregate amount of $20.3 million to shareholders of record on November 13, 2020.</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Litigation</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From time to time, we are involved in litigation arising in the ordinary course of our business that we do not believe will have a material adverse impact on our financial statements.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Mexico tax audits</w:t>
      </w:r>
    </w:p>
    <w:p>
      <w:pPr>
        <w:spacing w:after="0" w:line="150" w:lineRule="exact"/>
        <w:rPr>
          <w:sz w:val="20"/>
          <w:szCs w:val="20"/>
          <w:color w:val="auto"/>
        </w:rPr>
      </w:pPr>
    </w:p>
    <w:p>
      <w:pPr>
        <w:ind w:left="20" w:right="139" w:firstLine="173"/>
        <w:spacing w:after="0" w:line="289" w:lineRule="auto"/>
        <w:rPr>
          <w:sz w:val="20"/>
          <w:szCs w:val="20"/>
          <w:color w:val="auto"/>
        </w:rPr>
      </w:pPr>
      <w:r>
        <w:rPr>
          <w:rFonts w:ascii="Arial" w:cs="Arial" w:eastAsia="Arial" w:hAnsi="Arial"/>
          <w:sz w:val="11"/>
          <w:szCs w:val="11"/>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0" w:name="page21"/>
    <w:bookmarkEnd w:id="20"/>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98" w:lineRule="auto"/>
        <w:rPr>
          <w:sz w:val="20"/>
          <w:szCs w:val="20"/>
          <w:color w:val="auto"/>
        </w:rPr>
      </w:pPr>
      <w:r>
        <w:rPr>
          <w:rFonts w:ascii="Arial" w:cs="Arial" w:eastAsia="Arial" w:hAnsi="Arial"/>
          <w:sz w:val="11"/>
          <w:szCs w:val="11"/>
          <w:color w:val="auto"/>
        </w:rPr>
        <w:t>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05" w:lineRule="exact"/>
        <w:rPr>
          <w:sz w:val="20"/>
          <w:szCs w:val="20"/>
          <w:color w:val="auto"/>
        </w:rPr>
      </w:pPr>
    </w:p>
    <w:p>
      <w:pPr>
        <w:ind w:left="20" w:right="39" w:firstLine="173"/>
        <w:spacing w:after="0" w:line="280" w:lineRule="auto"/>
        <w:rPr>
          <w:sz w:val="20"/>
          <w:szCs w:val="20"/>
          <w:color w:val="auto"/>
        </w:rPr>
      </w:pPr>
      <w:r>
        <w:rPr>
          <w:rFonts w:ascii="Arial" w:cs="Arial" w:eastAsia="Arial" w:hAnsi="Arial"/>
          <w:sz w:val="11"/>
          <w:szCs w:val="11"/>
          <w:color w:val="auto"/>
        </w:rPr>
        <w:t>As a result, in April 2019, the MFM issued a final tax assessment to CDM (the “2011 Assessment”) totaling approximately $2.2 billion Mexican pesos (approx. $108.8 million USD at January 31, 2021)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w:t>
      </w:r>
    </w:p>
    <w:p>
      <w:pPr>
        <w:spacing w:after="0" w:line="115" w:lineRule="exact"/>
        <w:rPr>
          <w:sz w:val="20"/>
          <w:szCs w:val="20"/>
          <w:color w:val="auto"/>
        </w:rPr>
      </w:pPr>
    </w:p>
    <w:p>
      <w:pPr>
        <w:ind w:left="20" w:right="79" w:firstLine="173"/>
        <w:spacing w:after="0" w:line="256" w:lineRule="auto"/>
        <w:rPr>
          <w:sz w:val="20"/>
          <w:szCs w:val="20"/>
          <w:color w:val="auto"/>
        </w:rPr>
      </w:pPr>
      <w:r>
        <w:rPr>
          <w:rFonts w:ascii="Arial" w:cs="Arial" w:eastAsia="Arial" w:hAnsi="Arial"/>
          <w:sz w:val="12"/>
          <w:szCs w:val="12"/>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28" w:lineRule="exact"/>
        <w:rPr>
          <w:sz w:val="20"/>
          <w:szCs w:val="20"/>
          <w:color w:val="auto"/>
        </w:rPr>
      </w:pPr>
    </w:p>
    <w:p>
      <w:pPr>
        <w:jc w:val="both"/>
        <w:ind w:left="20" w:right="59" w:firstLine="173"/>
        <w:spacing w:after="0" w:line="298" w:lineRule="auto"/>
        <w:rPr>
          <w:sz w:val="20"/>
          <w:szCs w:val="20"/>
          <w:color w:val="auto"/>
        </w:rPr>
      </w:pPr>
      <w:r>
        <w:rPr>
          <w:rFonts w:ascii="Arial" w:cs="Arial" w:eastAsia="Arial" w:hAnsi="Arial"/>
          <w:sz w:val="11"/>
          <w:szCs w:val="11"/>
          <w:color w:val="auto"/>
        </w:rPr>
        <w:t>As a result, in July 2018, the SAT’s local office in Uruapan issued to CDM a final tax assessment (the “2013 Assessment”) totaling approximately $2.6 billion Mexican pesos (approx. $128.6 million USD at January 31, 2021) related to Income Tax, Flat Rate Business Tax, and Value Added Tax, related to this fiscal 2013 tax audit. Additionally, the tax authorities have determined that we owe our employee’s profit-sharing liability, totaling approximately $118 million Mexican pesos (approx. $5.8 million USD at January 31, 2021).</w:t>
      </w:r>
    </w:p>
    <w:p>
      <w:pPr>
        <w:spacing w:after="0" w:line="105" w:lineRule="exact"/>
        <w:rPr>
          <w:sz w:val="20"/>
          <w:szCs w:val="20"/>
          <w:color w:val="auto"/>
        </w:rPr>
      </w:pPr>
    </w:p>
    <w:p>
      <w:pPr>
        <w:ind w:left="20" w:right="39" w:firstLine="173"/>
        <w:spacing w:after="0" w:line="256" w:lineRule="auto"/>
        <w:rPr>
          <w:sz w:val="20"/>
          <w:szCs w:val="20"/>
          <w:color w:val="auto"/>
        </w:rPr>
      </w:pPr>
      <w:r>
        <w:rPr>
          <w:rFonts w:ascii="Arial" w:cs="Arial" w:eastAsia="Arial" w:hAnsi="Arial"/>
          <w:sz w:val="12"/>
          <w:szCs w:val="12"/>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light of the foregoing, the Company is currently considering its options for resolution of the two tax assessments:</w:t>
      </w:r>
    </w:p>
    <w:p>
      <w:pPr>
        <w:spacing w:after="0" w:line="150" w:lineRule="exact"/>
        <w:rPr>
          <w:sz w:val="20"/>
          <w:szCs w:val="20"/>
          <w:color w:val="auto"/>
        </w:rPr>
      </w:pPr>
    </w:p>
    <w:p>
      <w:pPr>
        <w:ind w:left="460" w:right="99" w:hanging="211"/>
        <w:spacing w:after="0" w:line="259"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the unlikely event of an unfavorable resolution of the administrative appeal, we could file a nullification suit with the Mexican Tax Court. In order to file such suit, we would be required to post collateral or a bond for the total amount of the tax assessment (including inflation adjustments, penalties and surcharges) while the suit is in process, which could last from two to three years. If the suit results in an unfavorable ruling, there is an option to appeal to the Collegiate Circuit Court while maintaining the collateral or bond in place.</w:t>
      </w:r>
    </w:p>
    <w:p>
      <w:pPr>
        <w:spacing w:after="0" w:line="124" w:lineRule="exact"/>
        <w:rPr>
          <w:rFonts w:ascii="Arial" w:cs="Arial" w:eastAsia="Arial" w:hAnsi="Arial"/>
          <w:sz w:val="12"/>
          <w:szCs w:val="12"/>
          <w:color w:val="auto"/>
        </w:rPr>
      </w:pPr>
    </w:p>
    <w:p>
      <w:pPr>
        <w:ind w:left="460" w:right="99" w:hanging="211"/>
        <w:spacing w:after="0" w:line="276"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the event of filing a nullification suit, the collateral or bonding requirement may be avoided by filing a nullification suit on substantive matters (“Juicio de Fondo”). This type of suit permits only arguments on the legal merits of the taxpayer’s case, and limits arguments on procedural matters.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estimated time for resolution of this matter could be affected by the situation related to the COVID-19 pandemic.</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1" w:name="page22"/>
    <w:bookmarkEnd w:id="21"/>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continue to believe that the ultimate resolution of these matters is unlikely to have a material effect on our consolidated financial position.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Non-GAAP Financial Measures</w:t>
      </w:r>
    </w:p>
    <w:p>
      <w:pPr>
        <w:spacing w:after="0" w:line="150" w:lineRule="exact"/>
        <w:rPr>
          <w:sz w:val="20"/>
          <w:szCs w:val="20"/>
          <w:color w:val="auto"/>
        </w:rPr>
      </w:pPr>
    </w:p>
    <w:p>
      <w:pPr>
        <w:ind w:left="20" w:right="99" w:firstLine="180"/>
        <w:spacing w:after="0" w:line="276" w:lineRule="auto"/>
        <w:rPr>
          <w:sz w:val="20"/>
          <w:szCs w:val="20"/>
          <w:color w:val="auto"/>
        </w:rPr>
      </w:pPr>
      <w:r>
        <w:rPr>
          <w:rFonts w:ascii="Arial" w:cs="Arial" w:eastAsia="Arial" w:hAnsi="Arial"/>
          <w:sz w:val="12"/>
          <w:szCs w:val="12"/>
          <w:color w:val="auto"/>
        </w:rPr>
        <w:t>The below tables include non-GAAP measures EBITDA, adjusted EBITDA, adjusted net income and adjusted diluted EPS, which are not prepared in accordance with U.S. generally accepted accounting principles, or “GAAP.”</w:t>
      </w:r>
    </w:p>
    <w:p>
      <w:pPr>
        <w:spacing w:after="0" w:line="115" w:lineRule="exact"/>
        <w:rPr>
          <w:sz w:val="20"/>
          <w:szCs w:val="20"/>
          <w:color w:val="auto"/>
        </w:rPr>
      </w:pPr>
    </w:p>
    <w:p>
      <w:pPr>
        <w:ind w:left="20" w:right="59" w:firstLine="210"/>
        <w:spacing w:after="0" w:line="254" w:lineRule="auto"/>
        <w:rPr>
          <w:sz w:val="20"/>
          <w:szCs w:val="20"/>
          <w:color w:val="auto"/>
        </w:rPr>
      </w:pPr>
      <w:r>
        <w:rPr>
          <w:rFonts w:ascii="Arial" w:cs="Arial" w:eastAsia="Arial" w:hAnsi="Arial"/>
          <w:sz w:val="12"/>
          <w:szCs w:val="12"/>
          <w:color w:val="auto"/>
        </w:rPr>
        <w:t>EBITDA is defined as net income (loss) attributable to Calavo Growers, Inc. excluding (1) interest income and expense, (2) income taxes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 and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30" w:lineRule="exact"/>
        <w:rPr>
          <w:sz w:val="20"/>
          <w:szCs w:val="20"/>
          <w:color w:val="auto"/>
        </w:rPr>
      </w:pPr>
    </w:p>
    <w:p>
      <w:pPr>
        <w:ind w:left="20" w:right="39" w:firstLine="150"/>
        <w:spacing w:after="0" w:line="320" w:lineRule="auto"/>
        <w:rPr>
          <w:sz w:val="20"/>
          <w:szCs w:val="20"/>
          <w:color w:val="auto"/>
        </w:rPr>
      </w:pPr>
      <w:r>
        <w:rPr>
          <w:rFonts w:ascii="Arial" w:cs="Arial" w:eastAsia="Arial" w:hAnsi="Arial"/>
          <w:sz w:val="10"/>
          <w:szCs w:val="10"/>
          <w:color w:val="auto"/>
        </w:rPr>
        <w:t>Adjusted net income is defined as net income (loss) attributable to Calavo Growers, Inc. excluding (1) non-cash net losses (income) recognized from unconsolidated entities, (2) goodwill impairment, (3) write-off of long-lived assets, (4) acquisition-related costs, (5) restructuring and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Reconciliations of non-GAAP financial measures to the most directly comparable GAAP financial measures are provided in the financial tables below.</w:t>
      </w:r>
    </w:p>
    <w:p>
      <w:pPr>
        <w:spacing w:after="0" w:line="150" w:lineRule="exact"/>
        <w:rPr>
          <w:sz w:val="20"/>
          <w:szCs w:val="20"/>
          <w:color w:val="auto"/>
        </w:rPr>
      </w:pPr>
    </w:p>
    <w:p>
      <w:pPr>
        <w:ind w:left="20" w:right="139" w:firstLine="150"/>
        <w:spacing w:after="0" w:line="276" w:lineRule="auto"/>
        <w:rPr>
          <w:sz w:val="20"/>
          <w:szCs w:val="20"/>
          <w:color w:val="auto"/>
        </w:rPr>
      </w:pPr>
      <w:r>
        <w:rPr>
          <w:rFonts w:ascii="Arial" w:cs="Arial" w:eastAsia="Arial" w:hAnsi="Arial"/>
          <w:sz w:val="12"/>
          <w:szCs w:val="12"/>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15" w:lineRule="exact"/>
        <w:rPr>
          <w:sz w:val="20"/>
          <w:szCs w:val="20"/>
          <w:color w:val="auto"/>
        </w:rPr>
      </w:pPr>
    </w:p>
    <w:p>
      <w:pPr>
        <w:ind w:left="20" w:right="219" w:firstLine="180"/>
        <w:spacing w:after="0" w:line="298" w:lineRule="auto"/>
        <w:rPr>
          <w:sz w:val="20"/>
          <w:szCs w:val="20"/>
          <w:color w:val="auto"/>
        </w:rPr>
      </w:pPr>
      <w:r>
        <w:rPr>
          <w:rFonts w:ascii="Arial" w:cs="Arial" w:eastAsia="Arial" w:hAnsi="Arial"/>
          <w:sz w:val="11"/>
          <w:szCs w:val="11"/>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2" w:name="page23"/>
    <w:bookmarkEnd w:id="22"/>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Adjusted Net Income (Non-GAAP, Unaudited)</w:t>
      </w:r>
    </w:p>
    <w:p>
      <w:pPr>
        <w:spacing w:after="0" w:line="150" w:lineRule="exact"/>
        <w:rPr>
          <w:sz w:val="20"/>
          <w:szCs w:val="20"/>
          <w:color w:val="auto"/>
        </w:rPr>
      </w:pPr>
    </w:p>
    <w:p>
      <w:pPr>
        <w:ind w:left="20" w:right="79" w:firstLine="173"/>
        <w:spacing w:after="0" w:line="323" w:lineRule="auto"/>
        <w:rPr>
          <w:sz w:val="20"/>
          <w:szCs w:val="20"/>
          <w:color w:val="auto"/>
        </w:rPr>
      </w:pPr>
      <w:r>
        <w:rPr>
          <w:rFonts w:ascii="Arial" w:cs="Arial" w:eastAsia="Arial" w:hAnsi="Arial"/>
          <w:sz w:val="11"/>
          <w:szCs w:val="11"/>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4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0"/>
                <w:szCs w:val="10"/>
                <w:b w:val="1"/>
                <w:bCs w:val="1"/>
                <w:color w:val="auto"/>
              </w:rPr>
              <w:t>Three months ended January 31,</w:t>
            </w:r>
          </w:p>
        </w:tc>
        <w:tc>
          <w:tcPr>
            <w:tcW w:w="440" w:type="dxa"/>
            <w:vAlign w:val="bottom"/>
            <w:tcBorders>
              <w:bottom w:val="single" w:sz="8" w:color="auto"/>
            </w:tcBorders>
          </w:tcPr>
          <w:p>
            <w:pPr>
              <w:spacing w:after="0"/>
              <w:rPr>
                <w:sz w:val="10"/>
                <w:szCs w:val="10"/>
                <w:color w:val="auto"/>
              </w:rPr>
            </w:pPr>
          </w:p>
        </w:tc>
      </w:tr>
      <w:tr>
        <w:trPr>
          <w:trHeight w:val="88"/>
        </w:trPr>
        <w:tc>
          <w:tcPr>
            <w:tcW w:w="2700" w:type="dxa"/>
            <w:vAlign w:val="bottom"/>
            <w:tcBorders>
              <w:bottom w:val="single" w:sz="8" w:color="CCEEFF"/>
            </w:tcBorders>
          </w:tcPr>
          <w:p>
            <w:pPr>
              <w:spacing w:after="0"/>
              <w:rPr>
                <w:sz w:val="7"/>
                <w:szCs w:val="7"/>
                <w:color w:val="auto"/>
              </w:rPr>
            </w:pPr>
          </w:p>
        </w:tc>
        <w:tc>
          <w:tcPr>
            <w:tcW w:w="378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jc w:val="right"/>
              <w:ind w:right="12"/>
              <w:spacing w:after="0" w:line="88"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7"/>
                <w:szCs w:val="7"/>
                <w:color w:val="auto"/>
              </w:rPr>
            </w:pPr>
          </w:p>
        </w:tc>
      </w:tr>
      <w:tr>
        <w:trPr>
          <w:trHeight w:val="133"/>
        </w:trPr>
        <w:tc>
          <w:tcPr>
            <w:tcW w:w="64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income (loss) attributable to Calavo Growers, Inc.</w:t>
            </w: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5,277</w:t>
            </w: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(938)</w:t>
            </w:r>
          </w:p>
        </w:tc>
      </w:tr>
      <w:tr>
        <w:trPr>
          <w:trHeight w:val="144"/>
        </w:trPr>
        <w:tc>
          <w:tcPr>
            <w:tcW w:w="6480" w:type="dxa"/>
            <w:vAlign w:val="bottom"/>
            <w:gridSpan w:val="2"/>
          </w:tcPr>
          <w:p>
            <w:pPr>
              <w:spacing w:after="0"/>
              <w:rPr>
                <w:sz w:val="20"/>
                <w:szCs w:val="20"/>
                <w:color w:val="auto"/>
              </w:rPr>
            </w:pPr>
            <w:r>
              <w:rPr>
                <w:rFonts w:ascii="Arial" w:cs="Arial" w:eastAsia="Arial" w:hAnsi="Arial"/>
                <w:sz w:val="12"/>
                <w:szCs w:val="12"/>
                <w:color w:val="auto"/>
              </w:rPr>
              <w:t>Non-GAAP adjustments:</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4"/>
        </w:trPr>
        <w:tc>
          <w:tcPr>
            <w:tcW w:w="6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Non-cash losses recognized from unconsolidated entities (a)</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3,028</w:t>
            </w:r>
          </w:p>
        </w:tc>
      </w:tr>
      <w:tr>
        <w:trPr>
          <w:trHeight w:val="144"/>
        </w:trPr>
        <w:tc>
          <w:tcPr>
            <w:tcW w:w="6480" w:type="dxa"/>
            <w:vAlign w:val="bottom"/>
            <w:gridSpan w:val="2"/>
          </w:tcPr>
          <w:p>
            <w:pPr>
              <w:spacing w:after="0"/>
              <w:rPr>
                <w:sz w:val="20"/>
                <w:szCs w:val="20"/>
                <w:color w:val="auto"/>
              </w:rPr>
            </w:pPr>
            <w:r>
              <w:rPr>
                <w:rFonts w:ascii="Arial" w:cs="Arial" w:eastAsia="Arial" w:hAnsi="Arial"/>
                <w:sz w:val="12"/>
                <w:szCs w:val="12"/>
                <w:color w:val="auto"/>
              </w:rPr>
              <w:t>Income from FreshRealm Recovery (b)</w:t>
            </w:r>
          </w:p>
        </w:tc>
        <w:tc>
          <w:tcPr>
            <w:tcW w:w="6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(130)</w:t>
            </w:r>
          </w:p>
        </w:tc>
        <w:tc>
          <w:tcPr>
            <w:tcW w:w="7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Acquisition costs (c)</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r>
      <w:tr>
        <w:trPr>
          <w:trHeight w:val="144"/>
        </w:trPr>
        <w:tc>
          <w:tcPr>
            <w:tcW w:w="6480" w:type="dxa"/>
            <w:vAlign w:val="bottom"/>
            <w:gridSpan w:val="2"/>
          </w:tcPr>
          <w:p>
            <w:pPr>
              <w:spacing w:after="0"/>
              <w:rPr>
                <w:sz w:val="20"/>
                <w:szCs w:val="20"/>
                <w:color w:val="auto"/>
              </w:rPr>
            </w:pPr>
            <w:r>
              <w:rPr>
                <w:rFonts w:ascii="Arial" w:cs="Arial" w:eastAsia="Arial" w:hAnsi="Arial"/>
                <w:sz w:val="12"/>
                <w:szCs w:val="12"/>
                <w:color w:val="auto"/>
              </w:rPr>
              <w:t>Net gain on Limoneira shares (d)</w:t>
            </w:r>
          </w:p>
        </w:tc>
        <w:tc>
          <w:tcPr>
            <w:tcW w:w="6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w w:val="99"/>
              </w:rPr>
              <w:t>(3,589)</w:t>
            </w:r>
          </w:p>
        </w:tc>
        <w:tc>
          <w:tcPr>
            <w:tcW w:w="7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(1,006)</w:t>
            </w:r>
          </w:p>
        </w:tc>
      </w:tr>
      <w:tr>
        <w:trPr>
          <w:trHeight w:val="144"/>
        </w:trPr>
        <w:tc>
          <w:tcPr>
            <w:tcW w:w="6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RFG rent expense add back (e)</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480" w:type="dxa"/>
            <w:vAlign w:val="bottom"/>
            <w:gridSpan w:val="2"/>
          </w:tcPr>
          <w:p>
            <w:pPr>
              <w:spacing w:after="0"/>
              <w:rPr>
                <w:sz w:val="20"/>
                <w:szCs w:val="20"/>
                <w:color w:val="auto"/>
              </w:rPr>
            </w:pPr>
            <w:r>
              <w:rPr>
                <w:rFonts w:ascii="Arial" w:cs="Arial" w:eastAsia="Arial" w:hAnsi="Arial"/>
                <w:sz w:val="12"/>
                <w:szCs w:val="12"/>
                <w:color w:val="auto"/>
              </w:rPr>
              <w:t>Professional expenses related to FreshRealm</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91</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Tax impact of adjustments (f)</w:t>
            </w:r>
          </w:p>
        </w:tc>
        <w:tc>
          <w:tcPr>
            <w:tcW w:w="6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840</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(602)</w:t>
            </w:r>
          </w:p>
        </w:tc>
      </w:tr>
      <w:tr>
        <w:trPr>
          <w:trHeight w:val="140"/>
        </w:trPr>
        <w:tc>
          <w:tcPr>
            <w:tcW w:w="648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Adjusted net income attributed to Calavo Growers, Inc.</w:t>
            </w: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3,014</w:t>
            </w:r>
          </w:p>
        </w:tc>
        <w:tc>
          <w:tcPr>
            <w:tcW w:w="2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772</w:t>
            </w:r>
          </w:p>
        </w:tc>
      </w:tr>
      <w:tr>
        <w:trPr>
          <w:trHeight w:val="144"/>
        </w:trPr>
        <w:tc>
          <w:tcPr>
            <w:tcW w:w="270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44"/>
        </w:trPr>
        <w:tc>
          <w:tcPr>
            <w:tcW w:w="6480" w:type="dxa"/>
            <w:vAlign w:val="bottom"/>
            <w:gridSpan w:val="2"/>
          </w:tcPr>
          <w:p>
            <w:pPr>
              <w:spacing w:after="0"/>
              <w:rPr>
                <w:sz w:val="20"/>
                <w:szCs w:val="20"/>
                <w:color w:val="auto"/>
              </w:rPr>
            </w:pPr>
            <w:r>
              <w:rPr>
                <w:rFonts w:ascii="Arial" w:cs="Arial" w:eastAsia="Arial" w:hAnsi="Arial"/>
                <w:sz w:val="12"/>
                <w:szCs w:val="12"/>
                <w:color w:val="auto"/>
              </w:rPr>
              <w:t>Calavo Growers, Inc.’s net income (loss) per share: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4"/>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Diluted EPS (GAAP)</w:t>
            </w: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(0.05)</w:t>
            </w:r>
          </w:p>
        </w:tc>
      </w:tr>
      <w:tr>
        <w:trPr>
          <w:trHeight w:val="138"/>
        </w:trPr>
        <w:tc>
          <w:tcPr>
            <w:tcW w:w="6480" w:type="dxa"/>
            <w:vAlign w:val="bottom"/>
            <w:tcBorders>
              <w:bottom w:val="single" w:sz="8" w:color="CCEEFF"/>
            </w:tcBorders>
            <w:gridSpan w:val="2"/>
          </w:tcPr>
          <w:p>
            <w:pPr>
              <w:spacing w:after="0" w:line="131" w:lineRule="exact"/>
              <w:rPr>
                <w:sz w:val="20"/>
                <w:szCs w:val="20"/>
                <w:color w:val="auto"/>
              </w:rPr>
            </w:pPr>
            <w:r>
              <w:rPr>
                <w:rFonts w:ascii="Arial" w:cs="Arial" w:eastAsia="Arial" w:hAnsi="Arial"/>
                <w:sz w:val="12"/>
                <w:szCs w:val="12"/>
                <w:color w:val="auto"/>
              </w:rPr>
              <w:t>Adjusted Diluted EPS</w:t>
            </w: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0.17</w:t>
            </w:r>
          </w:p>
        </w:tc>
        <w:tc>
          <w:tcPr>
            <w:tcW w:w="2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0.04</w:t>
            </w:r>
          </w:p>
        </w:tc>
      </w:tr>
      <w:tr>
        <w:trPr>
          <w:trHeight w:val="144"/>
        </w:trPr>
        <w:tc>
          <w:tcPr>
            <w:tcW w:w="270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44"/>
        </w:trPr>
        <w:tc>
          <w:tcPr>
            <w:tcW w:w="6480" w:type="dxa"/>
            <w:vAlign w:val="bottom"/>
            <w:gridSpan w:val="2"/>
          </w:tcPr>
          <w:p>
            <w:pPr>
              <w:spacing w:after="0"/>
              <w:rPr>
                <w:sz w:val="20"/>
                <w:szCs w:val="20"/>
                <w:color w:val="auto"/>
              </w:rPr>
            </w:pPr>
            <w:r>
              <w:rPr>
                <w:rFonts w:ascii="Arial" w:cs="Arial" w:eastAsia="Arial" w:hAnsi="Arial"/>
                <w:sz w:val="12"/>
                <w:szCs w:val="12"/>
                <w:color w:val="auto"/>
              </w:rPr>
              <w:t>Number of shares used in per share computation:</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4"/>
        </w:trPr>
        <w:tc>
          <w:tcPr>
            <w:tcW w:w="64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Diluted</w:t>
            </w:r>
          </w:p>
        </w:tc>
        <w:tc>
          <w:tcPr>
            <w:tcW w:w="6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17,669</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17,536</w:t>
            </w:r>
          </w:p>
        </w:tc>
      </w:tr>
      <w:tr>
        <w:trPr>
          <w:trHeight w:val="61"/>
        </w:trPr>
        <w:tc>
          <w:tcPr>
            <w:tcW w:w="270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r>
    </w:tbl>
    <w:p>
      <w:pPr>
        <w:spacing w:after="0" w:line="202" w:lineRule="exact"/>
        <w:rPr>
          <w:sz w:val="20"/>
          <w:szCs w:val="20"/>
          <w:color w:val="auto"/>
        </w:rPr>
      </w:pPr>
    </w:p>
    <w:p>
      <w:pPr>
        <w:jc w:val="both"/>
        <w:ind w:left="240" w:right="79" w:hanging="225"/>
        <w:spacing w:after="0" w:line="253" w:lineRule="auto"/>
        <w:tabs>
          <w:tab w:leader="none" w:pos="240" w:val="left"/>
        </w:tabs>
        <w:numPr>
          <w:ilvl w:val="0"/>
          <w:numId w:val="9"/>
        </w:numPr>
        <w:rPr>
          <w:rFonts w:ascii="Arial" w:cs="Arial" w:eastAsia="Arial" w:hAnsi="Arial"/>
          <w:sz w:val="12"/>
          <w:szCs w:val="12"/>
          <w:color w:val="auto"/>
        </w:rPr>
      </w:pPr>
      <w:r>
        <w:rPr>
          <w:rFonts w:ascii="Arial" w:cs="Arial" w:eastAsia="Arial" w:hAnsi="Arial"/>
          <w:sz w:val="11"/>
          <w:szCs w:val="11"/>
          <w:color w:val="auto"/>
        </w:rPr>
        <w:t>For the three months ended January 31, 2020, FreshRealm realized losses totaling $9.3 million, of which we recorded $3.5 million of non-cash losses during the first quarter of fiscal 2020. For the three months ended January 31, 2021, we realized losses from Agricola Don Memo totaling $0.2 million. For the three months ended January 31, 2020, we realized income from Agricola Don Memo totaling $0.5 million.</w:t>
      </w:r>
    </w:p>
    <w:p>
      <w:pPr>
        <w:spacing w:after="0" w:line="64" w:lineRule="exact"/>
        <w:rPr>
          <w:rFonts w:ascii="Arial" w:cs="Arial" w:eastAsia="Arial" w:hAnsi="Arial"/>
          <w:sz w:val="12"/>
          <w:szCs w:val="12"/>
          <w:color w:val="auto"/>
        </w:rPr>
      </w:pPr>
    </w:p>
    <w:p>
      <w:pPr>
        <w:ind w:left="240" w:hanging="22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As part of the FreshRealm Separation Agreement (See Note 12), we received $0.1 million for previously reserved receivables.</w:t>
      </w:r>
    </w:p>
    <w:p>
      <w:pPr>
        <w:spacing w:after="0" w:line="80" w:lineRule="exact"/>
        <w:rPr>
          <w:rFonts w:ascii="Arial" w:cs="Arial" w:eastAsia="Arial" w:hAnsi="Arial"/>
          <w:sz w:val="11"/>
          <w:szCs w:val="11"/>
          <w:color w:val="auto"/>
        </w:rPr>
      </w:pPr>
    </w:p>
    <w:p>
      <w:pPr>
        <w:ind w:left="240" w:right="99" w:hanging="225"/>
        <w:spacing w:after="0" w:line="274" w:lineRule="auto"/>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 the first quarter of 2021, these are professional service costs related to a considered and subsequently cancelled acquisition. In the first quarter of 2020, we incurred transaction expenses related to the acquisition of SFFI Company, Inc. doing business as Simply Fresh Fruit.</w:t>
      </w:r>
    </w:p>
    <w:p>
      <w:pPr>
        <w:spacing w:after="0" w:line="53" w:lineRule="exact"/>
        <w:rPr>
          <w:rFonts w:ascii="Arial" w:cs="Arial" w:eastAsia="Arial" w:hAnsi="Arial"/>
          <w:sz w:val="11"/>
          <w:szCs w:val="11"/>
          <w:color w:val="auto"/>
        </w:rPr>
      </w:pPr>
    </w:p>
    <w:p>
      <w:pPr>
        <w:ind w:left="240" w:hanging="22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For the three months ended January 31, 2021 and 2020, we recorded $3.6 million and $1.0 million in unrealized gains related to these mark-to-market adjustments.</w:t>
      </w:r>
    </w:p>
    <w:p>
      <w:pPr>
        <w:spacing w:after="0" w:line="80" w:lineRule="exact"/>
        <w:rPr>
          <w:rFonts w:ascii="Arial" w:cs="Arial" w:eastAsia="Arial" w:hAnsi="Arial"/>
          <w:sz w:val="11"/>
          <w:szCs w:val="11"/>
          <w:color w:val="auto"/>
        </w:rPr>
      </w:pPr>
    </w:p>
    <w:p>
      <w:pPr>
        <w:ind w:left="240" w:hanging="22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For the three months ended January 31, 2021, we incurred $0.1 million related to rent paid for RFG corporate office space that we have vacated and plan to sublease.</w:t>
      </w:r>
    </w:p>
    <w:p>
      <w:pPr>
        <w:spacing w:after="0" w:line="80" w:lineRule="exact"/>
        <w:rPr>
          <w:rFonts w:ascii="Arial" w:cs="Arial" w:eastAsia="Arial" w:hAnsi="Arial"/>
          <w:sz w:val="11"/>
          <w:szCs w:val="11"/>
          <w:color w:val="auto"/>
        </w:rPr>
      </w:pPr>
    </w:p>
    <w:p>
      <w:pPr>
        <w:ind w:left="240" w:hanging="22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Tax impact of non-GAAP adjustments are based on the prevailing year-to-date tax rates.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3" w:name="page24"/>
    <w:bookmarkEnd w:id="23"/>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Reconciliation of EBITDA and Adjusted EBITDA (Non-GAAP, Unaudited)</w:t>
      </w:r>
    </w:p>
    <w:p>
      <w:pPr>
        <w:spacing w:after="0" w:line="150" w:lineRule="exact"/>
        <w:rPr>
          <w:sz w:val="20"/>
          <w:szCs w:val="20"/>
          <w:color w:val="auto"/>
        </w:rPr>
      </w:pPr>
    </w:p>
    <w:p>
      <w:pPr>
        <w:ind w:left="20" w:right="119" w:firstLine="173"/>
        <w:spacing w:after="0" w:line="276" w:lineRule="auto"/>
        <w:rPr>
          <w:sz w:val="20"/>
          <w:szCs w:val="20"/>
          <w:color w:val="auto"/>
        </w:rPr>
      </w:pPr>
      <w:r>
        <w:rPr>
          <w:rFonts w:ascii="Arial" w:cs="Arial" w:eastAsia="Arial" w:hAnsi="Arial"/>
          <w:sz w:val="12"/>
          <w:szCs w:val="12"/>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10"/>
          </w:tcPr>
          <w:p>
            <w:pPr>
              <w:spacing w:after="0"/>
              <w:rPr>
                <w:sz w:val="20"/>
                <w:szCs w:val="20"/>
                <w:color w:val="auto"/>
              </w:rPr>
            </w:pPr>
            <w:r>
              <w:rPr>
                <w:rFonts w:ascii="Arial" w:cs="Arial" w:eastAsia="Arial" w:hAnsi="Arial"/>
                <w:sz w:val="10"/>
                <w:szCs w:val="10"/>
                <w:b w:val="1"/>
                <w:bCs w:val="1"/>
                <w:color w:val="auto"/>
              </w:rPr>
              <w:t>Three months ended January 31,</w:t>
            </w:r>
          </w:p>
        </w:tc>
      </w:tr>
      <w:tr>
        <w:trPr>
          <w:trHeight w:val="88"/>
        </w:trPr>
        <w:tc>
          <w:tcPr>
            <w:tcW w:w="560" w:type="dxa"/>
            <w:vAlign w:val="bottom"/>
            <w:tcBorders>
              <w:bottom w:val="single" w:sz="8" w:color="CCEEFF"/>
            </w:tcBorders>
          </w:tcPr>
          <w:p>
            <w:pPr>
              <w:spacing w:after="0"/>
              <w:rPr>
                <w:sz w:val="7"/>
                <w:szCs w:val="7"/>
                <w:color w:val="auto"/>
              </w:rPr>
            </w:pPr>
          </w:p>
        </w:tc>
        <w:tc>
          <w:tcPr>
            <w:tcW w:w="204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220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52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gridSpan w:val="4"/>
          </w:tcPr>
          <w:p>
            <w:pPr>
              <w:jc w:val="right"/>
              <w:spacing w:after="0" w:line="88"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CCEEFF"/>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gridSpan w:val="2"/>
          </w:tcPr>
          <w:p>
            <w:pPr>
              <w:jc w:val="right"/>
              <w:ind w:right="340"/>
              <w:spacing w:after="0" w:line="88" w:lineRule="exact"/>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7"/>
                <w:szCs w:val="7"/>
                <w:color w:val="auto"/>
              </w:rPr>
            </w:pPr>
          </w:p>
        </w:tc>
      </w:tr>
      <w:tr>
        <w:trPr>
          <w:trHeight w:val="133"/>
        </w:trPr>
        <w:tc>
          <w:tcPr>
            <w:tcW w:w="366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Net income (loss) attributable to Calavo Growers, Inc.</w:t>
            </w:r>
          </w:p>
        </w:tc>
        <w:tc>
          <w:tcPr>
            <w:tcW w:w="2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center"/>
              <w:ind w:right="122"/>
              <w:spacing w:after="0" w:line="133" w:lineRule="exact"/>
              <w:rPr>
                <w:sz w:val="20"/>
                <w:szCs w:val="20"/>
                <w:color w:val="auto"/>
              </w:rPr>
            </w:pPr>
            <w:r>
              <w:rPr>
                <w:rFonts w:ascii="Arial" w:cs="Arial" w:eastAsia="Arial" w:hAnsi="Arial"/>
                <w:sz w:val="12"/>
                <w:szCs w:val="12"/>
                <w:color w:val="auto"/>
                <w:w w:val="89"/>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5,277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(938)</w:t>
            </w:r>
          </w:p>
        </w:tc>
        <w:tc>
          <w:tcPr>
            <w:tcW w:w="20" w:type="dxa"/>
            <w:vAlign w:val="bottom"/>
          </w:tcPr>
          <w:p>
            <w:pPr>
              <w:spacing w:after="0"/>
              <w:rPr>
                <w:sz w:val="11"/>
                <w:szCs w:val="11"/>
                <w:color w:val="auto"/>
              </w:rPr>
            </w:pPr>
          </w:p>
        </w:tc>
      </w:tr>
      <w:tr>
        <w:trPr>
          <w:trHeight w:val="144"/>
        </w:trPr>
        <w:tc>
          <w:tcPr>
            <w:tcW w:w="3660" w:type="dxa"/>
            <w:vAlign w:val="bottom"/>
            <w:gridSpan w:val="3"/>
          </w:tcPr>
          <w:p>
            <w:pPr>
              <w:spacing w:after="0"/>
              <w:rPr>
                <w:sz w:val="20"/>
                <w:szCs w:val="20"/>
                <w:color w:val="auto"/>
              </w:rPr>
            </w:pPr>
            <w:r>
              <w:rPr>
                <w:rFonts w:ascii="Arial" w:cs="Arial" w:eastAsia="Arial" w:hAnsi="Arial"/>
                <w:sz w:val="12"/>
                <w:szCs w:val="12"/>
                <w:color w:val="auto"/>
              </w:rPr>
              <w:t>Interest Income</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(946)</w:t>
            </w:r>
          </w:p>
        </w:tc>
        <w:tc>
          <w:tcPr>
            <w:tcW w:w="20" w:type="dxa"/>
            <w:vAlign w:val="bottom"/>
          </w:tcPr>
          <w:p>
            <w:pPr>
              <w:spacing w:after="0"/>
              <w:rPr>
                <w:sz w:val="12"/>
                <w:szCs w:val="12"/>
                <w:color w:val="auto"/>
              </w:rPr>
            </w:pPr>
          </w:p>
        </w:tc>
      </w:tr>
      <w:tr>
        <w:trPr>
          <w:trHeight w:val="144"/>
        </w:trPr>
        <w:tc>
          <w:tcPr>
            <w:tcW w:w="3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20" w:type="dxa"/>
            <w:vAlign w:val="bottom"/>
          </w:tcPr>
          <w:p>
            <w:pPr>
              <w:spacing w:after="0"/>
              <w:rPr>
                <w:sz w:val="12"/>
                <w:szCs w:val="12"/>
                <w:color w:val="auto"/>
              </w:rPr>
            </w:pPr>
          </w:p>
        </w:tc>
      </w:tr>
      <w:tr>
        <w:trPr>
          <w:trHeight w:val="144"/>
        </w:trPr>
        <w:tc>
          <w:tcPr>
            <w:tcW w:w="3660" w:type="dxa"/>
            <w:vAlign w:val="bottom"/>
            <w:gridSpan w:val="3"/>
          </w:tcPr>
          <w:p>
            <w:pPr>
              <w:spacing w:after="0"/>
              <w:rPr>
                <w:sz w:val="20"/>
                <w:szCs w:val="20"/>
                <w:color w:val="auto"/>
              </w:rPr>
            </w:pPr>
            <w:r>
              <w:rPr>
                <w:rFonts w:ascii="Arial" w:cs="Arial" w:eastAsia="Arial" w:hAnsi="Arial"/>
                <w:sz w:val="12"/>
                <w:szCs w:val="12"/>
                <w:color w:val="auto"/>
              </w:rPr>
              <w:t>Provision (benefit) for Income Taxes</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1,943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(650)</w:t>
            </w:r>
          </w:p>
        </w:tc>
        <w:tc>
          <w:tcPr>
            <w:tcW w:w="20" w:type="dxa"/>
            <w:vAlign w:val="bottom"/>
          </w:tcPr>
          <w:p>
            <w:pPr>
              <w:spacing w:after="0"/>
              <w:rPr>
                <w:sz w:val="12"/>
                <w:szCs w:val="12"/>
                <w:color w:val="auto"/>
              </w:rPr>
            </w:pPr>
          </w:p>
        </w:tc>
      </w:tr>
      <w:tr>
        <w:trPr>
          <w:trHeight w:val="144"/>
        </w:trPr>
        <w:tc>
          <w:tcPr>
            <w:tcW w:w="3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Depreciation &amp; Amortization</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4,294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3,567</w:t>
            </w:r>
          </w:p>
        </w:tc>
        <w:tc>
          <w:tcPr>
            <w:tcW w:w="20" w:type="dxa"/>
            <w:vAlign w:val="bottom"/>
          </w:tcPr>
          <w:p>
            <w:pPr>
              <w:spacing w:after="0"/>
              <w:rPr>
                <w:sz w:val="12"/>
                <w:szCs w:val="12"/>
                <w:color w:val="auto"/>
              </w:rPr>
            </w:pPr>
          </w:p>
        </w:tc>
      </w:tr>
      <w:tr>
        <w:trPr>
          <w:trHeight w:val="144"/>
        </w:trPr>
        <w:tc>
          <w:tcPr>
            <w:tcW w:w="366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Stock-Based Compensation</w:t>
            </w:r>
          </w:p>
        </w:tc>
        <w:tc>
          <w:tcPr>
            <w:tcW w:w="2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907</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931</w:t>
            </w:r>
          </w:p>
        </w:tc>
        <w:tc>
          <w:tcPr>
            <w:tcW w:w="20" w:type="dxa"/>
            <w:vAlign w:val="bottom"/>
          </w:tcPr>
          <w:p>
            <w:pPr>
              <w:spacing w:after="0"/>
              <w:rPr>
                <w:sz w:val="12"/>
                <w:szCs w:val="12"/>
                <w:color w:val="auto"/>
              </w:rPr>
            </w:pPr>
          </w:p>
        </w:tc>
      </w:tr>
      <w:tr>
        <w:trPr>
          <w:trHeight w:val="133"/>
        </w:trPr>
        <w:tc>
          <w:tcPr>
            <w:tcW w:w="366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EBITDA</w:t>
            </w:r>
          </w:p>
        </w:tc>
        <w:tc>
          <w:tcPr>
            <w:tcW w:w="2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center"/>
              <w:ind w:right="122"/>
              <w:spacing w:after="0" w:line="133" w:lineRule="exact"/>
              <w:rPr>
                <w:sz w:val="20"/>
                <w:szCs w:val="20"/>
                <w:color w:val="auto"/>
              </w:rPr>
            </w:pPr>
            <w:r>
              <w:rPr>
                <w:rFonts w:ascii="Arial" w:cs="Arial" w:eastAsia="Arial" w:hAnsi="Arial"/>
                <w:sz w:val="12"/>
                <w:szCs w:val="12"/>
                <w:color w:val="auto"/>
                <w:w w:val="89"/>
              </w:rPr>
              <w:t>$</w:t>
            </w: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12,523</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2,151</w:t>
            </w:r>
          </w:p>
        </w:tc>
        <w:tc>
          <w:tcPr>
            <w:tcW w:w="20" w:type="dxa"/>
            <w:vAlign w:val="bottom"/>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Adjustments: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660" w:type="dxa"/>
            <w:vAlign w:val="bottom"/>
            <w:gridSpan w:val="3"/>
          </w:tcPr>
          <w:p>
            <w:pPr>
              <w:spacing w:after="0"/>
              <w:rPr>
                <w:sz w:val="20"/>
                <w:szCs w:val="20"/>
                <w:color w:val="auto"/>
              </w:rPr>
            </w:pPr>
            <w:r>
              <w:rPr>
                <w:rFonts w:ascii="Arial" w:cs="Arial" w:eastAsia="Arial" w:hAnsi="Arial"/>
                <w:sz w:val="12"/>
                <w:szCs w:val="12"/>
                <w:color w:val="auto"/>
              </w:rPr>
              <w:t>Non-cash losses recognized from unconsolidated entities (a)</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155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3,028</w:t>
            </w:r>
          </w:p>
        </w:tc>
        <w:tc>
          <w:tcPr>
            <w:tcW w:w="20" w:type="dxa"/>
            <w:vAlign w:val="bottom"/>
          </w:tcPr>
          <w:p>
            <w:pPr>
              <w:spacing w:after="0"/>
              <w:rPr>
                <w:sz w:val="12"/>
                <w:szCs w:val="12"/>
                <w:color w:val="auto"/>
              </w:rPr>
            </w:pPr>
          </w:p>
        </w:tc>
      </w:tr>
      <w:tr>
        <w:trPr>
          <w:trHeight w:val="144"/>
        </w:trPr>
        <w:tc>
          <w:tcPr>
            <w:tcW w:w="3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gain on Limoneira shares (d)</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(3,589)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(1,006)</w:t>
            </w:r>
          </w:p>
        </w:tc>
        <w:tc>
          <w:tcPr>
            <w:tcW w:w="20" w:type="dxa"/>
            <w:vAlign w:val="bottom"/>
          </w:tcPr>
          <w:p>
            <w:pPr>
              <w:spacing w:after="0"/>
              <w:rPr>
                <w:sz w:val="12"/>
                <w:szCs w:val="12"/>
                <w:color w:val="auto"/>
              </w:rPr>
            </w:pPr>
          </w:p>
        </w:tc>
      </w:tr>
      <w:tr>
        <w:trPr>
          <w:trHeight w:val="144"/>
        </w:trPr>
        <w:tc>
          <w:tcPr>
            <w:tcW w:w="3660" w:type="dxa"/>
            <w:vAlign w:val="bottom"/>
            <w:gridSpan w:val="3"/>
          </w:tcPr>
          <w:p>
            <w:pPr>
              <w:spacing w:after="0"/>
              <w:rPr>
                <w:sz w:val="20"/>
                <w:szCs w:val="20"/>
                <w:color w:val="auto"/>
              </w:rPr>
            </w:pPr>
            <w:r>
              <w:rPr>
                <w:rFonts w:ascii="Arial" w:cs="Arial" w:eastAsia="Arial" w:hAnsi="Arial"/>
                <w:sz w:val="12"/>
                <w:szCs w:val="12"/>
                <w:color w:val="auto"/>
              </w:rPr>
              <w:t>Income from FreshRealm recovery (b)</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Professional expenses related to FreshRealm</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660" w:type="dxa"/>
            <w:vAlign w:val="bottom"/>
            <w:gridSpan w:val="3"/>
          </w:tcPr>
          <w:p>
            <w:pPr>
              <w:spacing w:after="0"/>
              <w:rPr>
                <w:sz w:val="20"/>
                <w:szCs w:val="20"/>
                <w:color w:val="auto"/>
              </w:rPr>
            </w:pPr>
            <w:r>
              <w:rPr>
                <w:rFonts w:ascii="Arial" w:cs="Arial" w:eastAsia="Arial" w:hAnsi="Arial"/>
                <w:sz w:val="12"/>
                <w:szCs w:val="12"/>
                <w:color w:val="auto"/>
              </w:rPr>
              <w:t>RFG rent expense add back (e)</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Acquisition costs (c)</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20" w:type="dxa"/>
            <w:vAlign w:val="bottom"/>
          </w:tcPr>
          <w:p>
            <w:pPr>
              <w:spacing w:after="0"/>
              <w:rPr>
                <w:sz w:val="12"/>
                <w:szCs w:val="12"/>
                <w:color w:val="auto"/>
              </w:rPr>
            </w:pPr>
          </w:p>
        </w:tc>
      </w:tr>
      <w:tr>
        <w:trPr>
          <w:trHeight w:val="140"/>
        </w:trPr>
        <w:tc>
          <w:tcPr>
            <w:tcW w:w="3660" w:type="dxa"/>
            <w:vAlign w:val="bottom"/>
            <w:tcBorders>
              <w:bottom w:val="single" w:sz="8" w:color="CCEEFF"/>
            </w:tcBorders>
            <w:gridSpan w:val="3"/>
          </w:tcPr>
          <w:p>
            <w:pPr>
              <w:spacing w:after="0" w:line="133" w:lineRule="exact"/>
              <w:rPr>
                <w:sz w:val="20"/>
                <w:szCs w:val="20"/>
                <w:color w:val="auto"/>
              </w:rPr>
            </w:pPr>
            <w:r>
              <w:rPr>
                <w:rFonts w:ascii="Arial" w:cs="Arial" w:eastAsia="Arial" w:hAnsi="Arial"/>
                <w:sz w:val="12"/>
                <w:szCs w:val="12"/>
                <w:color w:val="auto"/>
              </w:rPr>
              <w:t>Adjusted EBITDA</w:t>
            </w:r>
          </w:p>
        </w:tc>
        <w:tc>
          <w:tcPr>
            <w:tcW w:w="2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center"/>
              <w:ind w:right="122"/>
              <w:spacing w:after="0" w:line="133" w:lineRule="exact"/>
              <w:rPr>
                <w:sz w:val="20"/>
                <w:szCs w:val="20"/>
                <w:color w:val="auto"/>
              </w:rPr>
            </w:pPr>
            <w:r>
              <w:rPr>
                <w:rFonts w:ascii="Arial" w:cs="Arial" w:eastAsia="Arial" w:hAnsi="Arial"/>
                <w:sz w:val="12"/>
                <w:szCs w:val="12"/>
                <w:color w:val="auto"/>
                <w:w w:val="89"/>
              </w:rPr>
              <w:t>$</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6"/>
              </w:rPr>
              <w:t>9,420</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4,463</w:t>
            </w:r>
          </w:p>
        </w:tc>
        <w:tc>
          <w:tcPr>
            <w:tcW w:w="20" w:type="dxa"/>
            <w:vAlign w:val="bottom"/>
          </w:tcPr>
          <w:p>
            <w:pPr>
              <w:spacing w:after="0"/>
              <w:rPr>
                <w:sz w:val="12"/>
                <w:szCs w:val="12"/>
                <w:color w:val="auto"/>
              </w:rPr>
            </w:pPr>
          </w:p>
        </w:tc>
      </w:tr>
      <w:tr>
        <w:trPr>
          <w:trHeight w:val="151"/>
        </w:trPr>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Adjusted EBITDA per diluted share</w:t>
            </w:r>
          </w:p>
        </w:tc>
        <w:tc>
          <w:tcPr>
            <w:tcW w:w="2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center"/>
              <w:ind w:right="122"/>
              <w:spacing w:after="0"/>
              <w:rPr>
                <w:sz w:val="20"/>
                <w:szCs w:val="20"/>
                <w:color w:val="auto"/>
              </w:rPr>
            </w:pPr>
            <w:r>
              <w:rPr>
                <w:rFonts w:ascii="Arial" w:cs="Arial" w:eastAsia="Arial" w:hAnsi="Arial"/>
                <w:sz w:val="12"/>
                <w:szCs w:val="12"/>
                <w:color w:val="auto"/>
                <w:w w:val="89"/>
              </w:rPr>
              <w:t>$</w:t>
            </w: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0.53</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0" w:type="dxa"/>
            <w:vAlign w:val="bottom"/>
          </w:tcPr>
          <w:p>
            <w:pPr>
              <w:spacing w:after="0"/>
              <w:rPr>
                <w:sz w:val="13"/>
                <w:szCs w:val="13"/>
                <w:color w:val="auto"/>
              </w:rPr>
            </w:pPr>
          </w:p>
        </w:tc>
      </w:tr>
      <w:tr>
        <w:trPr>
          <w:trHeight w:val="72"/>
        </w:trPr>
        <w:tc>
          <w:tcPr>
            <w:tcW w:w="2600" w:type="dxa"/>
            <w:vAlign w:val="bottom"/>
            <w:tcBorders>
              <w:bottom w:val="single" w:sz="8" w:color="auto"/>
            </w:tcBorders>
            <w:gridSpan w:val="2"/>
          </w:tcPr>
          <w:p>
            <w:pPr>
              <w:spacing w:after="0"/>
              <w:rPr>
                <w:sz w:val="6"/>
                <w:szCs w:val="6"/>
                <w:color w:val="auto"/>
              </w:rPr>
            </w:pPr>
          </w:p>
        </w:tc>
        <w:tc>
          <w:tcPr>
            <w:tcW w:w="10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3"/>
        </w:trPr>
        <w:tc>
          <w:tcPr>
            <w:tcW w:w="3660" w:type="dxa"/>
            <w:vAlign w:val="bottom"/>
            <w:gridSpan w:val="3"/>
          </w:tcPr>
          <w:p>
            <w:pPr>
              <w:spacing w:after="0"/>
              <w:rPr>
                <w:sz w:val="20"/>
                <w:szCs w:val="20"/>
                <w:color w:val="auto"/>
              </w:rPr>
            </w:pPr>
            <w:r>
              <w:rPr>
                <w:rFonts w:ascii="Arial" w:cs="Arial" w:eastAsia="Arial" w:hAnsi="Arial"/>
                <w:sz w:val="11"/>
                <w:szCs w:val="11"/>
                <w:color w:val="auto"/>
              </w:rPr>
              <w:t>See prior page for footnote references</w:t>
            </w: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2"/>
        </w:trPr>
        <w:tc>
          <w:tcPr>
            <w:tcW w:w="3660" w:type="dxa"/>
            <w:vAlign w:val="bottom"/>
            <w:gridSpan w:val="3"/>
          </w:tcPr>
          <w:p>
            <w:pPr>
              <w:ind w:left="180"/>
              <w:spacing w:after="0"/>
              <w:rPr>
                <w:sz w:val="20"/>
                <w:szCs w:val="20"/>
                <w:color w:val="auto"/>
              </w:rPr>
            </w:pPr>
            <w:r>
              <w:rPr>
                <w:rFonts w:ascii="Arial" w:cs="Arial" w:eastAsia="Arial" w:hAnsi="Arial"/>
                <w:sz w:val="12"/>
                <w:szCs w:val="12"/>
                <w:b w:val="1"/>
                <w:bCs w:val="1"/>
                <w:i w:val="1"/>
                <w:iCs w:val="1"/>
                <w:color w:val="auto"/>
              </w:rPr>
              <w:t>Net Sales</w:t>
            </w: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6740" w:type="dxa"/>
            <w:vAlign w:val="bottom"/>
            <w:gridSpan w:val="7"/>
          </w:tcPr>
          <w:p>
            <w:pPr>
              <w:ind w:left="160"/>
              <w:spacing w:after="0"/>
              <w:rPr>
                <w:sz w:val="20"/>
                <w:szCs w:val="20"/>
                <w:color w:val="auto"/>
              </w:rPr>
            </w:pPr>
            <w:r>
              <w:rPr>
                <w:rFonts w:ascii="Arial" w:cs="Arial" w:eastAsia="Arial" w:hAnsi="Arial"/>
                <w:sz w:val="12"/>
                <w:szCs w:val="12"/>
                <w:color w:val="auto"/>
                <w:w w:val="93"/>
              </w:rPr>
              <w:t>The following table summarizes our net sales by business segment for each of the three months ended January 31, 2021 and 2020: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9"/>
          </w:tcPr>
          <w:p>
            <w:pPr>
              <w:jc w:val="center"/>
              <w:ind w:left="22"/>
              <w:spacing w:after="0"/>
              <w:rPr>
                <w:sz w:val="20"/>
                <w:szCs w:val="20"/>
                <w:color w:val="auto"/>
              </w:rPr>
            </w:pPr>
            <w:r>
              <w:rPr>
                <w:rFonts w:ascii="Arial" w:cs="Arial" w:eastAsia="Arial" w:hAnsi="Arial"/>
                <w:sz w:val="10"/>
                <w:szCs w:val="10"/>
                <w:b w:val="1"/>
                <w:bCs w:val="1"/>
                <w:color w:val="auto"/>
                <w:w w:val="87"/>
              </w:rPr>
              <w:t>Three months ended January 31,</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5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jc w:val="right"/>
              <w:ind w:right="182"/>
              <w:spacing w:after="0" w:line="88" w:lineRule="exact"/>
              <w:rPr>
                <w:sz w:val="20"/>
                <w:szCs w:val="20"/>
                <w:color w:val="auto"/>
              </w:rPr>
            </w:pPr>
            <w:r>
              <w:rPr>
                <w:rFonts w:ascii="Arial" w:cs="Arial" w:eastAsia="Arial" w:hAnsi="Arial"/>
                <w:sz w:val="10"/>
                <w:szCs w:val="10"/>
                <w:b w:val="1"/>
                <w:bCs w:val="1"/>
                <w:color w:val="auto"/>
              </w:rPr>
              <w:t>2021</w:t>
            </w:r>
          </w:p>
        </w:tc>
        <w:tc>
          <w:tcPr>
            <w:tcW w:w="220" w:type="dxa"/>
            <w:vAlign w:val="bottom"/>
          </w:tcPr>
          <w:p>
            <w:pPr>
              <w:spacing w:after="0"/>
              <w:rPr>
                <w:sz w:val="7"/>
                <w:szCs w:val="7"/>
                <w:color w:val="auto"/>
              </w:rPr>
            </w:pPr>
          </w:p>
        </w:tc>
        <w:tc>
          <w:tcPr>
            <w:tcW w:w="520" w:type="dxa"/>
            <w:vAlign w:val="bottom"/>
            <w:gridSpan w:val="3"/>
          </w:tcPr>
          <w:p>
            <w:pPr>
              <w:jc w:val="center"/>
              <w:ind w:right="120"/>
              <w:spacing w:after="0" w:line="88" w:lineRule="exact"/>
              <w:rPr>
                <w:sz w:val="20"/>
                <w:szCs w:val="20"/>
                <w:color w:val="auto"/>
              </w:rPr>
            </w:pPr>
            <w:r>
              <w:rPr>
                <w:rFonts w:ascii="Arial" w:cs="Arial" w:eastAsia="Arial" w:hAnsi="Arial"/>
                <w:sz w:val="10"/>
                <w:szCs w:val="10"/>
                <w:b w:val="1"/>
                <w:bCs w:val="1"/>
                <w:color w:val="auto"/>
                <w:w w:val="87"/>
              </w:rPr>
              <w:t>Change</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2"/>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5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sales: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tcPr>
          <w:p>
            <w:pPr>
              <w:ind w:left="140"/>
              <w:spacing w:after="0"/>
              <w:rPr>
                <w:sz w:val="20"/>
                <w:szCs w:val="20"/>
                <w:color w:val="auto"/>
              </w:rPr>
            </w:pPr>
            <w:r>
              <w:rPr>
                <w:rFonts w:ascii="Arial" w:cs="Arial" w:eastAsia="Arial" w:hAnsi="Arial"/>
                <w:sz w:val="12"/>
                <w:szCs w:val="12"/>
                <w:color w:val="auto"/>
              </w:rPr>
              <w:t>Fresh products</w:t>
            </w:r>
          </w:p>
        </w:tc>
        <w:tc>
          <w:tcPr>
            <w:tcW w:w="234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115,459</w:t>
            </w:r>
          </w:p>
        </w:tc>
        <w:tc>
          <w:tcPr>
            <w:tcW w:w="220" w:type="dxa"/>
            <w:vAlign w:val="bottom"/>
          </w:tcPr>
          <w:p>
            <w:pPr>
              <w:spacing w:after="0"/>
              <w:rPr>
                <w:sz w:val="12"/>
                <w:szCs w:val="12"/>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(13)%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4"/>
          </w:tcPr>
          <w:p>
            <w:pPr>
              <w:jc w:val="right"/>
              <w:spacing w:after="0"/>
              <w:rPr>
                <w:sz w:val="20"/>
                <w:szCs w:val="20"/>
                <w:color w:val="auto"/>
              </w:rPr>
            </w:pPr>
            <w:r>
              <w:rPr>
                <w:rFonts w:ascii="Arial" w:cs="Arial" w:eastAsia="Arial" w:hAnsi="Arial"/>
                <w:sz w:val="12"/>
                <w:szCs w:val="12"/>
                <w:color w:val="auto"/>
              </w:rPr>
              <w:t>133,189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RFG</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90,306</w:t>
            </w: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120,935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tcPr>
          <w:p>
            <w:pPr>
              <w:ind w:left="140"/>
              <w:spacing w:after="0"/>
              <w:rPr>
                <w:sz w:val="20"/>
                <w:szCs w:val="20"/>
                <w:color w:val="auto"/>
              </w:rPr>
            </w:pPr>
            <w:r>
              <w:rPr>
                <w:rFonts w:ascii="Arial" w:cs="Arial" w:eastAsia="Arial" w:hAnsi="Arial"/>
                <w:sz w:val="12"/>
                <w:szCs w:val="12"/>
                <w:color w:val="auto"/>
              </w:rPr>
              <w:t>Calavo Foods</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16,458</w:t>
            </w:r>
          </w:p>
        </w:tc>
        <w:tc>
          <w:tcPr>
            <w:tcW w:w="220" w:type="dxa"/>
            <w:vAlign w:val="bottom"/>
          </w:tcPr>
          <w:p>
            <w:pPr>
              <w:spacing w:after="0"/>
              <w:rPr>
                <w:sz w:val="12"/>
                <w:szCs w:val="12"/>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spacing w:after="0"/>
              <w:rPr>
                <w:sz w:val="20"/>
                <w:szCs w:val="20"/>
                <w:color w:val="auto"/>
              </w:rPr>
            </w:pPr>
            <w:r>
              <w:rPr>
                <w:rFonts w:ascii="Arial" w:cs="Arial" w:eastAsia="Arial" w:hAnsi="Arial"/>
                <w:sz w:val="12"/>
                <w:szCs w:val="12"/>
                <w:color w:val="auto"/>
              </w:rPr>
              <w:t>20,483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Less intercompany eliminations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(1,645)</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31 %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2"/>
                <w:szCs w:val="12"/>
                <w:color w:val="auto"/>
              </w:rPr>
              <w:t>(1,259)</w:t>
            </w:r>
          </w:p>
        </w:tc>
        <w:tc>
          <w:tcPr>
            <w:tcW w:w="14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560" w:type="dxa"/>
            <w:vAlign w:val="bottom"/>
          </w:tcPr>
          <w:p>
            <w:pPr>
              <w:spacing w:after="0"/>
              <w:rPr>
                <w:sz w:val="12"/>
                <w:szCs w:val="12"/>
                <w:color w:val="auto"/>
              </w:rPr>
            </w:pPr>
          </w:p>
        </w:tc>
        <w:tc>
          <w:tcPr>
            <w:tcW w:w="3100" w:type="dxa"/>
            <w:vAlign w:val="bottom"/>
            <w:tcBorders>
              <w:bottom w:val="single" w:sz="8" w:color="CCEEFF"/>
            </w:tcBorders>
            <w:gridSpan w:val="2"/>
          </w:tcPr>
          <w:p>
            <w:pPr>
              <w:ind w:left="220"/>
              <w:spacing w:after="0" w:line="133" w:lineRule="exact"/>
              <w:rPr>
                <w:sz w:val="20"/>
                <w:szCs w:val="20"/>
                <w:color w:val="auto"/>
              </w:rPr>
            </w:pPr>
            <w:r>
              <w:rPr>
                <w:rFonts w:ascii="Arial" w:cs="Arial" w:eastAsia="Arial" w:hAnsi="Arial"/>
                <w:sz w:val="12"/>
                <w:szCs w:val="12"/>
                <w:color w:val="auto"/>
              </w:rPr>
              <w:t>Total net sales</w:t>
            </w:r>
          </w:p>
        </w:tc>
        <w:tc>
          <w:tcPr>
            <w:tcW w:w="2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220,578</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3"/>
          </w:tcPr>
          <w:p>
            <w:pPr>
              <w:jc w:val="right"/>
              <w:ind w:right="20"/>
              <w:spacing w:after="0" w:line="133" w:lineRule="exact"/>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gridSpan w:val="4"/>
          </w:tcPr>
          <w:p>
            <w:pPr>
              <w:jc w:val="right"/>
              <w:spacing w:after="0" w:line="133" w:lineRule="exact"/>
              <w:rPr>
                <w:sz w:val="20"/>
                <w:szCs w:val="20"/>
                <w:color w:val="auto"/>
              </w:rPr>
            </w:pPr>
            <w:r>
              <w:rPr>
                <w:rFonts w:ascii="Arial" w:cs="Arial" w:eastAsia="Arial" w:hAnsi="Arial"/>
                <w:sz w:val="12"/>
                <w:szCs w:val="12"/>
                <w:color w:val="auto"/>
              </w:rPr>
              <w:t>273,348</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tcPr>
          <w:p>
            <w:pPr>
              <w:ind w:left="80"/>
              <w:spacing w:after="0"/>
              <w:rPr>
                <w:sz w:val="20"/>
                <w:szCs w:val="20"/>
                <w:color w:val="auto"/>
              </w:rPr>
            </w:pPr>
            <w:r>
              <w:rPr>
                <w:rFonts w:ascii="Arial" w:cs="Arial" w:eastAsia="Arial" w:hAnsi="Arial"/>
                <w:sz w:val="12"/>
                <w:szCs w:val="12"/>
                <w:color w:val="auto"/>
              </w:rPr>
              <w:t>As a percentage of sales:</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Fresh products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52.0 %</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w w:val="85"/>
              </w:rPr>
              <w:t>48.5 %</w:t>
            </w:r>
          </w:p>
        </w:tc>
        <w:tc>
          <w:tcPr>
            <w:tcW w:w="14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tcPr>
          <w:p>
            <w:pPr>
              <w:ind w:left="140"/>
              <w:spacing w:after="0"/>
              <w:rPr>
                <w:sz w:val="20"/>
                <w:szCs w:val="20"/>
                <w:color w:val="auto"/>
              </w:rPr>
            </w:pPr>
            <w:r>
              <w:rPr>
                <w:rFonts w:ascii="Arial" w:cs="Arial" w:eastAsia="Arial" w:hAnsi="Arial"/>
                <w:sz w:val="12"/>
                <w:szCs w:val="12"/>
                <w:color w:val="auto"/>
              </w:rPr>
              <w:t>RFG</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40.6 %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2"/>
                <w:szCs w:val="12"/>
                <w:color w:val="auto"/>
                <w:w w:val="85"/>
              </w:rPr>
              <w:t>44.0 %</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Calavo Foods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7.4 %</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7.5 %</w:t>
            </w:r>
          </w:p>
        </w:tc>
        <w:tc>
          <w:tcPr>
            <w:tcW w:w="14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100.0</w:t>
            </w:r>
          </w:p>
        </w:tc>
        <w:tc>
          <w:tcPr>
            <w:tcW w:w="220" w:type="dxa"/>
            <w:vAlign w:val="bottom"/>
          </w:tcPr>
          <w:p>
            <w:pPr>
              <w:jc w:val="right"/>
              <w:ind w:right="60"/>
              <w:spacing w:after="0" w:line="133" w:lineRule="exact"/>
              <w:rPr>
                <w:sz w:val="20"/>
                <w:szCs w:val="20"/>
                <w:color w:val="auto"/>
              </w:rPr>
            </w:pPr>
            <w:r>
              <w:rPr>
                <w:rFonts w:ascii="Arial" w:cs="Arial" w:eastAsia="Arial" w:hAnsi="Arial"/>
                <w:sz w:val="12"/>
                <w:szCs w:val="12"/>
                <w:color w:val="auto"/>
                <w:w w:val="74"/>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4"/>
          </w:tcPr>
          <w:p>
            <w:pPr>
              <w:jc w:val="right"/>
              <w:spacing w:after="0" w:line="133" w:lineRule="exact"/>
              <w:rPr>
                <w:sz w:val="20"/>
                <w:szCs w:val="20"/>
                <w:color w:val="auto"/>
              </w:rPr>
            </w:pPr>
            <w:r>
              <w:rPr>
                <w:rFonts w:ascii="Arial" w:cs="Arial" w:eastAsia="Arial" w:hAnsi="Arial"/>
                <w:sz w:val="12"/>
                <w:szCs w:val="12"/>
                <w:color w:val="auto"/>
              </w:rPr>
              <w:t>100.0</w:t>
            </w:r>
          </w:p>
        </w:tc>
        <w:tc>
          <w:tcPr>
            <w:tcW w:w="220" w:type="dxa"/>
            <w:vAlign w:val="bottom"/>
          </w:tcPr>
          <w:p>
            <w:pPr>
              <w:jc w:val="right"/>
              <w:ind w:right="60"/>
              <w:spacing w:after="0" w:line="133" w:lineRule="exact"/>
              <w:rPr>
                <w:sz w:val="20"/>
                <w:szCs w:val="20"/>
                <w:color w:val="auto"/>
              </w:rPr>
            </w:pPr>
            <w:r>
              <w:rPr>
                <w:rFonts w:ascii="Arial" w:cs="Arial" w:eastAsia="Arial" w:hAnsi="Arial"/>
                <w:sz w:val="12"/>
                <w:szCs w:val="12"/>
                <w:color w:val="auto"/>
                <w:w w:val="74"/>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76"/>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0" w:type="dxa"/>
            <w:vAlign w:val="bottom"/>
          </w:tcPr>
          <w:p>
            <w:pPr>
              <w:jc w:val="right"/>
              <w:ind w:right="1260"/>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5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24" w:name="page25"/>
    <w:bookmarkEnd w:id="24"/>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Summary</w:t>
      </w:r>
    </w:p>
    <w:p>
      <w:pPr>
        <w:spacing w:after="0" w:line="150" w:lineRule="exact"/>
        <w:rPr>
          <w:sz w:val="20"/>
          <w:szCs w:val="20"/>
          <w:color w:val="auto"/>
        </w:rPr>
      </w:pPr>
    </w:p>
    <w:p>
      <w:pPr>
        <w:ind w:left="20" w:right="99" w:firstLine="173"/>
        <w:spacing w:after="0" w:line="323" w:lineRule="auto"/>
        <w:rPr>
          <w:sz w:val="20"/>
          <w:szCs w:val="20"/>
          <w:color w:val="auto"/>
        </w:rPr>
      </w:pPr>
      <w:r>
        <w:rPr>
          <w:rFonts w:ascii="Arial" w:cs="Arial" w:eastAsia="Arial" w:hAnsi="Arial"/>
          <w:sz w:val="11"/>
          <w:szCs w:val="11"/>
          <w:color w:val="auto"/>
        </w:rPr>
        <w:t>Net sales for the three months ended January 31, 2021, compared to the corresponding period in fiscal 2020, decreased by $52.8 million, or approximately 19%. The decrease in sales for the three months ended January 31, 2021, when compared to the same corresponding prior year period, was due to declines across all segments.</w:t>
      </w:r>
    </w:p>
    <w:p>
      <w:pPr>
        <w:spacing w:after="0" w:line="92" w:lineRule="exact"/>
        <w:rPr>
          <w:sz w:val="20"/>
          <w:szCs w:val="20"/>
          <w:color w:val="auto"/>
        </w:rPr>
      </w:pPr>
    </w:p>
    <w:p>
      <w:pPr>
        <w:ind w:left="20" w:right="159" w:firstLine="173"/>
        <w:spacing w:after="0" w:line="263" w:lineRule="auto"/>
        <w:rPr>
          <w:sz w:val="20"/>
          <w:szCs w:val="20"/>
          <w:color w:val="auto"/>
        </w:rPr>
      </w:pPr>
      <w:r>
        <w:rPr>
          <w:rFonts w:ascii="Arial" w:cs="Arial" w:eastAsia="Arial" w:hAnsi="Arial"/>
          <w:sz w:val="12"/>
          <w:szCs w:val="12"/>
          <w:color w:val="auto"/>
        </w:rPr>
        <w:t>For the three months ended January 31, 2021, the decrease in RFG sales was due primarily to decreased sales from fresh-cut fruit &amp; vegetables and prepared foods products. The decrease in Calavo Foods was due primarily to a decrease in the sales of prepared avocado products. See discussion below for further details. The decrease in Fresh products sales was due primarily to a decrease in sales of avocados and tomatoes.</w:t>
      </w:r>
    </w:p>
    <w:p>
      <w:pPr>
        <w:spacing w:after="0" w:line="122" w:lineRule="exact"/>
        <w:rPr>
          <w:sz w:val="20"/>
          <w:szCs w:val="20"/>
          <w:color w:val="auto"/>
        </w:rPr>
      </w:pPr>
    </w:p>
    <w:p>
      <w:pPr>
        <w:ind w:left="20" w:right="279" w:firstLine="173"/>
        <w:spacing w:after="0" w:line="276" w:lineRule="auto"/>
        <w:rPr>
          <w:sz w:val="20"/>
          <w:szCs w:val="20"/>
          <w:color w:val="auto"/>
        </w:rPr>
      </w:pPr>
      <w:r>
        <w:rPr>
          <w:rFonts w:ascii="Arial" w:cs="Arial" w:eastAsia="Arial" w:hAnsi="Arial"/>
          <w:sz w:val="12"/>
          <w:szCs w:val="12"/>
          <w:color w:val="auto"/>
        </w:rPr>
        <w:t>All three segments of our business are subject to seasonal trends which can impact the volume and/or quality of raw materials sourced in any particular quarter. All intercompany sales are eliminated in our consolidated results of operations.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Fresh products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First Quarter 2021 vs. First Quarter 2020</w:t>
      </w:r>
    </w:p>
    <w:p>
      <w:pPr>
        <w:spacing w:after="0" w:line="150" w:lineRule="exact"/>
        <w:rPr>
          <w:sz w:val="20"/>
          <w:szCs w:val="20"/>
          <w:color w:val="auto"/>
        </w:rPr>
      </w:pPr>
    </w:p>
    <w:p>
      <w:pPr>
        <w:ind w:left="20" w:right="119" w:firstLine="173"/>
        <w:spacing w:after="0" w:line="263" w:lineRule="auto"/>
        <w:rPr>
          <w:sz w:val="20"/>
          <w:szCs w:val="20"/>
          <w:color w:val="auto"/>
        </w:rPr>
      </w:pPr>
      <w:r>
        <w:rPr>
          <w:rFonts w:ascii="Arial" w:cs="Arial" w:eastAsia="Arial" w:hAnsi="Arial"/>
          <w:sz w:val="12"/>
          <w:szCs w:val="12"/>
          <w:color w:val="auto"/>
        </w:rPr>
        <w:t>Sales for the Fresh products business decreased by approximately $17.7 million, or 13%, for the first quarter of fiscal 2021 when compared to the same period for fiscal 2020. This decrease in Fresh product sales during the first quarter of fiscal 2021 was primarily related to decreased sales prices of avocados due to higher supply of avocados in the marketplace. In addition, tomato sales decreased due to a decline of tomato sales prices.</w:t>
      </w:r>
    </w:p>
    <w:p>
      <w:pPr>
        <w:spacing w:after="0" w:line="122" w:lineRule="exact"/>
        <w:rPr>
          <w:sz w:val="20"/>
          <w:szCs w:val="20"/>
          <w:color w:val="auto"/>
        </w:rPr>
      </w:pPr>
    </w:p>
    <w:p>
      <w:pPr>
        <w:jc w:val="both"/>
        <w:ind w:left="20" w:right="119" w:firstLine="173"/>
        <w:spacing w:after="0" w:line="263" w:lineRule="auto"/>
        <w:rPr>
          <w:sz w:val="20"/>
          <w:szCs w:val="20"/>
          <w:color w:val="auto"/>
        </w:rPr>
      </w:pPr>
      <w:r>
        <w:rPr>
          <w:rFonts w:ascii="Arial" w:cs="Arial" w:eastAsia="Arial" w:hAnsi="Arial"/>
          <w:sz w:val="12"/>
          <w:szCs w:val="12"/>
          <w:color w:val="auto"/>
        </w:rPr>
        <w:t>Sales of avocados decreased $14.2 million, or 12%, for the first quarter of 2021, when compared to the same prior year period. The average avocado sales price per carton decreased 14% compared to the same prior year period. This decrease in the sales price per carton is mainly due to an increase of volume of avocados in the marketplace. The volume of avocados sold increased 2% during the period.</w:t>
      </w:r>
    </w:p>
    <w:p>
      <w:pPr>
        <w:spacing w:after="0" w:line="122" w:lineRule="exact"/>
        <w:rPr>
          <w:sz w:val="20"/>
          <w:szCs w:val="20"/>
          <w:color w:val="auto"/>
        </w:rPr>
      </w:pPr>
    </w:p>
    <w:p>
      <w:pPr>
        <w:ind w:left="20" w:right="99" w:firstLine="173"/>
        <w:spacing w:after="0" w:line="263" w:lineRule="auto"/>
        <w:rPr>
          <w:sz w:val="20"/>
          <w:szCs w:val="20"/>
          <w:color w:val="auto"/>
        </w:rPr>
      </w:pPr>
      <w:r>
        <w:rPr>
          <w:rFonts w:ascii="Arial" w:cs="Arial" w:eastAsia="Arial" w:hAnsi="Arial"/>
          <w:sz w:val="12"/>
          <w:szCs w:val="12"/>
          <w:color w:val="auto"/>
        </w:rPr>
        <w:t>Sales of tomatoes decreased $3.8 million, or 29%, for the first quarter of 2021, when compared to the same prior year period. This decrease in tomato sales was primarily due to a 28% decrease in the average sales price per carton compared to the same prior year period, in addition to a decrease of 2% of the number of tomato cartons sold due to a delay in the start of the growing season.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RFG</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First Quarter 2021 vs. First Quarter 2020</w:t>
      </w:r>
    </w:p>
    <w:p>
      <w:pPr>
        <w:spacing w:after="0" w:line="150" w:lineRule="exact"/>
        <w:rPr>
          <w:sz w:val="20"/>
          <w:szCs w:val="20"/>
          <w:color w:val="auto"/>
        </w:rPr>
      </w:pPr>
    </w:p>
    <w:p>
      <w:pPr>
        <w:ind w:left="20" w:right="139" w:firstLine="173"/>
        <w:spacing w:after="0" w:line="340" w:lineRule="auto"/>
        <w:rPr>
          <w:sz w:val="20"/>
          <w:szCs w:val="20"/>
          <w:color w:val="auto"/>
        </w:rPr>
      </w:pPr>
      <w:r>
        <w:rPr>
          <w:rFonts w:ascii="Arial" w:cs="Arial" w:eastAsia="Arial" w:hAnsi="Arial"/>
          <w:sz w:val="10"/>
          <w:szCs w:val="10"/>
          <w:color w:val="auto"/>
        </w:rPr>
        <w:t>Sales for RFG for the quarter ended January 31, 2021, when compared to the same period for fiscal 2020, decreased $30.6 million, or 25%. The decrease was primarily due to lower sales out of the Midwest, relating to the closure of RFG’s co-packing partner in that region, which occurred in April 2020. This was partially offset by additional sales in regions where RFG has added manufacturing capacity. Additionally, changing consumer demand and buying patterns related to COVID-19 adversely impacted RFG’s sales during the quarter.</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Calavo Foods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First Quarter 2021 vs. First Quarter 2020</w:t>
      </w:r>
    </w:p>
    <w:p>
      <w:pPr>
        <w:spacing w:after="0" w:line="150" w:lineRule="exact"/>
        <w:rPr>
          <w:sz w:val="20"/>
          <w:szCs w:val="20"/>
          <w:color w:val="auto"/>
        </w:rPr>
      </w:pPr>
    </w:p>
    <w:p>
      <w:pPr>
        <w:ind w:left="20" w:right="79" w:firstLine="173"/>
        <w:spacing w:after="0" w:line="259" w:lineRule="auto"/>
        <w:rPr>
          <w:sz w:val="20"/>
          <w:szCs w:val="20"/>
          <w:color w:val="auto"/>
        </w:rPr>
      </w:pPr>
      <w:r>
        <w:rPr>
          <w:rFonts w:ascii="Arial" w:cs="Arial" w:eastAsia="Arial" w:hAnsi="Arial"/>
          <w:sz w:val="12"/>
          <w:szCs w:val="12"/>
          <w:color w:val="auto"/>
        </w:rPr>
        <w:t>Sales for Calavo Foods for the quarter ended January 31, 2021, when compared to the same period for fiscal 2020, decreased $4.0 million, or 20%. Sales of prepared avocado products decreased by approximately $4.0 million, or 20%, primarily related to a decrease in the total volume of pounds sold. Sales of prepared avocado products were impacted primarily by a decline in demand from foodservice customers related to COVID-19 during the quarter. Foodservice customers comprised approximately 48% and 57% of revenue for the quarters ended January 31, 2021 and 2020.</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5" w:name="page26"/>
    <w:bookmarkEnd w:id="25"/>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Gross Profit</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The following table summarizes our gross profit and gross profit percentages by business segment for the three months ended January 31, 2021 and 2020:</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20" w:type="dxa"/>
            <w:vAlign w:val="bottom"/>
            <w:gridSpan w:val="7"/>
          </w:tcPr>
          <w:p>
            <w:pPr>
              <w:ind w:left="200"/>
              <w:spacing w:after="0"/>
              <w:rPr>
                <w:sz w:val="20"/>
                <w:szCs w:val="20"/>
                <w:color w:val="auto"/>
              </w:rPr>
            </w:pPr>
            <w:r>
              <w:rPr>
                <w:rFonts w:ascii="Arial" w:cs="Arial" w:eastAsia="Arial" w:hAnsi="Arial"/>
                <w:sz w:val="10"/>
                <w:szCs w:val="10"/>
                <w:b w:val="1"/>
                <w:bCs w:val="1"/>
                <w:color w:val="auto"/>
              </w:rPr>
              <w:t>Three months ended January 31,</w:t>
            </w:r>
          </w:p>
        </w:tc>
      </w:tr>
      <w:tr>
        <w:trPr>
          <w:trHeight w:val="88"/>
        </w:trPr>
        <w:tc>
          <w:tcPr>
            <w:tcW w:w="5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ind w:right="144"/>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10"/>
                <w:szCs w:val="10"/>
                <w:b w:val="1"/>
                <w:bCs w:val="1"/>
                <w:color w:val="auto"/>
                <w:w w:val="98"/>
              </w:rPr>
              <w:t>Change</w:t>
            </w: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ind w:right="142"/>
              <w:spacing w:after="0" w:line="88" w:lineRule="exact"/>
              <w:rPr>
                <w:sz w:val="20"/>
                <w:szCs w:val="20"/>
                <w:color w:val="auto"/>
              </w:rPr>
            </w:pPr>
            <w:r>
              <w:rPr>
                <w:rFonts w:ascii="Arial" w:cs="Arial" w:eastAsia="Arial" w:hAnsi="Arial"/>
                <w:sz w:val="10"/>
                <w:szCs w:val="10"/>
                <w:b w:val="1"/>
                <w:bCs w:val="1"/>
                <w:color w:val="auto"/>
              </w:rPr>
              <w:t>2020</w:t>
            </w:r>
          </w:p>
        </w:tc>
        <w:tc>
          <w:tcPr>
            <w:tcW w:w="420" w:type="dxa"/>
            <w:vAlign w:val="bottom"/>
          </w:tcPr>
          <w:p>
            <w:pPr>
              <w:spacing w:after="0"/>
              <w:rPr>
                <w:sz w:val="7"/>
                <w:szCs w:val="7"/>
                <w:color w:val="auto"/>
              </w:rPr>
            </w:pPr>
          </w:p>
        </w:tc>
      </w:tr>
      <w:tr>
        <w:trPr>
          <w:trHeight w:val="187"/>
        </w:trPr>
        <w:tc>
          <w:tcPr>
            <w:tcW w:w="5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44"/>
        </w:trPr>
        <w:tc>
          <w:tcPr>
            <w:tcW w:w="5380" w:type="dxa"/>
            <w:vAlign w:val="bottom"/>
          </w:tcPr>
          <w:p>
            <w:pPr>
              <w:ind w:left="140"/>
              <w:spacing w:after="0"/>
              <w:rPr>
                <w:sz w:val="20"/>
                <w:szCs w:val="20"/>
                <w:color w:val="auto"/>
              </w:rPr>
            </w:pPr>
            <w:r>
              <w:rPr>
                <w:rFonts w:ascii="Arial" w:cs="Arial" w:eastAsia="Arial" w:hAnsi="Arial"/>
                <w:sz w:val="12"/>
                <w:szCs w:val="12"/>
                <w:color w:val="auto"/>
              </w:rPr>
              <w:t>Fresh products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13,145</w:t>
            </w:r>
          </w:p>
        </w:tc>
        <w:tc>
          <w:tcPr>
            <w:tcW w:w="2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100 %</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6,582</w:t>
            </w:r>
          </w:p>
        </w:tc>
        <w:tc>
          <w:tcPr>
            <w:tcW w:w="420" w:type="dxa"/>
            <w:vAlign w:val="bottom"/>
          </w:tcPr>
          <w:p>
            <w:pPr>
              <w:spacing w:after="0"/>
              <w:rPr>
                <w:sz w:val="12"/>
                <w:szCs w:val="12"/>
                <w:color w:val="auto"/>
              </w:rPr>
            </w:pPr>
          </w:p>
        </w:tc>
      </w:tr>
      <w:tr>
        <w:trPr>
          <w:trHeight w:val="144"/>
        </w:trPr>
        <w:tc>
          <w:tcPr>
            <w:tcW w:w="5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RFG</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(101)%</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w:t>
            </w:r>
          </w:p>
        </w:tc>
        <w:tc>
          <w:tcPr>
            <w:tcW w:w="420" w:type="dxa"/>
            <w:vAlign w:val="bottom"/>
            <w:shd w:val="clear" w:color="auto" w:fill="CCEEFF"/>
          </w:tcPr>
          <w:p>
            <w:pPr>
              <w:spacing w:after="0"/>
              <w:rPr>
                <w:sz w:val="12"/>
                <w:szCs w:val="12"/>
                <w:color w:val="auto"/>
              </w:rPr>
            </w:pPr>
          </w:p>
        </w:tc>
      </w:tr>
      <w:tr>
        <w:trPr>
          <w:trHeight w:val="144"/>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Calavo Foods</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4,717</w:t>
            </w:r>
          </w:p>
        </w:tc>
        <w:tc>
          <w:tcPr>
            <w:tcW w:w="2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2"/>
                <w:szCs w:val="12"/>
                <w:color w:val="auto"/>
              </w:rPr>
              <w:t>(26)%</w:t>
            </w: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6,350</w:t>
            </w:r>
          </w:p>
        </w:tc>
        <w:tc>
          <w:tcPr>
            <w:tcW w:w="420" w:type="dxa"/>
            <w:vAlign w:val="bottom"/>
            <w:tcBorders>
              <w:bottom w:val="single" w:sz="8" w:color="CCEEFF"/>
            </w:tcBorders>
          </w:tcPr>
          <w:p>
            <w:pPr>
              <w:spacing w:after="0"/>
              <w:rPr>
                <w:sz w:val="12"/>
                <w:szCs w:val="12"/>
                <w:color w:val="auto"/>
              </w:rPr>
            </w:pPr>
          </w:p>
        </w:tc>
      </w:tr>
      <w:tr>
        <w:trPr>
          <w:trHeight w:val="140"/>
        </w:trPr>
        <w:tc>
          <w:tcPr>
            <w:tcW w:w="5380" w:type="dxa"/>
            <w:vAlign w:val="bottom"/>
            <w:tcBorders>
              <w:bottom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gross profit</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17,839</w:t>
            </w:r>
          </w:p>
        </w:tc>
        <w:tc>
          <w:tcPr>
            <w:tcW w:w="2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13 %</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15,808</w:t>
            </w:r>
          </w:p>
        </w:tc>
        <w:tc>
          <w:tcPr>
            <w:tcW w:w="420" w:type="dxa"/>
            <w:vAlign w:val="bottom"/>
            <w:tcBorders>
              <w:bottom w:val="single" w:sz="8" w:color="CCEEFF"/>
            </w:tcBorders>
            <w:shd w:val="clear" w:color="auto" w:fill="CCEEFF"/>
          </w:tcPr>
          <w:p>
            <w:pPr>
              <w:spacing w:after="0"/>
              <w:rPr>
                <w:sz w:val="12"/>
                <w:szCs w:val="12"/>
                <w:color w:val="auto"/>
              </w:rPr>
            </w:pPr>
          </w:p>
        </w:tc>
      </w:tr>
    </w:tbl>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44"/>
        </w:trPr>
        <w:tc>
          <w:tcPr>
            <w:tcW w:w="3500" w:type="dxa"/>
            <w:vAlign w:val="bottom"/>
            <w:shd w:val="clear" w:color="auto" w:fill="CCEEFF"/>
          </w:tcPr>
          <w:p>
            <w:pPr>
              <w:ind w:left="80"/>
              <w:spacing w:after="0"/>
              <w:rPr>
                <w:sz w:val="20"/>
                <w:szCs w:val="20"/>
                <w:color w:val="auto"/>
              </w:rPr>
            </w:pPr>
            <w:r>
              <w:rPr>
                <w:rFonts w:ascii="Arial" w:cs="Arial" w:eastAsia="Arial" w:hAnsi="Arial"/>
                <w:sz w:val="12"/>
                <w:szCs w:val="12"/>
                <w:color w:val="auto"/>
              </w:rPr>
              <w:t>Gross profit percentages:</w:t>
            </w:r>
          </w:p>
        </w:tc>
        <w:tc>
          <w:tcPr>
            <w:tcW w:w="3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4"/>
        </w:trPr>
        <w:tc>
          <w:tcPr>
            <w:tcW w:w="3500" w:type="dxa"/>
            <w:vAlign w:val="bottom"/>
          </w:tcPr>
          <w:p>
            <w:pPr>
              <w:ind w:left="140"/>
              <w:spacing w:after="0"/>
              <w:rPr>
                <w:sz w:val="20"/>
                <w:szCs w:val="20"/>
                <w:color w:val="auto"/>
              </w:rPr>
            </w:pPr>
            <w:r>
              <w:rPr>
                <w:rFonts w:ascii="Arial" w:cs="Arial" w:eastAsia="Arial" w:hAnsi="Arial"/>
                <w:sz w:val="12"/>
                <w:szCs w:val="12"/>
                <w:color w:val="auto"/>
              </w:rPr>
              <w:t>Fresh products</w:t>
            </w:r>
          </w:p>
        </w:tc>
        <w:tc>
          <w:tcPr>
            <w:tcW w:w="3120" w:type="dxa"/>
            <w:vAlign w:val="bottom"/>
          </w:tcPr>
          <w:p>
            <w:pPr>
              <w:jc w:val="right"/>
              <w:ind w:right="480"/>
              <w:spacing w:after="0"/>
              <w:rPr>
                <w:sz w:val="20"/>
                <w:szCs w:val="20"/>
                <w:color w:val="auto"/>
              </w:rPr>
            </w:pPr>
            <w:r>
              <w:rPr>
                <w:rFonts w:ascii="Arial" w:cs="Arial" w:eastAsia="Arial" w:hAnsi="Arial"/>
                <w:sz w:val="12"/>
                <w:szCs w:val="12"/>
                <w:color w:val="auto"/>
              </w:rPr>
              <w:t>11.4 %</w:t>
            </w:r>
          </w:p>
        </w:tc>
        <w:tc>
          <w:tcPr>
            <w:tcW w:w="1220" w:type="dxa"/>
            <w:vAlign w:val="bottom"/>
          </w:tcPr>
          <w:p>
            <w:pPr>
              <w:jc w:val="right"/>
              <w:ind w:right="260"/>
              <w:spacing w:after="0"/>
              <w:rPr>
                <w:sz w:val="20"/>
                <w:szCs w:val="20"/>
                <w:color w:val="auto"/>
              </w:rPr>
            </w:pPr>
            <w:r>
              <w:rPr>
                <w:rFonts w:ascii="Arial" w:cs="Arial" w:eastAsia="Arial" w:hAnsi="Arial"/>
                <w:sz w:val="12"/>
                <w:szCs w:val="12"/>
                <w:color w:val="auto"/>
              </w:rPr>
              <w:t>4.9 %</w:t>
            </w:r>
          </w:p>
        </w:tc>
      </w:tr>
      <w:tr>
        <w:trPr>
          <w:trHeight w:val="144"/>
        </w:trPr>
        <w:tc>
          <w:tcPr>
            <w:tcW w:w="3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RFG</w:t>
            </w:r>
          </w:p>
        </w:tc>
        <w:tc>
          <w:tcPr>
            <w:tcW w:w="31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(0.0)%</w:t>
            </w:r>
          </w:p>
        </w:tc>
        <w:tc>
          <w:tcPr>
            <w:tcW w:w="12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2.4 %</w:t>
            </w:r>
          </w:p>
        </w:tc>
      </w:tr>
      <w:tr>
        <w:trPr>
          <w:trHeight w:val="144"/>
        </w:trPr>
        <w:tc>
          <w:tcPr>
            <w:tcW w:w="3500" w:type="dxa"/>
            <w:vAlign w:val="bottom"/>
          </w:tcPr>
          <w:p>
            <w:pPr>
              <w:ind w:left="140"/>
              <w:spacing w:after="0"/>
              <w:rPr>
                <w:sz w:val="20"/>
                <w:szCs w:val="20"/>
                <w:color w:val="auto"/>
              </w:rPr>
            </w:pPr>
            <w:r>
              <w:rPr>
                <w:rFonts w:ascii="Arial" w:cs="Arial" w:eastAsia="Arial" w:hAnsi="Arial"/>
                <w:sz w:val="12"/>
                <w:szCs w:val="12"/>
                <w:color w:val="auto"/>
              </w:rPr>
              <w:t>Calavo Foods</w:t>
            </w:r>
          </w:p>
        </w:tc>
        <w:tc>
          <w:tcPr>
            <w:tcW w:w="3120" w:type="dxa"/>
            <w:vAlign w:val="bottom"/>
          </w:tcPr>
          <w:p>
            <w:pPr>
              <w:jc w:val="right"/>
              <w:ind w:right="480"/>
              <w:spacing w:after="0"/>
              <w:rPr>
                <w:sz w:val="20"/>
                <w:szCs w:val="20"/>
                <w:color w:val="auto"/>
              </w:rPr>
            </w:pPr>
            <w:r>
              <w:rPr>
                <w:rFonts w:ascii="Arial" w:cs="Arial" w:eastAsia="Arial" w:hAnsi="Arial"/>
                <w:sz w:val="12"/>
                <w:szCs w:val="12"/>
                <w:color w:val="auto"/>
              </w:rPr>
              <w:t>28.7 %</w:t>
            </w:r>
          </w:p>
        </w:tc>
        <w:tc>
          <w:tcPr>
            <w:tcW w:w="1220" w:type="dxa"/>
            <w:vAlign w:val="bottom"/>
          </w:tcPr>
          <w:p>
            <w:pPr>
              <w:jc w:val="right"/>
              <w:ind w:right="260"/>
              <w:spacing w:after="0"/>
              <w:rPr>
                <w:sz w:val="20"/>
                <w:szCs w:val="20"/>
                <w:color w:val="auto"/>
              </w:rPr>
            </w:pPr>
            <w:r>
              <w:rPr>
                <w:rFonts w:ascii="Arial" w:cs="Arial" w:eastAsia="Arial" w:hAnsi="Arial"/>
                <w:sz w:val="12"/>
                <w:szCs w:val="12"/>
                <w:color w:val="auto"/>
              </w:rPr>
              <w:t>31.0 %</w:t>
            </w:r>
          </w:p>
        </w:tc>
      </w:tr>
      <w:tr>
        <w:trPr>
          <w:trHeight w:val="144"/>
        </w:trPr>
        <w:tc>
          <w:tcPr>
            <w:tcW w:w="3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Consolidated</w:t>
            </w:r>
          </w:p>
        </w:tc>
        <w:tc>
          <w:tcPr>
            <w:tcW w:w="31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8.1 %</w:t>
            </w:r>
          </w:p>
        </w:tc>
        <w:tc>
          <w:tcPr>
            <w:tcW w:w="12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5.8 %</w:t>
            </w: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Summary</w:t>
      </w:r>
    </w:p>
    <w:p>
      <w:pPr>
        <w:spacing w:after="0" w:line="150" w:lineRule="exact"/>
        <w:rPr>
          <w:sz w:val="20"/>
          <w:szCs w:val="20"/>
          <w:color w:val="auto"/>
        </w:rPr>
      </w:pPr>
    </w:p>
    <w:p>
      <w:pPr>
        <w:jc w:val="both"/>
        <w:ind w:left="20" w:right="199" w:firstLine="173"/>
        <w:spacing w:after="0" w:line="340" w:lineRule="auto"/>
        <w:rPr>
          <w:sz w:val="20"/>
          <w:szCs w:val="20"/>
          <w:color w:val="auto"/>
        </w:rPr>
      </w:pPr>
      <w:r>
        <w:rPr>
          <w:rFonts w:ascii="Arial" w:cs="Arial" w:eastAsia="Arial" w:hAnsi="Arial"/>
          <w:sz w:val="10"/>
          <w:szCs w:val="10"/>
          <w:color w:val="auto"/>
        </w:rPr>
        <w:t>Our cost of goods sold consists predominantly of ingredient costs (fruit, vegetables and other food products), packing materials, freight and handling, labor and overhead (including depreciation) associated with preparing food products, and other direct expenses pertaining to products sold. Gross profit increased by approximately $2.0 million, or 13%, for the first quarter of fiscal 2021 when compared to the same period for fiscal 2020. The increase was primarily attributable to gross profit improvement in the Fresh products segment.</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Fresh products</w:t>
      </w:r>
    </w:p>
    <w:p>
      <w:pPr>
        <w:spacing w:after="0" w:line="150" w:lineRule="exact"/>
        <w:rPr>
          <w:sz w:val="20"/>
          <w:szCs w:val="20"/>
          <w:color w:val="auto"/>
        </w:rPr>
      </w:pPr>
    </w:p>
    <w:p>
      <w:pPr>
        <w:ind w:left="20" w:right="239" w:firstLine="173"/>
        <w:spacing w:after="0" w:line="298" w:lineRule="auto"/>
        <w:rPr>
          <w:sz w:val="20"/>
          <w:szCs w:val="20"/>
          <w:color w:val="auto"/>
        </w:rPr>
      </w:pPr>
      <w:r>
        <w:rPr>
          <w:rFonts w:ascii="Arial" w:cs="Arial" w:eastAsia="Arial" w:hAnsi="Arial"/>
          <w:sz w:val="11"/>
          <w:szCs w:val="11"/>
          <w:color w:val="auto"/>
        </w:rPr>
        <w:t>During our three months ended January 31, 2021, as compared to the same prior year period, the increase in our Fresh products segment gross profit percentage was the result of increased gross profit for avocados. For the first quarter ended January 31, 2021, the gross profit percentage for avocados was 11.5% compared to 4.3% in the first quarter of 2020. In fiscal 2021, we were able to manage the spread between the sales price and the fruit cost of avocados more effectively compared to the same prior year period.</w:t>
      </w:r>
    </w:p>
    <w:p>
      <w:pPr>
        <w:spacing w:after="0" w:line="105" w:lineRule="exact"/>
        <w:rPr>
          <w:sz w:val="20"/>
          <w:szCs w:val="20"/>
          <w:color w:val="auto"/>
        </w:rPr>
      </w:pPr>
    </w:p>
    <w:p>
      <w:pPr>
        <w:ind w:left="20" w:right="159" w:firstLine="203"/>
        <w:spacing w:after="0" w:line="323" w:lineRule="auto"/>
        <w:rPr>
          <w:sz w:val="20"/>
          <w:szCs w:val="20"/>
          <w:color w:val="auto"/>
        </w:rPr>
      </w:pPr>
      <w:r>
        <w:rPr>
          <w:rFonts w:ascii="Arial" w:cs="Arial" w:eastAsia="Arial" w:hAnsi="Arial"/>
          <w:sz w:val="11"/>
          <w:szCs w:val="11"/>
          <w:color w:val="auto"/>
        </w:rPr>
        <w:t>Gross profit for the quarter was also affected by the strengthening of the U.S. Dollar in relation to the Mexican Peso during the quarter resulted in a $1.0 million net gain related the remeasurement of peso dominated net assets at our Mexican subsidiaries. During the same period last year, we had a remeasurement gain of less than $0.1 million.</w:t>
      </w:r>
    </w:p>
    <w:p>
      <w:pPr>
        <w:spacing w:after="0" w:line="92" w:lineRule="exact"/>
        <w:rPr>
          <w:sz w:val="20"/>
          <w:szCs w:val="20"/>
          <w:color w:val="auto"/>
        </w:rPr>
      </w:pPr>
    </w:p>
    <w:p>
      <w:pPr>
        <w:ind w:left="20" w:right="179" w:firstLine="173"/>
        <w:spacing w:after="0" w:line="276" w:lineRule="auto"/>
        <w:rPr>
          <w:sz w:val="20"/>
          <w:szCs w:val="20"/>
          <w:color w:val="auto"/>
        </w:rPr>
      </w:pPr>
      <w:r>
        <w:rPr>
          <w:rFonts w:ascii="Arial" w:cs="Arial" w:eastAsia="Arial" w:hAnsi="Arial"/>
          <w:sz w:val="12"/>
          <w:szCs w:val="12"/>
          <w:color w:val="auto"/>
        </w:rPr>
        <w:t>Note that any additional significant fluctuations in the exchange rate between the U.S. Dollar and the Mexican Peso may have a material impact on future gross profits for our Fresh products segment.</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RFG</w:t>
      </w:r>
    </w:p>
    <w:p>
      <w:pPr>
        <w:spacing w:after="0" w:line="150" w:lineRule="exact"/>
        <w:rPr>
          <w:sz w:val="20"/>
          <w:szCs w:val="20"/>
          <w:color w:val="auto"/>
        </w:rPr>
      </w:pPr>
    </w:p>
    <w:p>
      <w:pPr>
        <w:ind w:left="20" w:right="219" w:firstLine="216"/>
        <w:spacing w:after="0" w:line="263" w:lineRule="auto"/>
        <w:rPr>
          <w:sz w:val="20"/>
          <w:szCs w:val="20"/>
          <w:color w:val="auto"/>
        </w:rPr>
      </w:pPr>
      <w:r>
        <w:rPr>
          <w:rFonts w:ascii="Arial" w:cs="Arial" w:eastAsia="Arial" w:hAnsi="Arial"/>
          <w:sz w:val="12"/>
          <w:szCs w:val="12"/>
          <w:color w:val="auto"/>
        </w:rPr>
        <w:t xml:space="preserve">RFG’s gross profit percentage for the quarter ended January 31, 2021 was 0.0%, compared to 2.4% in the same prior year period. The decline in gross profit for the quarter ended January 31, 2021 was due to </w:t>
      </w:r>
      <w:r>
        <w:rPr>
          <w:rFonts w:ascii="Arial" w:cs="Arial" w:eastAsia="Arial" w:hAnsi="Arial"/>
          <w:sz w:val="12"/>
          <w:szCs w:val="12"/>
          <w:color w:val="212529"/>
        </w:rPr>
        <w:t>weaker overhead absorption as a result of COVID-19 related volume declines. In addition, we experienced losses</w:t>
      </w:r>
      <w:r>
        <w:rPr>
          <w:rFonts w:ascii="Arial" w:cs="Arial" w:eastAsia="Arial" w:hAnsi="Arial"/>
          <w:sz w:val="12"/>
          <w:szCs w:val="12"/>
          <w:color w:val="auto"/>
        </w:rPr>
        <w:t xml:space="preserve"> out of regions served by co-packing partners mainly due to the closure of our Midwest co-packing partner.</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Calavo Foods</w:t>
      </w:r>
    </w:p>
    <w:p>
      <w:pPr>
        <w:spacing w:after="0" w:line="150" w:lineRule="exact"/>
        <w:rPr>
          <w:sz w:val="20"/>
          <w:szCs w:val="20"/>
          <w:color w:val="auto"/>
        </w:rPr>
      </w:pPr>
    </w:p>
    <w:p>
      <w:pPr>
        <w:ind w:left="20" w:right="79" w:firstLine="173"/>
        <w:spacing w:after="0" w:line="276" w:lineRule="auto"/>
        <w:rPr>
          <w:sz w:val="20"/>
          <w:szCs w:val="20"/>
          <w:color w:val="auto"/>
        </w:rPr>
      </w:pPr>
      <w:r>
        <w:rPr>
          <w:rFonts w:ascii="Arial" w:cs="Arial" w:eastAsia="Arial" w:hAnsi="Arial"/>
          <w:sz w:val="12"/>
          <w:szCs w:val="12"/>
          <w:color w:val="auto"/>
        </w:rPr>
        <w:t>Calavo Foods’ gross profit percentage for the three months ended January 31, 2021 was 28.7%, compared to 31.0% in the same prior year period. The decrease in Calavo Foods gross profit percentage was due primarily to higher per</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6" w:name="page27"/>
    <w:bookmarkEnd w:id="26"/>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59"/>
        <w:spacing w:after="0" w:line="263" w:lineRule="auto"/>
        <w:rPr>
          <w:sz w:val="20"/>
          <w:szCs w:val="20"/>
          <w:color w:val="auto"/>
        </w:rPr>
      </w:pPr>
      <w:r>
        <w:rPr>
          <w:rFonts w:ascii="Arial" w:cs="Arial" w:eastAsia="Arial" w:hAnsi="Arial"/>
          <w:sz w:val="12"/>
          <w:szCs w:val="12"/>
          <w:color w:val="auto"/>
        </w:rPr>
        <w:t>pound manufacturing costs primarily related to less pounds produced. Partially offsetting this higher cost, we had a decline in overall fruit costs due to a large supply of avocados in the marketplace. Note that any significant fluctuation in the cost of fruit used in the production process or the exchange rate between the U.S. Dollar and the Mexican Peso may have a material impact on future gross profit for our Calavo Foods segment.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6"/>
          </w:tcPr>
          <w:p>
            <w:pPr>
              <w:jc w:val="center"/>
              <w:ind w:left="248"/>
              <w:spacing w:after="0"/>
              <w:rPr>
                <w:sz w:val="20"/>
                <w:szCs w:val="20"/>
                <w:color w:val="auto"/>
              </w:rPr>
            </w:pPr>
            <w:r>
              <w:rPr>
                <w:rFonts w:ascii="Arial" w:cs="Arial" w:eastAsia="Arial" w:hAnsi="Arial"/>
                <w:sz w:val="10"/>
                <w:szCs w:val="10"/>
                <w:b w:val="1"/>
                <w:bCs w:val="1"/>
                <w:color w:val="auto"/>
                <w:w w:val="85"/>
              </w:rPr>
              <w:t>Three months ended January 31,</w:t>
            </w:r>
          </w:p>
        </w:tc>
        <w:tc>
          <w:tcPr>
            <w:tcW w:w="4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r>
      <w:tr>
        <w:trPr>
          <w:trHeight w:val="77"/>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jc w:val="right"/>
              <w:ind w:right="188"/>
              <w:spacing w:after="0" w:line="74" w:lineRule="exact"/>
              <w:rPr>
                <w:sz w:val="20"/>
                <w:szCs w:val="20"/>
                <w:color w:val="auto"/>
              </w:rPr>
            </w:pPr>
            <w:r>
              <w:rPr>
                <w:rFonts w:ascii="Arial" w:cs="Arial" w:eastAsia="Arial" w:hAnsi="Arial"/>
                <w:sz w:val="8"/>
                <w:szCs w:val="8"/>
                <w:b w:val="1"/>
                <w:bCs w:val="1"/>
                <w:color w:val="auto"/>
              </w:rPr>
              <w:t>2021</w:t>
            </w: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tcPr>
          <w:p>
            <w:pPr>
              <w:jc w:val="center"/>
              <w:ind w:right="264"/>
              <w:spacing w:after="0" w:line="74" w:lineRule="exact"/>
              <w:rPr>
                <w:sz w:val="20"/>
                <w:szCs w:val="20"/>
                <w:color w:val="auto"/>
              </w:rPr>
            </w:pPr>
            <w:r>
              <w:rPr>
                <w:rFonts w:ascii="Arial" w:cs="Arial" w:eastAsia="Arial" w:hAnsi="Arial"/>
                <w:sz w:val="8"/>
                <w:szCs w:val="8"/>
                <w:b w:val="1"/>
                <w:bCs w:val="1"/>
                <w:color w:val="auto"/>
              </w:rPr>
              <w:t>Change</w:t>
            </w:r>
          </w:p>
        </w:tc>
        <w:tc>
          <w:tcPr>
            <w:tcW w:w="180" w:type="dxa"/>
            <w:vAlign w:val="bottom"/>
          </w:tcPr>
          <w:p>
            <w:pPr>
              <w:spacing w:after="0"/>
              <w:rPr>
                <w:sz w:val="6"/>
                <w:szCs w:val="6"/>
                <w:color w:val="auto"/>
              </w:rPr>
            </w:pPr>
          </w:p>
        </w:tc>
        <w:tc>
          <w:tcPr>
            <w:tcW w:w="480" w:type="dxa"/>
            <w:vAlign w:val="bottom"/>
          </w:tcPr>
          <w:p>
            <w:pPr>
              <w:jc w:val="right"/>
              <w:ind w:right="186"/>
              <w:spacing w:after="0" w:line="74" w:lineRule="exact"/>
              <w:rPr>
                <w:sz w:val="20"/>
                <w:szCs w:val="20"/>
                <w:color w:val="auto"/>
              </w:rPr>
            </w:pPr>
            <w:r>
              <w:rPr>
                <w:rFonts w:ascii="Arial" w:cs="Arial" w:eastAsia="Arial" w:hAnsi="Arial"/>
                <w:sz w:val="8"/>
                <w:szCs w:val="8"/>
                <w:b w:val="1"/>
                <w:bCs w:val="1"/>
                <w:color w:val="auto"/>
              </w:rPr>
              <w:t>2020</w:t>
            </w:r>
          </w:p>
        </w:tc>
        <w:tc>
          <w:tcPr>
            <w:tcW w:w="500" w:type="dxa"/>
            <w:vAlign w:val="bottom"/>
          </w:tcPr>
          <w:p>
            <w:pPr>
              <w:spacing w:after="0"/>
              <w:rPr>
                <w:sz w:val="6"/>
                <w:szCs w:val="6"/>
                <w:color w:val="auto"/>
              </w:rPr>
            </w:pPr>
          </w:p>
        </w:tc>
      </w:tr>
      <w:tr>
        <w:trPr>
          <w:trHeight w:val="90"/>
        </w:trPr>
        <w:tc>
          <w:tcPr>
            <w:tcW w:w="49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(Dollars in</w:t>
            </w:r>
          </w:p>
        </w:tc>
        <w:tc>
          <w:tcPr>
            <w:tcW w:w="300" w:type="dxa"/>
            <w:vAlign w:val="bottom"/>
          </w:tcPr>
          <w:p>
            <w:pPr>
              <w:jc w:val="right"/>
              <w:spacing w:after="0"/>
              <w:rPr>
                <w:sz w:val="20"/>
                <w:szCs w:val="20"/>
                <w:color w:val="auto"/>
              </w:rPr>
            </w:pPr>
            <w:r>
              <w:rPr>
                <w:rFonts w:ascii="Arial" w:cs="Arial" w:eastAsia="Arial" w:hAnsi="Arial"/>
                <w:sz w:val="7"/>
                <w:szCs w:val="7"/>
                <w:b w:val="1"/>
                <w:bCs w:val="1"/>
                <w:color w:val="auto"/>
                <w:w w:val="74"/>
              </w:rPr>
              <w:t>thousands)</w:t>
            </w: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r>
      <w:tr>
        <w:trPr>
          <w:trHeight w:val="14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14,174</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64"/>
              <w:spacing w:after="0"/>
              <w:rPr>
                <w:sz w:val="20"/>
                <w:szCs w:val="20"/>
                <w:color w:val="auto"/>
              </w:rPr>
            </w:pPr>
            <w:r>
              <w:rPr>
                <w:rFonts w:ascii="Arial" w:cs="Arial" w:eastAsia="Arial" w:hAnsi="Arial"/>
                <w:sz w:val="12"/>
                <w:szCs w:val="12"/>
                <w:color w:val="auto"/>
              </w:rPr>
              <w:t>(13)%</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16,298</w:t>
            </w:r>
          </w:p>
        </w:tc>
        <w:tc>
          <w:tcPr>
            <w:tcW w:w="500" w:type="dxa"/>
            <w:vAlign w:val="bottom"/>
            <w:shd w:val="clear" w:color="auto" w:fill="CCEEFF"/>
          </w:tcPr>
          <w:p>
            <w:pPr>
              <w:spacing w:after="0"/>
              <w:rPr>
                <w:sz w:val="12"/>
                <w:szCs w:val="12"/>
                <w:color w:val="auto"/>
              </w:rPr>
            </w:pP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auto"/>
              </w:rPr>
              <w:t>Percentage of net sales</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6.4 %</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2"/>
                <w:szCs w:val="12"/>
                <w:color w:val="auto"/>
              </w:rPr>
              <w:t>6.0 %</w:t>
            </w:r>
          </w:p>
        </w:tc>
      </w:tr>
    </w:tbl>
    <w:p>
      <w:pPr>
        <w:spacing w:after="0" w:line="126" w:lineRule="exact"/>
        <w:rPr>
          <w:sz w:val="20"/>
          <w:szCs w:val="20"/>
          <w:color w:val="auto"/>
        </w:rPr>
      </w:pPr>
    </w:p>
    <w:p>
      <w:pPr>
        <w:ind w:left="20" w:right="79" w:firstLine="120"/>
        <w:spacing w:after="0" w:line="259" w:lineRule="auto"/>
        <w:rPr>
          <w:sz w:val="20"/>
          <w:szCs w:val="20"/>
          <w:color w:val="auto"/>
        </w:rPr>
      </w:pPr>
      <w:r>
        <w:rPr>
          <w:rFonts w:ascii="Arial" w:cs="Arial" w:eastAsia="Arial" w:hAnsi="Arial"/>
          <w:sz w:val="12"/>
          <w:szCs w:val="12"/>
          <w:color w:val="auto"/>
        </w:rPr>
        <w:t>Selling, general and administrative expenses of $14.2 million for the three months ended January 31, 2021 include costs of marketing and advertising, sales expenses (including broker commissions) and other general and administrative costs. Selling, general and administrative expenses decreased by $2.1 million, or 13%, for the three months ended January 31, 2021 when compared to the same period for fiscal 2020. This was primarily related to a decrease of salary and benefit expense due to eliminations of staff positions ($1.9 million), and a decrease of broker commission ($0.3 million).</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Loss from unconsolidated entities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center"/>
              <w:ind w:left="26"/>
              <w:spacing w:after="0"/>
              <w:rPr>
                <w:sz w:val="20"/>
                <w:szCs w:val="20"/>
                <w:color w:val="auto"/>
              </w:rPr>
            </w:pPr>
            <w:r>
              <w:rPr>
                <w:rFonts w:ascii="Arial" w:cs="Arial" w:eastAsia="Arial" w:hAnsi="Arial"/>
                <w:sz w:val="10"/>
                <w:szCs w:val="10"/>
                <w:b w:val="1"/>
                <w:bCs w:val="1"/>
                <w:color w:val="auto"/>
                <w:w w:val="87"/>
              </w:rPr>
              <w:t>Three months ended January 31,</w:t>
            </w:r>
          </w:p>
        </w:tc>
        <w:tc>
          <w:tcPr>
            <w:tcW w:w="6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r>
      <w:tr>
        <w:trPr>
          <w:trHeight w:val="88"/>
        </w:trPr>
        <w:tc>
          <w:tcPr>
            <w:tcW w:w="38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560" w:type="dxa"/>
            <w:vAlign w:val="bottom"/>
            <w:tcBorders>
              <w:bottom w:val="single" w:sz="8" w:color="auto"/>
            </w:tcBorders>
          </w:tcPr>
          <w:p>
            <w:pPr>
              <w:jc w:val="right"/>
              <w:ind w:right="32"/>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7"/>
              </w:rPr>
              <w:t>Change</w:t>
            </w: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46"/>
              <w:spacing w:after="0" w:line="88" w:lineRule="exact"/>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7"/>
                <w:szCs w:val="7"/>
                <w:color w:val="auto"/>
              </w:rPr>
            </w:pPr>
          </w:p>
        </w:tc>
      </w:tr>
      <w:tr>
        <w:trPr>
          <w:trHeight w:val="79"/>
        </w:trPr>
        <w:tc>
          <w:tcPr>
            <w:tcW w:w="3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3"/>
          </w:tcPr>
          <w:p>
            <w:pPr>
              <w:jc w:val="center"/>
              <w:spacing w:after="0" w:line="79" w:lineRule="exact"/>
              <w:rPr>
                <w:sz w:val="20"/>
                <w:szCs w:val="20"/>
                <w:color w:val="auto"/>
              </w:rPr>
            </w:pPr>
            <w:r>
              <w:rPr>
                <w:rFonts w:ascii="Arial" w:cs="Arial" w:eastAsia="Arial" w:hAnsi="Arial"/>
                <w:sz w:val="8"/>
                <w:szCs w:val="8"/>
                <w:b w:val="1"/>
                <w:bCs w:val="1"/>
                <w:color w:val="auto"/>
              </w:rPr>
              <w:t>(Dollars in thousands)</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144"/>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Loss from unconsolidated entities</w:t>
            </w:r>
          </w:p>
        </w:tc>
        <w:tc>
          <w:tcPr>
            <w:tcW w:w="276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  (155)</w:t>
            </w:r>
          </w:p>
        </w:tc>
        <w:tc>
          <w:tcPr>
            <w:tcW w:w="1480" w:type="dxa"/>
            <w:vAlign w:val="bottom"/>
            <w:gridSpan w:val="5"/>
            <w:shd w:val="clear" w:color="auto" w:fill="CCEEFF"/>
          </w:tcPr>
          <w:p>
            <w:pPr>
              <w:jc w:val="right"/>
              <w:ind w:right="60"/>
              <w:spacing w:after="0"/>
              <w:rPr>
                <w:sz w:val="20"/>
                <w:szCs w:val="20"/>
                <w:color w:val="auto"/>
              </w:rPr>
            </w:pPr>
            <w:r>
              <w:rPr>
                <w:rFonts w:ascii="Arial" w:cs="Arial" w:eastAsia="Arial" w:hAnsi="Arial"/>
                <w:sz w:val="12"/>
                <w:szCs w:val="12"/>
                <w:color w:val="auto"/>
              </w:rPr>
              <w:t>(95)%   $</w:t>
            </w:r>
          </w:p>
        </w:tc>
        <w:tc>
          <w:tcPr>
            <w:tcW w:w="660" w:type="dxa"/>
            <w:vAlign w:val="bottom"/>
            <w:shd w:val="clear" w:color="auto" w:fill="CCEEFF"/>
          </w:tcPr>
          <w:p>
            <w:pPr>
              <w:jc w:val="right"/>
              <w:ind w:right="226"/>
              <w:spacing w:after="0"/>
              <w:rPr>
                <w:sz w:val="20"/>
                <w:szCs w:val="20"/>
                <w:color w:val="auto"/>
              </w:rPr>
            </w:pPr>
            <w:r>
              <w:rPr>
                <w:rFonts w:ascii="Arial" w:cs="Arial" w:eastAsia="Arial" w:hAnsi="Arial"/>
                <w:sz w:val="12"/>
                <w:szCs w:val="12"/>
                <w:color w:val="auto"/>
                <w:w w:val="94"/>
              </w:rPr>
              <w:t>(3,028)</w:t>
            </w:r>
          </w:p>
        </w:tc>
        <w:tc>
          <w:tcPr>
            <w:tcW w:w="260" w:type="dxa"/>
            <w:vAlign w:val="bottom"/>
            <w:shd w:val="clear" w:color="auto" w:fill="CCEEFF"/>
          </w:tcPr>
          <w:p>
            <w:pPr>
              <w:spacing w:after="0"/>
              <w:rPr>
                <w:sz w:val="12"/>
                <w:szCs w:val="12"/>
                <w:color w:val="auto"/>
              </w:rPr>
            </w:pPr>
          </w:p>
        </w:tc>
      </w:tr>
    </w:tbl>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Losses from unconsolidated entities includes our participation in earnings or losses from our investments in FreshRealm and Don Memo. For the three months ended January 31,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color w:val="auto"/>
        </w:rPr>
        <w:t>2021, we recognized $0.2 million of losses related to Don Memo compared to $0.5 million of income in the three months ended January 31, 2020. For the three months ended January 31,</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2020, we recognized $3.5 million of losses related to FreshRealm.</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Income Taxes (Provision) Benefit</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0"/>
                <w:szCs w:val="10"/>
                <w:b w:val="1"/>
                <w:bCs w:val="1"/>
                <w:color w:val="auto"/>
              </w:rPr>
              <w:t>Three months ended January 31,</w:t>
            </w:r>
          </w:p>
        </w:tc>
        <w:tc>
          <w:tcPr>
            <w:tcW w:w="44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186"/>
              <w:spacing w:after="0" w:line="88" w:lineRule="exact"/>
              <w:rPr>
                <w:sz w:val="20"/>
                <w:szCs w:val="20"/>
                <w:color w:val="auto"/>
              </w:rPr>
            </w:pPr>
            <w:r>
              <w:rPr>
                <w:rFonts w:ascii="Arial" w:cs="Arial" w:eastAsia="Arial" w:hAnsi="Arial"/>
                <w:sz w:val="10"/>
                <w:szCs w:val="10"/>
                <w:b w:val="1"/>
                <w:bCs w:val="1"/>
                <w:color w:val="auto"/>
              </w:rPr>
              <w:t>2021</w:t>
            </w:r>
          </w:p>
        </w:tc>
        <w:tc>
          <w:tcPr>
            <w:tcW w:w="280" w:type="dxa"/>
            <w:vAlign w:val="bottom"/>
          </w:tcPr>
          <w:p>
            <w:pPr>
              <w:spacing w:after="0"/>
              <w:rPr>
                <w:sz w:val="7"/>
                <w:szCs w:val="7"/>
                <w:color w:val="auto"/>
              </w:rPr>
            </w:pPr>
          </w:p>
        </w:tc>
        <w:tc>
          <w:tcPr>
            <w:tcW w:w="480" w:type="dxa"/>
            <w:vAlign w:val="bottom"/>
            <w:tcBorders>
              <w:bottom w:val="single" w:sz="8" w:color="auto"/>
            </w:tcBorders>
          </w:tcPr>
          <w:p>
            <w:pPr>
              <w:ind w:left="80"/>
              <w:spacing w:after="0" w:line="88" w:lineRule="exact"/>
              <w:rPr>
                <w:sz w:val="20"/>
                <w:szCs w:val="20"/>
                <w:color w:val="auto"/>
              </w:rPr>
            </w:pPr>
            <w:r>
              <w:rPr>
                <w:rFonts w:ascii="Arial" w:cs="Arial" w:eastAsia="Arial" w:hAnsi="Arial"/>
                <w:sz w:val="10"/>
                <w:szCs w:val="10"/>
                <w:b w:val="1"/>
                <w:bCs w:val="1"/>
                <w:color w:val="auto"/>
              </w:rPr>
              <w:t>Change</w:t>
            </w: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124"/>
              <w:spacing w:after="0" w:line="88" w:lineRule="exact"/>
              <w:rPr>
                <w:sz w:val="20"/>
                <w:szCs w:val="20"/>
                <w:color w:val="auto"/>
              </w:rPr>
            </w:pPr>
            <w:r>
              <w:rPr>
                <w:rFonts w:ascii="Arial" w:cs="Arial" w:eastAsia="Arial" w:hAnsi="Arial"/>
                <w:sz w:val="10"/>
                <w:szCs w:val="10"/>
                <w:b w:val="1"/>
                <w:bCs w:val="1"/>
                <w:color w:val="auto"/>
              </w:rPr>
              <w:t>2020</w:t>
            </w: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Income tax (provision) benefit</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(1,943)</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NA</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0" w:type="dxa"/>
            <w:vAlign w:val="bottom"/>
          </w:tcPr>
          <w:p>
            <w:pPr>
              <w:ind w:left="120"/>
              <w:spacing w:after="0"/>
              <w:rPr>
                <w:sz w:val="20"/>
                <w:szCs w:val="20"/>
                <w:color w:val="auto"/>
              </w:rPr>
            </w:pPr>
            <w:r>
              <w:rPr>
                <w:rFonts w:ascii="Arial" w:cs="Arial" w:eastAsia="Arial" w:hAnsi="Arial"/>
                <w:sz w:val="12"/>
                <w:szCs w:val="12"/>
                <w:color w:val="auto"/>
              </w:rPr>
              <w:t>Effective tax rate</w:t>
            </w: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27.1 %</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2"/>
                <w:szCs w:val="12"/>
                <w:color w:val="auto"/>
              </w:rPr>
              <w:t>39.4 %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Our tax provision is determined using an estimated annual effective tax rate and adjusted for discrete taxable events that may occur during the quarter.</w:t>
      </w:r>
    </w:p>
    <w:p>
      <w:pPr>
        <w:spacing w:after="0" w:line="150" w:lineRule="exact"/>
        <w:rPr>
          <w:sz w:val="20"/>
          <w:szCs w:val="20"/>
          <w:color w:val="auto"/>
        </w:rPr>
      </w:pPr>
    </w:p>
    <w:p>
      <w:pPr>
        <w:ind w:left="20" w:right="119" w:firstLine="150"/>
        <w:spacing w:after="0" w:line="289" w:lineRule="auto"/>
        <w:rPr>
          <w:sz w:val="20"/>
          <w:szCs w:val="20"/>
          <w:color w:val="auto"/>
        </w:rPr>
      </w:pPr>
      <w:r>
        <w:rPr>
          <w:rFonts w:ascii="Arial" w:cs="Arial" w:eastAsia="Arial" w:hAnsi="Arial"/>
          <w:sz w:val="11"/>
          <w:szCs w:val="11"/>
          <w:color w:val="auto"/>
        </w:rPr>
        <w:t xml:space="preserve">In the first quarter ended in fiscal 2020, we recorded a discrete income tax benefit of approximately $0.2 million, pursuant to ASU 2016-09, </w:t>
      </w:r>
      <w:r>
        <w:rPr>
          <w:rFonts w:ascii="Arial" w:cs="Arial" w:eastAsia="Arial" w:hAnsi="Arial"/>
          <w:sz w:val="11"/>
          <w:szCs w:val="11"/>
          <w:i w:val="1"/>
          <w:iCs w:val="1"/>
          <w:color w:val="auto"/>
        </w:rPr>
        <w:t>Improvements to Employee Share-based</w:t>
      </w:r>
      <w:r>
        <w:rPr>
          <w:rFonts w:ascii="Arial" w:cs="Arial" w:eastAsia="Arial" w:hAnsi="Arial"/>
          <w:sz w:val="11"/>
          <w:szCs w:val="11"/>
          <w:color w:val="auto"/>
        </w:rPr>
        <w:t xml:space="preserve"> </w:t>
      </w:r>
      <w:r>
        <w:rPr>
          <w:rFonts w:ascii="Arial" w:cs="Arial" w:eastAsia="Arial" w:hAnsi="Arial"/>
          <w:sz w:val="11"/>
          <w:szCs w:val="11"/>
          <w:i w:val="1"/>
          <w:iCs w:val="1"/>
          <w:color w:val="auto"/>
        </w:rPr>
        <w:t>Payment Accounting</w:t>
      </w:r>
      <w:r>
        <w:rPr>
          <w:rFonts w:ascii="Arial" w:cs="Arial" w:eastAsia="Arial" w:hAnsi="Arial"/>
          <w:sz w:val="11"/>
          <w:szCs w:val="11"/>
          <w:color w:val="auto"/>
        </w:rPr>
        <w:t>. Our effective tax rate was higher in the first quarter of fiscal 2020 as a result of discrete excess tax benefits on vesting share-based compensation in addition to the</w:t>
      </w:r>
      <w:r>
        <w:rPr>
          <w:rFonts w:ascii="Arial" w:cs="Arial" w:eastAsia="Arial" w:hAnsi="Arial"/>
          <w:sz w:val="11"/>
          <w:szCs w:val="11"/>
          <w:i w:val="1"/>
          <w:iCs w:val="1"/>
          <w:color w:val="auto"/>
        </w:rPr>
        <w:t xml:space="preserve"> </w:t>
      </w:r>
      <w:r>
        <w:rPr>
          <w:rFonts w:ascii="Arial" w:cs="Arial" w:eastAsia="Arial" w:hAnsi="Arial"/>
          <w:sz w:val="11"/>
          <w:szCs w:val="11"/>
          <w:color w:val="auto"/>
        </w:rPr>
        <w:t>tax benefit associated with the quarter-to-date loss.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7" w:name="page28"/>
    <w:bookmarkEnd w:id="27"/>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20" w:right="39" w:firstLine="173"/>
        <w:spacing w:after="0" w:line="256" w:lineRule="auto"/>
        <w:rPr>
          <w:sz w:val="20"/>
          <w:szCs w:val="20"/>
          <w:color w:val="auto"/>
        </w:rPr>
      </w:pPr>
      <w:r>
        <w:rPr>
          <w:rFonts w:ascii="Arial" w:cs="Arial" w:eastAsia="Arial" w:hAnsi="Arial"/>
          <w:sz w:val="12"/>
          <w:szCs w:val="12"/>
          <w:color w:val="auto"/>
        </w:rPr>
        <w:t>Cash provided by operating activities was $13.2 million for the three months ended January 31, 2021, compared to cash used by operating activities of $6.5 million for the similar period in fiscal 2020. Cash used by operating activities for the three months ended January 31, 2021 reflect primarily our net income of $5.2 million, plus add-backs for non-cash activities (depreciation and amortization, stock-based compensation expense, provision for losses on accounts receivable, losses from unconsolidated entities, net gains or losses on Limoneira shares, deferred taxes, loss on disposal of property, plant and equipment, loss on the reserve for FreshRealm and gain on the sale of the Temecula packinghouse) of $1.7 million and a net increase in the components of our working capital of approximately $6.2 million.</w:t>
      </w:r>
    </w:p>
    <w:p>
      <w:pPr>
        <w:spacing w:after="0" w:line="128" w:lineRule="exact"/>
        <w:rPr>
          <w:sz w:val="20"/>
          <w:szCs w:val="20"/>
          <w:color w:val="auto"/>
        </w:rPr>
      </w:pPr>
    </w:p>
    <w:p>
      <w:pPr>
        <w:jc w:val="both"/>
        <w:ind w:left="20" w:right="279" w:firstLine="173"/>
        <w:spacing w:after="0" w:line="340" w:lineRule="auto"/>
        <w:rPr>
          <w:sz w:val="20"/>
          <w:szCs w:val="20"/>
          <w:color w:val="auto"/>
        </w:rPr>
      </w:pPr>
      <w:r>
        <w:rPr>
          <w:rFonts w:ascii="Arial" w:cs="Arial" w:eastAsia="Arial" w:hAnsi="Arial"/>
          <w:sz w:val="10"/>
          <w:szCs w:val="10"/>
          <w:color w:val="auto"/>
        </w:rPr>
        <w:t>Increases in operating cash flows caused by working capital changes include a net increase in accounts payable and accrued expenses of $14.7 million, a decrease in income taxes receivable of $3.9 million, an increase in payable to growers of $0.2 million, a decrease in advances to suppliers of $0.2 million, and a decrease in inventory of $0.1 million, partially offset by an increase in accounts receivable of $7.9 million, an increase in other assets of $3.6 million and an increase in prepaid expenses and other current assets of $1.3 million.</w:t>
      </w:r>
    </w:p>
    <w:p>
      <w:pPr>
        <w:spacing w:after="0" w:line="87" w:lineRule="exact"/>
        <w:rPr>
          <w:sz w:val="20"/>
          <w:szCs w:val="20"/>
          <w:color w:val="auto"/>
        </w:rPr>
      </w:pPr>
    </w:p>
    <w:p>
      <w:pPr>
        <w:ind w:left="20" w:right="99" w:firstLine="173"/>
        <w:spacing w:after="0" w:line="256" w:lineRule="auto"/>
        <w:rPr>
          <w:sz w:val="20"/>
          <w:szCs w:val="20"/>
          <w:color w:val="auto"/>
        </w:rPr>
      </w:pPr>
      <w:r>
        <w:rPr>
          <w:rFonts w:ascii="Arial" w:cs="Arial" w:eastAsia="Arial" w:hAnsi="Arial"/>
          <w:sz w:val="12"/>
          <w:szCs w:val="12"/>
          <w:color w:val="auto"/>
        </w:rPr>
        <w:t>The increase in accounts payable and accrued expenses is primarily related to an increase in payables related to an increase in the volume of Mexican avocados and copacker purchases. The decrease in income taxes receivable is due to the net income and the timing of estimated payments made during the three months ended January 31, 2021. The increase in our accounts receivable, as of January 31, 2021 when compared to October 31, 2020, is primarily due an increase in sales in January 2021 compared to October 2020 and an increase in the days sales outstanding. The increase in other assets is primarily related to the increase in IVA receivable in the first quarter of fiscal 2021. The increase in prepaids and other current assets is primarily due to an increase in prepaid insurance.</w:t>
      </w:r>
    </w:p>
    <w:p>
      <w:pPr>
        <w:spacing w:after="0" w:line="128" w:lineRule="exact"/>
        <w:rPr>
          <w:sz w:val="20"/>
          <w:szCs w:val="20"/>
          <w:color w:val="auto"/>
        </w:rPr>
      </w:pPr>
    </w:p>
    <w:p>
      <w:pPr>
        <w:ind w:left="20" w:right="319" w:firstLine="173"/>
        <w:spacing w:after="0" w:line="276" w:lineRule="auto"/>
        <w:rPr>
          <w:sz w:val="20"/>
          <w:szCs w:val="20"/>
          <w:color w:val="auto"/>
        </w:rPr>
      </w:pPr>
      <w:r>
        <w:rPr>
          <w:rFonts w:ascii="Arial" w:cs="Arial" w:eastAsia="Arial" w:hAnsi="Arial"/>
          <w:sz w:val="12"/>
          <w:szCs w:val="12"/>
          <w:color w:val="auto"/>
        </w:rPr>
        <w:t>Cash used in investing activities was $4.8 million for the three months ended January 31, 2021, which primarily related to the purchases of property, plant and equipment of $4.8 million.</w:t>
      </w:r>
    </w:p>
    <w:p>
      <w:pPr>
        <w:spacing w:after="0" w:line="115" w:lineRule="exact"/>
        <w:rPr>
          <w:sz w:val="20"/>
          <w:szCs w:val="20"/>
          <w:color w:val="auto"/>
        </w:rPr>
      </w:pPr>
    </w:p>
    <w:p>
      <w:pPr>
        <w:ind w:left="20" w:right="39" w:firstLine="173"/>
        <w:spacing w:after="0" w:line="263" w:lineRule="auto"/>
        <w:rPr>
          <w:sz w:val="20"/>
          <w:szCs w:val="20"/>
          <w:color w:val="auto"/>
        </w:rPr>
      </w:pPr>
      <w:r>
        <w:rPr>
          <w:rFonts w:ascii="Arial" w:cs="Arial" w:eastAsia="Arial" w:hAnsi="Arial"/>
          <w:sz w:val="12"/>
          <w:szCs w:val="12"/>
          <w:color w:val="auto"/>
        </w:rPr>
        <w:t>Cash used by financing activities was $4.3 million for the three months ended January 31, 2021, which related principally to the payment of our $20.3 million dividend and the payment of minimum withholding taxes on net share settlement of equity awards of $0.5 million, partially offset by net proceeds on our credit facilities totaling $16.6 million among other items.</w:t>
      </w:r>
    </w:p>
    <w:p>
      <w:pPr>
        <w:spacing w:after="0" w:line="68" w:lineRule="exact"/>
        <w:rPr>
          <w:sz w:val="20"/>
          <w:szCs w:val="20"/>
          <w:color w:val="auto"/>
        </w:rPr>
      </w:pPr>
    </w:p>
    <w:p>
      <w:pPr>
        <w:ind w:left="20" w:right="179" w:firstLine="173"/>
        <w:spacing w:after="0" w:line="263" w:lineRule="auto"/>
        <w:rPr>
          <w:sz w:val="20"/>
          <w:szCs w:val="20"/>
          <w:color w:val="auto"/>
        </w:rPr>
      </w:pPr>
      <w:r>
        <w:rPr>
          <w:rFonts w:ascii="Arial" w:cs="Arial" w:eastAsia="Arial" w:hAnsi="Arial"/>
          <w:sz w:val="12"/>
          <w:szCs w:val="12"/>
          <w:color w:val="auto"/>
        </w:rPr>
        <w:t>Our principal sources of liquidity are our existing cash balances, cash generated from operations, amounts available for borrowing under our existing Credit Facility, and our investment in Limoneira shares. Cash and cash equivalents as of January 31, 2021 and October 31, 2020 totaled $8.2 million and $4.1 million. Our working capital at January 31, 2021 was $64.0 million, compared to $29.6 million at October 31, 2020.</w:t>
      </w:r>
    </w:p>
    <w:p>
      <w:pPr>
        <w:spacing w:after="0" w:line="68" w:lineRule="exact"/>
        <w:rPr>
          <w:sz w:val="20"/>
          <w:szCs w:val="20"/>
          <w:color w:val="auto"/>
        </w:rPr>
      </w:pPr>
    </w:p>
    <w:p>
      <w:pPr>
        <w:ind w:left="20" w:right="79" w:firstLine="173"/>
        <w:spacing w:after="0" w:line="281" w:lineRule="auto"/>
        <w:rPr>
          <w:sz w:val="20"/>
          <w:szCs w:val="20"/>
          <w:color w:val="auto"/>
        </w:rPr>
      </w:pPr>
      <w:r>
        <w:rPr>
          <w:rFonts w:ascii="Arial" w:cs="Arial" w:eastAsia="Arial" w:hAnsi="Arial"/>
          <w:sz w:val="11"/>
          <w:szCs w:val="11"/>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are advanced funds for both working capital and long-term productive asset purchases. Total credit available under this agreement is $100 million and will expire in January 2026. See Note 13 for more information. Upon notice to Bank of America, we may from time to time, request an increase in the Credit Facility by an amount not exceeding $50 million. For our current credit agreement, the weighted-average interest rate was 2.8% and 1.9% at January 31, 2021 and October 31, 2020. Under these credit facilities, we had $37.2 million and $20.6 million outstanding as January 31, 2021 and October 31, 2020.</w:t>
      </w:r>
    </w:p>
    <w:p>
      <w:pPr>
        <w:spacing w:after="0" w:line="115" w:lineRule="exact"/>
        <w:rPr>
          <w:sz w:val="20"/>
          <w:szCs w:val="20"/>
          <w:color w:val="auto"/>
        </w:rPr>
      </w:pPr>
    </w:p>
    <w:p>
      <w:pPr>
        <w:jc w:val="both"/>
        <w:ind w:left="20" w:right="119" w:firstLine="150"/>
        <w:spacing w:after="0" w:line="263" w:lineRule="auto"/>
        <w:rPr>
          <w:sz w:val="20"/>
          <w:szCs w:val="20"/>
          <w:color w:val="auto"/>
        </w:rPr>
      </w:pPr>
      <w:r>
        <w:rPr>
          <w:rFonts w:ascii="Arial" w:cs="Arial" w:eastAsia="Arial" w:hAnsi="Arial"/>
          <w:sz w:val="12"/>
          <w:szCs w:val="12"/>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such covenants.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8" w:name="page29"/>
    <w:bookmarkEnd w:id="28"/>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Contractual Obligations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There have been no material changes to our contractual commitments, from those previously disclosed in our Annual Report on Form 10-K for our fiscal year ended October 31, 2020.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 a summary of the contractual commitments at October 31, 2020, see Part II, Item 7, in our 2020 Annual Report on Form 10-K.</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Impact of Recently Issued Accounting Pronouncements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9" w:name="page30"/>
    <w:bookmarkEnd w:id="29"/>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00" w:lineRule="exact"/>
        <w:rPr>
          <w:sz w:val="20"/>
          <w:szCs w:val="20"/>
          <w:color w:val="auto"/>
        </w:rPr>
      </w:pPr>
    </w:p>
    <w:p>
      <w:pPr>
        <w:ind w:left="20" w:right="99" w:firstLine="173"/>
        <w:spacing w:after="0" w:line="259" w:lineRule="auto"/>
        <w:rPr>
          <w:sz w:val="20"/>
          <w:szCs w:val="20"/>
          <w:color w:val="auto"/>
        </w:rPr>
      </w:pPr>
      <w:r>
        <w:rPr>
          <w:rFonts w:ascii="Arial" w:cs="Arial" w:eastAsia="Arial" w:hAnsi="Arial"/>
          <w:sz w:val="12"/>
          <w:szCs w:val="12"/>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2021.</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2620" w:type="dxa"/>
            <w:vAlign w:val="bottom"/>
            <w:gridSpan w:val="2"/>
          </w:tcPr>
          <w:p>
            <w:pPr>
              <w:spacing w:after="0"/>
              <w:rPr>
                <w:sz w:val="20"/>
                <w:szCs w:val="20"/>
                <w:color w:val="auto"/>
              </w:rPr>
            </w:pPr>
            <w:r>
              <w:rPr>
                <w:rFonts w:ascii="Arial" w:cs="Arial" w:eastAsia="Arial" w:hAnsi="Arial"/>
                <w:sz w:val="10"/>
                <w:szCs w:val="10"/>
                <w:color w:val="auto"/>
              </w:rPr>
              <w:t>(All amounts in thousands)</w:t>
            </w:r>
          </w:p>
        </w:tc>
        <w:tc>
          <w:tcPr>
            <w:tcW w:w="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9"/>
          </w:tcPr>
          <w:p>
            <w:pPr>
              <w:spacing w:after="0"/>
              <w:rPr>
                <w:sz w:val="20"/>
                <w:szCs w:val="20"/>
                <w:color w:val="auto"/>
              </w:rPr>
            </w:pPr>
            <w:r>
              <w:rPr>
                <w:rFonts w:ascii="Arial" w:cs="Arial" w:eastAsia="Arial" w:hAnsi="Arial"/>
                <w:sz w:val="10"/>
                <w:szCs w:val="10"/>
                <w:color w:val="auto"/>
                <w:w w:val="92"/>
              </w:rPr>
              <w:t>Expected maturity date January 31,</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right"/>
              <w:ind w:right="142"/>
              <w:spacing w:after="0" w:line="88" w:lineRule="exact"/>
              <w:rPr>
                <w:sz w:val="20"/>
                <w:szCs w:val="20"/>
                <w:color w:val="auto"/>
              </w:rPr>
            </w:pPr>
            <w:r>
              <w:rPr>
                <w:rFonts w:ascii="Arial" w:cs="Arial" w:eastAsia="Arial" w:hAnsi="Arial"/>
                <w:sz w:val="10"/>
                <w:szCs w:val="10"/>
                <w:color w:val="auto"/>
              </w:rPr>
              <w:t>2022</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ind w:left="40"/>
              <w:spacing w:after="0" w:line="88" w:lineRule="exact"/>
              <w:rPr>
                <w:sz w:val="20"/>
                <w:szCs w:val="20"/>
                <w:color w:val="auto"/>
              </w:rPr>
            </w:pPr>
            <w:r>
              <w:rPr>
                <w:rFonts w:ascii="Arial" w:cs="Arial" w:eastAsia="Arial" w:hAnsi="Arial"/>
                <w:sz w:val="10"/>
                <w:szCs w:val="10"/>
                <w:color w:val="auto"/>
              </w:rPr>
              <w:t>2023</w:t>
            </w:r>
          </w:p>
        </w:tc>
        <w:tc>
          <w:tcPr>
            <w:tcW w:w="420" w:type="dxa"/>
            <w:vAlign w:val="bottom"/>
            <w:gridSpan w:val="3"/>
          </w:tcPr>
          <w:p>
            <w:pPr>
              <w:jc w:val="right"/>
              <w:spacing w:after="0" w:line="88" w:lineRule="exact"/>
              <w:rPr>
                <w:sz w:val="20"/>
                <w:szCs w:val="20"/>
                <w:color w:val="auto"/>
              </w:rPr>
            </w:pPr>
            <w:r>
              <w:rPr>
                <w:rFonts w:ascii="Arial" w:cs="Arial" w:eastAsia="Arial" w:hAnsi="Arial"/>
                <w:sz w:val="10"/>
                <w:szCs w:val="10"/>
                <w:color w:val="auto"/>
              </w:rPr>
              <w:t>2024</w:t>
            </w:r>
          </w:p>
        </w:tc>
        <w:tc>
          <w:tcPr>
            <w:tcW w:w="400" w:type="dxa"/>
            <w:vAlign w:val="bottom"/>
            <w:gridSpan w:val="3"/>
          </w:tcPr>
          <w:p>
            <w:pPr>
              <w:jc w:val="right"/>
              <w:spacing w:after="0" w:line="88" w:lineRule="exact"/>
              <w:rPr>
                <w:sz w:val="20"/>
                <w:szCs w:val="20"/>
                <w:color w:val="auto"/>
              </w:rPr>
            </w:pPr>
            <w:r>
              <w:rPr>
                <w:rFonts w:ascii="Arial" w:cs="Arial" w:eastAsia="Arial" w:hAnsi="Arial"/>
                <w:sz w:val="10"/>
                <w:szCs w:val="10"/>
                <w:color w:val="auto"/>
              </w:rPr>
              <w:t>2025</w:t>
            </w:r>
          </w:p>
        </w:tc>
        <w:tc>
          <w:tcPr>
            <w:tcW w:w="420" w:type="dxa"/>
            <w:vAlign w:val="bottom"/>
            <w:gridSpan w:val="3"/>
          </w:tcPr>
          <w:p>
            <w:pPr>
              <w:jc w:val="right"/>
              <w:spacing w:after="0" w:line="88" w:lineRule="exact"/>
              <w:rPr>
                <w:sz w:val="20"/>
                <w:szCs w:val="20"/>
                <w:color w:val="auto"/>
              </w:rPr>
            </w:pPr>
            <w:r>
              <w:rPr>
                <w:rFonts w:ascii="Arial" w:cs="Arial" w:eastAsia="Arial" w:hAnsi="Arial"/>
                <w:sz w:val="10"/>
                <w:szCs w:val="10"/>
                <w:color w:val="auto"/>
              </w:rPr>
              <w:t>2026</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line="88" w:lineRule="exact"/>
              <w:rPr>
                <w:sz w:val="20"/>
                <w:szCs w:val="20"/>
                <w:color w:val="auto"/>
              </w:rPr>
            </w:pPr>
            <w:r>
              <w:rPr>
                <w:rFonts w:ascii="Arial" w:cs="Arial" w:eastAsia="Arial" w:hAnsi="Arial"/>
                <w:sz w:val="10"/>
                <w:szCs w:val="10"/>
                <w:color w:val="auto"/>
                <w:w w:val="99"/>
              </w:rPr>
              <w:t>Thereafter</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jc w:val="right"/>
              <w:ind w:right="162"/>
              <w:spacing w:after="0" w:line="88"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ind w:right="62"/>
              <w:spacing w:after="0" w:line="88" w:lineRule="exact"/>
              <w:rPr>
                <w:sz w:val="20"/>
                <w:szCs w:val="20"/>
                <w:color w:val="auto"/>
              </w:rPr>
            </w:pPr>
            <w:r>
              <w:rPr>
                <w:rFonts w:ascii="Arial" w:cs="Arial" w:eastAsia="Arial" w:hAnsi="Arial"/>
                <w:sz w:val="10"/>
                <w:szCs w:val="10"/>
                <w:color w:val="auto"/>
                <w:w w:val="92"/>
              </w:rPr>
              <w:t>Fair Value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color w:val="auto"/>
              </w:rPr>
              <w:t>Cash and cash equivalents (1)</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8,168</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tcPr>
          <w:p>
            <w:pPr>
              <w:ind w:left="22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8,168</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Accounts receivable (1)</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71,603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71,603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color w:val="auto"/>
              </w:rPr>
              <w:t>Advances to suppliers (1)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4,909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color w:val="auto"/>
              </w:rPr>
              <w:t>Liabilities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Payable to growers (1)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11,556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color w:val="auto"/>
              </w:rPr>
              <w:t>Accounts payable (1)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14,417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14,417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Borrowings pursuant to credit facilities (1)</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37,150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37,150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102870</wp:posOffset>
            </wp:positionV>
            <wp:extent cx="14287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202" w:lineRule="exact"/>
        <w:rPr>
          <w:sz w:val="20"/>
          <w:szCs w:val="20"/>
          <w:color w:val="auto"/>
        </w:rPr>
      </w:pPr>
    </w:p>
    <w:p>
      <w:pPr>
        <w:ind w:left="240" w:right="359" w:hanging="225"/>
        <w:spacing w:after="0" w:line="230" w:lineRule="auto"/>
        <w:tabs>
          <w:tab w:leader="none" w:pos="240" w:val="left"/>
        </w:tabs>
        <w:numPr>
          <w:ilvl w:val="0"/>
          <w:numId w:val="10"/>
        </w:numPr>
        <w:rPr>
          <w:rFonts w:ascii="Arial" w:cs="Arial" w:eastAsia="Arial" w:hAnsi="Arial"/>
          <w:sz w:val="10"/>
          <w:szCs w:val="10"/>
          <w:color w:val="auto"/>
        </w:rPr>
      </w:pPr>
      <w:r>
        <w:rPr>
          <w:rFonts w:ascii="Arial" w:cs="Arial" w:eastAsia="Arial" w:hAnsi="Arial"/>
          <w:sz w:val="10"/>
          <w:szCs w:val="10"/>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do to the variable rate of interest.</w:t>
      </w:r>
    </w:p>
    <w:p>
      <w:pPr>
        <w:spacing w:after="0" w:line="71" w:lineRule="exact"/>
        <w:rPr>
          <w:sz w:val="20"/>
          <w:szCs w:val="20"/>
          <w:color w:val="auto"/>
        </w:rPr>
      </w:pPr>
    </w:p>
    <w:p>
      <w:pPr>
        <w:ind w:left="20" w:right="199" w:firstLine="173"/>
        <w:spacing w:after="0" w:line="276" w:lineRule="auto"/>
        <w:rPr>
          <w:sz w:val="20"/>
          <w:szCs w:val="20"/>
          <w:color w:val="auto"/>
        </w:rPr>
      </w:pPr>
      <w:r>
        <w:rPr>
          <w:rFonts w:ascii="Arial" w:cs="Arial" w:eastAsia="Arial" w:hAnsi="Arial"/>
          <w:sz w:val="12"/>
          <w:szCs w:val="12"/>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61" w:lineRule="exact"/>
        <w:rPr>
          <w:sz w:val="20"/>
          <w:szCs w:val="20"/>
          <w:color w:val="auto"/>
        </w:rPr>
      </w:pPr>
    </w:p>
    <w:p>
      <w:pPr>
        <w:ind w:left="20" w:right="179" w:firstLine="173"/>
        <w:spacing w:after="0" w:line="340" w:lineRule="auto"/>
        <w:rPr>
          <w:sz w:val="20"/>
          <w:szCs w:val="20"/>
          <w:color w:val="auto"/>
        </w:rPr>
      </w:pPr>
      <w:r>
        <w:rPr>
          <w:rFonts w:ascii="Arial" w:cs="Arial" w:eastAsia="Arial" w:hAnsi="Arial"/>
          <w:sz w:val="10"/>
          <w:szCs w:val="10"/>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remeasurement gains for the three months ended January 31, 2021 and 2020, net of losses, was $1.0 million and $0.1 million.</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4. CONTROLS AND PROCEDURES</w:t>
      </w:r>
    </w:p>
    <w:p>
      <w:pPr>
        <w:spacing w:after="0" w:line="82" w:lineRule="exact"/>
        <w:rPr>
          <w:sz w:val="20"/>
          <w:szCs w:val="20"/>
          <w:color w:val="auto"/>
        </w:rPr>
      </w:pPr>
    </w:p>
    <w:p>
      <w:pPr>
        <w:jc w:val="center"/>
        <w:ind w:left="15" w:right="174"/>
        <w:spacing w:after="0" w:line="340" w:lineRule="auto"/>
        <w:rPr>
          <w:sz w:val="20"/>
          <w:szCs w:val="20"/>
          <w:color w:val="auto"/>
        </w:rPr>
      </w:pPr>
      <w:r>
        <w:rPr>
          <w:rFonts w:ascii="Arial" w:cs="Arial" w:eastAsia="Arial" w:hAnsi="Arial"/>
          <w:sz w:val="10"/>
          <w:szCs w:val="10"/>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15" w:lineRule="exact"/>
        <w:rPr>
          <w:sz w:val="20"/>
          <w:szCs w:val="20"/>
          <w:color w:val="auto"/>
        </w:rPr>
      </w:pPr>
    </w:p>
    <w:p>
      <w:pPr>
        <w:ind w:left="20" w:right="159" w:firstLine="173"/>
        <w:spacing w:after="0" w:line="276" w:lineRule="auto"/>
        <w:rPr>
          <w:sz w:val="20"/>
          <w:szCs w:val="20"/>
          <w:color w:val="auto"/>
        </w:rPr>
      </w:pPr>
      <w:r>
        <w:rPr>
          <w:rFonts w:ascii="Arial" w:cs="Arial" w:eastAsia="Arial" w:hAnsi="Arial"/>
          <w:sz w:val="12"/>
          <w:szCs w:val="12"/>
          <w:color w:val="auto"/>
        </w:rPr>
        <w:t>There were no changes in the Company’s internal control over financial reporting during the quarter ended January 31, 2021 that have materially affected, or are reasonably likely to materially affect, the Company’s internal control over financial reporting.</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PART II. OTHER INFORMATION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1. LEGAL PROCEEDINGS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From time to time, we are involved in litigation arising in the ordinary course of our business that we do not believe will have a material adverse impact on our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0" w:name="page31"/>
    <w:bookmarkEnd w:id="30"/>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jc w:val="both"/>
        <w:ind w:left="20" w:right="39" w:firstLine="162"/>
        <w:spacing w:after="0" w:line="340" w:lineRule="auto"/>
        <w:rPr>
          <w:sz w:val="20"/>
          <w:szCs w:val="20"/>
          <w:color w:val="auto"/>
        </w:rPr>
      </w:pPr>
      <w:r>
        <w:rPr>
          <w:rFonts w:ascii="Arial" w:cs="Arial" w:eastAsia="Arial" w:hAnsi="Arial"/>
          <w:sz w:val="10"/>
          <w:szCs w:val="10"/>
          <w:color w:val="auto"/>
        </w:rPr>
        <w:t>For a discussion of our risk factors, see Part 1, item 1A “Risk Factors” of our Annual Report on Form 10-K for the year ended October 31, 2020. There have been no material changes from the risk factors set forth in such Annual Report on Form 10-K. However, the risks and uncertainties that we face are not limited to those set forth in the 2020 Form 10-K. Additional risks and uncertainties not presently known to us or that we currently believe to be immaterial may also adversely affect our business and the trading price of our common stock.</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6. EXHIBITS</w:t>
      </w:r>
    </w:p>
    <w:p>
      <w:pPr>
        <w:spacing w:after="0" w:line="298" w:lineRule="exact"/>
        <w:rPr>
          <w:sz w:val="20"/>
          <w:szCs w:val="20"/>
          <w:color w:val="auto"/>
        </w:rPr>
      </w:pPr>
    </w:p>
    <w:p>
      <w:pPr>
        <w:ind w:left="640"/>
        <w:spacing w:after="0"/>
        <w:tabs>
          <w:tab w:leader="none" w:pos="1220" w:val="left"/>
        </w:tabs>
        <w:rPr>
          <w:rFonts w:ascii="Arial" w:cs="Arial" w:eastAsia="Arial" w:hAnsi="Arial"/>
          <w:sz w:val="10"/>
          <w:szCs w:val="10"/>
          <w:u w:val="single" w:color="auto"/>
          <w:color w:val="0000EE"/>
        </w:rPr>
      </w:pPr>
      <w:r>
        <w:rPr>
          <w:rFonts w:ascii="Arial" w:cs="Arial" w:eastAsia="Arial" w:hAnsi="Arial"/>
          <w:sz w:val="12"/>
          <w:szCs w:val="12"/>
          <w:color w:val="auto"/>
        </w:rPr>
        <w:t>31.1</w:t>
      </w:r>
      <w:r>
        <w:rPr>
          <w:sz w:val="20"/>
          <w:szCs w:val="20"/>
          <w:color w:val="auto"/>
        </w:rPr>
        <w:tab/>
      </w:r>
      <w:hyperlink w:anchor="page33">
        <w:r>
          <w:rPr>
            <w:rFonts w:ascii="Arial" w:cs="Arial" w:eastAsia="Arial" w:hAnsi="Arial"/>
            <w:sz w:val="10"/>
            <w:szCs w:val="10"/>
            <w:u w:val="single" w:color="auto"/>
            <w:color w:val="0000EE"/>
          </w:rPr>
          <w:t>Certification of Chief Executive Officer Pursuant to 15 U.S.C. § 7241, as Adopted Pursuant to Section 302 of the Sarbanes-Oxley Act of 2002.</w:t>
        </w:r>
      </w:hyperlink>
    </w:p>
    <w:p>
      <w:pPr>
        <w:spacing w:after="0" w:line="132" w:lineRule="exact"/>
        <w:rPr>
          <w:sz w:val="20"/>
          <w:szCs w:val="20"/>
          <w:color w:val="auto"/>
        </w:rPr>
      </w:pPr>
    </w:p>
    <w:p>
      <w:pPr>
        <w:ind w:left="640"/>
        <w:spacing w:after="0"/>
        <w:tabs>
          <w:tab w:leader="none" w:pos="1220" w:val="left"/>
        </w:tabs>
        <w:rPr>
          <w:rFonts w:ascii="Arial" w:cs="Arial" w:eastAsia="Arial" w:hAnsi="Arial"/>
          <w:sz w:val="10"/>
          <w:szCs w:val="10"/>
          <w:u w:val="single" w:color="auto"/>
          <w:color w:val="0000EE"/>
        </w:rPr>
      </w:pPr>
      <w:r>
        <w:rPr>
          <w:rFonts w:ascii="Arial" w:cs="Arial" w:eastAsia="Arial" w:hAnsi="Arial"/>
          <w:sz w:val="12"/>
          <w:szCs w:val="12"/>
          <w:color w:val="auto"/>
        </w:rPr>
        <w:t>31.2</w:t>
      </w:r>
      <w:r>
        <w:rPr>
          <w:sz w:val="20"/>
          <w:szCs w:val="20"/>
          <w:color w:val="auto"/>
        </w:rPr>
        <w:tab/>
      </w:r>
      <w:hyperlink w:anchor="page34">
        <w:r>
          <w:rPr>
            <w:rFonts w:ascii="Arial" w:cs="Arial" w:eastAsia="Arial" w:hAnsi="Arial"/>
            <w:sz w:val="10"/>
            <w:szCs w:val="10"/>
            <w:u w:val="single" w:color="auto"/>
            <w:color w:val="0000EE"/>
          </w:rPr>
          <w:t>Certification of Principal Financial Officer Pursuant to 15 U.S.C. § 7241, as Adopted Pursuant to Section 302 of the Sarbanes-Oxley Act of 2002.</w:t>
        </w:r>
      </w:hyperlink>
    </w:p>
    <w:p>
      <w:pPr>
        <w:spacing w:after="0" w:line="132" w:lineRule="exact"/>
        <w:rPr>
          <w:sz w:val="20"/>
          <w:szCs w:val="20"/>
          <w:color w:val="auto"/>
        </w:rPr>
      </w:pPr>
    </w:p>
    <w:p>
      <w:pPr>
        <w:ind w:left="640"/>
        <w:spacing w:after="0"/>
        <w:tabs>
          <w:tab w:leader="none" w:pos="1220" w:val="left"/>
        </w:tabs>
        <w:rPr>
          <w:rFonts w:ascii="Arial" w:cs="Arial" w:eastAsia="Arial" w:hAnsi="Arial"/>
          <w:sz w:val="11"/>
          <w:szCs w:val="11"/>
          <w:u w:val="single" w:color="auto"/>
          <w:color w:val="0000EE"/>
        </w:rPr>
      </w:pPr>
      <w:r>
        <w:rPr>
          <w:rFonts w:ascii="Arial" w:cs="Arial" w:eastAsia="Arial" w:hAnsi="Arial"/>
          <w:sz w:val="12"/>
          <w:szCs w:val="12"/>
          <w:color w:val="auto"/>
        </w:rPr>
        <w:t>32.1</w:t>
      </w:r>
      <w:r>
        <w:rPr>
          <w:sz w:val="20"/>
          <w:szCs w:val="20"/>
          <w:color w:val="auto"/>
        </w:rPr>
        <w:tab/>
      </w:r>
      <w:hyperlink w:anchor="page35">
        <w:r>
          <w:rPr>
            <w:rFonts w:ascii="Arial" w:cs="Arial" w:eastAsia="Arial" w:hAnsi="Arial"/>
            <w:sz w:val="11"/>
            <w:szCs w:val="11"/>
            <w:u w:val="single" w:color="auto"/>
            <w:color w:val="0000EE"/>
          </w:rPr>
          <w:t>Certification by Chief Executive Officer and Chief Financial Officer of Periodic Report Pursuant to 18 U.S.C. Section 1350.</w:t>
        </w:r>
      </w:hyperlink>
    </w:p>
    <w:p>
      <w:pPr>
        <w:spacing w:after="0" w:line="132" w:lineRule="exact"/>
        <w:rPr>
          <w:sz w:val="20"/>
          <w:szCs w:val="20"/>
          <w:color w:val="auto"/>
        </w:rPr>
      </w:pPr>
    </w:p>
    <w:p>
      <w:pPr>
        <w:ind w:left="1240" w:right="159" w:hanging="593"/>
        <w:spacing w:after="0" w:line="268" w:lineRule="auto"/>
        <w:tabs>
          <w:tab w:leader="none" w:pos="1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following financial information from the Quarterly Report on Form 10-Q of Calavo Growers, Inc. for the quarter ended January 31, 2021, formatted in Inline XBRL (Extensible Business Reporting Language): (1) Consolidated Condensed Balance Sheets as of January 31, 2021 and October 31, 2020; (2) Consolidated Condensed Statements of Income for the three months ended January 31, 2021 and 2020; (3) Consolidated Condensed Statements of Cash Flows for the three months ended January 31, 2021 and 2020; (4) Consolidated Statements of Shareholders Equity for the three months ended January 31, 2021 and 2020; and (5) Notes to Unaudited Condensed Consolidated Financial Statements.</w:t>
      </w:r>
    </w:p>
    <w:p>
      <w:pPr>
        <w:spacing w:after="0" w:line="10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238125</wp:posOffset>
            </wp:positionV>
            <wp:extent cx="57035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1" w:name="page32"/>
    <w:bookmarkEnd w:id="31"/>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0" w:right="559" w:firstLine="216"/>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8980" w:type="dxa"/>
            <w:vAlign w:val="bottom"/>
            <w:gridSpan w:val="3"/>
          </w:tcPr>
          <w:p>
            <w:pPr>
              <w:ind w:left="4400"/>
              <w:spacing w:after="0"/>
              <w:rPr>
                <w:sz w:val="20"/>
                <w:szCs w:val="20"/>
                <w:color w:val="auto"/>
              </w:rPr>
            </w:pPr>
            <w:r>
              <w:rPr>
                <w:rFonts w:ascii="Arial" w:cs="Arial" w:eastAsia="Arial" w:hAnsi="Arial"/>
                <w:sz w:val="12"/>
                <w:szCs w:val="12"/>
                <w:color w:val="auto"/>
              </w:rPr>
              <w:t>Calavo Growers, Inc.</w:t>
            </w:r>
          </w:p>
        </w:tc>
      </w:tr>
      <w:tr>
        <w:trPr>
          <w:trHeight w:val="153"/>
        </w:trPr>
        <w:tc>
          <w:tcPr>
            <w:tcW w:w="8980" w:type="dxa"/>
            <w:vAlign w:val="bottom"/>
            <w:gridSpan w:val="3"/>
          </w:tcPr>
          <w:p>
            <w:pPr>
              <w:ind w:left="4400"/>
              <w:spacing w:after="0"/>
              <w:rPr>
                <w:sz w:val="20"/>
                <w:szCs w:val="20"/>
                <w:color w:val="auto"/>
              </w:rPr>
            </w:pPr>
            <w:r>
              <w:rPr>
                <w:rFonts w:ascii="Arial" w:cs="Arial" w:eastAsia="Arial" w:hAnsi="Arial"/>
                <w:sz w:val="12"/>
                <w:szCs w:val="12"/>
                <w:color w:val="auto"/>
              </w:rPr>
              <w:t>(Registrant)</w:t>
            </w:r>
          </w:p>
        </w:tc>
      </w:tr>
      <w:tr>
        <w:trPr>
          <w:trHeight w:val="423"/>
        </w:trPr>
        <w:tc>
          <w:tcPr>
            <w:tcW w:w="4800" w:type="dxa"/>
            <w:vAlign w:val="bottom"/>
          </w:tcPr>
          <w:p>
            <w:pPr>
              <w:spacing w:after="0"/>
              <w:rPr>
                <w:sz w:val="20"/>
                <w:szCs w:val="20"/>
                <w:color w:val="auto"/>
              </w:rPr>
            </w:pPr>
            <w:r>
              <w:rPr>
                <w:rFonts w:ascii="Arial" w:cs="Arial" w:eastAsia="Arial" w:hAnsi="Arial"/>
                <w:sz w:val="12"/>
                <w:szCs w:val="12"/>
                <w:color w:val="auto"/>
              </w:rPr>
              <w:t>Date: March 10, 2021</w:t>
            </w: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800" w:type="dxa"/>
            <w:vAlign w:val="bottom"/>
          </w:tcPr>
          <w:p>
            <w:pPr>
              <w:ind w:left="4400"/>
              <w:spacing w:after="0"/>
              <w:rPr>
                <w:sz w:val="20"/>
                <w:szCs w:val="20"/>
                <w:color w:val="auto"/>
              </w:rPr>
            </w:pPr>
            <w:r>
              <w:rPr>
                <w:rFonts w:ascii="Arial" w:cs="Arial" w:eastAsia="Arial" w:hAnsi="Arial"/>
                <w:sz w:val="12"/>
                <w:szCs w:val="12"/>
                <w:color w:val="auto"/>
              </w:rPr>
              <w:t>By</w:t>
            </w:r>
          </w:p>
        </w:tc>
        <w:tc>
          <w:tcPr>
            <w:tcW w:w="4180" w:type="dxa"/>
            <w:vAlign w:val="bottom"/>
            <w:gridSpan w:val="2"/>
          </w:tcPr>
          <w:p>
            <w:pPr>
              <w:spacing w:after="0"/>
              <w:rPr>
                <w:sz w:val="20"/>
                <w:szCs w:val="20"/>
                <w:color w:val="auto"/>
              </w:rPr>
            </w:pPr>
            <w:r>
              <w:rPr>
                <w:rFonts w:ascii="Arial" w:cs="Arial" w:eastAsia="Arial" w:hAnsi="Arial"/>
                <w:sz w:val="12"/>
                <w:szCs w:val="12"/>
                <w:color w:val="auto"/>
              </w:rPr>
              <w:t>/s/ James Gibson</w:t>
            </w:r>
          </w:p>
        </w:tc>
      </w:tr>
      <w:tr>
        <w:trPr>
          <w:trHeight w:val="124"/>
        </w:trPr>
        <w:tc>
          <w:tcPr>
            <w:tcW w:w="4800" w:type="dxa"/>
            <w:vAlign w:val="bottom"/>
          </w:tcPr>
          <w:p>
            <w:pPr>
              <w:spacing w:after="0"/>
              <w:rPr>
                <w:sz w:val="10"/>
                <w:szCs w:val="10"/>
                <w:color w:val="auto"/>
              </w:rPr>
            </w:pPr>
          </w:p>
        </w:tc>
        <w:tc>
          <w:tcPr>
            <w:tcW w:w="4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James Gibson</w:t>
            </w:r>
          </w:p>
        </w:tc>
        <w:tc>
          <w:tcPr>
            <w:tcW w:w="20" w:type="dxa"/>
            <w:vAlign w:val="bottom"/>
          </w:tcPr>
          <w:p>
            <w:pPr>
              <w:spacing w:after="0"/>
              <w:rPr>
                <w:sz w:val="10"/>
                <w:szCs w:val="10"/>
                <w:color w:val="auto"/>
              </w:rPr>
            </w:pPr>
          </w:p>
        </w:tc>
      </w:tr>
      <w:tr>
        <w:trPr>
          <w:trHeight w:val="144"/>
        </w:trPr>
        <w:tc>
          <w:tcPr>
            <w:tcW w:w="4800" w:type="dxa"/>
            <w:vAlign w:val="bottom"/>
          </w:tcPr>
          <w:p>
            <w:pPr>
              <w:spacing w:after="0"/>
              <w:rPr>
                <w:sz w:val="12"/>
                <w:szCs w:val="12"/>
                <w:color w:val="auto"/>
              </w:rPr>
            </w:pPr>
          </w:p>
        </w:tc>
        <w:tc>
          <w:tcPr>
            <w:tcW w:w="4180" w:type="dxa"/>
            <w:vAlign w:val="bottom"/>
            <w:gridSpan w:val="2"/>
          </w:tcPr>
          <w:p>
            <w:pPr>
              <w:spacing w:after="0"/>
              <w:rPr>
                <w:sz w:val="20"/>
                <w:szCs w:val="20"/>
                <w:color w:val="auto"/>
              </w:rPr>
            </w:pPr>
            <w:r>
              <w:rPr>
                <w:rFonts w:ascii="Arial" w:cs="Arial" w:eastAsia="Arial" w:hAnsi="Arial"/>
                <w:sz w:val="12"/>
                <w:szCs w:val="12"/>
                <w:color w:val="auto"/>
              </w:rPr>
              <w:t>Chief Executive Officer</w:t>
            </w:r>
          </w:p>
        </w:tc>
      </w:tr>
      <w:tr>
        <w:trPr>
          <w:trHeight w:val="153"/>
        </w:trPr>
        <w:tc>
          <w:tcPr>
            <w:tcW w:w="480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2"/>
                <w:szCs w:val="12"/>
                <w:color w:val="auto"/>
              </w:rPr>
              <w:t>(Principal Executive Officer)</w:t>
            </w:r>
          </w:p>
        </w:tc>
      </w:tr>
      <w:tr>
        <w:trPr>
          <w:trHeight w:val="423"/>
        </w:trPr>
        <w:tc>
          <w:tcPr>
            <w:tcW w:w="4800" w:type="dxa"/>
            <w:vAlign w:val="bottom"/>
          </w:tcPr>
          <w:p>
            <w:pPr>
              <w:spacing w:after="0"/>
              <w:rPr>
                <w:sz w:val="20"/>
                <w:szCs w:val="20"/>
                <w:color w:val="auto"/>
              </w:rPr>
            </w:pPr>
            <w:r>
              <w:rPr>
                <w:rFonts w:ascii="Arial" w:cs="Arial" w:eastAsia="Arial" w:hAnsi="Arial"/>
                <w:sz w:val="12"/>
                <w:szCs w:val="12"/>
                <w:color w:val="auto"/>
              </w:rPr>
              <w:t>Date: March 10, 2021</w:t>
            </w: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800" w:type="dxa"/>
            <w:vAlign w:val="bottom"/>
          </w:tcPr>
          <w:p>
            <w:pPr>
              <w:ind w:left="4400"/>
              <w:spacing w:after="0"/>
              <w:rPr>
                <w:sz w:val="20"/>
                <w:szCs w:val="20"/>
                <w:color w:val="auto"/>
              </w:rPr>
            </w:pPr>
            <w:r>
              <w:rPr>
                <w:rFonts w:ascii="Arial" w:cs="Arial" w:eastAsia="Arial" w:hAnsi="Arial"/>
                <w:sz w:val="12"/>
                <w:szCs w:val="12"/>
                <w:color w:val="auto"/>
              </w:rPr>
              <w:t>By</w:t>
            </w:r>
          </w:p>
        </w:tc>
        <w:tc>
          <w:tcPr>
            <w:tcW w:w="4180" w:type="dxa"/>
            <w:vAlign w:val="bottom"/>
            <w:gridSpan w:val="2"/>
          </w:tcPr>
          <w:p>
            <w:pPr>
              <w:spacing w:after="0"/>
              <w:rPr>
                <w:sz w:val="20"/>
                <w:szCs w:val="20"/>
                <w:color w:val="auto"/>
              </w:rPr>
            </w:pPr>
            <w:r>
              <w:rPr>
                <w:rFonts w:ascii="Arial" w:cs="Arial" w:eastAsia="Arial" w:hAnsi="Arial"/>
                <w:sz w:val="12"/>
                <w:szCs w:val="12"/>
                <w:color w:val="auto"/>
              </w:rPr>
              <w:t>/s/ Kevin Manion</w:t>
            </w:r>
          </w:p>
        </w:tc>
      </w:tr>
      <w:tr>
        <w:trPr>
          <w:trHeight w:val="124"/>
        </w:trPr>
        <w:tc>
          <w:tcPr>
            <w:tcW w:w="4800" w:type="dxa"/>
            <w:vAlign w:val="bottom"/>
          </w:tcPr>
          <w:p>
            <w:pPr>
              <w:spacing w:after="0"/>
              <w:rPr>
                <w:sz w:val="10"/>
                <w:szCs w:val="10"/>
                <w:color w:val="auto"/>
              </w:rPr>
            </w:pPr>
          </w:p>
        </w:tc>
        <w:tc>
          <w:tcPr>
            <w:tcW w:w="4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Kevin Manion</w:t>
            </w:r>
          </w:p>
        </w:tc>
        <w:tc>
          <w:tcPr>
            <w:tcW w:w="20" w:type="dxa"/>
            <w:vAlign w:val="bottom"/>
          </w:tcPr>
          <w:p>
            <w:pPr>
              <w:spacing w:after="0"/>
              <w:rPr>
                <w:sz w:val="10"/>
                <w:szCs w:val="10"/>
                <w:color w:val="auto"/>
              </w:rPr>
            </w:pPr>
          </w:p>
        </w:tc>
      </w:tr>
      <w:tr>
        <w:trPr>
          <w:trHeight w:val="144"/>
        </w:trPr>
        <w:tc>
          <w:tcPr>
            <w:tcW w:w="4800" w:type="dxa"/>
            <w:vAlign w:val="bottom"/>
          </w:tcPr>
          <w:p>
            <w:pPr>
              <w:spacing w:after="0"/>
              <w:rPr>
                <w:sz w:val="12"/>
                <w:szCs w:val="12"/>
                <w:color w:val="auto"/>
              </w:rPr>
            </w:pPr>
          </w:p>
        </w:tc>
        <w:tc>
          <w:tcPr>
            <w:tcW w:w="4180" w:type="dxa"/>
            <w:vAlign w:val="bottom"/>
            <w:gridSpan w:val="2"/>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480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2"/>
                <w:szCs w:val="12"/>
                <w:color w:val="auto"/>
              </w:rPr>
              <w:t>(Principal Financial Officer)</w:t>
            </w:r>
          </w:p>
        </w:tc>
      </w:tr>
      <w:tr>
        <w:trPr>
          <w:trHeight w:val="873"/>
        </w:trPr>
        <w:tc>
          <w:tcPr>
            <w:tcW w:w="4800" w:type="dxa"/>
            <w:vAlign w:val="bottom"/>
          </w:tcPr>
          <w:p>
            <w:pPr>
              <w:ind w:left="4420"/>
              <w:spacing w:after="0"/>
              <w:rPr>
                <w:sz w:val="20"/>
                <w:szCs w:val="20"/>
                <w:color w:val="auto"/>
              </w:rPr>
            </w:pPr>
            <w:r>
              <w:rPr>
                <w:rFonts w:ascii="Arial" w:cs="Arial" w:eastAsia="Arial" w:hAnsi="Arial"/>
                <w:sz w:val="12"/>
                <w:szCs w:val="12"/>
                <w:color w:val="auto"/>
              </w:rPr>
              <w:t>32</w:t>
            </w: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48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32" w:name="page33"/>
    <w:bookmarkEnd w:id="32"/>
    <w:p>
      <w:pPr>
        <w:jc w:val="right"/>
        <w:ind w:right="19"/>
        <w:spacing w:after="0"/>
        <w:rPr>
          <w:sz w:val="20"/>
          <w:szCs w:val="20"/>
          <w:color w:val="auto"/>
        </w:rPr>
      </w:pPr>
      <w:r>
        <w:rPr>
          <w:rFonts w:ascii="Arial" w:cs="Arial" w:eastAsia="Arial" w:hAnsi="Arial"/>
          <w:sz w:val="12"/>
          <w:szCs w:val="12"/>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 U.S.C. § 7241</w:t>
      </w:r>
    </w:p>
    <w:p>
      <w:pPr>
        <w:jc w:val="center"/>
        <w:spacing w:after="0"/>
        <w:rPr>
          <w:sz w:val="20"/>
          <w:szCs w:val="20"/>
          <w:color w:val="auto"/>
        </w:rPr>
      </w:pPr>
      <w:r>
        <w:rPr>
          <w:rFonts w:ascii="Arial" w:cs="Arial" w:eastAsia="Arial" w:hAnsi="Arial"/>
          <w:sz w:val="11"/>
          <w:szCs w:val="11"/>
          <w:color w:val="auto"/>
        </w:rPr>
        <w:t>AS ADOPTED PURSUANT TO</w:t>
      </w:r>
    </w:p>
    <w:p>
      <w:pPr>
        <w:jc w:val="center"/>
        <w:spacing w:after="0"/>
        <w:rPr>
          <w:sz w:val="20"/>
          <w:szCs w:val="20"/>
          <w:color w:val="auto"/>
        </w:rPr>
      </w:pPr>
      <w:r>
        <w:rPr>
          <w:rFonts w:ascii="Arial" w:cs="Arial" w:eastAsia="Arial" w:hAnsi="Arial"/>
          <w:sz w:val="11"/>
          <w:szCs w:val="11"/>
          <w:color w:val="auto"/>
        </w:rPr>
        <w:t>SECTION 302 OF THE SARBANES-OXLEY ACT OF 2002</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1"/>
          <w:szCs w:val="11"/>
          <w:color w:val="auto"/>
        </w:rPr>
        <w:t>I, James Gibson, certify that:</w:t>
      </w:r>
    </w:p>
    <w:p>
      <w:pPr>
        <w:spacing w:after="0" w:line="144" w:lineRule="exact"/>
        <w:rPr>
          <w:sz w:val="20"/>
          <w:szCs w:val="20"/>
          <w:color w:val="auto"/>
        </w:rPr>
      </w:pPr>
    </w:p>
    <w:p>
      <w:pPr>
        <w:ind w:left="440" w:hanging="425"/>
        <w:spacing w:after="0"/>
        <w:tabs>
          <w:tab w:leader="none" w:pos="4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 have reviewed this quarterly report on Form 10-Q of Calavo Growers, Inc.;</w:t>
      </w:r>
    </w:p>
    <w:p>
      <w:pPr>
        <w:spacing w:after="0" w:line="143" w:lineRule="exact"/>
        <w:rPr>
          <w:rFonts w:ascii="Arial" w:cs="Arial" w:eastAsia="Arial" w:hAnsi="Arial"/>
          <w:sz w:val="11"/>
          <w:szCs w:val="11"/>
          <w:color w:val="auto"/>
        </w:rPr>
      </w:pPr>
    </w:p>
    <w:p>
      <w:pPr>
        <w:ind w:left="440" w:right="259" w:hanging="425"/>
        <w:spacing w:after="0" w:line="257"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1"/>
          <w:szCs w:val="11"/>
          <w:color w:val="auto"/>
        </w:rPr>
      </w:pPr>
    </w:p>
    <w:p>
      <w:pPr>
        <w:ind w:left="440" w:right="39" w:hanging="425"/>
        <w:spacing w:after="0" w:line="257"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1"/>
          <w:szCs w:val="11"/>
          <w:color w:val="auto"/>
        </w:rPr>
      </w:pPr>
    </w:p>
    <w:p>
      <w:pPr>
        <w:ind w:left="440" w:right="199" w:hanging="425"/>
        <w:spacing w:after="0" w:line="257"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1"/>
          <w:szCs w:val="11"/>
          <w:color w:val="auto"/>
        </w:rPr>
      </w:pPr>
    </w:p>
    <w:p>
      <w:pPr>
        <w:ind w:left="880" w:right="119" w:hanging="433"/>
        <w:spacing w:after="0" w:line="368" w:lineRule="auto"/>
        <w:tabs>
          <w:tab w:leader="none" w:pos="880" w:val="left"/>
        </w:tabs>
        <w:numPr>
          <w:ilvl w:val="1"/>
          <w:numId w:val="12"/>
        </w:numPr>
        <w:rPr>
          <w:rFonts w:ascii="Arial" w:cs="Arial" w:eastAsia="Arial" w:hAnsi="Arial"/>
          <w:sz w:val="9"/>
          <w:szCs w:val="9"/>
          <w:color w:val="auto"/>
        </w:rPr>
      </w:pPr>
      <w:r>
        <w:rPr>
          <w:rFonts w:ascii="Arial" w:cs="Arial" w:eastAsia="Arial" w:hAnsi="Arial"/>
          <w:sz w:val="9"/>
          <w:szCs w:val="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9"/>
          <w:szCs w:val="9"/>
          <w:color w:val="auto"/>
        </w:rPr>
      </w:pPr>
    </w:p>
    <w:p>
      <w:pPr>
        <w:ind w:left="880" w:right="299" w:hanging="433"/>
        <w:spacing w:after="0" w:line="368" w:lineRule="auto"/>
        <w:tabs>
          <w:tab w:leader="none" w:pos="880" w:val="left"/>
        </w:tabs>
        <w:numPr>
          <w:ilvl w:val="1"/>
          <w:numId w:val="12"/>
        </w:numPr>
        <w:rPr>
          <w:rFonts w:ascii="Arial" w:cs="Arial" w:eastAsia="Arial" w:hAnsi="Arial"/>
          <w:sz w:val="9"/>
          <w:szCs w:val="9"/>
          <w:color w:val="auto"/>
        </w:rPr>
      </w:pPr>
      <w:r>
        <w:rPr>
          <w:rFonts w:ascii="Arial" w:cs="Arial" w:eastAsia="Arial" w:hAnsi="Arial"/>
          <w:sz w:val="9"/>
          <w:szCs w:val="9"/>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8" w:lineRule="exact"/>
        <w:rPr>
          <w:rFonts w:ascii="Arial" w:cs="Arial" w:eastAsia="Arial" w:hAnsi="Arial"/>
          <w:sz w:val="9"/>
          <w:szCs w:val="9"/>
          <w:color w:val="auto"/>
        </w:rPr>
      </w:pPr>
    </w:p>
    <w:p>
      <w:pPr>
        <w:ind w:left="880" w:right="439" w:hanging="433"/>
        <w:spacing w:after="0" w:line="257" w:lineRule="auto"/>
        <w:tabs>
          <w:tab w:leader="none" w:pos="880" w:val="left"/>
        </w:tabs>
        <w:numPr>
          <w:ilvl w:val="1"/>
          <w:numId w:val="12"/>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1"/>
          <w:szCs w:val="11"/>
          <w:color w:val="auto"/>
        </w:rPr>
      </w:pPr>
    </w:p>
    <w:p>
      <w:pPr>
        <w:ind w:left="880" w:right="79" w:hanging="433"/>
        <w:spacing w:after="0" w:line="257" w:lineRule="auto"/>
        <w:tabs>
          <w:tab w:leader="none" w:pos="880" w:val="left"/>
        </w:tabs>
        <w:numPr>
          <w:ilvl w:val="1"/>
          <w:numId w:val="12"/>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5" w:lineRule="exact"/>
        <w:rPr>
          <w:rFonts w:ascii="Arial" w:cs="Arial" w:eastAsia="Arial" w:hAnsi="Arial"/>
          <w:sz w:val="11"/>
          <w:szCs w:val="11"/>
          <w:color w:val="auto"/>
        </w:rPr>
      </w:pPr>
    </w:p>
    <w:p>
      <w:pPr>
        <w:ind w:left="440" w:right="159" w:hanging="425"/>
        <w:spacing w:after="0" w:line="257"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5" w:lineRule="exact"/>
        <w:rPr>
          <w:rFonts w:ascii="Arial" w:cs="Arial" w:eastAsia="Arial" w:hAnsi="Arial"/>
          <w:sz w:val="11"/>
          <w:szCs w:val="11"/>
          <w:color w:val="auto"/>
        </w:rPr>
      </w:pPr>
    </w:p>
    <w:p>
      <w:pPr>
        <w:ind w:left="880" w:right="199" w:hanging="433"/>
        <w:spacing w:after="0" w:line="257" w:lineRule="auto"/>
        <w:tabs>
          <w:tab w:leader="none" w:pos="880" w:val="left"/>
        </w:tabs>
        <w:numPr>
          <w:ilvl w:val="1"/>
          <w:numId w:val="12"/>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1"/>
          <w:szCs w:val="11"/>
          <w:color w:val="auto"/>
        </w:rPr>
      </w:pPr>
    </w:p>
    <w:p>
      <w:pPr>
        <w:ind w:left="880" w:hanging="433"/>
        <w:spacing w:after="0"/>
        <w:tabs>
          <w:tab w:leader="none" w:pos="880" w:val="left"/>
        </w:tabs>
        <w:numPr>
          <w:ilvl w:val="1"/>
          <w:numId w:val="12"/>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4480" w:val="left"/>
        </w:tabs>
        <w:rPr>
          <w:sz w:val="20"/>
          <w:szCs w:val="20"/>
          <w:color w:val="auto"/>
        </w:rPr>
      </w:pPr>
      <w:r>
        <w:rPr>
          <w:rFonts w:ascii="Arial" w:cs="Arial" w:eastAsia="Arial" w:hAnsi="Arial"/>
          <w:sz w:val="11"/>
          <w:szCs w:val="11"/>
          <w:color w:val="auto"/>
        </w:rPr>
        <w:t>Date: March 10, 2021</w:t>
      </w:r>
      <w:r>
        <w:rPr>
          <w:sz w:val="20"/>
          <w:szCs w:val="20"/>
          <w:color w:val="auto"/>
        </w:rPr>
        <w:tab/>
      </w:r>
      <w:r>
        <w:rPr>
          <w:rFonts w:ascii="Arial" w:cs="Arial" w:eastAsia="Arial" w:hAnsi="Arial"/>
          <w:sz w:val="9"/>
          <w:szCs w:val="9"/>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28460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5715"/>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James Gibson</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57035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33" w:name="page34"/>
    <w:bookmarkEnd w:id="33"/>
    <w:p>
      <w:pPr>
        <w:jc w:val="right"/>
        <w:ind w:right="19"/>
        <w:spacing w:after="0"/>
        <w:rPr>
          <w:sz w:val="20"/>
          <w:szCs w:val="20"/>
          <w:color w:val="auto"/>
        </w:rPr>
      </w:pPr>
      <w:r>
        <w:rPr>
          <w:rFonts w:ascii="Arial" w:cs="Arial" w:eastAsia="Arial" w:hAnsi="Arial"/>
          <w:sz w:val="12"/>
          <w:szCs w:val="12"/>
          <w:b w:val="1"/>
          <w:bCs w:val="1"/>
          <w:color w:val="auto"/>
        </w:rPr>
        <w:t>Exhibit 31.2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 U.S.C. § 7241</w:t>
      </w:r>
    </w:p>
    <w:p>
      <w:pPr>
        <w:jc w:val="center"/>
        <w:spacing w:after="0"/>
        <w:rPr>
          <w:sz w:val="20"/>
          <w:szCs w:val="20"/>
          <w:color w:val="auto"/>
        </w:rPr>
      </w:pPr>
      <w:r>
        <w:rPr>
          <w:rFonts w:ascii="Arial" w:cs="Arial" w:eastAsia="Arial" w:hAnsi="Arial"/>
          <w:sz w:val="11"/>
          <w:szCs w:val="11"/>
          <w:color w:val="auto"/>
        </w:rPr>
        <w:t>AS ADOPTED PURSUANT TO</w:t>
      </w:r>
    </w:p>
    <w:p>
      <w:pPr>
        <w:jc w:val="center"/>
        <w:spacing w:after="0"/>
        <w:rPr>
          <w:sz w:val="20"/>
          <w:szCs w:val="20"/>
          <w:color w:val="auto"/>
        </w:rPr>
      </w:pPr>
      <w:r>
        <w:rPr>
          <w:rFonts w:ascii="Arial" w:cs="Arial" w:eastAsia="Arial" w:hAnsi="Arial"/>
          <w:sz w:val="11"/>
          <w:szCs w:val="11"/>
          <w:color w:val="auto"/>
        </w:rPr>
        <w:t>SECTION 302 OF THE SARBANES-OXLEY ACT OF 2002</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1"/>
          <w:szCs w:val="11"/>
          <w:color w:val="auto"/>
        </w:rPr>
        <w:t>I, Kevin Manion, certify that:</w:t>
      </w:r>
    </w:p>
    <w:p>
      <w:pPr>
        <w:spacing w:after="0" w:line="144" w:lineRule="exact"/>
        <w:rPr>
          <w:sz w:val="20"/>
          <w:szCs w:val="20"/>
          <w:color w:val="auto"/>
        </w:rPr>
      </w:pPr>
    </w:p>
    <w:p>
      <w:pPr>
        <w:ind w:left="440" w:hanging="425"/>
        <w:spacing w:after="0"/>
        <w:tabs>
          <w:tab w:leader="none" w:pos="4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 have reviewed this quarterly report on Form 10-Q of Calavo Growers, Inc.;</w:t>
      </w:r>
    </w:p>
    <w:p>
      <w:pPr>
        <w:spacing w:after="0" w:line="143" w:lineRule="exact"/>
        <w:rPr>
          <w:rFonts w:ascii="Arial" w:cs="Arial" w:eastAsia="Arial" w:hAnsi="Arial"/>
          <w:sz w:val="11"/>
          <w:szCs w:val="11"/>
          <w:color w:val="auto"/>
        </w:rPr>
      </w:pPr>
    </w:p>
    <w:p>
      <w:pPr>
        <w:ind w:left="440" w:right="259" w:hanging="425"/>
        <w:spacing w:after="0" w:line="257" w:lineRule="auto"/>
        <w:tabs>
          <w:tab w:leader="none" w:pos="4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1"/>
          <w:szCs w:val="11"/>
          <w:color w:val="auto"/>
        </w:rPr>
      </w:pPr>
    </w:p>
    <w:p>
      <w:pPr>
        <w:ind w:left="440" w:right="39" w:hanging="425"/>
        <w:spacing w:after="0" w:line="257" w:lineRule="auto"/>
        <w:tabs>
          <w:tab w:leader="none" w:pos="4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1"/>
          <w:szCs w:val="11"/>
          <w:color w:val="auto"/>
        </w:rPr>
      </w:pPr>
    </w:p>
    <w:p>
      <w:pPr>
        <w:ind w:left="440" w:right="199" w:hanging="425"/>
        <w:spacing w:after="0" w:line="257" w:lineRule="auto"/>
        <w:tabs>
          <w:tab w:leader="none" w:pos="4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1"/>
          <w:szCs w:val="11"/>
          <w:color w:val="auto"/>
        </w:rPr>
      </w:pPr>
    </w:p>
    <w:p>
      <w:pPr>
        <w:ind w:left="880" w:right="119" w:hanging="433"/>
        <w:spacing w:after="0" w:line="368" w:lineRule="auto"/>
        <w:tabs>
          <w:tab w:leader="none" w:pos="880" w:val="left"/>
        </w:tabs>
        <w:numPr>
          <w:ilvl w:val="1"/>
          <w:numId w:val="13"/>
        </w:numPr>
        <w:rPr>
          <w:rFonts w:ascii="Arial" w:cs="Arial" w:eastAsia="Arial" w:hAnsi="Arial"/>
          <w:sz w:val="9"/>
          <w:szCs w:val="9"/>
          <w:color w:val="auto"/>
        </w:rPr>
      </w:pPr>
      <w:r>
        <w:rPr>
          <w:rFonts w:ascii="Arial" w:cs="Arial" w:eastAsia="Arial" w:hAnsi="Arial"/>
          <w:sz w:val="9"/>
          <w:szCs w:val="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9"/>
          <w:szCs w:val="9"/>
          <w:color w:val="auto"/>
        </w:rPr>
      </w:pPr>
    </w:p>
    <w:p>
      <w:pPr>
        <w:ind w:left="880" w:right="299" w:hanging="433"/>
        <w:spacing w:after="0" w:line="368" w:lineRule="auto"/>
        <w:tabs>
          <w:tab w:leader="none" w:pos="880" w:val="left"/>
        </w:tabs>
        <w:numPr>
          <w:ilvl w:val="1"/>
          <w:numId w:val="13"/>
        </w:numPr>
        <w:rPr>
          <w:rFonts w:ascii="Arial" w:cs="Arial" w:eastAsia="Arial" w:hAnsi="Arial"/>
          <w:sz w:val="9"/>
          <w:szCs w:val="9"/>
          <w:color w:val="auto"/>
        </w:rPr>
      </w:pPr>
      <w:r>
        <w:rPr>
          <w:rFonts w:ascii="Arial" w:cs="Arial" w:eastAsia="Arial" w:hAnsi="Arial"/>
          <w:sz w:val="9"/>
          <w:szCs w:val="9"/>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8" w:lineRule="exact"/>
        <w:rPr>
          <w:rFonts w:ascii="Arial" w:cs="Arial" w:eastAsia="Arial" w:hAnsi="Arial"/>
          <w:sz w:val="9"/>
          <w:szCs w:val="9"/>
          <w:color w:val="auto"/>
        </w:rPr>
      </w:pPr>
    </w:p>
    <w:p>
      <w:pPr>
        <w:ind w:left="880" w:right="439" w:hanging="433"/>
        <w:spacing w:after="0" w:line="257" w:lineRule="auto"/>
        <w:tabs>
          <w:tab w:leader="none" w:pos="880" w:val="left"/>
        </w:tabs>
        <w:numPr>
          <w:ilvl w:val="1"/>
          <w:numId w:val="13"/>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1"/>
          <w:szCs w:val="11"/>
          <w:color w:val="auto"/>
        </w:rPr>
      </w:pPr>
    </w:p>
    <w:p>
      <w:pPr>
        <w:ind w:left="880" w:right="79" w:hanging="433"/>
        <w:spacing w:after="0" w:line="257" w:lineRule="auto"/>
        <w:tabs>
          <w:tab w:leader="none" w:pos="880" w:val="left"/>
        </w:tabs>
        <w:numPr>
          <w:ilvl w:val="1"/>
          <w:numId w:val="13"/>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5" w:lineRule="exact"/>
        <w:rPr>
          <w:rFonts w:ascii="Arial" w:cs="Arial" w:eastAsia="Arial" w:hAnsi="Arial"/>
          <w:sz w:val="11"/>
          <w:szCs w:val="11"/>
          <w:color w:val="auto"/>
        </w:rPr>
      </w:pPr>
    </w:p>
    <w:p>
      <w:pPr>
        <w:ind w:left="440" w:right="159" w:hanging="425"/>
        <w:spacing w:after="0" w:line="257" w:lineRule="auto"/>
        <w:tabs>
          <w:tab w:leader="none" w:pos="4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5" w:lineRule="exact"/>
        <w:rPr>
          <w:rFonts w:ascii="Arial" w:cs="Arial" w:eastAsia="Arial" w:hAnsi="Arial"/>
          <w:sz w:val="11"/>
          <w:szCs w:val="11"/>
          <w:color w:val="auto"/>
        </w:rPr>
      </w:pPr>
    </w:p>
    <w:p>
      <w:pPr>
        <w:ind w:left="880" w:right="199" w:hanging="433"/>
        <w:spacing w:after="0" w:line="257" w:lineRule="auto"/>
        <w:tabs>
          <w:tab w:leader="none" w:pos="880" w:val="left"/>
        </w:tabs>
        <w:numPr>
          <w:ilvl w:val="1"/>
          <w:numId w:val="13"/>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1"/>
          <w:szCs w:val="11"/>
          <w:color w:val="auto"/>
        </w:rPr>
      </w:pPr>
    </w:p>
    <w:p>
      <w:pPr>
        <w:ind w:left="880" w:hanging="433"/>
        <w:spacing w:after="0"/>
        <w:tabs>
          <w:tab w:leader="none" w:pos="880" w:val="left"/>
        </w:tabs>
        <w:numPr>
          <w:ilvl w:val="1"/>
          <w:numId w:val="13"/>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11"/>
          <w:szCs w:val="11"/>
          <w:color w:val="auto"/>
        </w:rPr>
        <w:t>Date: March 10, 2021</w:t>
      </w:r>
      <w:r>
        <w:rPr>
          <w:sz w:val="20"/>
          <w:szCs w:val="20"/>
          <w:color w:val="auto"/>
        </w:rPr>
        <w:tab/>
      </w:r>
      <w:r>
        <w:rPr>
          <w:rFonts w:ascii="Arial" w:cs="Arial" w:eastAsia="Arial" w:hAnsi="Arial"/>
          <w:sz w:val="10"/>
          <w:szCs w:val="10"/>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10795</wp:posOffset>
            </wp:positionV>
            <wp:extent cx="28803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80360" cy="5715"/>
                    </a:xfrm>
                    <a:prstGeom prst="rect">
                      <a:avLst/>
                    </a:prstGeom>
                    <a:noFill/>
                  </pic:spPr>
                </pic:pic>
              </a:graphicData>
            </a:graphic>
          </wp:anchor>
        </w:drawing>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Kevin Manion</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Chief Financial Officer</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339725</wp:posOffset>
            </wp:positionV>
            <wp:extent cx="57035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34" w:name="page35"/>
    <w:bookmarkEnd w:id="34"/>
    <w:p>
      <w:pPr>
        <w:jc w:val="right"/>
        <w:ind w:right="19"/>
        <w:spacing w:after="0"/>
        <w:rPr>
          <w:sz w:val="20"/>
          <w:szCs w:val="20"/>
          <w:color w:val="auto"/>
        </w:rPr>
      </w:pPr>
      <w:r>
        <w:rPr>
          <w:rFonts w:ascii="Arial" w:cs="Arial" w:eastAsia="Arial" w:hAnsi="Arial"/>
          <w:sz w:val="12"/>
          <w:szCs w:val="12"/>
          <w:b w:val="1"/>
          <w:bCs w:val="1"/>
          <w:color w:val="auto"/>
        </w:rPr>
        <w:t>Exhibit 32.1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WRITTEN STATEMENT OF 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 CHIEF FINANCIAL OFFICER</w:t>
      </w:r>
    </w:p>
    <w:p>
      <w:pPr>
        <w:spacing w:after="0" w:line="122" w:lineRule="exact"/>
        <w:rPr>
          <w:sz w:val="20"/>
          <w:szCs w:val="20"/>
          <w:color w:val="auto"/>
        </w:rPr>
      </w:pPr>
    </w:p>
    <w:p>
      <w:pPr>
        <w:ind w:left="20" w:right="119" w:firstLine="432"/>
        <w:spacing w:after="0" w:line="272" w:lineRule="auto"/>
        <w:rPr>
          <w:sz w:val="20"/>
          <w:szCs w:val="20"/>
          <w:color w:val="auto"/>
        </w:rPr>
      </w:pPr>
      <w:r>
        <w:rPr>
          <w:rFonts w:ascii="Arial" w:cs="Arial" w:eastAsia="Arial" w:hAnsi="Arial"/>
          <w:sz w:val="11"/>
          <w:szCs w:val="11"/>
          <w:color w:val="auto"/>
        </w:rPr>
        <w:t>Each of the undersigned, the Chief Executive Officer, and Chief Financial Officer of Calavo Growers, Inc. (the Company), hereby certifies, pursuant to 18 U.S.C. Section 1350, as adopted pursuant to Section 906 of the Sarbanes-Oxley Act of 2002, that, to his knowledge, the Company’s Quarterly Report on Form 10-Q for the quarter ended January 31, 2021,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Dated: March 10, 2021</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wp:posOffset>
            </wp:positionV>
            <wp:extent cx="285178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1785" cy="5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James Gibson</w:t>
      </w:r>
    </w:p>
    <w:p>
      <w:pPr>
        <w:ind w:left="20"/>
        <w:spacing w:after="0"/>
        <w:rPr>
          <w:sz w:val="20"/>
          <w:szCs w:val="20"/>
          <w:color w:val="auto"/>
        </w:rPr>
      </w:pPr>
      <w:r>
        <w:rPr>
          <w:rFonts w:ascii="Arial" w:cs="Arial" w:eastAsia="Arial" w:hAnsi="Arial"/>
          <w:sz w:val="12"/>
          <w:szCs w:val="12"/>
          <w:color w:val="auto"/>
        </w:rPr>
        <w:t>Chief Executive Officer</w:t>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wp:posOffset>
            </wp:positionV>
            <wp:extent cx="285178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1785" cy="5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Kevin Manion</w:t>
      </w:r>
    </w:p>
    <w:p>
      <w:pPr>
        <w:ind w:left="20"/>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568960</wp:posOffset>
            </wp:positionV>
            <wp:extent cx="57035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sectPr>
      <w:pgSz w:w="11900" w:h="16838" w:orient="portrait"/>
      <w:cols w:equalWidth="0" w:num="1">
        <w:col w:w="9019"/>
      </w:cols>
      <w:pgMar w:left="1440" w:top="3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7"/>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0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2021-03-10T15:16:46Z</dcterms:created>
  <dcterms:modified xsi:type="dcterms:W3CDTF">2021-03-10T15:16:46Z</dcterms:modified>
</cp:coreProperties>
</file>