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0"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31" w:lineRule="exact"/>
        <w:rPr>
          <w:sz w:val="24"/>
          <w:szCs w:val="24"/>
          <w:color w:val="auto"/>
        </w:rPr>
      </w:pPr>
    </w:p>
    <w:p>
      <w:pPr>
        <w:ind w:left="322" w:hanging="322"/>
        <w:spacing w:after="0"/>
        <w:tabs>
          <w:tab w:leader="none" w:pos="322"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83"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For the fiscal year ended October 31, 2019</w:t>
      </w:r>
    </w:p>
    <w:p>
      <w:pPr>
        <w:spacing w:after="0" w:line="154"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5" w:lineRule="exact"/>
        <w:rPr>
          <w:sz w:val="24"/>
          <w:szCs w:val="24"/>
          <w:color w:val="auto"/>
        </w:rPr>
      </w:pPr>
    </w:p>
    <w:p>
      <w:pPr>
        <w:ind w:left="3942" w:right="1720" w:hanging="3942"/>
        <w:spacing w:after="0" w:line="402" w:lineRule="auto"/>
        <w:tabs>
          <w:tab w:leader="none" w:pos="319"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000-33385</w:t>
      </w:r>
    </w:p>
    <w:p>
      <w:pPr>
        <w:spacing w:after="0" w:line="1"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22"/>
          <w:szCs w:val="22"/>
          <w:b w:val="1"/>
          <w:bCs w:val="1"/>
          <w:color w:val="auto"/>
        </w:rPr>
        <w:t>CALAVO GROWERS, INC.</w:t>
      </w:r>
    </w:p>
    <w:p>
      <w:pPr>
        <w:spacing w:after="0" w:line="15"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95" w:lineRule="exact"/>
        <w:rPr>
          <w:sz w:val="24"/>
          <w:szCs w:val="24"/>
          <w:color w:val="auto"/>
        </w:rPr>
      </w:pPr>
    </w:p>
    <w:tbl>
      <w:tblPr>
        <w:tblLayout w:type="fixed"/>
        <w:tblInd w:w="842" w:type="dxa"/>
        <w:tblCellMar>
          <w:top w:w="0" w:type="dxa"/>
          <w:left w:w="0" w:type="dxa"/>
          <w:bottom w:w="0" w:type="dxa"/>
          <w:right w:w="0" w:type="dxa"/>
        </w:tblCellMar>
      </w:tblPr>
      <w:tr>
        <w:trPr>
          <w:trHeight w:val="196"/>
        </w:trPr>
        <w:tc>
          <w:tcPr>
            <w:tcW w:w="4720" w:type="dxa"/>
            <w:vAlign w:val="bottom"/>
          </w:tcPr>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3280" w:type="dxa"/>
            <w:vAlign w:val="bottom"/>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33-0945304</w:t>
            </w:r>
          </w:p>
        </w:tc>
      </w:tr>
      <w:tr>
        <w:trPr>
          <w:trHeight w:val="188"/>
        </w:trPr>
        <w:tc>
          <w:tcPr>
            <w:tcW w:w="4720" w:type="dxa"/>
            <w:vAlign w:val="bottom"/>
          </w:tcPr>
          <w:p>
            <w:pPr>
              <w:jc w:val="center"/>
              <w:ind w:right="1123"/>
              <w:spacing w:after="0"/>
              <w:rPr>
                <w:sz w:val="20"/>
                <w:szCs w:val="20"/>
                <w:color w:val="auto"/>
              </w:rPr>
            </w:pPr>
            <w:r>
              <w:rPr>
                <w:rFonts w:ascii="Times New Roman" w:cs="Times New Roman" w:eastAsia="Times New Roman" w:hAnsi="Times New Roman"/>
                <w:sz w:val="14"/>
                <w:szCs w:val="14"/>
                <w:color w:val="auto"/>
              </w:rPr>
              <w:t>(State of Other Jurisdiction of incorporation or Organization)</w:t>
            </w:r>
          </w:p>
        </w:tc>
        <w:tc>
          <w:tcPr>
            <w:tcW w:w="3280" w:type="dxa"/>
            <w:vAlign w:val="bottom"/>
          </w:tcPr>
          <w:p>
            <w:pPr>
              <w:jc w:val="center"/>
              <w:ind w:left="110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5"/>
        </w:trPr>
        <w:tc>
          <w:tcPr>
            <w:tcW w:w="4720" w:type="dxa"/>
            <w:vAlign w:val="bottom"/>
          </w:tcPr>
          <w:p>
            <w:pPr>
              <w:jc w:val="center"/>
              <w:ind w:right="1123"/>
              <w:spacing w:after="0"/>
              <w:rPr>
                <w:sz w:val="20"/>
                <w:szCs w:val="20"/>
                <w:color w:val="auto"/>
              </w:rPr>
            </w:pPr>
            <w:r>
              <w:rPr>
                <w:rFonts w:ascii="Times New Roman" w:cs="Times New Roman" w:eastAsia="Times New Roman" w:hAnsi="Times New Roman"/>
                <w:sz w:val="16"/>
                <w:szCs w:val="16"/>
                <w:b w:val="1"/>
                <w:bCs w:val="1"/>
                <w:color w:val="auto"/>
              </w:rPr>
              <w:t>1141-A Cummings Road, Santa Paula, CA</w:t>
            </w:r>
          </w:p>
        </w:tc>
        <w:tc>
          <w:tcPr>
            <w:tcW w:w="3280" w:type="dxa"/>
            <w:vAlign w:val="bottom"/>
          </w:tcPr>
          <w:p>
            <w:pPr>
              <w:jc w:val="right"/>
              <w:ind w:right="763"/>
              <w:spacing w:after="0"/>
              <w:rPr>
                <w:sz w:val="20"/>
                <w:szCs w:val="20"/>
                <w:color w:val="auto"/>
              </w:rPr>
            </w:pPr>
            <w:r>
              <w:rPr>
                <w:rFonts w:ascii="Times New Roman" w:cs="Times New Roman" w:eastAsia="Times New Roman" w:hAnsi="Times New Roman"/>
                <w:sz w:val="16"/>
                <w:szCs w:val="16"/>
                <w:b w:val="1"/>
                <w:bCs w:val="1"/>
                <w:color w:val="auto"/>
              </w:rPr>
              <w:t>93060</w:t>
            </w:r>
          </w:p>
        </w:tc>
      </w:tr>
      <w:tr>
        <w:trPr>
          <w:trHeight w:val="188"/>
        </w:trPr>
        <w:tc>
          <w:tcPr>
            <w:tcW w:w="4720" w:type="dxa"/>
            <w:vAlign w:val="bottom"/>
          </w:tcPr>
          <w:p>
            <w:pPr>
              <w:jc w:val="center"/>
              <w:ind w:right="112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80" w:type="dxa"/>
            <w:vAlign w:val="bottom"/>
          </w:tcPr>
          <w:p>
            <w:pPr>
              <w:jc w:val="center"/>
              <w:ind w:left="1103"/>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16"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(805) 525-1245</w:t>
      </w:r>
    </w:p>
    <w:p>
      <w:pPr>
        <w:spacing w:after="0" w:line="167"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81" w:lineRule="exact"/>
        <w:rPr>
          <w:sz w:val="24"/>
          <w:szCs w:val="24"/>
          <w:color w:val="auto"/>
        </w:rPr>
      </w:pPr>
    </w:p>
    <w:tbl>
      <w:tblPr>
        <w:tblLayout w:type="fixed"/>
        <w:tblInd w:w="522"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0" w:type="dxa"/>
            <w:vAlign w:val="bottom"/>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88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600" w:type="dxa"/>
            <w:vAlign w:val="bottom"/>
          </w:tcPr>
          <w:p>
            <w:pPr>
              <w:spacing w:after="0"/>
              <w:rPr>
                <w:sz w:val="15"/>
                <w:szCs w:val="15"/>
                <w:color w:val="auto"/>
              </w:rPr>
            </w:pPr>
          </w:p>
        </w:tc>
        <w:tc>
          <w:tcPr>
            <w:tcW w:w="2740" w:type="dxa"/>
            <w:vAlign w:val="bottom"/>
            <w:gridSpan w:val="3"/>
          </w:tcPr>
          <w:p>
            <w:pPr>
              <w:jc w:val="center"/>
              <w:ind w:right="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800" w:type="dxa"/>
            <w:vAlign w:val="bottom"/>
            <w:gridSpan w:val="3"/>
          </w:tcPr>
          <w:p>
            <w:pPr>
              <w:jc w:val="center"/>
              <w:ind w:left="659"/>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7"/>
        </w:trPr>
        <w:tc>
          <w:tcPr>
            <w:tcW w:w="378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Common Stock, $0.001 Par Value per Share</w:t>
            </w:r>
          </w:p>
        </w:tc>
        <w:tc>
          <w:tcPr>
            <w:tcW w:w="720" w:type="dxa"/>
            <w:vAlign w:val="bottom"/>
          </w:tcPr>
          <w:p>
            <w:pPr>
              <w:spacing w:after="0"/>
              <w:rPr>
                <w:sz w:val="18"/>
                <w:szCs w:val="18"/>
                <w:color w:val="auto"/>
              </w:rPr>
            </w:pPr>
          </w:p>
        </w:tc>
        <w:tc>
          <w:tcPr>
            <w:tcW w:w="202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CVGW</w:t>
            </w:r>
          </w:p>
        </w:tc>
        <w:tc>
          <w:tcPr>
            <w:tcW w:w="2800" w:type="dxa"/>
            <w:vAlign w:val="bottom"/>
            <w:gridSpan w:val="3"/>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39" w:lineRule="exact"/>
        <w:rPr>
          <w:sz w:val="24"/>
          <w:szCs w:val="24"/>
          <w:color w:val="auto"/>
        </w:rPr>
      </w:pPr>
    </w:p>
    <w:p>
      <w:pPr>
        <w:ind w:left="300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60" w:lineRule="exact"/>
        <w:rPr>
          <w:sz w:val="24"/>
          <w:szCs w:val="24"/>
          <w:color w:val="auto"/>
        </w:rPr>
      </w:pPr>
    </w:p>
    <w:p>
      <w:pPr>
        <w:ind w:left="262"/>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 w:lineRule="exact"/>
        <w:rPr>
          <w:sz w:val="24"/>
          <w:szCs w:val="24"/>
          <w:color w:val="auto"/>
        </w:rPr>
      </w:pPr>
    </w:p>
    <w:p>
      <w:pPr>
        <w:ind w:left="262"/>
        <w:spacing w:after="0" w:line="161" w:lineRule="exact"/>
        <w:tabs>
          <w:tab w:leader="none" w:pos="722"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5" w:lineRule="exact"/>
        <w:rPr>
          <w:sz w:val="24"/>
          <w:szCs w:val="24"/>
          <w:color w:val="auto"/>
        </w:rPr>
      </w:pPr>
    </w:p>
    <w:p>
      <w:pPr>
        <w:ind w:left="262"/>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2" w:lineRule="exact"/>
        <w:rPr>
          <w:sz w:val="24"/>
          <w:szCs w:val="24"/>
          <w:color w:val="auto"/>
        </w:rPr>
      </w:pPr>
    </w:p>
    <w:p>
      <w:pPr>
        <w:ind w:left="262"/>
        <w:spacing w:after="0" w:line="161" w:lineRule="exact"/>
        <w:tabs>
          <w:tab w:leader="none" w:pos="722"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5" w:lineRule="exact"/>
        <w:rPr>
          <w:sz w:val="24"/>
          <w:szCs w:val="24"/>
          <w:color w:val="auto"/>
        </w:rPr>
      </w:pPr>
    </w:p>
    <w:p>
      <w:pPr>
        <w:ind w:left="2" w:firstLine="25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2" w:right="340" w:firstLine="25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2" w:right="20" w:firstLine="259"/>
        <w:spacing w:after="0" w:line="239" w:lineRule="auto"/>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ind w:left="42"/>
        <w:spacing w:after="0" w:line="14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ind w:left="2" w:right="160" w:firstLine="259"/>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02"/>
          </w:cols>
          <w:pgMar w:left="758" w:top="657" w:right="839" w:bottom="1440" w:gutter="0" w:footer="0" w:header="0"/>
        </w:sectPr>
      </w:pPr>
    </w:p>
    <w:p>
      <w:pPr>
        <w:spacing w:after="0" w:line="98" w:lineRule="exact"/>
        <w:rPr>
          <w:sz w:val="24"/>
          <w:szCs w:val="24"/>
          <w:color w:val="auto"/>
        </w:rPr>
      </w:pPr>
    </w:p>
    <w:p>
      <w:pPr>
        <w:ind w:left="302"/>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30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0" w:lineRule="exact"/>
        <w:rPr>
          <w:sz w:val="24"/>
          <w:szCs w:val="24"/>
          <w:color w:val="auto"/>
        </w:rPr>
      </w:pPr>
    </w:p>
    <w:p>
      <w:pPr>
        <w:sectPr>
          <w:pgSz w:w="11900" w:h="16838" w:orient="portrait"/>
          <w:cols w:equalWidth="0" w:num="4">
            <w:col w:w="2122" w:space="720"/>
            <w:col w:w="1420" w:space="720"/>
            <w:col w:w="1920" w:space="720"/>
            <w:col w:w="2680"/>
          </w:cols>
          <w:pgMar w:left="758" w:top="657" w:right="839" w:bottom="1440" w:gutter="0" w:footer="0" w:header="0"/>
          <w:type w:val="continuous"/>
        </w:sectPr>
      </w:pPr>
    </w:p>
    <w:p>
      <w:pPr>
        <w:ind w:left="2" w:right="40" w:firstLine="25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262"/>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9" w:lineRule="exact"/>
        <w:rPr>
          <w:sz w:val="24"/>
          <w:szCs w:val="24"/>
          <w:color w:val="auto"/>
        </w:rPr>
      </w:pPr>
    </w:p>
    <w:p>
      <w:pPr>
        <w:ind w:left="2" w:right="80" w:firstLine="259"/>
        <w:spacing w:after="0" w:line="233" w:lineRule="auto"/>
        <w:rPr>
          <w:sz w:val="20"/>
          <w:szCs w:val="20"/>
          <w:color w:val="auto"/>
        </w:rPr>
      </w:pPr>
      <w:r>
        <w:rPr>
          <w:rFonts w:ascii="Times New Roman" w:cs="Times New Roman" w:eastAsia="Times New Roman" w:hAnsi="Times New Roman"/>
          <w:sz w:val="14"/>
          <w:szCs w:val="14"/>
          <w:color w:val="auto"/>
        </w:rPr>
        <w:t>Based on the closing price as reported on the Nasdaq Global Select Market, the aggregate market value of the Registrant's Common Stock held by non-affiliates on April 30, 2019 (the last business day of the Registrant's most recently completed second fiscal quarter) was approximately $1.5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2019 was 17,594,621.</w:t>
      </w:r>
    </w:p>
    <w:p>
      <w:pPr>
        <w:spacing w:after="0" w:line="103" w:lineRule="exact"/>
        <w:rPr>
          <w:sz w:val="24"/>
          <w:szCs w:val="24"/>
          <w:color w:val="auto"/>
        </w:rPr>
      </w:pPr>
    </w:p>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4" w:lineRule="exact"/>
        <w:rPr>
          <w:sz w:val="24"/>
          <w:szCs w:val="24"/>
          <w:color w:val="auto"/>
        </w:rPr>
      </w:pPr>
    </w:p>
    <w:p>
      <w:pPr>
        <w:ind w:left="2" w:right="60" w:firstLine="259"/>
        <w:spacing w:after="0" w:line="239" w:lineRule="auto"/>
        <w:rPr>
          <w:sz w:val="20"/>
          <w:szCs w:val="20"/>
          <w:color w:val="auto"/>
        </w:rPr>
      </w:pPr>
      <w:r>
        <w:rPr>
          <w:rFonts w:ascii="Times New Roman" w:cs="Times New Roman" w:eastAsia="Times New Roman" w:hAnsi="Times New Roman"/>
          <w:sz w:val="14"/>
          <w:szCs w:val="14"/>
          <w:color w:val="auto"/>
        </w:rPr>
        <w:t>Portions of the Registrant's Proxy Statement for the 2019 Annual Meeting of Shareholders, which we intend to hold on April 22, 2020 are incorporated by reference into Part III of this Form 10-K. The definitive Proxy Statement will be filed within 120 days after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469900</wp:posOffset>
            </wp:positionV>
            <wp:extent cx="65951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02"/>
          </w:cols>
          <w:pgMar w:left="758" w:top="657" w:right="8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175"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of Financial Condition and Results of Operations" in Item 7, contains forward-looking statements that involve risks, uncertainties and assumptions If the risks or uncertainties ever materialize or the assumptions prove incorrect, the results of Calavo Growers, Inc. and its consolidated subsidiaries (Calavo, the Company, we, us or our)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other risks that are described herein, including, but not limited to, the items discussed in "Risk Factors" in Item 1A of this report, and that are otherwise described or updated from time to time in Calavo's Securities and Exchange Commission reports. Calavo assumes no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229"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the avocado industry and an expanding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process and package guacamole and salsa and (iii) create, process and package a portfolio of healthy fresh foods including fresh-cut fruit and vegetables, and prepared foods . We distribute our products both domestically and internationally and report our operations in three different business segments: Fresh products, Calavo Foods and Renaissance Food Group (RFG). See Note 10 in our consolidated financial statements for further information about our business segments. Our principal executive offices are located at 1141-A Cummings Road, Santa Paula, California 93060; telephone (805) 525-1245.</w:t>
      </w:r>
    </w:p>
    <w:p>
      <w:pPr>
        <w:spacing w:after="0" w:line="193" w:lineRule="exact"/>
        <w:rPr>
          <w:sz w:val="20"/>
          <w:szCs w:val="20"/>
          <w:color w:val="auto"/>
        </w:rPr>
      </w:pPr>
    </w:p>
    <w:p>
      <w:pPr>
        <w:ind w:right="260" w:firstLine="259"/>
        <w:spacing w:after="0" w:line="258" w:lineRule="auto"/>
        <w:rPr>
          <w:sz w:val="20"/>
          <w:szCs w:val="20"/>
          <w:color w:val="auto"/>
        </w:rPr>
      </w:pPr>
      <w:r>
        <w:rPr>
          <w:rFonts w:ascii="Times New Roman" w:cs="Times New Roman" w:eastAsia="Times New Roman" w:hAnsi="Times New Roman"/>
          <w:sz w:val="18"/>
          <w:szCs w:val="18"/>
          <w:color w:val="auto"/>
        </w:rPr>
        <w:t>On October 9, 2001, we completed a series of transactions whereby common and preferred shareholders of Calavo Growers of California (the Cooperative), an agricultural marketing cooperative association, exchanged all of their outstanding shares for shares of our common stock. Concurrent with this transaction, the Cooperative was merged into us with Calavo Growers, Inc. emerging as the surviving entity. These transactions had the effect of converting the legal structure of the business from a non-profit cooperative to a for-profit corporation.</w:t>
      </w:r>
    </w:p>
    <w:p>
      <w:pPr>
        <w:spacing w:after="0" w:line="184"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In April 2019, we sold our Temecula, California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of fiscal 2019 and recorded a deferred gain of $4.5 million, which will be recognized over the life of the lease (i.e. straight-line over 15 years).</w:t>
      </w:r>
    </w:p>
    <w:p>
      <w:pPr>
        <w:spacing w:after="0" w:line="188"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During our third quarter of fiscal year 2019, we entered into a 10-year building and equipment lease for a fresh food facility in Conley, GA. This facility is primarily intended to process fresh-cut fruit &amp; vegetables and prepared foods products for our RFG business segment. Annual rent for the building and equipment approximates $0.9 million and $0.6 million over the life of the lease. The lease for the equipment is considered to be a capital lease, therefore, we calculated the present value of the minimum lease payments related to the equipment and recorded $2.8 million as a capital lease and lease obligation.</w:t>
      </w:r>
    </w:p>
    <w:p>
      <w:pPr>
        <w:spacing w:after="0" w:line="184"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year 2019, we opened a new production facility in Clackamas, Oregon. This facility will be part of our network of United States Department of Agriculture (USDA) and organic certified fresh food facilities. As of October 31, 2019, we have invested approximately $10.0 million into the Pacific Northwest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We maintain an Internet website at http://www.calavo.com. Our annual reports on Form 10-K, quarterly reports on Form 10-Q, current reports on Form 8-K and amendments to such reports filed or furnished pursuant to section 13(a) or 15(d) of the Securities Exchange Act of 1934, as amended, and other information related to us, are available, free of charge, on our website as soon as reasonably practicable after we electronically file those documents with, or otherwise furnish them to, the Securities and Exchange Commission (SEC). Our Internet website and the information contained therein, or connected thereto, is not and is not intended to be incorporated into this Annual Report on Form 10-K.</w:t>
      </w:r>
    </w:p>
    <w:p>
      <w:pPr>
        <w:spacing w:after="0" w:line="188"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We have a code of business conduct and ethics that applies to all employees, including our executive officers, as well as our Board of Directors. Our code of business conduct and ethics is available for review on our corporate website.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333" w:right="1439" w:bottom="1440" w:gutter="0" w:footer="0" w:header="0"/>
        </w:sectPr>
      </w:pPr>
    </w:p>
    <w:bookmarkStart w:id="3" w:name="page4"/>
    <w:bookmarkEnd w:id="3"/>
    <w:p>
      <w:pPr>
        <w:ind w:right="140"/>
        <w:spacing w:after="0" w:line="282" w:lineRule="auto"/>
        <w:rPr>
          <w:sz w:val="20"/>
          <w:szCs w:val="20"/>
          <w:color w:val="auto"/>
        </w:rPr>
      </w:pPr>
      <w:r>
        <w:rPr>
          <w:rFonts w:ascii="Times New Roman" w:cs="Times New Roman" w:eastAsia="Times New Roman" w:hAnsi="Times New Roman"/>
          <w:sz w:val="18"/>
          <w:szCs w:val="18"/>
          <w:color w:val="auto"/>
        </w:rPr>
        <w:t>intend to disclose any changes in, or waivers from, this code by posting such information on the same website or by filing a Form 8-K, in each case to the extent such disclosure is required by rules of the SEC or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products</w:t>
      </w:r>
    </w:p>
    <w:p>
      <w:pPr>
        <w:spacing w:after="0" w:line="22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Calavo was founded in 1924 to market California avocados. We sell avocados sourced from a variety of locations (including but not limited to California, Mexico, Peru, and Colombia) to a diverse group of retail grocers, foodservice operators, club stores, mass merchandisers, food distributors and wholesalers, under the Calavo family of brand labels, as well as private labels. Many of our customers desire consistent year round supply across multiple sourcing locations, the ability to receive just-in-time deliveries at their desired level of ripeness and a variety of packaging and display options. In our judgment, these factors benefit large handlers like us, which have the ability to cultivate a variety of diverse sourcing relationships and the value-added distribution infrastructure to meet the needs of these large nationwide accounts. We believe we have developed strong, long-term relationships with our customers that provide a solid base for our business.</w:t>
      </w:r>
    </w:p>
    <w:p>
      <w:pPr>
        <w:spacing w:after="0" w:line="185" w:lineRule="exact"/>
        <w:rPr>
          <w:sz w:val="20"/>
          <w:szCs w:val="20"/>
          <w:color w:val="auto"/>
        </w:rPr>
      </w:pPr>
    </w:p>
    <w:p>
      <w:pPr>
        <w:ind w:right="180" w:firstLine="259"/>
        <w:spacing w:after="0" w:line="254" w:lineRule="auto"/>
        <w:rPr>
          <w:sz w:val="20"/>
          <w:szCs w:val="20"/>
          <w:color w:val="auto"/>
        </w:rPr>
      </w:pPr>
      <w:r>
        <w:rPr>
          <w:rFonts w:ascii="Times New Roman" w:cs="Times New Roman" w:eastAsia="Times New Roman" w:hAnsi="Times New Roman"/>
          <w:sz w:val="18"/>
          <w:szCs w:val="18"/>
          <w:color w:val="auto"/>
        </w:rPr>
        <w:t>The Hass variety is the predominant avocado variety marketed on a worldwide basis. In California, the growing area stretches from San Diego County to Monterey County, with the majority of the growing areas located approximately 100 miles north and south of Los Angeles County. Generally, California grown Hass avocados are available year-round, with peak production periods occurring from April through August. In Mexico, we procure fruit from the growing regions of Michoacán and Jalisco. The Mexican avocado harvest is year-round (though generally most significant from September to June in Michoacán and from June to January for Jalisco). Other significant growing areas from which we have sourced avocados include Peru and Colombia. The storage life of fresh avocados (once picked from the tree) is limited, typically ranging from one to four weeks depending upon the maturity of the fruit, the growing methods used, and the handling conditions in the distribution chain, including the utilization of controlled atmosphere during transport.</w:t>
      </w:r>
    </w:p>
    <w:p>
      <w:pPr>
        <w:spacing w:after="0" w:line="189" w:lineRule="exact"/>
        <w:rPr>
          <w:sz w:val="20"/>
          <w:szCs w:val="20"/>
          <w:color w:val="auto"/>
        </w:rPr>
      </w:pPr>
    </w:p>
    <w:p>
      <w:pPr>
        <w:ind w:firstLine="259"/>
        <w:spacing w:after="0" w:line="252" w:lineRule="auto"/>
        <w:rPr>
          <w:sz w:val="20"/>
          <w:szCs w:val="20"/>
          <w:color w:val="auto"/>
        </w:rPr>
      </w:pPr>
      <w:r>
        <w:rPr>
          <w:rFonts w:ascii="Times New Roman" w:cs="Times New Roman" w:eastAsia="Times New Roman" w:hAnsi="Times New Roman"/>
          <w:sz w:val="18"/>
          <w:szCs w:val="18"/>
          <w:color w:val="auto"/>
        </w:rPr>
        <w:t>Avocados delivered to our packinghouses are graded, sized, packed and cooled. The actual size and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field-managers is used by our sales department to prepare sales plans used by our direct sales force. The process by which avocados are purchased from growers differs slightly across our different sourcing regions. In California, avocado growers are provided daily field quotes, on a per pound basis, for most fruit. These quotes are based on the variety, size, and grade of California avocados and are calculated based on our expectations of how much we believe we will sell the fruit for, less our anticipated costs and our desired margin. Ultimately, we pay/settle with our California growers once a month. The purchase price we pay for fruit acquired from Mexican growers is generally negotiated for substantially all the fruit in a particular grove. The Mexican avocado crop will typically have three to four blooms in a single year. Once a purchase price is tentatively agreed to, the fruit is then harvested and delivered to our packinghouses located in Mexico. We also purchase fruit directly from third-party Mexican packers as a supplemental source and that fruit is packed to our standards for shipment to either our customers’ or our operating facilities. Peruvian and Colombian avocados are primarily handled on a consignment basis, in which the price we pay for the fruit is usually calculated as a percentage of the net selling price less certain charges for distribution and value-added services.</w:t>
      </w:r>
    </w:p>
    <w:p>
      <w:pPr>
        <w:spacing w:after="0" w:line="197"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Apart from the cost of fruit and freight costs, which are generally passed on to our customer, significant portions of our avocado handling costs are fixed. As a result, significant fluctuations in the volume of avocados delivered have a considerable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crops. We believe that our continued success in marketing avocados is largely dependent upon securing a reliable, high-quality supply of avocados at reasonable prices, and keeping the handling costs low as we ship avocados to our packinghouses and distribution centers. We are subject to USDA, Mexican Secretary of Agriculture, Livestock, Rural Development, Fisheries and Food/Plant Protection (SAGARPA) and other regulatory inspections to ensure the safety and the quality of the fruit being delivered.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 w:name="page5"/>
    <w:bookmarkEnd w:id="4"/>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We have also developed a series of value-added programs that are designed to differentiate our products and services from those offered by our competitors. Some of these key programs are as follows:</w:t>
      </w:r>
    </w:p>
    <w:p>
      <w:pPr>
        <w:spacing w:after="0" w:line="162" w:lineRule="exact"/>
        <w:rPr>
          <w:sz w:val="20"/>
          <w:szCs w:val="20"/>
          <w:color w:val="auto"/>
        </w:rPr>
      </w:pPr>
    </w:p>
    <w:p>
      <w:pPr>
        <w:ind w:left="600" w:right="20" w:hanging="314"/>
        <w:spacing w:after="0" w:line="261"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Ripening: Retailers are continually demanding their avocados meet strict quality and ripeness specifications and we believe that our nationwide ripening infrastructure using the latest technology and experienced avocado handling workforce best position us to service those customers. We believe that ripened avocados help our customers address the consumers' immediate needs and accelerate the sale of avocados through their stores.</w:t>
      </w:r>
    </w:p>
    <w:p>
      <w:pPr>
        <w:spacing w:after="0" w:line="180" w:lineRule="exact"/>
        <w:rPr>
          <w:rFonts w:ascii="Times New Roman" w:cs="Times New Roman" w:eastAsia="Times New Roman" w:hAnsi="Times New Roman"/>
          <w:sz w:val="18"/>
          <w:szCs w:val="18"/>
          <w:color w:val="auto"/>
        </w:rPr>
      </w:pPr>
    </w:p>
    <w:p>
      <w:pPr>
        <w:ind w:left="600" w:right="40" w:hanging="314"/>
        <w:spacing w:after="0" w:line="258"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Packaging: We have developed various display techniques and packages that appeal to consumers and, in particular, impulse buyers. Some of our techniques include the bagging of avocados and the strategic display of the bags within the produce section of retail stores. Our research has demonstrated that consumers generally purchase a larger quantity of avocados when presented in a bag as opposed to the conventional bulk displays. We also believe that the value proposition of avocados in a bag provides for a higher level of sales to grocery stores.</w:t>
      </w:r>
    </w:p>
    <w:p>
      <w:pPr>
        <w:spacing w:after="0" w:line="184"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avocado market is highly competitive with over one hundred U.S. avocado marketers and/or importers, such as Calavo, seeking to source avocados from more than 25,000 independent, USDA certified growers worldwide. Based on the information we have from various industry sources, we believe that Calavo is consistently among the largest avocado marketers in the United States (US) from a volume, sales and profitability perspective. We attribute our solid position as one of the top avocado distributors to the competitiveness of the per pound returns we pay and the communication and service we maintain with our growers. In addition, we believe our diversified, product assortment, consistent product quality and value-added programs provide us with a competitive advantage in servicing retail and foodservice customers.</w:t>
      </w:r>
    </w:p>
    <w:p>
      <w:pPr>
        <w:spacing w:after="0" w:line="18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Our Fresh products business segment also markets and distributes select other perishable food products, such as tomatoes and papayas (Other Fresh Products). Tomatoes are primarily handled on a consigned basis, while papayas are handled on a pooling basis, generally at a fixed fee per papaya delivered. Sales of our Other Fresh Products generally experience fluctuations related to seasonality. We believe our efforts in distributing our other various types of fruit complement our offerings of avocados.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Calavo Foods</w:t>
      </w:r>
    </w:p>
    <w:p>
      <w:pPr>
        <w:spacing w:after="0" w:line="22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Calavo Foods segment was originally conceived as a mechanism to stabilize the price of California avocados by reducing the volume of fresh, whole avocados available to the marketplace. In the 1960s and early 1970s, we pioneered the process of freezing avocado pulp and developed a wide variety of guacamole recipes to address the diverse tastes of consumers and buyers in both the retail and foodservice industries. One of the key benefits of frozen products is their relatively longer shelf-life. With the introduction of low cost processed products delivered from Mexican based processors and the growing customer demand for more prepared avocado products, we shifted the fruit procurement and pulp processing functions of our Calavo Foods segment to Mexico.</w:t>
      </w:r>
    </w:p>
    <w:p>
      <w:pPr>
        <w:spacing w:after="0" w:line="189" w:lineRule="exact"/>
        <w:rPr>
          <w:sz w:val="20"/>
          <w:szCs w:val="20"/>
          <w:color w:val="auto"/>
        </w:rPr>
      </w:pPr>
    </w:p>
    <w:p>
      <w:pPr>
        <w:ind w:right="100" w:firstLine="259"/>
        <w:spacing w:after="0" w:line="254" w:lineRule="auto"/>
        <w:rPr>
          <w:sz w:val="20"/>
          <w:szCs w:val="20"/>
          <w:color w:val="auto"/>
        </w:rPr>
      </w:pPr>
      <w:r>
        <w:rPr>
          <w:rFonts w:ascii="Times New Roman" w:cs="Times New Roman" w:eastAsia="Times New Roman" w:hAnsi="Times New Roman"/>
          <w:sz w:val="18"/>
          <w:szCs w:val="18"/>
          <w:color w:val="auto"/>
        </w:rPr>
        <w:t>We utilize ultra-high pressure technology equipment, which is designed to protect and safeguard foods, without the need of preservatives, on all of our prepared avocado and guacamole products. This procedure substantially destroys the cells of any bacteria that could lead to spoilage, food safety, or oxidation issues, without affecting the taste profile of the finished product. Once the procedure is complete, our packaged guacamole can be frozen to ensure a longer shelf-life or shipped fresh to various retail, club, and foodservice customers throughout the markets we service in the U.S and abroad. While the majority of our Calavo Foods products are produced in our Uruapan, Mexico production facility, we also often utilize high-quality co-packers (using similar ultra-high pressure technology) from time-to-time, to produce several of our retail and foodservice products. Co-packers are required to source from USDA certified growers, and comply with all local and U.S. rules and regulations.</w:t>
      </w:r>
    </w:p>
    <w:p>
      <w:pPr>
        <w:spacing w:after="0" w:line="189" w:lineRule="exact"/>
        <w:rPr>
          <w:sz w:val="20"/>
          <w:szCs w:val="20"/>
          <w:color w:val="auto"/>
        </w:rPr>
      </w:pPr>
    </w:p>
    <w:p>
      <w:pPr>
        <w:ind w:right="160" w:firstLine="304"/>
        <w:spacing w:after="0" w:line="266" w:lineRule="auto"/>
        <w:rPr>
          <w:sz w:val="20"/>
          <w:szCs w:val="20"/>
          <w:color w:val="auto"/>
        </w:rPr>
      </w:pPr>
      <w:r>
        <w:rPr>
          <w:rFonts w:ascii="Times New Roman" w:cs="Times New Roman" w:eastAsia="Times New Roman" w:hAnsi="Times New Roman"/>
          <w:sz w:val="18"/>
          <w:szCs w:val="18"/>
          <w:color w:val="auto"/>
        </w:rPr>
        <w:t>For fiscal 2020, we believe our capacity will be sufficient for our expected growth due to a combination of production-enhancing initiatives at our facility and the further development of our network of co-packers. Net sales of our fresh, refrigerated (non-frozen) products, typically sold to retail customers, represented approximately 62% and 59%</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 w:name="page6"/>
    <w:bookmarkEnd w:id="5"/>
    <w:p>
      <w:pPr>
        <w:ind w:right="239"/>
        <w:spacing w:after="0" w:line="282" w:lineRule="auto"/>
        <w:rPr>
          <w:sz w:val="20"/>
          <w:szCs w:val="20"/>
          <w:color w:val="auto"/>
        </w:rPr>
      </w:pPr>
      <w:r>
        <w:rPr>
          <w:rFonts w:ascii="Times New Roman" w:cs="Times New Roman" w:eastAsia="Times New Roman" w:hAnsi="Times New Roman"/>
          <w:sz w:val="18"/>
          <w:szCs w:val="18"/>
          <w:color w:val="auto"/>
        </w:rPr>
        <w:t>of total guacamole sales within the Calavo Foods segment for the years ended October 31, 2019 and 2018. The remaining sales of Calavo Foods consist primarily of frozen products.</w:t>
      </w:r>
    </w:p>
    <w:p>
      <w:pPr>
        <w:spacing w:after="0" w:line="162" w:lineRule="exact"/>
        <w:rPr>
          <w:sz w:val="20"/>
          <w:szCs w:val="20"/>
          <w:color w:val="auto"/>
        </w:rPr>
      </w:pPr>
    </w:p>
    <w:p>
      <w:pPr>
        <w:ind w:right="439" w:firstLine="259"/>
        <w:spacing w:after="0" w:line="266" w:lineRule="auto"/>
        <w:rPr>
          <w:sz w:val="20"/>
          <w:szCs w:val="20"/>
          <w:color w:val="auto"/>
        </w:rPr>
      </w:pPr>
      <w:r>
        <w:rPr>
          <w:rFonts w:ascii="Times New Roman" w:cs="Times New Roman" w:eastAsia="Times New Roman" w:hAnsi="Times New Roman"/>
          <w:sz w:val="18"/>
          <w:szCs w:val="18"/>
          <w:color w:val="auto"/>
        </w:rPr>
        <w:t>Sales in the U.S. and Canada are made principally through a commissioned nationwide broker network, which is supported by our regional sales managers. We believe that our marketing strength is distinguished by providing quality products, innovation, year-round product availability, strategically located warehouses, and market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RFG</w:t>
      </w:r>
    </w:p>
    <w:p>
      <w:pPr>
        <w:spacing w:after="0" w:line="229" w:lineRule="exact"/>
        <w:rPr>
          <w:sz w:val="20"/>
          <w:szCs w:val="20"/>
          <w:color w:val="auto"/>
        </w:rPr>
      </w:pPr>
    </w:p>
    <w:p>
      <w:pPr>
        <w:ind w:right="59" w:firstLine="259"/>
        <w:spacing w:after="0" w:line="252" w:lineRule="auto"/>
        <w:rPr>
          <w:sz w:val="20"/>
          <w:szCs w:val="20"/>
          <w:color w:val="auto"/>
        </w:rPr>
      </w:pPr>
      <w:r>
        <w:rPr>
          <w:rFonts w:ascii="Times New Roman" w:cs="Times New Roman" w:eastAsia="Times New Roman" w:hAnsi="Times New Roman"/>
          <w:sz w:val="18"/>
          <w:szCs w:val="18"/>
          <w:color w:val="auto"/>
        </w:rPr>
        <w:t>Acquired in June of 2011, Renaissance Food Group is a leader in the fast-growing refrigerated fresh packaged foods category. RFG creates, markets, and distributes nationally a portfolio of healthy, high quality fresh packaged food products for consumers via the retail channel, including national and regional supermarkets, club stores, mass merchandisers, convenience stores, and specialty/natural retailers. As a leader in refrigerated fresh packaged foods, RFG utilizes a network of company-operated and independently-operated USDA and organic certified fresh food facilities strategically located across the U.S. These facilities allow RFG to offer national retailers high quality, refrigerated fresh foods that can generally be delivered within hours from time of production. Consumer demand is high for quality refrigerated fresh packaged foods and RFG’s speed to market, product innovation and broad product portfolio position the Company well to serve retailers addressing this consumer trend. RFG products include fresh-cut fruit and vegetables, fresh prepared entrée salads, wraps, sandwiches and fresh snacking products, as well as ready-to-heat entrees and other hot bar and various deli items, meals kits and related components and salad kits. RFG products are marketed under the Garden Highway Fresh Cut, Garden Highway, and Garden Highway Chef Essentials brands, as well as store-brand, private label programs. Backed by Calavo’s resources, the business unit continues to expand its footprint of company-operated manufacturing locations and to develop its customer relationships in the retail grocery channel.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Other Financial Information by Business Segment and Product Category</w:t>
      </w:r>
    </w:p>
    <w:p>
      <w:pPr>
        <w:spacing w:after="0" w:line="229" w:lineRule="exact"/>
        <w:rPr>
          <w:sz w:val="20"/>
          <w:szCs w:val="20"/>
          <w:color w:val="auto"/>
        </w:rPr>
      </w:pPr>
    </w:p>
    <w:p>
      <w:pPr>
        <w:ind w:right="739" w:firstLine="259"/>
        <w:spacing w:after="0" w:line="282" w:lineRule="auto"/>
        <w:rPr>
          <w:sz w:val="20"/>
          <w:szCs w:val="20"/>
          <w:color w:val="auto"/>
        </w:rPr>
      </w:pPr>
      <w:r>
        <w:rPr>
          <w:rFonts w:ascii="Times New Roman" w:cs="Times New Roman" w:eastAsia="Times New Roman" w:hAnsi="Times New Roman"/>
          <w:sz w:val="18"/>
          <w:szCs w:val="18"/>
          <w:color w:val="auto"/>
        </w:rPr>
        <w:t>Sales and other financial information by business segment are provided in Note 10 to our consolidated financial statements that are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99" w:firstLine="324"/>
        <w:spacing w:after="0" w:line="256" w:lineRule="auto"/>
        <w:rPr>
          <w:sz w:val="20"/>
          <w:szCs w:val="20"/>
          <w:color w:val="auto"/>
        </w:rPr>
      </w:pPr>
      <w:r>
        <w:rPr>
          <w:rFonts w:ascii="Times New Roman" w:cs="Times New Roman" w:eastAsia="Times New Roman" w:hAnsi="Times New Roman"/>
          <w:sz w:val="18"/>
          <w:szCs w:val="18"/>
          <w:color w:val="auto"/>
        </w:rPr>
        <w:t>We sell to retail grocery, foodservice, club stores, mass merchandisers, food distributors and wholesale customers. Our top ten customers accounted for approximately 59%, 59% and 59% of our consolidated net sales in fiscal years 2019, 2018 and 2017. Sales to our largest customer, Kroger (including its affiliates), represented approximately 21%, 20%, and 19% of net sales in each of fiscal years 2019, 2018, and 2017. Additionally, Wal-Mart (including its affiliates) represented approximately 13%, and 10% of net sales in fiscal years 2019, and 2018. No other single customer accounted for more than 10% of our net sales in any of the last three fiscal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ind w:right="159" w:firstLine="259"/>
        <w:spacing w:after="0" w:line="258" w:lineRule="auto"/>
        <w:rPr>
          <w:sz w:val="20"/>
          <w:szCs w:val="20"/>
          <w:color w:val="auto"/>
        </w:rPr>
      </w:pPr>
      <w:r>
        <w:rPr>
          <w:rFonts w:ascii="Times New Roman" w:cs="Times New Roman" w:eastAsia="Times New Roman" w:hAnsi="Times New Roman"/>
          <w:sz w:val="18"/>
          <w:szCs w:val="18"/>
          <w:color w:val="auto"/>
        </w:rPr>
        <w:t>Our trademarks include the Calavo and RFG brand name and related logos. We also utilize the following trademarks in conducting our business: Avo Fresco, Bueno, Calavo Gold, Calavo Salsa Lisa, Salsa Lisa, Celebrate the Taste, El Dorado, Fresh Ripe, Select, Taste of Paradise, The First Name in Avocados, Tico, Mfresh, Maui Fresh International, Triggered Avocados, ProRipeVIP™, RIPE NOW!, Garden Highway Fresh Cut, Garden Highway, and Garden Highway Chef Essentials.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Requirements</w:t>
      </w:r>
    </w:p>
    <w:p>
      <w:pPr>
        <w:spacing w:after="0" w:line="229" w:lineRule="exact"/>
        <w:rPr>
          <w:sz w:val="20"/>
          <w:szCs w:val="20"/>
          <w:color w:val="auto"/>
        </w:rPr>
      </w:pPr>
    </w:p>
    <w:p>
      <w:pPr>
        <w:ind w:right="299" w:firstLine="259"/>
        <w:spacing w:after="0" w:line="261" w:lineRule="auto"/>
        <w:rPr>
          <w:sz w:val="20"/>
          <w:szCs w:val="20"/>
          <w:color w:val="auto"/>
        </w:rPr>
      </w:pPr>
      <w:r>
        <w:rPr>
          <w:rFonts w:ascii="Times New Roman" w:cs="Times New Roman" w:eastAsia="Times New Roman" w:hAnsi="Times New Roman"/>
          <w:sz w:val="18"/>
          <w:szCs w:val="18"/>
          <w:color w:val="auto"/>
        </w:rPr>
        <w:t>Generally, we make payments to our avocado growers and other suppliers in advance of collecting all of the related accounts receivable. We generally bridge the timing between vendor payments and customer receipts by using operating cash flows and commercial bank borrowings. In addition, from time to time we provide crop loans and other advances to some of our growers, which are also funded through operating cash flows and borrowings.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6" w:name="page7"/>
    <w:bookmarkEnd w:id="6"/>
    <w:p>
      <w:pPr>
        <w:ind w:right="19" w:firstLine="259"/>
        <w:spacing w:after="0" w:line="266" w:lineRule="auto"/>
        <w:rPr>
          <w:sz w:val="20"/>
          <w:szCs w:val="20"/>
          <w:color w:val="auto"/>
        </w:rPr>
      </w:pPr>
      <w:r>
        <w:rPr>
          <w:rFonts w:ascii="Times New Roman" w:cs="Times New Roman" w:eastAsia="Times New Roman" w:hAnsi="Times New Roman"/>
          <w:sz w:val="18"/>
          <w:szCs w:val="18"/>
          <w:color w:val="auto"/>
        </w:rPr>
        <w:t>With respect to our Calavo Foods and RFG segments, we require working capital to finance the production of our prepared food products, building and maintaining an adequate supply of finished product, and collecting our accounts receivable balances. These working capital needs are financed through the use of operating cash flows and bank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right="199" w:firstLine="259"/>
        <w:spacing w:after="0" w:line="266" w:lineRule="auto"/>
        <w:rPr>
          <w:sz w:val="20"/>
          <w:szCs w:val="20"/>
          <w:color w:val="auto"/>
        </w:rPr>
      </w:pPr>
      <w:r>
        <w:rPr>
          <w:rFonts w:ascii="Times New Roman" w:cs="Times New Roman" w:eastAsia="Times New Roman" w:hAnsi="Times New Roman"/>
          <w:sz w:val="18"/>
          <w:szCs w:val="18"/>
          <w:color w:val="auto"/>
        </w:rPr>
        <w:t>Our customers do not place product orders significantly in advance of the requested product delivery dates. Customers typically order perishable products one to ten days in advance of shipment, and typically order Calavo Foods within thirty days in advance of shipment.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19" w:firstLine="259"/>
        <w:spacing w:after="0" w:line="256" w:lineRule="auto"/>
        <w:rPr>
          <w:sz w:val="20"/>
          <w:szCs w:val="20"/>
          <w:color w:val="auto"/>
        </w:rPr>
      </w:pPr>
      <w:r>
        <w:rPr>
          <w:rFonts w:ascii="Times New Roman" w:cs="Times New Roman" w:eastAsia="Times New Roman" w:hAnsi="Times New Roman"/>
          <w:sz w:val="18"/>
          <w:szCs w:val="18"/>
          <w:color w:val="auto"/>
        </w:rPr>
        <w:t>Our research and development for new and improved products, which is generally driven by customer requests, changes in product specifications, customer and market research and/or innovative ideas generated by our own team of experts with food processing and culinary backgrounds. We solicit customer and supplier input, review process and product trends and conduct sensory and shelf life testing, all to expand the category and drive new sales for our customers. Research and development costs are charged to expense when incurred. Total research and development costs for fiscal years 2019, 2018 and 2017 were less than $0.1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Government Regulations</w:t>
      </w:r>
    </w:p>
    <w:p>
      <w:pPr>
        <w:spacing w:after="0" w:line="229" w:lineRule="exact"/>
        <w:rPr>
          <w:sz w:val="20"/>
          <w:szCs w:val="20"/>
          <w:color w:val="auto"/>
        </w:rPr>
      </w:pPr>
    </w:p>
    <w:p>
      <w:pPr>
        <w:ind w:right="19" w:firstLine="259"/>
        <w:spacing w:after="0" w:line="254" w:lineRule="auto"/>
        <w:rPr>
          <w:sz w:val="20"/>
          <w:szCs w:val="20"/>
          <w:color w:val="auto"/>
        </w:rPr>
      </w:pPr>
      <w:r>
        <w:rPr>
          <w:rFonts w:ascii="Times New Roman" w:cs="Times New Roman" w:eastAsia="Times New Roman" w:hAnsi="Times New Roman"/>
          <w:sz w:val="18"/>
          <w:szCs w:val="18"/>
          <w:color w:val="auto"/>
        </w:rPr>
        <w:t>As a manufacturer and marketer of consumable products, our operations are subject to extensive regulation by various federal government agencies, including the Food and Drug Administration (FDA),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certain health and safety regulations, including those issued under the Occupational Safety and Health Act (OSHA). Our packinghouse facilities and products are subject to periodic inspection by federal, state and local authorities, including the California State Department of Food and Agriculture (CFDA), which oversees weights &amp; measures compliance at our California facilities. All of our US facilities are also in compliance the FDA’s Food Safety Modernization Act (FSMA). In addition, our operations in Mexico are subject to Mexican regulations through the SAGARPA.</w:t>
      </w:r>
    </w:p>
    <w:p>
      <w:pPr>
        <w:spacing w:after="0" w:line="186" w:lineRule="exact"/>
        <w:rPr>
          <w:sz w:val="20"/>
          <w:szCs w:val="20"/>
          <w:color w:val="auto"/>
        </w:rPr>
      </w:pPr>
    </w:p>
    <w:p>
      <w:pPr>
        <w:ind w:right="659" w:firstLine="259"/>
        <w:spacing w:after="0" w:line="282" w:lineRule="auto"/>
        <w:rPr>
          <w:sz w:val="20"/>
          <w:szCs w:val="20"/>
          <w:color w:val="auto"/>
        </w:rPr>
      </w:pPr>
      <w:r>
        <w:rPr>
          <w:rFonts w:ascii="Times New Roman" w:cs="Times New Roman" w:eastAsia="Times New Roman" w:hAnsi="Times New Roman"/>
          <w:sz w:val="18"/>
          <w:szCs w:val="18"/>
          <w:color w:val="auto"/>
        </w:rPr>
        <w:t>As a large importer of perishable products in the US, Calavo was an early adopter of the U.S. Customs &amp; Border Protection’s C-TPAT certification programs for monitoring and expediting all imports to the US.</w:t>
      </w:r>
    </w:p>
    <w:p>
      <w:pPr>
        <w:spacing w:after="0" w:line="162" w:lineRule="exact"/>
        <w:rPr>
          <w:sz w:val="20"/>
          <w:szCs w:val="20"/>
          <w:color w:val="auto"/>
        </w:rPr>
      </w:pPr>
    </w:p>
    <w:p>
      <w:pPr>
        <w:ind w:right="139" w:firstLine="259"/>
        <w:spacing w:after="0" w:line="266" w:lineRule="auto"/>
        <w:rPr>
          <w:sz w:val="20"/>
          <w:szCs w:val="20"/>
          <w:color w:val="auto"/>
        </w:rPr>
      </w:pPr>
      <w:r>
        <w:rPr>
          <w:rFonts w:ascii="Times New Roman" w:cs="Times New Roman" w:eastAsia="Times New Roman" w:hAnsi="Times New Roman"/>
          <w:sz w:val="18"/>
          <w:szCs w:val="18"/>
          <w:color w:val="auto"/>
        </w:rPr>
        <w:t>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76" w:lineRule="exact"/>
        <w:rPr>
          <w:sz w:val="20"/>
          <w:szCs w:val="20"/>
          <w:color w:val="auto"/>
        </w:rPr>
      </w:pPr>
    </w:p>
    <w:p>
      <w:pPr>
        <w:ind w:right="159" w:firstLine="259"/>
        <w:spacing w:after="0" w:line="266" w:lineRule="auto"/>
        <w:rPr>
          <w:sz w:val="20"/>
          <w:szCs w:val="20"/>
          <w:color w:val="auto"/>
        </w:rPr>
      </w:pPr>
      <w:r>
        <w:rPr>
          <w:rFonts w:ascii="Times New Roman" w:cs="Times New Roman" w:eastAsia="Times New Roman" w:hAnsi="Times New Roman"/>
          <w:sz w:val="18"/>
          <w:szCs w:val="18"/>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76" w:lineRule="exact"/>
        <w:rPr>
          <w:sz w:val="20"/>
          <w:szCs w:val="20"/>
          <w:color w:val="auto"/>
        </w:rPr>
      </w:pPr>
    </w:p>
    <w:p>
      <w:pPr>
        <w:ind w:right="199" w:firstLine="259"/>
        <w:spacing w:after="0" w:line="266" w:lineRule="auto"/>
        <w:rPr>
          <w:sz w:val="20"/>
          <w:szCs w:val="20"/>
          <w:color w:val="auto"/>
        </w:rPr>
      </w:pPr>
      <w:r>
        <w:rPr>
          <w:rFonts w:ascii="Times New Roman" w:cs="Times New Roman" w:eastAsia="Times New Roman" w:hAnsi="Times New Roman"/>
          <w:sz w:val="18"/>
          <w:szCs w:val="18"/>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As of October 31, 2019, we had 3,657 employees, of which 1,595 were located in the United States and 2,062 were located in Mexico. We do not have a significant number of United States employees covered by a collective bargaining agreement. Approximately 1,800 of Calavo's Mexican employees are represented by a union. We consider the relationship with our employees to be good and we have never experienced a significant work stoppage.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the number of "salaried" and "hourly" employees as of October 31,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Salaried</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Hourly</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1,849</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2,062</w:t>
            </w:r>
          </w:p>
        </w:tc>
        <w:tc>
          <w:tcPr>
            <w:tcW w:w="100" w:type="dxa"/>
            <w:vAlign w:val="bottom"/>
            <w:tcBorders>
              <w:bottom w:val="single" w:sz="8" w:color="CCEEFF"/>
            </w:tcBorders>
          </w:tcPr>
          <w:p>
            <w:pPr>
              <w:spacing w:after="0"/>
              <w:rPr>
                <w:sz w:val="18"/>
                <w:szCs w:val="18"/>
                <w:color w:val="auto"/>
              </w:rPr>
            </w:pPr>
          </w:p>
        </w:tc>
      </w:tr>
      <w:tr>
        <w:trPr>
          <w:trHeight w:val="210"/>
        </w:trPr>
        <w:tc>
          <w:tcPr>
            <w:tcW w:w="69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3,087</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increasing competition that may adversely affect our operating results.</w:t>
      </w:r>
    </w:p>
    <w:p>
      <w:pPr>
        <w:spacing w:after="0" w:line="227" w:lineRule="exact"/>
        <w:rPr>
          <w:sz w:val="20"/>
          <w:szCs w:val="20"/>
          <w:color w:val="auto"/>
        </w:rPr>
      </w:pPr>
    </w:p>
    <w:p>
      <w:pPr>
        <w:ind w:right="420" w:firstLine="259"/>
        <w:spacing w:after="0" w:line="282" w:lineRule="auto"/>
        <w:rPr>
          <w:sz w:val="20"/>
          <w:szCs w:val="20"/>
          <w:color w:val="auto"/>
        </w:rPr>
      </w:pPr>
      <w:r>
        <w:rPr>
          <w:rFonts w:ascii="Times New Roman" w:cs="Times New Roman" w:eastAsia="Times New Roman" w:hAnsi="Times New Roman"/>
          <w:sz w:val="18"/>
          <w:szCs w:val="18"/>
          <w:color w:val="auto"/>
        </w:rPr>
        <w:t>The fresh produce and prepared food markets in which we operate are highly competitive. Each of our businesses is subject to competitive pressures, including the following:</w:t>
      </w:r>
    </w:p>
    <w:p>
      <w:pPr>
        <w:spacing w:after="0" w:line="162" w:lineRule="exact"/>
        <w:rPr>
          <w:sz w:val="20"/>
          <w:szCs w:val="20"/>
          <w:color w:val="auto"/>
        </w:rPr>
      </w:pPr>
    </w:p>
    <w:p>
      <w:pPr>
        <w:ind w:left="600" w:right="260" w:hanging="314"/>
        <w:spacing w:after="0" w:line="255"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avocados is impacted by an increasing volume of foreign grown avocados being imported into the United States. Recently, there have been significant plantings of avocados in Mexico, Chile, the Dominican Republic, Peru, Colombia and other parts of the world, which have had, and will continue to have, the effect of increasing the volume of foreign grown avocados entering the United States market.</w:t>
      </w:r>
    </w:p>
    <w:p>
      <w:pPr>
        <w:spacing w:after="0" w:line="2" w:lineRule="exact"/>
        <w:rPr>
          <w:rFonts w:ascii="Times New Roman" w:cs="Times New Roman" w:eastAsia="Times New Roman" w:hAnsi="Times New Roman"/>
          <w:sz w:val="18"/>
          <w:szCs w:val="18"/>
          <w:color w:val="auto"/>
        </w:rPr>
      </w:pPr>
    </w:p>
    <w:p>
      <w:pPr>
        <w:ind w:left="600" w:right="280" w:hanging="314"/>
        <w:spacing w:after="0" w:line="250"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are subject to competition from other avocado handlers. If we are unable to consistently pay growers a competitive price for their avocados, these growers may choose to have their avocados marketed by alternate handlers.</w:t>
      </w:r>
    </w:p>
    <w:p>
      <w:pPr>
        <w:spacing w:after="0" w:line="1" w:lineRule="exact"/>
        <w:rPr>
          <w:rFonts w:ascii="Times New Roman" w:cs="Times New Roman" w:eastAsia="Times New Roman" w:hAnsi="Times New Roman"/>
          <w:sz w:val="18"/>
          <w:szCs w:val="18"/>
          <w:color w:val="auto"/>
        </w:rPr>
      </w:pPr>
    </w:p>
    <w:p>
      <w:pPr>
        <w:ind w:left="600" w:right="240" w:hanging="314"/>
        <w:spacing w:after="0" w:line="250"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Mexican sourced avocados and perishable food products are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2" w:lineRule="exact"/>
        <w:rPr>
          <w:rFonts w:ascii="Times New Roman" w:cs="Times New Roman" w:eastAsia="Times New Roman" w:hAnsi="Times New Roman"/>
          <w:sz w:val="18"/>
          <w:szCs w:val="18"/>
          <w:color w:val="auto"/>
        </w:rPr>
      </w:pPr>
    </w:p>
    <w:p>
      <w:pPr>
        <w:ind w:left="600" w:hanging="314"/>
        <w:spacing w:after="0" w:line="25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fresh-cut produce market is highly fragmented and we compete with a variety of national, regional and local manufacturers and distributors of fresh-cut produce in the geographies that we serve. These competitors include both branded and non-branded producers, as well as certain retailers’ own in-house fresh-cut operations. To compete successfully, we must be able to strategically source a wide array of fresh produce and prepared food items of uniformly high quality and sell and distribute it on a timely and regular basis. The overall availability and quality of produce items that we purchase for processing can have a meaningful impact on both RFG’s sales and profitability. Additionally, the short-shelf life nature of these products makes this business highly localized and our success is often related to our ability to manufacture those products within close proximity to our customers’ locations.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co-packers for a portion of our production needs.</w:t>
      </w:r>
    </w:p>
    <w:p>
      <w:pPr>
        <w:spacing w:after="0" w:line="227"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We utilize high-quality co-packers to produce a portion of our retail and foodservice products. If we are unable to utilize quality co-packers effectively, we may not be able to meet our production needs for our expected growth. Similar, if an existing co-packer is no longer able or willing to produce products for us, there are no assurances that we will be able to immediately replace them with our own production capacity or that of another co-packer operating in the same region and at the same level of quality. We closely monitor and audit the quality of our co-packers; and furthermore, our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8" w:name="page9"/>
    <w:bookmarkEnd w:id="8"/>
    <w:p>
      <w:pPr>
        <w:ind w:right="700"/>
        <w:spacing w:after="0" w:line="282" w:lineRule="auto"/>
        <w:rPr>
          <w:sz w:val="20"/>
          <w:szCs w:val="20"/>
          <w:color w:val="auto"/>
        </w:rPr>
      </w:pPr>
      <w:r>
        <w:rPr>
          <w:rFonts w:ascii="Times New Roman" w:cs="Times New Roman" w:eastAsia="Times New Roman" w:hAnsi="Times New Roman"/>
          <w:sz w:val="18"/>
          <w:szCs w:val="18"/>
          <w:color w:val="auto"/>
        </w:rPr>
        <w:t>co-packers are required to maintain insurance. But we are still subject to risks related to the production of fresh and processed foods.</w:t>
      </w:r>
    </w:p>
    <w:p>
      <w:pPr>
        <w:spacing w:after="0" w:line="16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60"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while it is not possible to accurately estimate either a timetable for implementation or our future compliance costs relating to implementation, we do not believe that such regulation is likely to have a material effect in the foreseeable future on our business, results of operations, capital expenditures or financial position.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performance may be impacted by general economic conditions or an economic downturn.</w:t>
      </w:r>
    </w:p>
    <w:p>
      <w:pPr>
        <w:spacing w:after="0" w:line="227"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184"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We could be subject to changes in tax rates, the adoption of new U.S. or international tax legislation or exposure to additional tax liabilities.</w:t>
      </w:r>
    </w:p>
    <w:p>
      <w:pPr>
        <w:spacing w:after="0" w:line="160"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We are subject to taxes in the U.S. and Mexico.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80" w:lineRule="exact"/>
        <w:rPr>
          <w:sz w:val="20"/>
          <w:szCs w:val="20"/>
          <w:color w:val="auto"/>
        </w:rPr>
      </w:pPr>
    </w:p>
    <w:p>
      <w:pPr>
        <w:ind w:right="140" w:firstLine="259"/>
        <w:spacing w:after="0" w:line="256" w:lineRule="auto"/>
        <w:rPr>
          <w:sz w:val="20"/>
          <w:szCs w:val="20"/>
          <w:color w:val="auto"/>
        </w:rPr>
      </w:pPr>
      <w:r>
        <w:rPr>
          <w:rFonts w:ascii="Times New Roman" w:cs="Times New Roman" w:eastAsia="Times New Roman" w:hAnsi="Times New Roman"/>
          <w:sz w:val="18"/>
          <w:szCs w:val="18"/>
          <w:color w:val="auto"/>
        </w:rPr>
        <w:t>We are also subject to the examination of our tax returns and other tax matters by the U.S. Internal Revenue Service (the IRS), the Servicio de Administracion Tributaria in Mexico (the SAT) and other tax authorities.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the risks of doing business internationally.</w:t>
      </w:r>
    </w:p>
    <w:p>
      <w:pPr>
        <w:spacing w:after="0" w:line="227"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We conduct a substantial amount of business with growers and customers who are located outside the United States. We purchase avocados from foreign growers and packers, sell fresh avocados and processed avocado products to foreign customers, and operate packinghouses and a processing plant in Mexico. In the most recent years, there has been an increase in organized crime in Mexico. This has not had a significant impact on our operations, but this does increase the risk of doing business in Mexico. We are also subject to regulations imposed by the Mexican government, and also to examinations by the Mexican tax authorities. Significant changes to these government regulations and to assessments by the Mexican tax authorities can have a negative impact on our operations and operating results in Mexico. For additional information about our Mexican sourced fruit, see the "Business" section included in this Annual Report.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Our current international operations are subject to a number of inherent risks, including:</w:t>
      </w:r>
    </w:p>
    <w:p>
      <w:pPr>
        <w:spacing w:after="0" w:line="225" w:lineRule="exact"/>
        <w:rPr>
          <w:sz w:val="20"/>
          <w:szCs w:val="20"/>
          <w:color w:val="auto"/>
        </w:rPr>
      </w:pPr>
    </w:p>
    <w:p>
      <w:pPr>
        <w:ind w:left="600" w:right="500" w:hanging="314"/>
        <w:spacing w:after="0" w:line="261"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political conditions, including disruptions in supply, labor, transportation (the transport of consumer goods), trading and capital markets;</w:t>
      </w:r>
    </w:p>
    <w:p>
      <w:pPr>
        <w:ind w:left="600" w:right="380" w:hanging="314"/>
        <w:spacing w:after="0" w:line="250"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U.S. and foreign governmental actions, such as restrictions on transfers of funds and trade protection measures, including import/export duties and quotas and customs duties and tariffs; and</w:t>
      </w:r>
    </w:p>
    <w:p>
      <w:pPr>
        <w:ind w:left="600" w:right="40" w:hanging="314"/>
        <w:spacing w:after="0" w:line="261"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legal or regulatory requirements affecting foreign investment, loans, taxes (including value-added taxes), imports, and exports.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fluctuations may impact the results of our operations.</w:t>
      </w:r>
    </w:p>
    <w:p>
      <w:pPr>
        <w:spacing w:after="0" w:line="227"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Currency exchange rate fluctuations, depending upon the nature of the changes, may make our domestic-sourced products more expensive compared to foreign grown products or may increase our cost of obtaining foreign-sourced products. These foreign currency fluctuations also affect the ultimate realization of foreign currency denominated assets and liabilities in US dollar terms. Because we do not hedge against our foreign currency exposure, our business has increased susceptibility to foreign currency fluctuations.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and our growers are subject to the risks that are inherent in farming.</w:t>
      </w:r>
    </w:p>
    <w:p>
      <w:pPr>
        <w:spacing w:after="0" w:line="227"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Our results of operations may be adversely affected by numerous factors over which we have little or no control and that are inherent in farming, including reductions in the market prices for our products, adverse weather (including but not limited to drought, high winds, earthquakes and/or wildfire) and growing conditions, pest and disease problems, and new government regulations regarding farming and the marketing of agricultural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to the seasonality of the business, our revenue and operating results may vary from quarter to quarter.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earnings may be affected by seasonal factors, including:</w:t>
      </w:r>
    </w:p>
    <w:p>
      <w:pPr>
        <w:spacing w:after="0" w:line="225" w:lineRule="exact"/>
        <w:rPr>
          <w:sz w:val="20"/>
          <w:szCs w:val="20"/>
          <w:color w:val="auto"/>
        </w:rPr>
      </w:pPr>
    </w:p>
    <w:p>
      <w:pPr>
        <w:ind w:left="680" w:hanging="327"/>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quality and price of raw materials (including, but not limited to fruit and vegetable inputs);</w:t>
      </w:r>
    </w:p>
    <w:p>
      <w:pPr>
        <w:spacing w:after="0" w:line="27" w:lineRule="exact"/>
        <w:rPr>
          <w:rFonts w:ascii="Times New Roman" w:cs="Times New Roman" w:eastAsia="Times New Roman" w:hAnsi="Times New Roman"/>
          <w:sz w:val="18"/>
          <w:szCs w:val="18"/>
          <w:color w:val="auto"/>
        </w:rPr>
      </w:pPr>
    </w:p>
    <w:p>
      <w:pPr>
        <w:ind w:left="680" w:hanging="327"/>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effects of ripening and perishability;</w:t>
      </w:r>
    </w:p>
    <w:p>
      <w:pPr>
        <w:spacing w:after="0" w:line="9" w:lineRule="exact"/>
        <w:rPr>
          <w:rFonts w:ascii="Times New Roman" w:cs="Times New Roman" w:eastAsia="Times New Roman" w:hAnsi="Times New Roman"/>
          <w:sz w:val="18"/>
          <w:szCs w:val="18"/>
          <w:color w:val="auto"/>
        </w:rPr>
      </w:pPr>
    </w:p>
    <w:p>
      <w:pPr>
        <w:ind w:left="680" w:hanging="327"/>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process perishable raw materials in a timely manner;</w:t>
      </w:r>
    </w:p>
    <w:p>
      <w:pPr>
        <w:spacing w:after="0" w:line="9" w:lineRule="exact"/>
        <w:rPr>
          <w:rFonts w:ascii="Times New Roman" w:cs="Times New Roman" w:eastAsia="Times New Roman" w:hAnsi="Times New Roman"/>
          <w:sz w:val="18"/>
          <w:szCs w:val="18"/>
          <w:color w:val="auto"/>
        </w:rPr>
      </w:pPr>
    </w:p>
    <w:p>
      <w:pPr>
        <w:ind w:left="680" w:hanging="327"/>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leveraging of certain fixed overhead costs during off-season months; and</w:t>
      </w:r>
    </w:p>
    <w:p>
      <w:pPr>
        <w:spacing w:after="0" w:line="9" w:lineRule="exact"/>
        <w:rPr>
          <w:rFonts w:ascii="Times New Roman" w:cs="Times New Roman" w:eastAsia="Times New Roman" w:hAnsi="Times New Roman"/>
          <w:sz w:val="18"/>
          <w:szCs w:val="18"/>
          <w:color w:val="auto"/>
        </w:rPr>
      </w:pPr>
    </w:p>
    <w:p>
      <w:pPr>
        <w:ind w:left="680" w:hanging="327"/>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slight impacts on consumer demand based on seasonal and holiday timing;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earnings are sensitive to fluctuations in market prices and demand for our products.</w:t>
      </w:r>
    </w:p>
    <w:p>
      <w:pPr>
        <w:spacing w:after="0" w:line="227" w:lineRule="exact"/>
        <w:rPr>
          <w:sz w:val="20"/>
          <w:szCs w:val="20"/>
          <w:color w:val="auto"/>
        </w:rPr>
      </w:pPr>
    </w:p>
    <w:p>
      <w:pPr>
        <w:ind w:firstLine="259"/>
        <w:spacing w:after="0" w:line="289" w:lineRule="auto"/>
        <w:rPr>
          <w:sz w:val="20"/>
          <w:szCs w:val="20"/>
          <w:color w:val="auto"/>
        </w:rPr>
      </w:pPr>
      <w:r>
        <w:rPr>
          <w:rFonts w:ascii="Times New Roman" w:cs="Times New Roman" w:eastAsia="Times New Roman" w:hAnsi="Times New Roman"/>
          <w:sz w:val="17"/>
          <w:szCs w:val="17"/>
          <w:color w:val="auto"/>
        </w:rPr>
        <w:t>Excess supplies often cause severe price competition in our industry. Growing conditions in various parts of the world, particularly weather conditions such as rainfall, hailstorms, windstorms, floods, droughts, wildfires and freezes, as well as diseases and pests, are primary factors affecting market prices because of their influence on the supply and quality of product.</w:t>
      </w:r>
    </w:p>
    <w:p>
      <w:pPr>
        <w:spacing w:after="0" w:line="158"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Fresh produce is highly perishable and generally must be brought to market and sold soon after harvest. The selling price received for each type of produce depends on all of these factors, including the availability and quality of the produce item in the market, and the availability and quality of competing types of produce.</w:t>
      </w:r>
    </w:p>
    <w:p>
      <w:pPr>
        <w:spacing w:after="0" w:line="190"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In addition, general public perceptions regarding the quality, safety or health risks associated with particular food products could reduce demand and prices for some of our products. Food safety warnings, advisories, notices and recalls such as those administered by the FDA, CDC, other federal/state government agencies and/or suppliers of various agricultural products, could also reduce demand and/or prices for some of our products. To the extent that consumers evolve away from products that we produce for health, food safety or other reasons, and we are unable to modify our products or to develop products that satisfy new consumer preferences, there will be a decreased demand for our products.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10" w:name="page11"/>
    <w:bookmarkEnd w:id="10"/>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Increases in commodity or raw product input costs, such as fuel, packaging, and paper, could adversely affect our operating results.</w:t>
      </w:r>
    </w:p>
    <w:p>
      <w:pPr>
        <w:spacing w:after="0" w:line="160"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in the past negatively impacted our operating results, and there can be no assurance that they will not adversely affect our operating results in the future.</w:t>
      </w:r>
    </w:p>
    <w:p>
      <w:pPr>
        <w:spacing w:after="0" w:line="180"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price of various commodities can significantly affect our costs. Fuel and transportation cost is a significant component of the price of much of the produce that we purchase from growers, and there can be no assurance that we will be able to pass on to our customers any increased costs we incur in these respects.</w:t>
      </w:r>
    </w:p>
    <w:p>
      <w:pPr>
        <w:spacing w:after="0" w:line="176" w:lineRule="exact"/>
        <w:rPr>
          <w:sz w:val="20"/>
          <w:szCs w:val="20"/>
          <w:color w:val="auto"/>
        </w:rPr>
      </w:pPr>
    </w:p>
    <w:p>
      <w:pPr>
        <w:ind w:right="380" w:firstLine="259"/>
        <w:spacing w:after="0" w:line="266" w:lineRule="auto"/>
        <w:rPr>
          <w:sz w:val="20"/>
          <w:szCs w:val="20"/>
          <w:color w:val="auto"/>
        </w:rPr>
      </w:pPr>
      <w:r>
        <w:rPr>
          <w:rFonts w:ascii="Times New Roman" w:cs="Times New Roman" w:eastAsia="Times New Roman" w:hAnsi="Times New Roman"/>
          <w:sz w:val="18"/>
          <w:szCs w:val="18"/>
          <w:color w:val="auto"/>
        </w:rPr>
        <w:t>The cost of paper is also significant to us because most of our products are packed in cardboard boxes. If the price of paper increases and we are not able to effectively pass these price increases along to our customers, then our operating income will decrease.</w:t>
      </w:r>
    </w:p>
    <w:p>
      <w:pPr>
        <w:spacing w:after="0" w:line="17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60" w:lineRule="exact"/>
        <w:rPr>
          <w:sz w:val="20"/>
          <w:szCs w:val="20"/>
          <w:color w:val="auto"/>
        </w:rPr>
      </w:pPr>
    </w:p>
    <w:p>
      <w:pPr>
        <w:ind w:right="40" w:firstLine="259"/>
        <w:spacing w:after="0" w:line="272" w:lineRule="auto"/>
        <w:rPr>
          <w:sz w:val="20"/>
          <w:szCs w:val="20"/>
          <w:color w:val="auto"/>
        </w:rPr>
      </w:pPr>
      <w:r>
        <w:rPr>
          <w:rFonts w:ascii="Times New Roman" w:cs="Times New Roman" w:eastAsia="Times New Roman" w:hAnsi="Times New Roman"/>
          <w:sz w:val="17"/>
          <w:szCs w:val="17"/>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17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possible changing USDA and FDA regulations which govern the importation of foreign avocados into the United States and the processing of processed avocado products.</w:t>
      </w:r>
    </w:p>
    <w:p>
      <w:pPr>
        <w:spacing w:after="0" w:line="160"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80"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The FDA establishes, and continues to modify, regulations governing the production of processed avocado products, such as the new Food Safety Modernization Act, which implements mandatory preventive controls for food facilities and compliance with mandatory produce safety standards. Our results of operations may be adversely affected if we are unable to comply with these existing and modified regulations.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acquisition of other businesses could pose risks to our operating income.</w:t>
      </w:r>
    </w:p>
    <w:p>
      <w:pPr>
        <w:spacing w:after="0" w:line="227"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We intend to review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9" w:right="1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Demand for our products is subject to changing consumer preferences.</w:t>
      </w:r>
    </w:p>
    <w:p>
      <w:pPr>
        <w:spacing w:after="0" w:line="227" w:lineRule="exact"/>
        <w:rPr>
          <w:sz w:val="20"/>
          <w:szCs w:val="20"/>
          <w:color w:val="auto"/>
        </w:rPr>
      </w:pPr>
    </w:p>
    <w:p>
      <w:pPr>
        <w:ind w:right="40" w:firstLine="315"/>
        <w:spacing w:after="0" w:line="253" w:lineRule="auto"/>
        <w:rPr>
          <w:sz w:val="20"/>
          <w:szCs w:val="20"/>
          <w:color w:val="auto"/>
        </w:rPr>
      </w:pPr>
      <w:r>
        <w:rPr>
          <w:rFonts w:ascii="Times New Roman" w:cs="Times New Roman" w:eastAsia="Times New Roman" w:hAnsi="Times New Roman"/>
          <w:sz w:val="18"/>
          <w:szCs w:val="18"/>
          <w:color w:val="auto"/>
        </w:rPr>
        <w:t>Consumer preferences for particular food products are subject to fluctuations over time. Our ability to market and sell our products successfully depends in part on our ability to identify changing consumer preferences and respond to those changes by offering products that appeal broadly to consumers in light of current demands. Shifts in consumer preferences that can impact demand for our products at any given time can result from a number of factors, including dietary trends, attention to particular 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federal/state agencies involved in monitoring food safety) may make regarding our products or similar products. Consumer demand for our products also may be impacted by changes in the level of advertising or promotional support that (i) we employ, (ii) our retail/foodservice customers employ or (iii) that are employed by relevant industry groups or third parties that provide competing products. If consumer preferences trend negatively with respect to any one or more of our products, our sales volumes may decline as a result.</w:t>
      </w:r>
    </w:p>
    <w:p>
      <w:pPr>
        <w:spacing w:after="0" w:line="189"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The loss of one or more of our largest customers, or a reduction in the level of purchases made by these customers, could negatively impact our sales and profits.</w:t>
      </w:r>
    </w:p>
    <w:p>
      <w:pPr>
        <w:spacing w:after="0" w:line="160" w:lineRule="exact"/>
        <w:rPr>
          <w:sz w:val="20"/>
          <w:szCs w:val="20"/>
          <w:color w:val="auto"/>
        </w:rPr>
      </w:pPr>
    </w:p>
    <w:p>
      <w:pPr>
        <w:ind w:right="100" w:firstLine="315"/>
        <w:spacing w:after="0" w:line="253" w:lineRule="auto"/>
        <w:rPr>
          <w:sz w:val="20"/>
          <w:szCs w:val="20"/>
          <w:color w:val="auto"/>
        </w:rPr>
      </w:pPr>
      <w:r>
        <w:rPr>
          <w:rFonts w:ascii="Times New Roman" w:cs="Times New Roman" w:eastAsia="Times New Roman" w:hAnsi="Times New Roman"/>
          <w:sz w:val="18"/>
          <w:szCs w:val="18"/>
          <w:color w:val="auto"/>
        </w:rPr>
        <w:t>Sales to Kroger and Walmart, our largest customers, amounted to approximately 21% and 13% of our total net sales in 2019.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 condition, and results of operations. Any bankruptcy or other business disruption involving one of our significant customers also could adversely affect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our infrastructure to have sufficient capacity to handle our annual production needs.</w:t>
      </w:r>
    </w:p>
    <w:p>
      <w:pPr>
        <w:spacing w:after="0" w:line="227"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We have an infrastructure that has sufficient capacity for our production needs, but if we lose machinery or facilities due to natural disasters or mechanical failure, we may not be able to operate at a sufficient capacity to meet our production needs. This could have a material adverse effect on our business, which could impact our results of operations and our financial condition.</w:t>
      </w:r>
    </w:p>
    <w:p>
      <w:pPr>
        <w:spacing w:after="0" w:line="17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Failure to optimize our supply chain or disruption of our supply chain could have an adverse effect on our business, financial condition and results of operations.</w:t>
      </w:r>
    </w:p>
    <w:p>
      <w:pPr>
        <w:spacing w:after="0" w:line="160"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In coordination with our suppliers, our ability to make, move and sell products is critical to our success. Our inability to maintain sufficient internal production capacity or our inability to enter into co-packing agreements on terms that are beneficial to the Company could have an adverse effect on our business. Failure to adequately handle increasing production costs and complexity, turnover of manufacturing personnel, or production capability and efficiency issues could materially impact our ability to cost effectively produce our products and meet customer demand.</w:t>
      </w:r>
    </w:p>
    <w:p>
      <w:pPr>
        <w:spacing w:after="0" w:line="184"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5" w:right="1419" w:bottom="1440" w:gutter="0" w:footer="0" w:header="0"/>
        </w:sectPr>
      </w:pPr>
    </w:p>
    <w:bookmarkStart w:id="12" w:name="page13"/>
    <w:bookmarkEnd w:id="12"/>
    <w:p>
      <w:pPr>
        <w:ind w:right="480"/>
        <w:spacing w:after="0" w:line="315" w:lineRule="auto"/>
        <w:rPr>
          <w:sz w:val="20"/>
          <w:szCs w:val="20"/>
          <w:color w:val="auto"/>
        </w:rPr>
      </w:pPr>
      <w:r>
        <w:rPr>
          <w:rFonts w:ascii="Times New Roman" w:cs="Times New Roman" w:eastAsia="Times New Roman" w:hAnsi="Times New Roman"/>
          <w:sz w:val="17"/>
          <w:szCs w:val="17"/>
          <w:i w:val="1"/>
          <w:iCs w:val="1"/>
          <w:color w:val="auto"/>
        </w:rPr>
        <w:t>Our ability to competitively serve our customers is a function of reliable and low cost transportation. Disruption of the supply of these services and/or significant increases in the cost of these services could impact our operating income.</w:t>
      </w:r>
    </w:p>
    <w:p>
      <w:pPr>
        <w:spacing w:after="0" w:line="137"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We use multiple forms of transportation to bring our products to market. They include truck, ocean, and air-cargo. Disruption to the timely supply of these services or dramatic increases in the cost of these services for any reason including availability of fuel for such services, labor disputes, governmental regulation, or governmental restrictions limiting specific forms of transportation could have an adverse effect on our ability to serve our customers and consumers and could have an adverse effect on our financial performance.</w:t>
      </w:r>
    </w:p>
    <w:p>
      <w:pPr>
        <w:spacing w:after="0" w:line="18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our key personnel and if we lose the services of any of these individuals, or fail to attract and retain additional key personnel, we may not be able to implement our business strategy or operate our business effectively.</w:t>
      </w:r>
    </w:p>
    <w:p>
      <w:pPr>
        <w:spacing w:after="0" w:line="160"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Our future success largely depends on the contributions of our management team. We believe that these individuals’ expertise and knowledge about our industry and their respective fields and their relationships with other individuals in our industry are critical factors to our continued growth and success. We do not carry key person insurance. The loss of the services of any member of our senior management team could have a material adverse effect on our business and prospects. Our success also depends upon our ability to attract and retain additional qualified sales, marketing and other personnel.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portion of our workforce is unionized and labor disruptions could decrease our profitability.</w:t>
      </w:r>
    </w:p>
    <w:p>
      <w:pPr>
        <w:spacing w:after="0" w:line="227"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 adverse effect on the portion of our business affected by the dispute, which could impact our business, results of operations and financial condition.</w:t>
      </w:r>
    </w:p>
    <w:p>
      <w:pPr>
        <w:spacing w:after="0" w:line="182"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76" w:lineRule="exact"/>
        <w:rPr>
          <w:sz w:val="20"/>
          <w:szCs w:val="20"/>
          <w:color w:val="auto"/>
        </w:rPr>
      </w:pPr>
    </w:p>
    <w:p>
      <w:pPr>
        <w:ind w:right="20" w:firstLine="389"/>
        <w:spacing w:after="0" w:line="253" w:lineRule="auto"/>
        <w:rPr>
          <w:sz w:val="20"/>
          <w:szCs w:val="20"/>
          <w:color w:val="auto"/>
        </w:rPr>
      </w:pPr>
      <w:r>
        <w:rPr>
          <w:rFonts w:ascii="Times New Roman" w:cs="Times New Roman" w:eastAsia="Times New Roman" w:hAnsi="Times New Roman"/>
          <w:sz w:val="18"/>
          <w:szCs w:val="18"/>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Calavo carries insurance, including cyber insurance, commensurate with its size and the nature of its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pacing w:after="0" w:line="189" w:lineRule="exact"/>
        <w:rPr>
          <w:sz w:val="20"/>
          <w:szCs w:val="20"/>
          <w:color w:val="auto"/>
        </w:rPr>
      </w:pPr>
    </w:p>
    <w:p>
      <w:pPr>
        <w:ind w:right="180" w:firstLine="389"/>
        <w:spacing w:after="0" w:line="256" w:lineRule="auto"/>
        <w:rPr>
          <w:sz w:val="20"/>
          <w:szCs w:val="20"/>
          <w:color w:val="auto"/>
        </w:rPr>
      </w:pPr>
      <w:r>
        <w:rPr>
          <w:rFonts w:ascii="Times New Roman" w:cs="Times New Roman" w:eastAsia="Times New Roman" w:hAnsi="Times New Roman"/>
          <w:sz w:val="18"/>
          <w:szCs w:val="18"/>
          <w:color w:val="auto"/>
        </w:rPr>
        <w:t>On Friday, November 29, 2019, certain computer systems at Calavo became encrypted by ransomware, which prevented them from operating. We immediately took steps to isolate those systems and implemented measures to prevent additional systems from being affected, including taking systems offline as a precaution. Third party forensic experts were engaged to assist our IT team to restore those affected systems to operation. Though we are still investigating, we have not experienced, nor do we believe there has been, any material impact to divisional operating activities nor our controls over financial reporting. To date, we have found no evidence of data exfiltration or misappropriation.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335" w:right="1439" w:bottom="1440" w:gutter="0" w:footer="0" w:header="0"/>
        </w:sectPr>
      </w:pPr>
    </w:p>
    <w:bookmarkStart w:id="13" w:name="page14"/>
    <w:bookmarkEnd w:id="13"/>
    <w:p>
      <w:pPr>
        <w:ind w:right="120" w:firstLine="389"/>
        <w:spacing w:after="0" w:line="258" w:lineRule="auto"/>
        <w:rPr>
          <w:sz w:val="20"/>
          <w:szCs w:val="20"/>
          <w:color w:val="auto"/>
        </w:rPr>
      </w:pPr>
      <w:r>
        <w:rPr>
          <w:rFonts w:ascii="Times New Roman" w:cs="Times New Roman" w:eastAsia="Times New Roman" w:hAnsi="Times New Roman"/>
          <w:sz w:val="18"/>
          <w:szCs w:val="18"/>
          <w:color w:val="auto"/>
        </w:rPr>
        <w:t>Portions of our IT infrastructure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w:t>
      </w:r>
    </w:p>
    <w:p>
      <w:pPr>
        <w:spacing w:after="0" w:line="182"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212529"/>
        </w:rPr>
        <w:t>Our ownership in unconsolidated subsidiaries, our loans/notes or advances to unconsolidated subsidiaries and other future debt or equity investments that we may make in unconsolidated subsidiaries, present a number of risks and challenges that could have a material adverse effect on our business, financial position and results of operations.</w:t>
      </w:r>
    </w:p>
    <w:p>
      <w:pPr>
        <w:spacing w:after="0" w:line="17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212529"/>
        </w:rPr>
        <w:t>Income/(loss) from unconsolidated entities includes our allocation of earnings or losses from our investments in FreshRealm and Don Memo. We do not control the operations of these investments, and our allocation of potential income or loss can increase or decrease our overall profitability significantly.</w:t>
      </w:r>
    </w:p>
    <w:p>
      <w:pPr>
        <w:spacing w:after="0" w:line="176"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212529"/>
        </w:rPr>
        <w:t>In fiscal 2019, we implemented an Accounting Standards Updated (ASU) of the Financial Accounting Standards Board (FASB) which requires equity investments (except those accounted for under the equity method of accounting, such as FreshRealm and Don Memo) to be measured at fair value with changes in fair value recognized in net income. This adoption impacted our equity investment in Limoneira Company (Limoneira); and as a result, fluctuations in the Limoneira stock price (to be measured, as per the ASU, from quarter-end to quarter-end) are reflected as unrealized gain/(loss) on equity securities in our income statement, and therefore, increase or decrease our overall profitability significantly. Furthermore, from time-to-time we may choose to buy or sell Limoneira shares via methods of execution that are available to us; and to the extent we buy or sell stock in Limoneira, we may also report realized gain/(loss) on equity securities.</w:t>
      </w:r>
    </w:p>
    <w:p>
      <w:pPr>
        <w:spacing w:after="0" w:line="185"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212529"/>
        </w:rPr>
        <w:t>Any loans/notes or advances that we make to unconsolidated entities (such as the existing notes receivable to FreshRealm or existing advances to Don Memo) may at some point in the future be deemed uncollectible and as such may negatively impact, in a material way, our financial results in the period such determination is made. As noted earlier, we do not control the operations of FreshRealm or Don Memo, and their future operating performance and/or their future ability to raise capital from other third parties, could negatively impact our ability to collect on our loans/notes or advances.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value of our common stock may be adversely affected by market volatility.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our common stock fluctuates and may be influenced by many factors, including:</w:t>
      </w:r>
    </w:p>
    <w:p>
      <w:pPr>
        <w:spacing w:after="0" w:line="225" w:lineRule="exact"/>
        <w:rPr>
          <w:sz w:val="20"/>
          <w:szCs w:val="20"/>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27"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public SEC filings we make about our business, financial performance and prospects;</w:t>
      </w:r>
    </w:p>
    <w:p>
      <w:pPr>
        <w:spacing w:after="0" w:line="9"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our customers or competitors make regarding their business, financial performance and prospects;</w:t>
      </w:r>
    </w:p>
    <w:p>
      <w:pPr>
        <w:spacing w:after="0" w:line="9"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Short-interest in our common stock, which may be significant from time-to-time;</w:t>
      </w:r>
    </w:p>
    <w:p>
      <w:pPr>
        <w:spacing w:after="0" w:line="9"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9"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the industry and markets in which we operate;</w:t>
      </w:r>
    </w:p>
    <w:p>
      <w:pPr>
        <w:spacing w:after="0" w:line="9"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in, or removal from, any equity market indices;</w:t>
      </w:r>
    </w:p>
    <w:p>
      <w:pPr>
        <w:spacing w:after="0" w:line="9"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analysts;</w:t>
      </w:r>
    </w:p>
    <w:p>
      <w:pPr>
        <w:spacing w:after="0" w:line="9"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meet earnings estimates of analysts who follow our Company; and</w:t>
      </w:r>
    </w:p>
    <w:p>
      <w:pPr>
        <w:spacing w:after="0" w:line="9" w:lineRule="exact"/>
        <w:rPr>
          <w:rFonts w:ascii="Times New Roman" w:cs="Times New Roman" w:eastAsia="Times New Roman" w:hAnsi="Times New Roman"/>
          <w:sz w:val="18"/>
          <w:szCs w:val="18"/>
          <w:color w:val="auto"/>
        </w:rPr>
      </w:pPr>
    </w:p>
    <w:p>
      <w:pPr>
        <w:ind w:left="600" w:hanging="314"/>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domestic, international, economic, industry and other market trends or conditions.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4" w:name="page15"/>
    <w:bookmarkEnd w:id="14"/>
    <w:p>
      <w:pPr>
        <w:ind w:left="20" w:right="220"/>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raise capital in the future may be limited, and our failure to raise capital when needed could prevent us from executing our growth strategy.</w:t>
      </w:r>
    </w:p>
    <w:p>
      <w:pPr>
        <w:spacing w:after="0" w:line="160" w:lineRule="exact"/>
        <w:rPr>
          <w:sz w:val="20"/>
          <w:szCs w:val="20"/>
          <w:color w:val="auto"/>
        </w:rPr>
      </w:pPr>
    </w:p>
    <w:p>
      <w:pPr>
        <w:ind w:left="20" w:right="80" w:firstLine="259"/>
        <w:spacing w:after="0" w:line="282" w:lineRule="auto"/>
        <w:rPr>
          <w:sz w:val="20"/>
          <w:szCs w:val="20"/>
          <w:color w:val="auto"/>
        </w:rPr>
      </w:pPr>
      <w:r>
        <w:rPr>
          <w:rFonts w:ascii="Times New Roman" w:cs="Times New Roman" w:eastAsia="Times New Roman" w:hAnsi="Times New Roman"/>
          <w:sz w:val="18"/>
          <w:szCs w:val="18"/>
          <w:color w:val="auto"/>
        </w:rPr>
        <w:t>The timing and amount of our working capital and capital expenditure requirements may vary significantly depending on many factors, including:</w:t>
      </w:r>
    </w:p>
    <w:p>
      <w:pPr>
        <w:spacing w:after="0" w:line="162" w:lineRule="exact"/>
        <w:rPr>
          <w:sz w:val="20"/>
          <w:szCs w:val="20"/>
          <w:color w:val="auto"/>
        </w:rPr>
      </w:pPr>
    </w:p>
    <w:p>
      <w:pPr>
        <w:ind w:left="620" w:hanging="31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w:t>
      </w:r>
    </w:p>
    <w:p>
      <w:pPr>
        <w:spacing w:after="0" w:line="27"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opportunities for expansion.</w:t>
      </w:r>
    </w:p>
    <w:p>
      <w:pPr>
        <w:spacing w:after="0" w:line="207" w:lineRule="exact"/>
        <w:rPr>
          <w:sz w:val="20"/>
          <w:szCs w:val="20"/>
          <w:color w:val="auto"/>
        </w:rPr>
      </w:pPr>
    </w:p>
    <w:p>
      <w:pPr>
        <w:ind w:left="20" w:right="40" w:firstLine="259"/>
        <w:spacing w:after="0" w:line="256" w:lineRule="auto"/>
        <w:rPr>
          <w:sz w:val="20"/>
          <w:szCs w:val="20"/>
          <w:color w:val="auto"/>
        </w:rPr>
      </w:pPr>
      <w:r>
        <w:rPr>
          <w:rFonts w:ascii="Times New Roman" w:cs="Times New Roman" w:eastAsia="Times New Roman" w:hAnsi="Times New Roman"/>
          <w:sz w:val="18"/>
          <w:szCs w:val="18"/>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Although we do not currently foresee the need for significant additional financing, with the exception of our existing credit facility, we have not made arrangements to obtain additional financing. We may not be able to obtain additional financing, if required, in amounts or on terms acceptable to us, or at all.</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20" w:right="80" w:firstLine="259"/>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building from Limoneira, which building is located in Santa Paula, California. In addition, RFG leases its corporate office in Rancho Cordova, California. We have numerous facilities throughout the United States and three facilities in Mexico. See the following table for a summary of our locations: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Locations: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Packinghouses: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508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w:t>
            </w: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Santa Paula</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California</w:t>
            </w:r>
          </w:p>
        </w:tc>
        <w:tc>
          <w:tcPr>
            <w:tcW w:w="240" w:type="dxa"/>
            <w:vAlign w:val="bottom"/>
            <w:tcBorders>
              <w:top w:val="single" w:sz="8" w:color="CCEEFF"/>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Primarily handles fresh avocados. The facility was purchased in</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1955 and has been improved in capacity and efficiency since then.</w:t>
            </w:r>
          </w:p>
        </w:tc>
      </w:tr>
      <w:tr>
        <w:trPr>
          <w:trHeight w:val="216"/>
        </w:trPr>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 believe that the annual capacity of this facility will be sufficient to</w:t>
            </w:r>
          </w:p>
        </w:tc>
      </w:tr>
      <w:tr>
        <w:trPr>
          <w:trHeight w:val="234"/>
        </w:trPr>
        <w:tc>
          <w:tcPr>
            <w:tcW w:w="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handle its forecasted annual production needs.</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Temecula</w:t>
            </w:r>
          </w:p>
        </w:tc>
        <w:tc>
          <w:tcPr>
            <w:tcW w:w="10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California</w:t>
            </w:r>
          </w:p>
        </w:tc>
        <w:tc>
          <w:tcPr>
            <w:tcW w:w="5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Primarily ripens, sorts, packs and ships fresh avocados. We sort and</w:t>
            </w:r>
          </w:p>
        </w:tc>
      </w:tr>
      <w:tr>
        <w:trPr>
          <w:trHeight w:val="216"/>
        </w:trPr>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 certain other fresh products as well. We sold this facility in 2019</w:t>
            </w:r>
          </w:p>
        </w:tc>
      </w:tr>
      <w:tr>
        <w:trPr>
          <w:trHeight w:val="234"/>
        </w:trPr>
        <w:tc>
          <w:tcPr>
            <w:tcW w:w="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leased back a portion of it.</w:t>
            </w:r>
          </w:p>
        </w:tc>
      </w:tr>
      <w:tr>
        <w:trPr>
          <w:trHeight w:val="64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00" w:top="119" w:right="141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and Distributing Facilities: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502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2"/>
        </w:trPr>
        <w:tc>
          <w:tcPr>
            <w:tcW w:w="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Owned</w:t>
            </w:r>
          </w:p>
        </w:tc>
        <w:tc>
          <w:tcPr>
            <w:tcW w:w="2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Santa Paula</w:t>
            </w:r>
          </w:p>
        </w:tc>
        <w:tc>
          <w:tcPr>
            <w:tcW w:w="2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California</w:t>
            </w:r>
          </w:p>
        </w:tc>
        <w:tc>
          <w:tcPr>
            <w:tcW w:w="300" w:type="dxa"/>
            <w:vAlign w:val="bottom"/>
            <w:tcBorders>
              <w:top w:val="single" w:sz="8" w:color="CCEEFF"/>
            </w:tcBorders>
            <w:shd w:val="clear" w:color="auto" w:fill="CCEEFF"/>
          </w:tcPr>
          <w:p>
            <w:pPr>
              <w:spacing w:after="0"/>
              <w:rPr>
                <w:sz w:val="12"/>
                <w:szCs w:val="12"/>
                <w:color w:val="auto"/>
              </w:rPr>
            </w:pPr>
          </w:p>
        </w:tc>
        <w:tc>
          <w:tcPr>
            <w:tcW w:w="5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Primarily ripens, sorts, packs and ships fresh avocados. We sort and</w:t>
            </w:r>
          </w:p>
        </w:tc>
        <w:tc>
          <w:tcPr>
            <w:tcW w:w="20" w:type="dxa"/>
            <w:vAlign w:val="bottom"/>
            <w:tcBorders>
              <w:top w:val="single" w:sz="8" w:color="CCEEFF"/>
            </w:tcBorders>
            <w:shd w:val="clear" w:color="auto" w:fill="CCEEFF"/>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pack certain other fresh products as well. We believe that the annual</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capacity of this facility will be sufficient to pack and ripen, if</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necessary, its expected annual volume of avocados and other fresh</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products delivered to us.</w:t>
            </w: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Swedesboro</w:t>
            </w:r>
          </w:p>
        </w:tc>
        <w:tc>
          <w:tcPr>
            <w:tcW w:w="11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New</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avocados. Additionally, it</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Jersey</w:t>
            </w: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also serves to store and ship certain other fresh products, as well as</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prepared foods and prepared guacamole products. We believe that</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annual capacity of this facility will be sufficient to handle its</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forecasted annual production needs.</w:t>
            </w: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Garland</w:t>
            </w:r>
          </w:p>
        </w:tc>
        <w:tc>
          <w:tcPr>
            <w:tcW w:w="11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Texas</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fresh avocados. Additionally,</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 also serves to store and ship prepared guacamole products as well.</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 believe that the annual capacity of this facility will be sufficient</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to handle its forecasted annual production needs.</w:t>
            </w: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Green Cove</w:t>
            </w:r>
          </w:p>
        </w:tc>
        <w:tc>
          <w:tcPr>
            <w:tcW w:w="110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7"/>
                <w:szCs w:val="17"/>
                <w:color w:val="auto"/>
              </w:rPr>
              <w:t>Florida</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Primarily ripens, sorts, packs and ships fresh avocados and stores</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rPr>
              <w:t>Springs</w:t>
            </w: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ships prepared guacamole. This facility also processes fresh-cut</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fruits and vegetables, and prepared foods. We believe that the</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annual capacity of this facility will be sufficient to handle its</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forecasted annual production needs.</w:t>
            </w: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Hilo</w:t>
            </w:r>
          </w:p>
        </w:tc>
        <w:tc>
          <w:tcPr>
            <w:tcW w:w="110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7"/>
                <w:szCs w:val="17"/>
                <w:color w:val="auto"/>
              </w:rPr>
              <w:t>Hawaii</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Primarily sorts, packs, and ships papayas. We believe that the annual</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capacity will be sufficient to handle its forecasted annual production</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needs.</w:t>
            </w: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Owned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Hilo</w:t>
            </w:r>
          </w:p>
        </w:tc>
        <w:tc>
          <w:tcPr>
            <w:tcW w:w="110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7"/>
                <w:szCs w:val="17"/>
                <w:color w:val="auto"/>
              </w:rPr>
              <w:t>Hawaii</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Primarily provides irradiation services for produce grown in Hawaii.</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 believe that the annual capacity will be sufficient to handle its</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forecasted annual production needs.</w:t>
            </w: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St. Paul</w:t>
            </w:r>
          </w:p>
        </w:tc>
        <w:tc>
          <w:tcPr>
            <w:tcW w:w="110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7"/>
                <w:szCs w:val="17"/>
                <w:color w:val="auto"/>
              </w:rPr>
              <w:t>Minnesota</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Calavo Salsa Lisa (CSL) facility that produces salsa. We believe</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that the annual capacity of this facility will be sufficient to handle its</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forecasted annual production needs.</w:t>
            </w: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Houston</w:t>
            </w:r>
          </w:p>
        </w:tc>
        <w:tc>
          <w:tcPr>
            <w:tcW w:w="11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Texas</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RFG facility that primarily processes fresh-cut fruits and vegetables,</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prepared foods. We believe that the annual capacity of this</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facility will be sufficient to handle its forecasted annual production</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needs.</w:t>
            </w: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Owned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Riverside</w:t>
            </w:r>
          </w:p>
        </w:tc>
        <w:tc>
          <w:tcPr>
            <w:tcW w:w="11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California</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RFG facility that primarily processes fresh-cut fruits and vegetables,</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prepared foods. We believe that the annual capacity of this</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facility will be sufficient to handle its forecasted annual production</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needs.</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7"/>
                <w:szCs w:val="17"/>
                <w:color w:val="auto"/>
              </w:rPr>
              <w:t>Sacramento</w:t>
            </w:r>
          </w:p>
        </w:tc>
        <w:tc>
          <w:tcPr>
            <w:tcW w:w="110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California</w:t>
            </w:r>
          </w:p>
        </w:tc>
        <w:tc>
          <w:tcPr>
            <w:tcW w:w="50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RFG facility that primarily processes fresh-cut fruits and vegetables,</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prepared foods. We believe that the annual capacity of this</w:t>
            </w:r>
          </w:p>
        </w:tc>
      </w:tr>
      <w:tr>
        <w:trPr>
          <w:trHeight w:val="176"/>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facility will be sufficient to handle its forecasted annual production</w:t>
            </w:r>
          </w:p>
        </w:tc>
      </w:tr>
      <w:tr>
        <w:trPr>
          <w:trHeight w:val="203"/>
        </w:trPr>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needs.</w:t>
            </w:r>
          </w:p>
        </w:tc>
      </w:tr>
      <w:tr>
        <w:trPr>
          <w:trHeight w:val="86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00" w:top="117" w:right="14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50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13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Leased</w:t>
            </w: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Clackamas</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Oregon</w:t>
            </w:r>
          </w:p>
        </w:tc>
        <w:tc>
          <w:tcPr>
            <w:tcW w:w="240" w:type="dxa"/>
            <w:vAlign w:val="bottom"/>
            <w:tcBorders>
              <w:top w:val="single" w:sz="8" w:color="CCEEFF"/>
            </w:tcBorders>
            <w:shd w:val="clear" w:color="auto" w:fill="CCEEFF"/>
          </w:tcPr>
          <w:p>
            <w:pPr>
              <w:spacing w:after="0"/>
              <w:rPr>
                <w:sz w:val="16"/>
                <w:szCs w:val="16"/>
                <w:color w:val="auto"/>
              </w:rPr>
            </w:pPr>
          </w:p>
        </w:tc>
        <w:tc>
          <w:tcPr>
            <w:tcW w:w="50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Opened in the fourth quarter of fiscal 2019, this RFG facility</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primarily processes fresh-cut fruits and vegetables, and prepared</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foods. We believe that the annual capacity of this facility will be</w:t>
            </w:r>
          </w:p>
        </w:tc>
      </w:tr>
      <w:tr>
        <w:trPr>
          <w:trHeight w:val="234"/>
        </w:trPr>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sufficient to handle its forecasted annual production needs.</w:t>
            </w: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198"/>
        </w:trPr>
        <w:tc>
          <w:tcPr>
            <w:tcW w:w="16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Leased</w:t>
            </w:r>
          </w:p>
        </w:tc>
        <w:tc>
          <w:tcPr>
            <w:tcW w:w="13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Conley</w:t>
            </w:r>
          </w:p>
        </w:tc>
        <w:tc>
          <w:tcPr>
            <w:tcW w:w="106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6"/>
              </w:rPr>
              <w:t>Georgia</w:t>
            </w:r>
          </w:p>
        </w:tc>
        <w:tc>
          <w:tcPr>
            <w:tcW w:w="5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Opened in the third quarter of fiscal 2019, this RFG facility primarily</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processes fresh-cut fruits and vegetables, and prepared foods. We</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believe that the annual capacity of this facility will be sufficient to</w:t>
            </w:r>
          </w:p>
        </w:tc>
      </w:tr>
      <w:tr>
        <w:trPr>
          <w:trHeight w:val="234"/>
        </w:trPr>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handle its forecasted annual production needs.</w:t>
            </w: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Mexico Locations: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Packinghouses and Processing Facility: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Leased or Owned: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City</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506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13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w:t>
            </w: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Uruapan</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Michoacan</w:t>
            </w:r>
          </w:p>
        </w:tc>
        <w:tc>
          <w:tcPr>
            <w:tcW w:w="240" w:type="dxa"/>
            <w:vAlign w:val="bottom"/>
            <w:tcBorders>
              <w:top w:val="single" w:sz="8" w:color="CCEEFF"/>
            </w:tcBorders>
            <w:shd w:val="clear" w:color="auto" w:fill="CCEEFF"/>
          </w:tcPr>
          <w:p>
            <w:pPr>
              <w:spacing w:after="0"/>
              <w:rPr>
                <w:sz w:val="16"/>
                <w:szCs w:val="16"/>
                <w:color w:val="auto"/>
              </w:rPr>
            </w:pPr>
          </w:p>
        </w:tc>
        <w:tc>
          <w:tcPr>
            <w:tcW w:w="50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Our Calavo Foods processing facility produces our guacamole</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While we believe the capacity is reasonable given our</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sales, we are considering various plans to enhance our</w:t>
            </w:r>
          </w:p>
        </w:tc>
      </w:tr>
      <w:tr>
        <w:trPr>
          <w:trHeight w:val="234"/>
        </w:trPr>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capacity.</w:t>
            </w: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6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Owned</w:t>
            </w:r>
          </w:p>
        </w:tc>
        <w:tc>
          <w:tcPr>
            <w:tcW w:w="13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Uruapan</w:t>
            </w:r>
          </w:p>
        </w:tc>
        <w:tc>
          <w:tcPr>
            <w:tcW w:w="106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Michoacan</w:t>
            </w:r>
          </w:p>
        </w:tc>
        <w:tc>
          <w:tcPr>
            <w:tcW w:w="50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Primarily handles fresh avocados. The facility was built in 1985 and</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 been significantly improved in capacity and efficiency since then.</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 believe that the annual capacity of this facility will be sufficient</w:t>
            </w:r>
          </w:p>
        </w:tc>
      </w:tr>
      <w:tr>
        <w:trPr>
          <w:trHeight w:val="234"/>
        </w:trPr>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process its forecasted annual production needs.</w:t>
            </w: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164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Owned</w:t>
            </w:r>
          </w:p>
        </w:tc>
        <w:tc>
          <w:tcPr>
            <w:tcW w:w="1340" w:type="dxa"/>
            <w:vAlign w:val="bottom"/>
            <w:gridSpan w:val="2"/>
            <w:shd w:val="clear" w:color="auto" w:fill="CCEEFF"/>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Ciudad</w:t>
            </w:r>
          </w:p>
        </w:tc>
        <w:tc>
          <w:tcPr>
            <w:tcW w:w="106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7"/>
              </w:rPr>
              <w:t>Jalisco</w:t>
            </w:r>
          </w:p>
        </w:tc>
        <w:tc>
          <w:tcPr>
            <w:tcW w:w="50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Opened in the third quarter of 2017, this facility primarily handles</w:t>
            </w: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Guzman</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fresh avocados. We believe that the annual capacity of this facility</w:t>
            </w:r>
          </w:p>
        </w:tc>
      </w:tr>
      <w:tr>
        <w:trPr>
          <w:trHeight w:val="234"/>
        </w:trPr>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 be sufficient to process its forecasted annual production needs.</w:t>
            </w:r>
          </w:p>
        </w:tc>
      </w:tr>
    </w:tbl>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7 of our consolidated financial statements for further information.</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left="20" w:right="24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and serve at the discretion of the board.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466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E. Cole</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6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John Lindeman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Wedin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Sales and Fresh Marketing</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Browne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Fresh Operations</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 Araiza</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Foods Division Sales and Operations</w:t>
            </w: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Gibson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President, RFG</w:t>
            </w:r>
          </w:p>
        </w:tc>
      </w:tr>
      <w:tr>
        <w:trPr>
          <w:trHeight w:val="846"/>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w:t>
            </w:r>
          </w:p>
        </w:tc>
      </w:tr>
      <w:tr>
        <w:trPr>
          <w:trHeight w:val="561"/>
        </w:trPr>
        <w:tc>
          <w:tcPr>
            <w:tcW w:w="3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00" w:top="344" w:right="1419" w:bottom="1440" w:gutter="0" w:footer="0" w:header="0"/>
        </w:sectPr>
      </w:pPr>
    </w:p>
    <w:bookmarkStart w:id="17" w:name="page18"/>
    <w:bookmarkEnd w:id="17"/>
    <w:p>
      <w:pPr>
        <w:ind w:right="2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Lecil E. Cole </w:t>
      </w:r>
      <w:r>
        <w:rPr>
          <w:rFonts w:ascii="Times New Roman" w:cs="Times New Roman" w:eastAsia="Times New Roman" w:hAnsi="Times New Roman"/>
          <w:sz w:val="18"/>
          <w:szCs w:val="18"/>
          <w:color w:val="auto"/>
        </w:rPr>
        <w:t>has been a member of our board of directors since February 1982 and has served as Chairman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1988. Mr. Cole has also served as our Chief Executive Officer since February 1999. He served as an executive of Safeway Stores from 1964 to 1976 and as Chairman of Central Coast Federal Land Bank from 1986 to 1996. Mr. Cole farms approximately 4,400 acres in California on which avocados and cattle are produced and raised.</w:t>
      </w:r>
    </w:p>
    <w:p>
      <w:pPr>
        <w:spacing w:after="0" w:line="180" w:lineRule="exact"/>
        <w:rPr>
          <w:sz w:val="20"/>
          <w:szCs w:val="20"/>
          <w:color w:val="auto"/>
        </w:rPr>
      </w:pPr>
    </w:p>
    <w:p>
      <w:pPr>
        <w:ind w:right="100" w:firstLine="2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 John Lindeman </w:t>
      </w:r>
      <w:r>
        <w:rPr>
          <w:rFonts w:ascii="Times New Roman" w:cs="Times New Roman" w:eastAsia="Times New Roman" w:hAnsi="Times New Roman"/>
          <w:sz w:val="18"/>
          <w:szCs w:val="18"/>
          <w:color w:val="auto"/>
        </w:rPr>
        <w:t>has served as our Chief Financial Officer and Corporate Secretary since August 2015.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Calavo, Mr. Lindeman served as Managing Director at Sageworth Trust Company. Prior to joining Sageworth, Mr. Lindeman served as Managing Director at Janney Montgomery Scott from August 2009 to March 2015. Prior to joining Janney, Mr. Lindeman served as Managing Director at Stifel Nicolaus from December 2005 to August 2009 and as Principal at Legg Mason from October 1999 to December 2005. Prior to joining Legg Mason, Mr. Lindeman was a Manager at PricewaterhouseCoopers LLP.</w:t>
      </w:r>
    </w:p>
    <w:p>
      <w:pPr>
        <w:spacing w:after="0" w:line="183"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Robert J. Wedin </w:t>
      </w:r>
      <w:r>
        <w:rPr>
          <w:rFonts w:ascii="Times New Roman" w:cs="Times New Roman" w:eastAsia="Times New Roman" w:hAnsi="Times New Roman"/>
          <w:sz w:val="18"/>
          <w:szCs w:val="18"/>
          <w:color w:val="auto"/>
        </w:rPr>
        <w:t>has served as our Vice President since 1993. Mr. Wedin joined us in 1973 at our then Santa Barbara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packinghouse. Beginning in 1990, Mr. Wedin served as a director of the California Avocado Commission for a period of ten years. Mr. Wedin currently is a board member of Producesupply.org and serves as a member of that organization's executive committee.</w:t>
      </w:r>
    </w:p>
    <w:p>
      <w:pPr>
        <w:spacing w:after="0" w:line="180" w:lineRule="exact"/>
        <w:rPr>
          <w:sz w:val="20"/>
          <w:szCs w:val="20"/>
          <w:color w:val="auto"/>
        </w:rPr>
      </w:pPr>
    </w:p>
    <w:p>
      <w:pPr>
        <w:ind w:right="12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Michael A. Browne </w:t>
      </w:r>
      <w:r>
        <w:rPr>
          <w:rFonts w:ascii="Times New Roman" w:cs="Times New Roman" w:eastAsia="Times New Roman" w:hAnsi="Times New Roman"/>
          <w:sz w:val="18"/>
          <w:szCs w:val="18"/>
          <w:color w:val="auto"/>
        </w:rPr>
        <w:t>has served as our Vice President since May 2005. From 1997 until joining us, Mr. Browne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founder and co-owner of Fresh Directions International, a closely held multinational fresh produce company, which marketed fresh avocados from Mexico, Chile, and the Dominican Republic.</w:t>
      </w:r>
    </w:p>
    <w:p>
      <w:pPr>
        <w:spacing w:after="0" w:line="174" w:lineRule="exact"/>
        <w:rPr>
          <w:sz w:val="20"/>
          <w:szCs w:val="20"/>
          <w:color w:val="auto"/>
        </w:rPr>
      </w:pPr>
    </w:p>
    <w:p>
      <w:pPr>
        <w:ind w:right="32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Ronald A. Araiza </w:t>
      </w:r>
      <w:r>
        <w:rPr>
          <w:rFonts w:ascii="Times New Roman" w:cs="Times New Roman" w:eastAsia="Times New Roman" w:hAnsi="Times New Roman"/>
          <w:sz w:val="18"/>
          <w:szCs w:val="18"/>
          <w:color w:val="auto"/>
        </w:rPr>
        <w:t>has served as our Vice President since January 2017. Mr. Araiza has approximately twenty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as a Vice President at Mission Produce and Del Rey Avocado.</w:t>
      </w:r>
    </w:p>
    <w:p>
      <w:pPr>
        <w:spacing w:after="0" w:line="158" w:lineRule="exact"/>
        <w:rPr>
          <w:sz w:val="20"/>
          <w:szCs w:val="20"/>
          <w:color w:val="auto"/>
        </w:rPr>
      </w:pPr>
    </w:p>
    <w:p>
      <w:pPr>
        <w:ind w:right="10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James E. Gibson </w:t>
      </w:r>
      <w:r>
        <w:rPr>
          <w:rFonts w:ascii="Times New Roman" w:cs="Times New Roman" w:eastAsia="Times New Roman" w:hAnsi="Times New Roman"/>
          <w:sz w:val="18"/>
          <w:szCs w:val="18"/>
          <w:color w:val="auto"/>
        </w:rPr>
        <w:t>has served as President of RFG since October 26, 2017. Prior to his recent appointment as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RFG, Mr. Gibson served as Chief Operating Officer of RFG since 2003.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In March 2002, our common stock began trading on the OTC Bulletin Board under the symbol "CVGW." In July 2002, our common stock began trading on the Nasdaq National Market under the symbol "CVGW" and currently trades on the Nasdaq Global Select Market.</w:t>
      </w:r>
    </w:p>
    <w:p>
      <w:pPr>
        <w:spacing w:after="0" w:line="176"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for the periods indicated, the high and low sales prices per share of our common stock as reported on the Nasdaq Global Select Market.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84.88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6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84.93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6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69.35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98.50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83.85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92.70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ind w:right="280" w:firstLine="259"/>
        <w:spacing w:after="0" w:line="313" w:lineRule="auto"/>
        <w:rPr>
          <w:sz w:val="20"/>
          <w:szCs w:val="20"/>
          <w:color w:val="auto"/>
        </w:rPr>
      </w:pPr>
      <w:r>
        <w:rPr>
          <w:rFonts w:ascii="Times New Roman" w:cs="Times New Roman" w:eastAsia="Times New Roman" w:hAnsi="Times New Roman"/>
          <w:sz w:val="17"/>
          <w:szCs w:val="17"/>
          <w:color w:val="auto"/>
        </w:rPr>
        <w:t>As of November 30, 2019, there were approximately 776 stockholders of record of our common stock, which includes shareholders whose shares were held in brokerage firms, depositories and other institutional firms in “street name.”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9" w:right="1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740" w:firstLine="243"/>
        <w:spacing w:after="0" w:line="282" w:lineRule="auto"/>
        <w:rPr>
          <w:sz w:val="20"/>
          <w:szCs w:val="20"/>
          <w:color w:val="auto"/>
        </w:rPr>
      </w:pPr>
      <w:r>
        <w:rPr>
          <w:rFonts w:ascii="Times New Roman" w:cs="Times New Roman" w:eastAsia="Times New Roman" w:hAnsi="Times New Roman"/>
          <w:sz w:val="18"/>
          <w:szCs w:val="18"/>
          <w:color w:val="auto"/>
        </w:rPr>
        <w:t>Our dividend policy is to provide for an annual dividend payment, as determined by the Board of Directors. We anticipate paying dividends in the first quarter of our fiscal year.</w:t>
      </w:r>
    </w:p>
    <w:p>
      <w:pPr>
        <w:spacing w:after="0" w:line="162"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On October 1, 2019, we declared a dividend of $1.10 per share. On December 6, 2019, we paid the aggregate amount of $19.4 million to shareholders of record on November 15, 2019. On December 7, 2018, we paid a $1.00 per share dividend in the aggregate amount of $17.6 million to shareholders of record on November 16,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9"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following summary of consolidated financial data (other than information regarding the volume of products sold) for each of the years in the five-year period ended October 31, 2019, are derived from the audited consolidated financial statements of Calavo Growers, Inc.</w:t>
      </w:r>
    </w:p>
    <w:p>
      <w:pPr>
        <w:spacing w:after="0" w:line="176"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Historical results are not necessarily indicative of results that may be expected in any future period. The following data should be read in conjunction with "Management's Discussion and Analysis of Financial Condition and Results of Operations" and our consolidated financial statements and notes thereto that are included elsewhere in this Annual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October 31,</w:t>
            </w: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2"/>
                <w:szCs w:val="12"/>
                <w:color w:val="auto"/>
              </w:rPr>
            </w:pPr>
          </w:p>
        </w:tc>
      </w:tr>
      <w:tr>
        <w:trPr>
          <w:trHeight w:val="291"/>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 (1)(2)(4)(6)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1,195,777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1,088,758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1,075,565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935,679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856,824</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85,227</w:t>
            </w: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41,558</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 as of End of Period: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(4) (5)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284,945</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obligations (4) (5)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obligations, less current portion (4) (5)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185,982</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37,283</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 (2)(3)(4)(5)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(30,204)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(21,731)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(21,054)</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 (3)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(23,327)</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(15,689)</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(33,566)</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(15,802)</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per share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Pounds of California avocados sold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Pounds of non-California avocados sold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312,710</w:t>
            </w:r>
          </w:p>
        </w:tc>
        <w:tc>
          <w:tcPr>
            <w:tcW w:w="40" w:type="dxa"/>
            <w:vAlign w:val="bottom"/>
            <w:shd w:val="clear" w:color="auto" w:fill="CCEEFF"/>
          </w:tcPr>
          <w:p>
            <w:pPr>
              <w:spacing w:after="0"/>
              <w:rPr>
                <w:sz w:val="18"/>
                <w:szCs w:val="18"/>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Pounds of processed avocados products sold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27,182</w:t>
            </w:r>
          </w:p>
        </w:tc>
        <w:tc>
          <w:tcPr>
            <w:tcW w:w="40" w:type="dxa"/>
            <w:vAlign w:val="bottom"/>
          </w:tcPr>
          <w:p>
            <w:pPr>
              <w:spacing w:after="0"/>
              <w:rPr>
                <w:sz w:val="20"/>
                <w:szCs w:val="20"/>
                <w:color w:val="auto"/>
              </w:rPr>
            </w:pPr>
          </w:p>
        </w:tc>
      </w:tr>
      <w:tr>
        <w:trPr>
          <w:trHeight w:val="630"/>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3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33" w:right="1419" w:bottom="1440" w:gutter="0" w:footer="0" w:header="0"/>
        </w:sectPr>
      </w:pPr>
    </w:p>
    <w:bookmarkStart w:id="19" w:name="page20"/>
    <w:bookmarkEnd w:id="19"/>
    <w:p>
      <w:pPr>
        <w:ind w:left="340" w:right="280" w:hanging="317"/>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1440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8890"/>
                    </a:xfrm>
                    <a:prstGeom prst="rect">
                      <a:avLst/>
                    </a:prstGeom>
                    <a:noFill/>
                  </pic:spPr>
                </pic:pic>
              </a:graphicData>
            </a:graphic>
          </wp:anchor>
        </w:drawing>
        <w:t>During fiscal 2019 and 2018, we have recognized $14.1 million and $12.0 million in losses from FreshRealm, which has been recorded as losses from unconsolidated entities.</w:t>
      </w:r>
    </w:p>
    <w:p>
      <w:pPr>
        <w:spacing w:after="0" w:line="161" w:lineRule="exact"/>
        <w:rPr>
          <w:rFonts w:ascii="Times New Roman" w:cs="Times New Roman" w:eastAsia="Times New Roman" w:hAnsi="Times New Roman"/>
          <w:sz w:val="18"/>
          <w:szCs w:val="18"/>
          <w:color w:val="auto"/>
        </w:rPr>
      </w:pPr>
    </w:p>
    <w:p>
      <w:pPr>
        <w:ind w:left="360" w:right="80" w:hanging="324"/>
        <w:spacing w:after="0" w:line="261" w:lineRule="auto"/>
        <w:tabs>
          <w:tab w:leader="none" w:pos="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2018, 2017 and 2016, we contributed $3.5 million, $7.5 million and $3.2 million as investments in FreshRealm. Our total investment of $5.8 million, $19.9 million, $28.4 million and $21.0 million in FreshRealm as of October 31, 2019, 2018, 2017 and 2016, has been recorded as investment in unconsolidated subsidiaries on our balance sheet.</w:t>
      </w:r>
    </w:p>
    <w:p>
      <w:pPr>
        <w:spacing w:after="0" w:line="180" w:lineRule="exact"/>
        <w:rPr>
          <w:rFonts w:ascii="Times New Roman" w:cs="Times New Roman" w:eastAsia="Times New Roman" w:hAnsi="Times New Roman"/>
          <w:sz w:val="18"/>
          <w:szCs w:val="18"/>
          <w:color w:val="auto"/>
        </w:rPr>
      </w:pPr>
    </w:p>
    <w:p>
      <w:pPr>
        <w:ind w:left="360" w:right="60" w:hanging="324"/>
        <w:spacing w:after="0" w:line="282" w:lineRule="auto"/>
        <w:tabs>
          <w:tab w:leader="none" w:pos="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2019 and 2018, we loaned $23.8 million and $9.0 million as notes receivable from FreshRealm. For fiscal 2019, we have recorded $2.4 million as interest related to the notes receivable balance from FreshRealm.</w:t>
      </w:r>
    </w:p>
    <w:p>
      <w:pPr>
        <w:spacing w:after="0" w:line="161" w:lineRule="exact"/>
        <w:rPr>
          <w:rFonts w:ascii="Times New Roman" w:cs="Times New Roman" w:eastAsia="Times New Roman" w:hAnsi="Times New Roman"/>
          <w:sz w:val="18"/>
          <w:szCs w:val="18"/>
          <w:color w:val="auto"/>
        </w:rPr>
      </w:pPr>
    </w:p>
    <w:p>
      <w:pPr>
        <w:ind w:left="360" w:hanging="324"/>
        <w:spacing w:after="0" w:line="255" w:lineRule="auto"/>
        <w:tabs>
          <w:tab w:leader="none" w:pos="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2019, we sold our Temecula, California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of fiscal 2019 and recorded a deferred gain of $4.5 million, which will be recognized over the life of the lease. In connection with the capital lease we capitalized $3.2 million as a capital lease in property, plant and equipment and recorded a lease liability of $3.2 million ($0.1 million in current portion and $3.1 million in long term debt).</w:t>
      </w:r>
    </w:p>
    <w:p>
      <w:pPr>
        <w:spacing w:after="0" w:line="185" w:lineRule="exact"/>
        <w:rPr>
          <w:rFonts w:ascii="Times New Roman" w:cs="Times New Roman" w:eastAsia="Times New Roman" w:hAnsi="Times New Roman"/>
          <w:sz w:val="18"/>
          <w:szCs w:val="18"/>
          <w:color w:val="auto"/>
        </w:rPr>
      </w:pPr>
    </w:p>
    <w:p>
      <w:pPr>
        <w:ind w:left="360" w:right="60" w:hanging="324"/>
        <w:spacing w:after="0" w:line="256" w:lineRule="auto"/>
        <w:tabs>
          <w:tab w:leader="none" w:pos="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our third quarter of fiscal year 2019, we entered into a 10-year building and equipment lease for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87" w:lineRule="exact"/>
        <w:rPr>
          <w:rFonts w:ascii="Times New Roman" w:cs="Times New Roman" w:eastAsia="Times New Roman" w:hAnsi="Times New Roman"/>
          <w:sz w:val="18"/>
          <w:szCs w:val="18"/>
          <w:color w:val="auto"/>
        </w:rPr>
      </w:pPr>
    </w:p>
    <w:p>
      <w:pPr>
        <w:ind w:left="360" w:right="60" w:hanging="324"/>
        <w:spacing w:after="0" w:line="255" w:lineRule="auto"/>
        <w:tabs>
          <w:tab w:leader="none" w:pos="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2016, the FASB issued an ASU, which requires equity investments (except those accounted for under the equity method of accounting) to be measured at fair value with changes in fair value recognized in net income. The Company adopted this new standard at the beginning of fiscal 2019. For the year ended October 31, 2019, we sold 51,271 shares of Limoneira stock and recorded a loss of $0.1 million in our consolidated statements of income. Limoneira’s stock price at October 31, 2019, and October 31, 2018 equaled $18.92 per share, and $24.65 per share. Our remaining shares of Limoneira stock, totaling 1,677,299, were revalued to $18.92 per share at October 31, 2019 and, as a result, we recorded a loss of $9.6 million for the year ended October 31, 2019 in our consolidated 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37" w:right="1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00" w:firstLine="25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"Selected Consolidated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included in Item 1A and elsewhere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We are a leader in the distribution of avocados, prepared avocado products, and other perishable food products throughout the United States.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guacamole and salsa and (iii) create, process and package a portfolio of healthy fresh foods including fresh-cut fruit, fresh-cut vegetables, and prepared foods. We report our operations in three different business segments: Fresh products, Calavo Foods and RFG. See Note 10 to our consolidated financial statements for further discussion.</w:t>
      </w:r>
    </w:p>
    <w:p>
      <w:pPr>
        <w:spacing w:after="0" w:line="189" w:lineRule="exact"/>
        <w:rPr>
          <w:sz w:val="20"/>
          <w:szCs w:val="20"/>
          <w:color w:val="auto"/>
        </w:rPr>
      </w:pPr>
    </w:p>
    <w:p>
      <w:pPr>
        <w:ind w:right="40" w:firstLine="259"/>
        <w:spacing w:after="0" w:line="253" w:lineRule="auto"/>
        <w:rPr>
          <w:sz w:val="20"/>
          <w:szCs w:val="20"/>
          <w:color w:val="auto"/>
        </w:rPr>
      </w:pPr>
      <w:r>
        <w:rPr>
          <w:rFonts w:ascii="Times New Roman" w:cs="Times New Roman" w:eastAsia="Times New Roman" w:hAnsi="Times New Roman"/>
          <w:sz w:val="18"/>
          <w:szCs w:val="18"/>
          <w:color w:val="auto"/>
        </w:rPr>
        <w:t>Our Fresh products business grades, sizes, packs, cools, and ripens (if desired) avocados for delivery to our customers. During fiscal 2019, we operated four packinghouses and four operating and distributing facilities (aka value-added depots or VADs) that handle avocados that are sold across the United States and to select international markets. We believe that our continued success in marketing avocados is largely dependent upon securing a reliable, high-quality supply of avocados at reasonable prices, and keeping the handling costs low as we ship avocados to our packinghouses and distribution centers. We believe our diversified avocado sources help provide a level of relative supply stability that may, over time, serve to increase the availability and demand for avocados among consumers in the United States and elsewhere in the world. Significant fluctuations in the volume of avocados delivered have an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volume. We believe our efforts in distributing our other various perishable foods, such as tomatoes and papayas, complement our offerings of avocados. From time to time, we continue to explore the distribution of other crops that provide reasonable returns to our business.</w:t>
      </w:r>
    </w:p>
    <w:p>
      <w:pPr>
        <w:spacing w:after="0" w:line="189"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Our Calavo Foods business processes avocados into a wide variety of guacamole products, and distributes the processed product to our customers. All of our prepared avocado products shipped to North America are “cold pasteurized” and include both frozen and fresh guacamole. Due to the high-quality, no preservative nature of our guacamole and the variety of packaging formats that we offer, we believe that we are well positioned to address the diverse taste and needs of today’s foodservice and retail customers. Additionally, we also prepare various fresh salsa products. Our Calavo Foods segment maintains relationships with foodservice companies and food retailers. We continue to seek to expand our relationships with major foodservice companies and food retailers and develop alliances that will allow our products to reach a larger percentage of the marketplace. Net sales of frozen products represented approximately 38% and 41% of total processed segment sales for the years ended October 31, 2019 and 2018. Net sales of our refrigerated products represented approximately 62% and 59% of total processed segment sales for the years ended October 31, 2019 and 2018.</w:t>
      </w:r>
    </w:p>
    <w:p>
      <w:pPr>
        <w:spacing w:after="0" w:line="186"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Our RFG business produces, markets and distributes nationally a portfolio of healthy, high quality fresh packaged food products for consumers sold through the retail channel. RFG products include fresh-cut fruit and vegetables, fresh prepared entrée salads, wraps, sandwiches and fresh snacking products, as well as ready-to-heat entrees and other hot bar and various deli items, meals kit components and salad kits. RFG products are marketed under the Garden Highway Fresh Cut, Garden Highway, and Garden Highway Chef Essentials brands, as well as store-brand and private label programs.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21" w:name="page22"/>
    <w:bookmarkEnd w:id="21"/>
    <w:p>
      <w:pPr>
        <w:ind w:firstLine="259"/>
        <w:spacing w:after="0" w:line="254" w:lineRule="auto"/>
        <w:rPr>
          <w:sz w:val="20"/>
          <w:szCs w:val="20"/>
          <w:color w:val="auto"/>
        </w:rPr>
      </w:pPr>
      <w:r>
        <w:rPr>
          <w:rFonts w:ascii="Times New Roman" w:cs="Times New Roman" w:eastAsia="Times New Roman" w:hAnsi="Times New Roman"/>
          <w:sz w:val="18"/>
          <w:szCs w:val="18"/>
          <w:color w:val="auto"/>
        </w:rPr>
        <w:t>The operating results of all of our businesses have been, and will continue to be, affected by quarterly and annual fluctuations and market downturns due to a number of factors, including but not limited to pests and disease, weather patterns, changes in demand by consumers, food safety advisories impacting the fresh perishable food categories in which we currently operate, the timing of the receipt, reduction, or cancellation of significant customer orders, the gain or loss of significant customers, market acceptance of our products, our ability to develop, introduce, and market new products on a timely basis, the availability, quality and price of raw materials, new product introductions by our competitors, the utilization of production capacity at our various plant locations, change in the mix of products that our Fresh, Calavo Foods and RFG segments sell, and general economic conditions. We believe, however, that we are currently positioned to address these risks and deliver favorable operating results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On October 1, 2019, the Company declared a $1.10 per share cash dividend to shareholders of record on November 15, 2019. On December 6, 2019, the Company paid this cash dividend, which totaled $19.4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right="10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tax audits</w:t>
      </w:r>
    </w:p>
    <w:p>
      <w:pPr>
        <w:spacing w:after="0" w:line="227" w:lineRule="exact"/>
        <w:rPr>
          <w:sz w:val="20"/>
          <w:szCs w:val="20"/>
          <w:color w:val="auto"/>
        </w:rPr>
      </w:pPr>
    </w:p>
    <w:p>
      <w:pPr>
        <w:ind w:firstLine="484"/>
        <w:spacing w:after="0" w:line="253"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93"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As a result, in April 2019, the MFM issued a final tax assessment to CDM (“the 2011 Assessment”) totaling approximately $2.2 billion Mexican pesos (approx. $114.4 million USD at October 31, 2019) related to Income Tax, Flat Rate Business Tax and Value Added Tax, corresponding to the fiscal 2011 tax audit. We have consulted with an internationally recognized tax advisor and continue to believe this tax assessment is without merit. Therefore, we filed an administrative appeal challenging the MFM’s fiscal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Note 15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89" w:lineRule="exact"/>
        <w:rPr>
          <w:sz w:val="20"/>
          <w:szCs w:val="20"/>
          <w:color w:val="auto"/>
        </w:rPr>
      </w:pPr>
    </w:p>
    <w:p>
      <w:pPr>
        <w:ind w:right="320" w:firstLine="259"/>
        <w:spacing w:after="0" w:line="289" w:lineRule="auto"/>
        <w:rPr>
          <w:sz w:val="20"/>
          <w:szCs w:val="20"/>
          <w:color w:val="auto"/>
        </w:rPr>
      </w:pPr>
      <w:r>
        <w:rPr>
          <w:rFonts w:ascii="Times New Roman" w:cs="Times New Roman" w:eastAsia="Times New Roman" w:hAnsi="Times New Roman"/>
          <w:sz w:val="17"/>
          <w:szCs w:val="17"/>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337" w:right="1439" w:bottom="1440" w:gutter="0" w:footer="0" w:header="0"/>
        </w:sectPr>
      </w:pPr>
    </w:p>
    <w:bookmarkStart w:id="22" w:name="page23"/>
    <w:bookmarkEnd w:id="22"/>
    <w:p>
      <w:pPr>
        <w:ind w:right="140"/>
        <w:spacing w:after="0" w:line="261" w:lineRule="auto"/>
        <w:rPr>
          <w:sz w:val="20"/>
          <w:szCs w:val="20"/>
          <w:color w:val="auto"/>
        </w:rPr>
      </w:pPr>
      <w:r>
        <w:rPr>
          <w:rFonts w:ascii="Times New Roman" w:cs="Times New Roman" w:eastAsia="Times New Roman" w:hAnsi="Times New Roman"/>
          <w:sz w:val="18"/>
          <w:szCs w:val="18"/>
          <w:color w:val="auto"/>
        </w:rPr>
        <w:t>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80"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(the “2013 Assessment”) totaling approximately $2.6 billion Mexican pesos (approx. $135.1 million USD at October 31, 2019) related to Income Tax, Flat Rate Business Tax, and Value Added Tax, corresponding to the fiscal 2013 tax audit. Additionally, the tax authorities have determined that we owe an employee’s profit-sharing liability, totaling approximately $118 million Mexican pesos (approx. $6.1 million USD at October 31, 2019).</w:t>
      </w:r>
    </w:p>
    <w:p>
      <w:pPr>
        <w:spacing w:after="0" w:line="184"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Note 15 regarding IVA refunds) indicating that they believe that our legal interpretation is accurate on a matter that is also central to the 2013 Assessment. We believe this recent ruling significantly undermines the 2013 Assessment we received in July 2018. We believe we have the legal arguments and documentation to sustain the positions challenged by the SAT.</w:t>
      </w:r>
    </w:p>
    <w:p>
      <w:pPr>
        <w:spacing w:after="0" w:line="185" w:lineRule="exact"/>
        <w:rPr>
          <w:sz w:val="20"/>
          <w:szCs w:val="20"/>
          <w:color w:val="auto"/>
        </w:rPr>
      </w:pPr>
    </w:p>
    <w:p>
      <w:pPr>
        <w:ind w:right="880" w:firstLine="270"/>
        <w:spacing w:after="0" w:line="282" w:lineRule="auto"/>
        <w:rPr>
          <w:sz w:val="20"/>
          <w:szCs w:val="20"/>
          <w:color w:val="auto"/>
        </w:rPr>
      </w:pPr>
      <w:r>
        <w:rPr>
          <w:rFonts w:ascii="Times New Roman" w:cs="Times New Roman" w:eastAsia="Times New Roman" w:hAnsi="Times New Roman"/>
          <w:sz w:val="18"/>
          <w:szCs w:val="18"/>
          <w:color w:val="auto"/>
        </w:rPr>
        <w:t>We continue to believe that the ultimate resolution of these matters is unlikely to have a material effect on our consolidated financial position,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and realized net loss on Limoneira Stock</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January 2016, the FASB issued an ASU, which requires equity investments (except those accounted for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method of accounting) to be measured at fair value with changes in fair value recognized in net income.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this new standard at the beginning of fiscal 2019. With the adoption of this new standard, we reclassed unrealized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of $12.1 million in accumulated other comprehensive income to retained earnings as of November 1,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for the year ended October 31, 2019, we sold 51,271 shares of Limoneira stock and recorded a loss of $0.1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our consolidated statements of income. Limoneira’s stock price at October 31, 2019, and October 31, 2018 equaled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$18.92 per share, and $24.65 per share. Our remaining shares of Limoneira stock, totaling 1,677,299, were revalued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$18.92 per share at October 31, 2019 and, as a result, we recorded a loss of $9.8 million for the year ended October 31,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consolidated condensed statements of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227"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Effective March 1, 2019, we entered into a Second Amendment to Credit Agreement (the “Second Amendment”) with Farm Credit West, PCA, and Bank of America, N.A., relating to our Credit Agreement dated as of June 14, 2016 and the First Amendment to Credit Agreement dated as of August 29, 2016. The Second Amendment, among other things, excludes financial results of FreshRealm from Calavo’s financial reporting requirements and covenant calculations and provides flexibility in making investments in joint ventures and non-wholly owned subsidiaries of Calavo.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Temecula, California Packinghouse</w:t>
      </w:r>
    </w:p>
    <w:p>
      <w:pPr>
        <w:spacing w:after="0" w:line="227" w:lineRule="exact"/>
        <w:rPr>
          <w:sz w:val="20"/>
          <w:szCs w:val="20"/>
          <w:color w:val="auto"/>
        </w:rPr>
      </w:pPr>
    </w:p>
    <w:p>
      <w:pPr>
        <w:ind w:right="40" w:firstLine="259"/>
        <w:spacing w:after="0" w:line="273" w:lineRule="auto"/>
        <w:rPr>
          <w:sz w:val="20"/>
          <w:szCs w:val="20"/>
          <w:color w:val="auto"/>
        </w:rPr>
      </w:pPr>
      <w:r>
        <w:rPr>
          <w:rFonts w:ascii="Times New Roman" w:cs="Times New Roman" w:eastAsia="Times New Roman" w:hAnsi="Times New Roman"/>
          <w:sz w:val="17"/>
          <w:szCs w:val="17"/>
          <w:color w:val="auto"/>
        </w:rPr>
        <w:t>In April 2019, we sold our Temecula, California packinghouse for $7.1 million in cash ($6.7 million, net of transaction costs (primarily sales commissions) totaling $0.4 million)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of fiscal 2019 and recorded a deferred gain of $4.5 million, which will be recognized over the life of the lease (i.e. straight-line over 15 years). We recognized $0.2 million of the deferred gain for fiscal 2019.</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jc w:val="both"/>
        <w:ind w:right="120" w:firstLine="259"/>
        <w:spacing w:after="0" w:line="266" w:lineRule="auto"/>
        <w:rPr>
          <w:sz w:val="20"/>
          <w:szCs w:val="20"/>
          <w:color w:val="auto"/>
        </w:rPr>
      </w:pPr>
      <w:r>
        <w:rPr>
          <w:rFonts w:ascii="Times New Roman" w:cs="Times New Roman" w:eastAsia="Times New Roman" w:hAnsi="Times New Roman"/>
          <w:sz w:val="18"/>
          <w:szCs w:val="18"/>
          <w:color w:val="auto"/>
        </w:rPr>
        <w:t>In connection with the leaseback of this packinghouse, we calculated the present value of the minimum lease payments related to the building and have capitalized $3.3 million as a capital lease in our property, plant and equipment and recorded $3.3 million as a lease obligation.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RFG Georgia facility</w:t>
      </w:r>
    </w:p>
    <w:p>
      <w:pPr>
        <w:spacing w:after="0" w:line="227"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During our third quarter of fiscal year 2019, we entered into a 10-year building and equipment lease for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Browne’s retirement</w:t>
      </w:r>
    </w:p>
    <w:p>
      <w:pPr>
        <w:spacing w:after="0" w:line="227" w:lineRule="exact"/>
        <w:rPr>
          <w:sz w:val="20"/>
          <w:szCs w:val="20"/>
          <w:color w:val="auto"/>
        </w:rPr>
      </w:pPr>
    </w:p>
    <w:p>
      <w:pPr>
        <w:ind w:right="280" w:firstLine="225"/>
        <w:spacing w:after="0" w:line="266" w:lineRule="auto"/>
        <w:rPr>
          <w:sz w:val="20"/>
          <w:szCs w:val="20"/>
          <w:color w:val="auto"/>
        </w:rPr>
      </w:pPr>
      <w:r>
        <w:rPr>
          <w:rFonts w:ascii="Times New Roman" w:cs="Times New Roman" w:eastAsia="Times New Roman" w:hAnsi="Times New Roman"/>
          <w:sz w:val="18"/>
          <w:szCs w:val="18"/>
          <w:color w:val="212529"/>
        </w:rPr>
        <w:t>On September 20, 2019, Michael Browne advised Calavo, of his intention to retire as Calavo’s Vice President of Fresh Operations effective December 15, 2019. Effective December 15, 2019, Mr. Browne’s responsibilities at Calavo will be transitioned to Calavo’s Director of Fresh Operations who has reported to Michael Browne for the last 14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Lecil Cole’s retirement</w:t>
      </w:r>
    </w:p>
    <w:p>
      <w:pPr>
        <w:spacing w:after="0" w:line="227" w:lineRule="exact"/>
        <w:rPr>
          <w:sz w:val="20"/>
          <w:szCs w:val="20"/>
          <w:color w:val="auto"/>
        </w:rPr>
      </w:pPr>
    </w:p>
    <w:p>
      <w:pPr>
        <w:ind w:right="40" w:firstLine="225"/>
        <w:spacing w:after="0" w:line="255" w:lineRule="auto"/>
        <w:rPr>
          <w:sz w:val="20"/>
          <w:szCs w:val="20"/>
          <w:color w:val="auto"/>
        </w:rPr>
      </w:pPr>
      <w:r>
        <w:rPr>
          <w:rFonts w:ascii="Times New Roman" w:cs="Times New Roman" w:eastAsia="Times New Roman" w:hAnsi="Times New Roman"/>
          <w:sz w:val="18"/>
          <w:szCs w:val="18"/>
          <w:color w:val="212529"/>
        </w:rPr>
        <w:t>On October 24, 2019, Lecil E. Cole advised Calavo of his intention to retire as Calavo’s President and Chief Executive Officer, during the first quarter of calendar year 2020. Calavo’s Board of Directors is in the process of interviewing and evaluating several, qualified Chief Executive Officer candidates. Mr. Cole’s retirement will become effective on the date that his successor as Chief Executive Officer begins service in that capacity, following selection and appointment by the Board of Directors. Mr. Cole also advised Calavo that he intends to continue to serve as Calavo’s Chairman of the Board of Directors, with a focus on maintaining and enhancing Calavo’s business relationships with its investors and suppliers of avocados and other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191"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76"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We believe the following are the more significant judgments and estimates used in the preparation of our consolidated financial statements.</w:t>
      </w:r>
    </w:p>
    <w:p>
      <w:pPr>
        <w:spacing w:after="0" w:line="160" w:lineRule="exact"/>
        <w:rPr>
          <w:sz w:val="20"/>
          <w:szCs w:val="20"/>
          <w:color w:val="auto"/>
        </w:rPr>
      </w:pPr>
    </w:p>
    <w:p>
      <w:pPr>
        <w:ind w:right="12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Promotional allowances. </w:t>
      </w:r>
      <w:r>
        <w:rPr>
          <w:rFonts w:ascii="Times New Roman" w:cs="Times New Roman" w:eastAsia="Times New Roman" w:hAnsi="Times New Roman"/>
          <w:sz w:val="18"/>
          <w:szCs w:val="18"/>
          <w:color w:val="auto"/>
        </w:rPr>
        <w:t>We provide for promotional allowances at the time of sale, based on our historical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estimates are generally based on evaluating the relationship between promotional allowances and gross</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337" w:right="143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8"/>
          <w:szCs w:val="18"/>
          <w:color w:val="auto"/>
        </w:rPr>
        <w:t>sales. The derived percentage is then applied to the current period’s sales revenues in order to arrive at the appropriate debit to sales allowances for the period. The offsetting credit is made to accrued liabilities.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 We estimate that a one percent (100 basis point) change in the derived percentage for the entire year would impact results of operations by approximately $0.1 million.</w:t>
      </w:r>
    </w:p>
    <w:p>
      <w:pPr>
        <w:spacing w:after="0" w:line="186" w:lineRule="exact"/>
        <w:rPr>
          <w:sz w:val="20"/>
          <w:szCs w:val="20"/>
          <w:color w:val="auto"/>
        </w:rPr>
      </w:pPr>
    </w:p>
    <w:p>
      <w:pPr>
        <w:ind w:firstLine="2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deferred tax liabilities and assets for the future consequences of events that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85"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88"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82" w:lineRule="exact"/>
        <w:rPr>
          <w:sz w:val="20"/>
          <w:szCs w:val="20"/>
          <w:color w:val="auto"/>
        </w:rPr>
      </w:pPr>
    </w:p>
    <w:p>
      <w:pPr>
        <w:ind w:right="20" w:firstLine="243"/>
        <w:spacing w:after="0" w:line="253" w:lineRule="auto"/>
        <w:rPr>
          <w:sz w:val="20"/>
          <w:szCs w:val="20"/>
          <w:color w:val="auto"/>
        </w:rPr>
      </w:pPr>
      <w:r>
        <w:rPr>
          <w:rFonts w:ascii="Times New Roman" w:cs="Times New Roman" w:eastAsia="Times New Roman" w:hAnsi="Times New Roman"/>
          <w:sz w:val="18"/>
          <w:szCs w:val="18"/>
          <w:i w:val="1"/>
          <w:iCs w:val="1"/>
          <w:color w:val="auto"/>
        </w:rPr>
        <w:t>Goodwill and acquired intangible assets</w:t>
      </w:r>
      <w:r>
        <w:rPr>
          <w:rFonts w:ascii="Times New Roman" w:cs="Times New Roman" w:eastAsia="Times New Roman" w:hAnsi="Times New Roman"/>
          <w:sz w:val="18"/>
          <w:szCs w:val="18"/>
          <w:color w:val="auto"/>
        </w:rPr>
        <w:t>. Goodwill, defined as unidentified asset(s) acquired in conjunction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can use a qualitative test, known as "Step 0," or a two-step quantitative method to determine whether impairment has occurred. In Step 0, we elect to perform an optional qualitative analysis and based on the results skip the two step analysis. In fiscal 2018, 2017 and 2016, we elected to implement Step 0 and were not required to conduct the remaining two step analysis.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The results of our Step 0 assessments indicated that it was more likely than not that the fair value of its reporting unit exceeded its carrying value and therefore we concluded that there were no impairments for the years ended October 31, 2019, 2018 or 2017.</w:t>
      </w:r>
    </w:p>
    <w:p>
      <w:pPr>
        <w:spacing w:after="0" w:line="189" w:lineRule="exact"/>
        <w:rPr>
          <w:sz w:val="20"/>
          <w:szCs w:val="20"/>
          <w:color w:val="auto"/>
        </w:rPr>
      </w:pPr>
    </w:p>
    <w:p>
      <w:pPr>
        <w:ind w:right="140" w:firstLine="22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We account for non-marketable investments using the equity method of accounting if the investment gives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 In order to estimate the fair value of our investment in FreshRealm, we hired an independent third-party expert to provide their written opinion on the fair value of our investment. We reviewed and considered their independent expert opinion in making our determination.</w:t>
      </w:r>
    </w:p>
    <w:p>
      <w:pPr>
        <w:spacing w:after="0" w:line="183"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Notes receivable from FreshRealm. </w:t>
      </w:r>
      <w:r>
        <w:rPr>
          <w:rFonts w:ascii="Times New Roman" w:cs="Times New Roman" w:eastAsia="Times New Roman" w:hAnsi="Times New Roman"/>
          <w:sz w:val="18"/>
          <w:szCs w:val="18"/>
          <w:color w:val="auto"/>
        </w:rPr>
        <w:t>As of October 31, 2019, and October 31, 2018, we had notes receivable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from FreshRealm totaling $35.2 million and $9.0 million. At October 31, 2018, notes receivable from FreshRealm of $9.0 million was included in prepaids and other current assets. The notes to FreshRealm, as of October 31, 2019, bear interest at the rate of 10% annually, with monthly interest payments scheduled to begin on October 31,</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ind w:right="160"/>
        <w:spacing w:after="0" w:line="255" w:lineRule="auto"/>
        <w:rPr>
          <w:sz w:val="20"/>
          <w:szCs w:val="20"/>
          <w:color w:val="auto"/>
        </w:rPr>
      </w:pPr>
      <w:r>
        <w:rPr>
          <w:rFonts w:ascii="Times New Roman" w:cs="Times New Roman" w:eastAsia="Times New Roman" w:hAnsi="Times New Roman"/>
          <w:sz w:val="18"/>
          <w:szCs w:val="18"/>
          <w:color w:val="auto"/>
        </w:rPr>
        <w:t>2020. This first interest payment would represent interest due for the month of October 2020 only, with similar monthly payments scheduled to follow afterwards. The due date of the notes is November 1, 2021, with the Company having the option of up to two, one-year extensions (i.e. first to November 1, 2022, then to November 1, 2023). At October 31, 2019, we have a receivable of $2.4 million related to interest that we have recorded within Note receivables to FreshRealm on the balance sheet. We assess the collectability of these notes from FreshRealm based on their financial results and, primarily, their cash projections. We have concluded no reserve is necessary as of October 31, 2019. See Notes 8 and 16 in our consolidated financial statements for further information.</w:t>
      </w:r>
    </w:p>
    <w:p>
      <w:pPr>
        <w:spacing w:after="0" w:line="187" w:lineRule="exact"/>
        <w:rPr>
          <w:sz w:val="20"/>
          <w:szCs w:val="20"/>
          <w:color w:val="auto"/>
        </w:rPr>
      </w:pPr>
    </w:p>
    <w:p>
      <w:pPr>
        <w:jc w:val="both"/>
        <w:ind w:right="240"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Allowance for accounts receivable</w:t>
      </w:r>
      <w:r>
        <w:rPr>
          <w:rFonts w:ascii="Times New Roman" w:cs="Times New Roman" w:eastAsia="Times New Roman" w:hAnsi="Times New Roman"/>
          <w:sz w:val="18"/>
          <w:szCs w:val="18"/>
          <w:color w:val="auto"/>
        </w:rPr>
        <w:t>. We provide an allowance for estimated uncollectible accounts receivable balances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historical experience and the aging of the related accounts receivable. If the financial condition of our customers were to deteriorate, resulting in an impairment of their ability to make payments, additional allowances may be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2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items from our consolidated statements of income, expressed as percentages of our total net sales,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500" w:type="dxa"/>
            <w:vAlign w:val="bottom"/>
            <w:gridSpan w:val="6"/>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r>
      <w:tr>
        <w:trPr>
          <w:trHeight w:val="142"/>
        </w:trPr>
        <w:tc>
          <w:tcPr>
            <w:tcW w:w="65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10.7 %</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10.4 %</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10.6 %</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4.9 %</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5.2 %</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5.3 %</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5.9 %</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5.2 %</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0.2 %</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Unrealized and realized net loss on Limoneira shares</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3.1 %</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3.0 %</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3.5 %</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140" w:firstLine="259"/>
        <w:spacing w:after="0" w:line="255" w:lineRule="auto"/>
        <w:rPr>
          <w:sz w:val="20"/>
          <w:szCs w:val="20"/>
          <w:color w:val="auto"/>
        </w:rPr>
      </w:pPr>
      <w:r>
        <w:rPr>
          <w:rFonts w:ascii="Times New Roman" w:cs="Times New Roman" w:eastAsia="Times New Roman" w:hAnsi="Times New Roman"/>
          <w:sz w:val="18"/>
          <w:szCs w:val="18"/>
          <w:color w:val="auto"/>
        </w:rPr>
        <w:t>We believe that the fundamental consumption trends for our products continue to be favorable. Firstly, U.S. avocado demand continues to grow, with per capita consumption in 2018/19 reaching 8.0 pounds per person, up 7 percent from the previous year, and approximately double the estimate from a decade ago. We believe that the healthy eating trend that has been developing in the U.S. contributes to such growth, as avocados are cholesterol and sodium free, dense in fiber, vitamin B6, antioxidants, potassium, folate, and contain unsaturated fat, which helps lower cholesterol. Also, a growing number of research studies seem to suggest that phytonutrients, which avocados are rich in, help fight chronic illnesses, such as heart disease and cancer.</w:t>
      </w:r>
    </w:p>
    <w:p>
      <w:pPr>
        <w:spacing w:after="0" w:line="189"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Additionally, we believe that the demographic changes in the U.S. will impact the consumption of avocados and avocado-based products. The Hispanic community currently accounts for approximately 18% of the U.S. population and the total number of Hispanics is estimated to double by the year 2050. Avocados are considered a staple item purchased by Hispanic consumers, as the per-capita avocado consumption in Mexico is significantly higher than that of the U.S.</w:t>
      </w:r>
    </w:p>
    <w:p>
      <w:pPr>
        <w:spacing w:after="0" w:line="180"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We anticipate avocado products will further penetrate the United States marketplace, driven by year-round availability of imported fresh avocados, a rapidly growing Hispanic population, and the promotion of the health benefits of avocados. As one of the largest marketers of avocado products in the United States, we believe that we are well positioned to leverage this trend and to grow our Fresh products and Calavo Foods segments of our business. Additionally, we also believe that avocados and avocado based products will further penetrate other marketplaces that we currently operate in as interest in avocados continues to expand.</w:t>
      </w:r>
    </w:p>
    <w:p>
      <w:pPr>
        <w:spacing w:after="0" w:line="188" w:lineRule="exact"/>
        <w:rPr>
          <w:sz w:val="20"/>
          <w:szCs w:val="20"/>
          <w:color w:val="auto"/>
        </w:rPr>
      </w:pPr>
    </w:p>
    <w:p>
      <w:pPr>
        <w:ind w:right="300" w:firstLine="259"/>
        <w:spacing w:after="0" w:line="266" w:lineRule="auto"/>
        <w:rPr>
          <w:sz w:val="20"/>
          <w:szCs w:val="20"/>
          <w:color w:val="auto"/>
        </w:rPr>
      </w:pPr>
      <w:r>
        <w:rPr>
          <w:rFonts w:ascii="Times New Roman" w:cs="Times New Roman" w:eastAsia="Times New Roman" w:hAnsi="Times New Roman"/>
          <w:sz w:val="18"/>
          <w:szCs w:val="18"/>
          <w:color w:val="auto"/>
        </w:rPr>
        <w:t>In October 2002, the USDA announced the creation of a Hass Avocado Board to promote the sale of Hass variety avocados in the U.S. marketplace. This board provides a basis for a unified funding of promotional activities based on an assessment on all avocados sold in the U.S. marketplace. The California Avocado Commission, which receives 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ind w:right="60"/>
        <w:spacing w:after="0" w:line="254" w:lineRule="auto"/>
        <w:rPr>
          <w:sz w:val="20"/>
          <w:szCs w:val="20"/>
          <w:color w:val="auto"/>
        </w:rPr>
      </w:pPr>
      <w:r>
        <w:rPr>
          <w:rFonts w:ascii="Times New Roman" w:cs="Times New Roman" w:eastAsia="Times New Roman" w:hAnsi="Times New Roman"/>
          <w:sz w:val="18"/>
          <w:szCs w:val="18"/>
          <w:color w:val="auto"/>
        </w:rPr>
        <w:t>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During fiscal 2019, 2018 and 2017, on behalf of avocado growers, we remitted approximately $1.1 million, $1.5 million and $1.7 million to the California Avocado Commission. During fiscal 2019, 2018 and 2017, we remitted approximately $7.2 million, $6.9 million and $5.8 million to the Hass Avocado Board related to avocados. Similarly, Avocados from Mexico (AFM) was formed in 2013 as the marketing arm of the Mexican Hass Avocados Importers Association (MHAIA) and the Association of Growers and Packers of Avocados From Mexico (APEAM). During fiscal 2019, 2018 and 2017, we remitted approximately $5.4 million, $4.7 million and $3.5 million to APEAM primarily related to these marketing activities for Mexican avocados.</w:t>
      </w:r>
    </w:p>
    <w:p>
      <w:pPr>
        <w:spacing w:after="0" w:line="189"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We also believe that our other fresh products, primarily tomatoes, are positioned for future growth. The tomato is the fourth most popular fresh-market vegetable (though a fruit scientifically speaking, tomatoes are more commonly considered a vegetable) behind potatoes, lettuce, and onions in the U.S. Although stabilizing in the first decade of the 2000s, annual average fresh-market tomato consumption remains well above that of the previous decade. Over the past few decades, per capita consumption of tomatoes has been on the rise due primarily to the enduring popularity of salads, salad bars, and submarine sandwiches. Perhaps of greater importance has been the introduction of new and improved tomato varieties, the increased development of hot-house grown tomatoes (such as those grown by our ADM affiliate), heightened consumer interest in a wider range of tomatoes, a surge of new immigrants who eat vegetable-intensive diets, and expanding national emphasis on health and nutrition.</w:t>
      </w:r>
    </w:p>
    <w:p>
      <w:pPr>
        <w:spacing w:after="0" w:line="189"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Papayas have become more popular as the consumption in the U.S. has more than doubled in the past decade. Papayas have high nutritional benefits. They are rich in anti-oxidants, the B vitamins, folate and pantothenic acid, potassium and magnesium, and fiber.</w:t>
      </w:r>
    </w:p>
    <w:p>
      <w:pPr>
        <w:spacing w:after="0" w:line="176" w:lineRule="exact"/>
        <w:rPr>
          <w:sz w:val="20"/>
          <w:szCs w:val="20"/>
          <w:color w:val="auto"/>
        </w:rPr>
      </w:pPr>
    </w:p>
    <w:p>
      <w:pPr>
        <w:ind w:right="160" w:firstLine="259"/>
        <w:spacing w:after="0" w:line="255" w:lineRule="auto"/>
        <w:rPr>
          <w:sz w:val="20"/>
          <w:szCs w:val="20"/>
          <w:color w:val="auto"/>
        </w:rPr>
      </w:pPr>
      <w:r>
        <w:rPr>
          <w:rFonts w:ascii="Times New Roman" w:cs="Times New Roman" w:eastAsia="Times New Roman" w:hAnsi="Times New Roman"/>
          <w:sz w:val="18"/>
          <w:szCs w:val="18"/>
          <w:color w:val="auto"/>
        </w:rPr>
        <w:t>Additionally, through the acquisition of RFG, we substantially expanded and accelerated the Company’s presence in the fast-growing refrigerated fresh packaged foods category through an array of retail product lines for produce, deli, and foodservice departments. RFG products include fresh-cut fruit and vegetables, fresh prepared entrée salads, wraps, sandwiches and fresh snacking products as well as ready-to-heat entrees and other hot bar and various deli items, meals kits and salad kits. Value-added fruits and vegetables have continued to grow faster than their broader produce categories as consumers increasingly place value on the convenient nature of those products and producers like RFG continue to develop new formulations of value-added products. RFG has also expanded the capacity to provide products for a larger portion of the Fresh Deli department, which remains one of the fastest growing aisles in retail grocery.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8"/>
          <w:szCs w:val="18"/>
          <w:color w:val="auto"/>
        </w:rPr>
        <w:t>The following tables set forth sales by product category and sales incentives, by segment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 2019</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9"/>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Year ended October 31, 2018</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Fresh</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Calavo</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RFG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Fresh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Calavo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Third-party sales:</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Avocados</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569,779</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569,779</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511,730</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511,730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Tomatoes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Papayas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fresh products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Prepared avocado products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99,635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99,635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Salsa</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Fresh-cut fruit &amp; vegetables and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488,373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488,373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prepared foods</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gross sales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622,942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104,094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488,373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1,215,409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555,535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451,203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1,109,796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sales incentives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inter-company eliminations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618,937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90,777</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486,063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1,195,777</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551,654</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88,174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448,930</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1,088,758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 2018</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 2017</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Fresh</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Calavo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RFG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Fresh</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Calavo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Third-party sales:</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Avocados</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511,730</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511,730</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546,433</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546,433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Tomatoes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29,199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Papayas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fresh products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Prepared avocado products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99,635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99,635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Salsa</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Fresh-cut fruit &amp; vegetables and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419,973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419,973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prepared foods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gross sales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103,058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451,203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1,109,796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585,479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89,155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419,973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1,094,607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sales incentives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inter-company eliminations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551,654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88,174</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448,930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1,088,758</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582,662</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74,395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418,508</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1,075,565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Net sales to third parties by segment exclude inter-segment sales and cost of sales. For fiscal year 2019, 2018 and 2017, inter-segment sales and cost of sales of $2.2 million, $1.6 million and $1.3 million between Fresh products and RFG were eliminated. For fiscal year 2019, 2018 and 2017, inter-segment sales and cost of sales of $4.0 million, $3.5 million and $3.2 million between Calavo Foods and RFG were eliminated.</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net sales by business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6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3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618,937</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551,654</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486,063</w:t>
            </w: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448,930</w:t>
            </w: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418,508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10"/>
        </w:trPr>
        <w:tc>
          <w:tcPr>
            <w:tcW w:w="3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1,195,777</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1,088,758</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1,075,565</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51.8 %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50.7 %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20" w:type="dxa"/>
            <w:vAlign w:val="bottom"/>
          </w:tcPr>
          <w:p>
            <w:pPr>
              <w:spacing w:after="0"/>
              <w:rPr>
                <w:sz w:val="18"/>
                <w:szCs w:val="18"/>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7.6 %</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8.1 %</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20" w:type="dxa"/>
            <w:vAlign w:val="bottom"/>
            <w:shd w:val="clear" w:color="auto" w:fill="CCEEFF"/>
          </w:tcPr>
          <w:p>
            <w:pPr>
              <w:spacing w:after="0"/>
              <w:rPr>
                <w:sz w:val="18"/>
                <w:szCs w:val="18"/>
                <w:color w:val="auto"/>
              </w:rPr>
            </w:pPr>
          </w:p>
        </w:tc>
      </w:tr>
      <w:tr>
        <w:trPr>
          <w:trHeight w:val="21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40.6 %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41.2 %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20" w:type="dxa"/>
            <w:vAlign w:val="bottom"/>
          </w:tcPr>
          <w:p>
            <w:pPr>
              <w:spacing w:after="0"/>
              <w:rPr>
                <w:sz w:val="18"/>
                <w:szCs w:val="18"/>
                <w:color w:val="auto"/>
              </w:rPr>
            </w:pPr>
          </w:p>
        </w:tc>
      </w:tr>
      <w:tr>
        <w:trPr>
          <w:trHeight w:val="210"/>
        </w:trPr>
        <w:tc>
          <w:tcPr>
            <w:tcW w:w="30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0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80"/>
          </w:cols>
          <w:pgMar w:left="1420" w:top="337" w:right="1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Net sales for the year ended October 31, 2019, as compared to 2018, increased by $107.0 million, or 9.8%. The increase in sales, when compared to the same corresponding prior year periods, is related to growth from all reporting segments.</w:t>
      </w:r>
    </w:p>
    <w:p>
      <w:pPr>
        <w:spacing w:after="0" w:line="162"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For fiscal year 2019, our Fresh products segment had our largest percentage increase in sales, followed by our RFG segment and Calavo Foods segment. The increase in Fresh products sales was due primarily to an increase in the per unit selling price of avocados. The increase in Calavo Foods sales was due primarily to increased sales of our prepared avocado products. The increase in RFG sales was due primarily to increased sales from fresh prepared food, fresh-cut fruit and vegetable products. See discussion below for further details.</w:t>
      </w:r>
    </w:p>
    <w:p>
      <w:pPr>
        <w:spacing w:after="0" w:line="184"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All three segments of our business are subject to seasonal trends, which can impact the volume and/or quality of fruit sourced in any particular quarter.</w:t>
      </w:r>
    </w:p>
    <w:p>
      <w:pPr>
        <w:spacing w:after="0" w:line="162"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Net sales to third parties by segment exclude value-added services billed by our Uruapan packinghouse and our Uruapan processing plant to the parent company. Additionally, net sales to third parties by segment exclude sales between Avocados de Jalisco and the parent company. All intercompany sales are eliminated in our consolidated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2019 vs. Fiscal 2018:</w:t>
      </w:r>
    </w:p>
    <w:p>
      <w:pPr>
        <w:spacing w:after="0" w:line="225"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Net sales delivered by the Fresh products business increased by approximately $67.2 million, or 12%, for the year ended October 31, 2019, when compared to the same period for fiscal 2018. This increase in Fresh product sales during the year ended 2019 was primarily related to increased sales of avocados and tomatoes.</w:t>
      </w:r>
    </w:p>
    <w:p>
      <w:pPr>
        <w:spacing w:after="0" w:line="176"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Sales of avocados increased $57.8 million, or 11%, for the year ended October 31, 2019, when compared to the same prior year period. The increase in avocado sales was primarily due to a 12% increase in the average sales price per carton, compared to fiscal 2018. We attribute much of the increase in price to the strong consumer demand throughout the year, which exceeded available industry supply, as well as an increase in our percentage of value-added cartons sold. The increase in sales price per carton was partially offset by an approximately 1%, or 2.3 million pound decrease in the volume of avocados sold.</w:t>
      </w:r>
    </w:p>
    <w:p>
      <w:pPr>
        <w:spacing w:after="0" w:line="188"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to $39.9 million for the year ended October 31, 2019, compared to $30.5 million for the same period for fiscal 2018. The increase in sales for tomatoes is primarily due to a 33% increase in volume of tomatoes sold during the year.</w:t>
      </w:r>
    </w:p>
    <w:p>
      <w:pPr>
        <w:spacing w:after="0" w:line="176" w:lineRule="exact"/>
        <w:rPr>
          <w:sz w:val="20"/>
          <w:szCs w:val="20"/>
          <w:color w:val="auto"/>
        </w:rPr>
      </w:pPr>
    </w:p>
    <w:p>
      <w:pPr>
        <w:ind w:right="120" w:firstLine="259"/>
        <w:spacing w:after="0" w:line="282" w:lineRule="auto"/>
        <w:rPr>
          <w:sz w:val="20"/>
          <w:szCs w:val="20"/>
          <w:color w:val="auto"/>
        </w:rPr>
      </w:pPr>
      <w:r>
        <w:rPr>
          <w:rFonts w:ascii="Times New Roman" w:cs="Times New Roman" w:eastAsia="Times New Roman" w:hAnsi="Times New Roman"/>
          <w:sz w:val="18"/>
          <w:szCs w:val="18"/>
          <w:color w:val="auto"/>
        </w:rPr>
        <w:t>We anticipate that our sales volume of avocados will increase in fiscal 2020, due to a larger expected all-source avocado crop, when compared to the same prior year period.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2018 vs. Fiscal 2017:</w:t>
      </w:r>
    </w:p>
    <w:p>
      <w:pPr>
        <w:spacing w:after="0" w:line="225" w:lineRule="exact"/>
        <w:rPr>
          <w:sz w:val="20"/>
          <w:szCs w:val="20"/>
          <w:color w:val="auto"/>
        </w:rPr>
      </w:pPr>
    </w:p>
    <w:p>
      <w:pPr>
        <w:jc w:val="both"/>
        <w:ind w:right="160" w:firstLine="259"/>
        <w:spacing w:after="0" w:line="266" w:lineRule="auto"/>
        <w:rPr>
          <w:sz w:val="20"/>
          <w:szCs w:val="20"/>
          <w:color w:val="auto"/>
        </w:rPr>
      </w:pPr>
      <w:r>
        <w:rPr>
          <w:rFonts w:ascii="Times New Roman" w:cs="Times New Roman" w:eastAsia="Times New Roman" w:hAnsi="Times New Roman"/>
          <w:sz w:val="18"/>
          <w:szCs w:val="18"/>
          <w:color w:val="auto"/>
        </w:rPr>
        <w:t>Net sales delivered by the Fresh products business decreased by approximately $31.0 million, or 5%, for the year ended October 31, 2018, when compared to the same period for fiscal 2017. This decrease in Fresh product sales during the year ended 2018 was primarily related to decreased sales of avocados, partially offset by increased sales of tomatoes.</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Sales of avocados decreased $35.9 million, or 7%, for the year ended October 31, 2018, when compared to the same prior year period. Our volume of avocados sold during fiscal year 2018 increased by 57.7 million pounds, or 19%, compared to the prior year; however, this increase in sales volume was significantly offset by a 22% decrease in the average sales price per carton, when compared to the high market prices experienced in fiscal 2017.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9" w:right="1439" w:bottom="1440" w:gutter="0" w:footer="0" w:header="0"/>
        </w:sectPr>
      </w:pPr>
    </w:p>
    <w:bookmarkStart w:id="29" w:name="page30"/>
    <w:bookmarkEnd w:id="29"/>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to $30.5 million for the year ended October 31, 2018, compared to $27.9 million for the same period for fiscal 2017. The increase in sales for tomatoes is primarily due to an approximately 7% increase in the average sales price per carton, in addition to a 2% increase in volume of tomatoes sold during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2019 vs. Fiscal 2018:</w:t>
      </w:r>
    </w:p>
    <w:p>
      <w:pPr>
        <w:spacing w:after="0" w:line="225" w:lineRule="exact"/>
        <w:rPr>
          <w:sz w:val="20"/>
          <w:szCs w:val="20"/>
          <w:color w:val="auto"/>
        </w:rPr>
      </w:pPr>
    </w:p>
    <w:p>
      <w:pPr>
        <w:jc w:val="both"/>
        <w:ind w:firstLine="259"/>
        <w:spacing w:after="0" w:line="257" w:lineRule="auto"/>
        <w:rPr>
          <w:sz w:val="20"/>
          <w:szCs w:val="20"/>
          <w:color w:val="auto"/>
        </w:rPr>
      </w:pPr>
      <w:r>
        <w:rPr>
          <w:rFonts w:ascii="Times New Roman" w:cs="Times New Roman" w:eastAsia="Times New Roman" w:hAnsi="Times New Roman"/>
          <w:sz w:val="18"/>
          <w:szCs w:val="18"/>
          <w:color w:val="auto"/>
        </w:rPr>
        <w:t xml:space="preserve">Sales for Calavo Foods for the year ended October 31, 2019, when compared to the same period for fiscal 2018, increased $2.6 million, or 3%. </w:t>
      </w:r>
      <w:r>
        <w:rPr>
          <w:rFonts w:ascii="Times New Roman" w:cs="Times New Roman" w:eastAsia="Times New Roman" w:hAnsi="Times New Roman"/>
          <w:sz w:val="18"/>
          <w:szCs w:val="18"/>
          <w:color w:val="212529"/>
        </w:rPr>
        <w:t>Sales of prepared avocado products increased by approximately $2.9 million, or 3%, primarily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 increase in the average selling price per pound, partially offset by a slight decrease in the volume of products sold.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offsetting this gain were sales of salsa products, which decreased by approximately $0.3 million during the year.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2018 vs. Fiscal 2017:</w:t>
      </w:r>
    </w:p>
    <w:p>
      <w:pPr>
        <w:spacing w:after="0" w:line="225"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Sales for Calavo Foods for the year ended October 31, 2018, when compared to the same period for fiscal 2017, increased $13.8 million, or 19%. Sales of prepared avocado products increased by approximately $14.4 million, or 20%, for the year ended October 31, 2018, when compared to the same prior year period, resulting from increases in both the average sales price per pound and the total volume of pounds sold. Partially offsetting this gain were sales of salsa products, which decreased by approximately $0.6 million during the year.</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2019 vs. Fiscal 2018:</w:t>
      </w:r>
    </w:p>
    <w:p>
      <w:pPr>
        <w:spacing w:after="0" w:line="225"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 xml:space="preserve">Sales for RFG for the year ended October 31, 2019, when compared to the same period for fiscal 2018, increased $37.1 million, or 8%. The overall increase in sales is primarily due to higher sales from expanded retail partnerships in multiple geographies, </w:t>
      </w:r>
      <w:r>
        <w:rPr>
          <w:rFonts w:ascii="Times New Roman" w:cs="Times New Roman" w:eastAsia="Times New Roman" w:hAnsi="Times New Roman"/>
          <w:sz w:val="18"/>
          <w:szCs w:val="18"/>
          <w:color w:val="212529"/>
        </w:rPr>
        <w:t>most notably around RFG’s new fresh food plant in Georgia (opened in April 2019). Partially offsetting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gains were lower sales in one specific geographic region related to issues that an RFG co-packer experienced during our second quarter.</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2018 vs. Fiscal 2017:</w:t>
      </w:r>
    </w:p>
    <w:p>
      <w:pPr>
        <w:spacing w:after="0" w:line="225"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Sales for RFG for the year ended October 31, 2018, when compared to the same period for fiscal 2017, increased $30.4 million, or 7%. The overall increase in sales is primarily due to higher sales from expanded retail partnerships in multiple geographies, most notably in a few regions in which the Company has added production capacity.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5"/>
                <w:szCs w:val="15"/>
                <w:color w:val="auto"/>
              </w:rPr>
            </w:pPr>
          </w:p>
        </w:tc>
      </w:tr>
      <w:tr>
        <w:trPr>
          <w:trHeight w:val="291"/>
        </w:trPr>
        <w:tc>
          <w:tcPr>
            <w:tcW w:w="3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59.4 %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54,160</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72,376</w:t>
            </w:r>
          </w:p>
        </w:tc>
        <w:tc>
          <w:tcPr>
            <w:tcW w:w="240" w:type="dxa"/>
            <w:vAlign w:val="bottom"/>
          </w:tcPr>
          <w:p>
            <w:pPr>
              <w:spacing w:after="0"/>
              <w:rPr>
                <w:sz w:val="18"/>
                <w:szCs w:val="18"/>
                <w:color w:val="auto"/>
              </w:rPr>
            </w:pPr>
          </w:p>
        </w:tc>
      </w:tr>
      <w:tr>
        <w:trPr>
          <w:trHeight w:val="216"/>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97.1 %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240" w:type="dxa"/>
            <w:vAlign w:val="bottom"/>
            <w:shd w:val="clear" w:color="auto" w:fill="CCEEFF"/>
          </w:tcPr>
          <w:p>
            <w:pPr>
              <w:spacing w:after="0"/>
              <w:rPr>
                <w:sz w:val="18"/>
                <w:szCs w:val="18"/>
                <w:color w:val="auto"/>
              </w:rPr>
            </w:pPr>
          </w:p>
        </w:tc>
      </w:tr>
      <w:tr>
        <w:trPr>
          <w:trHeight w:val="216"/>
        </w:trPr>
        <w:tc>
          <w:tcPr>
            <w:tcW w:w="3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1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92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94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15.0 %</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240" w:type="dxa"/>
            <w:vAlign w:val="bottom"/>
            <w:tcBorders>
              <w:bottom w:val="single" w:sz="8" w:color="CCEEFF"/>
            </w:tcBorders>
          </w:tcPr>
          <w:p>
            <w:pPr>
              <w:spacing w:after="0"/>
              <w:rPr>
                <w:sz w:val="18"/>
                <w:szCs w:val="18"/>
                <w:color w:val="auto"/>
              </w:rPr>
            </w:pPr>
          </w:p>
        </w:tc>
      </w:tr>
      <w:tr>
        <w:trPr>
          <w:trHeight w:val="21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128,082</w:t>
            </w: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113,616</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114,544</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6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2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14.0 %</w:t>
            </w: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9.8 %</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12.4 %</w:t>
            </w: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2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22.2 %</w:t>
            </w:r>
          </w:p>
        </w:tc>
        <w:tc>
          <w:tcPr>
            <w:tcW w:w="1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29.8 %</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17.9 %</w:t>
            </w: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2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4.4 %</w:t>
            </w: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7.4 %</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10.7 %</w:t>
            </w:r>
          </w:p>
        </w:tc>
        <w:tc>
          <w:tcPr>
            <w:tcW w:w="1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10.4 %</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$14.5 million, or 13%, for the year ended October 31, 2019, when compared to the same period for fiscal 2018. The increase was primarily attributable to a gross profit increase in our Fresh products segment, partially offset by decreases in our Calavo Foods and RFG segments.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2019 vs. Fiscal 2018:</w:t>
      </w:r>
    </w:p>
    <w:p>
      <w:pPr>
        <w:spacing w:after="0" w:line="225"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During our year ended October 31, 2019, as compared to the same prior year period, the increase in our Fresh products segment gross profit percentage was the result of increased profit for avocados. For the year ended October 31, 2019, the gross profit percentage for avocados increased to 14.3% from 9.7% in fiscal year 2018. The increase during fiscal 2019 was related to improved efficiency in several key areas across our production and distribution footprint, which helped to complement the favorable market supply conditions experienced in which consumer demand exceeded market supply. Note that significant fluctuations in the exchange rate between the U.S. Dollar and the Mexican Peso may have a material impact on future gross profit for our Fresh products segment.</w:t>
      </w:r>
    </w:p>
    <w:p>
      <w:pPr>
        <w:spacing w:after="0" w:line="18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For the year ended October 31, 2019 we generated gross profit of $4.3 million from tomato sales, up from $3.2 million in the corresponding prior year period. The increase in tomato gross profit was due primarily to the year-over-year increase in sales described in more detail earlier. The majority of our tomato sales are done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333" w:right="139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8"/>
          <w:szCs w:val="18"/>
          <w:color w:val="auto"/>
        </w:rPr>
        <w:t>Fiscal 2018 vs. Fiscal 2017:</w:t>
      </w:r>
    </w:p>
    <w:p>
      <w:pPr>
        <w:spacing w:after="0" w:line="225"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During our year ended October 31, 2018, as compared to the same prior year period, the decrease in our Fresh products segment gross profit percentage was the result of decreased profit for avocados, partially offset by an increase in tomatoes. For the year ended October 31, 2018, compared to the same prior year period, the gross profit percentage for avocados decreased to 9.7% in 2018 from 12.7% in 2017. The decrease during fiscal 2018 was primarily related to the market supply conditions experienced last year in which consumer demand greatly exceeded market supply, and higher year-over-year freight costs. Note that any significant fluctuations in the exchange rate between the U.S. Dollar and the Mexican Peso may have a material impact on future gross profits for our Fresh products segment.</w:t>
      </w:r>
    </w:p>
    <w:p>
      <w:pPr>
        <w:spacing w:after="0" w:line="189"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For the year ended October 31, 2018 we generated gross profit of $3.2 million from tomato sales, up from $2.7 million in the corresponding prior year period. The increase in tomato gross profit was due primarily to the year-over-year increase in sales described in more detail earlier.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2019 vs. Fiscal 2018:</w:t>
      </w:r>
    </w:p>
    <w:p>
      <w:pPr>
        <w:spacing w:after="0" w:line="225"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 xml:space="preserve">Calavo Foods gross profit percentage decreased to 22.2% of net sales, during the year ended October 31, 2019 compared to 29.8% during the same prior year period. The decrease in Calavo Foods gross profit percentage was due primarily to decreased gross profit of our prepared avocado products. The decrease in gross profit and margin for our prepared avocado products was </w:t>
      </w:r>
      <w:r>
        <w:rPr>
          <w:rFonts w:ascii="Times New Roman" w:cs="Times New Roman" w:eastAsia="Times New Roman" w:hAnsi="Times New Roman"/>
          <w:sz w:val="18"/>
          <w:szCs w:val="18"/>
          <w:color w:val="212529"/>
        </w:rPr>
        <w:t>due primarily to higher raw material input costs during the year</w:t>
      </w:r>
      <w:r>
        <w:rPr>
          <w:rFonts w:ascii="Times New Roman" w:cs="Times New Roman" w:eastAsia="Times New Roman" w:hAnsi="Times New Roman"/>
          <w:sz w:val="18"/>
          <w:szCs w:val="18"/>
          <w:color w:val="auto"/>
        </w:rPr>
        <w:t>. Calavo Foods gross profit percentage improved to 20.8% sequentially of net sales in the fourth quarter of fiscal 2019 compared to 11.4% of net sales in the third quarter of fiscal 2019. This improvement is primarily due to a decrease in raw material input costs. Note that significant fluctuation in the cost of fruit used in the production process or the exchange rate between the U.S. Dollar and the Mexican Peso may have a material impact on future gross profit for our Calavo Foods segments.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2018 vs. Fiscal 2017:</w:t>
      </w:r>
    </w:p>
    <w:p>
      <w:pPr>
        <w:spacing w:after="0" w:line="225"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Calavo Foods gross profit percentage increased to 29.8% of net sales, during the year ended October 31, 2018 compared to 17.9% during the same prior year period. The increase in Calavo Foods gross profit percentage was due primarily to increased gross profit of our prepared avocado products. The increase in gross profit and margin for our prepared avocado products was primarily due to higher sales, as well as fruit costs that were below last year’s record-high fruit costs. Note that any significant fluctuation in the cost of fruit used in the production process or the exchange rate between the U.S. Dollar and the Mexican Peso may have a material impact on future gross profit for our Calavo Foods segments.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2019 vs. Fiscal 2018:</w:t>
      </w:r>
    </w:p>
    <w:p>
      <w:pPr>
        <w:spacing w:after="0" w:line="225"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 xml:space="preserve">RFG’s gross profit percentage for the year ended October 31, 2019 was 4.4%, compared to 7.4% in the same prior year period. The raw material issues described in detail during our first fiscal quarter continued into a portion of our second fiscal quarter. In general, raw material conditions improved during our third and fourth fiscal quarters, and profitability in our second half far exceeded results from the first half of our fiscal year, especially within </w:t>
      </w:r>
      <w:r>
        <w:rPr>
          <w:rFonts w:ascii="Times New Roman" w:cs="Times New Roman" w:eastAsia="Times New Roman" w:hAnsi="Times New Roman"/>
          <w:sz w:val="18"/>
          <w:szCs w:val="18"/>
          <w:color w:val="212529"/>
        </w:rPr>
        <w:t>RFG’s pre-existing manufacturing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operations (facilities opened more than one year). </w:t>
      </w:r>
      <w:r>
        <w:rPr>
          <w:rFonts w:ascii="Times New Roman" w:cs="Times New Roman" w:eastAsia="Times New Roman" w:hAnsi="Times New Roman"/>
          <w:sz w:val="18"/>
          <w:szCs w:val="18"/>
          <w:color w:val="000000"/>
        </w:rPr>
        <w:t>Additionally, sales and gross profit in one specific geographic region were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significantly impacted as a result of issues experienced at RFG’s co-packer servicing that region.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Fiscal 2018 vs. Fiscal 2017:</w:t>
      </w:r>
    </w:p>
    <w:p>
      <w:pPr>
        <w:spacing w:after="0" w:line="225"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RFG’s gross profit percentage for the year ended October 31, 2018 was 7.4%, compared to 6.9% in the same prior year period. The gross profit improvement for the year ended October 31, 2018, was due primarily to higher net sales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and manufacturing efficiencies generated across the segment’s manufacturing footprint, as well as lower raw material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3"/>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$ 59,113</w:t>
            </w:r>
          </w:p>
        </w:tc>
        <w:tc>
          <w:tcPr>
            <w:tcW w:w="16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3.6 % $ 57,081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$ 56,651</w:t>
            </w:r>
          </w:p>
        </w:tc>
        <w:tc>
          <w:tcPr>
            <w:tcW w:w="180" w:type="dxa"/>
            <w:vAlign w:val="bottom"/>
            <w:shd w:val="clear" w:color="auto" w:fill="CCEEFF"/>
          </w:tcPr>
          <w:p>
            <w:pPr>
              <w:spacing w:after="0"/>
              <w:rPr>
                <w:sz w:val="18"/>
                <w:szCs w:val="18"/>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7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7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r>
    </w:tbl>
    <w:p>
      <w:pPr>
        <w:spacing w:after="0" w:line="179" w:lineRule="exact"/>
        <w:rPr>
          <w:sz w:val="20"/>
          <w:szCs w:val="20"/>
          <w:color w:val="auto"/>
        </w:rPr>
      </w:pPr>
    </w:p>
    <w:p>
      <w:pPr>
        <w:ind w:right="160" w:firstLine="225"/>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of $59.1 million for the year ended October 31, 2019 include costs of marketing and advertising, sales expenses (including broker commissions) and other general and administrative costs. Selling, general and administrative expenses increased by $2.0 million, or 3.6%, for the year ended October 31, 2019, when compared to the same period for fiscal 2018. This increase was primarily related to an increase in accrued management bonuses (approximately $1.5 million), increase in salaries and benefits (approximately $0.8 million due primarily to higher headcount), and transaction costs, including sales commission, related to the sale of the Temecula packinghouse (approximately $0.4 million), partially offset by a decrease of $1.0 million due to senior management transition expenses recognized in the first quarter of fiscal 2018 related to the stock grant issued to two officers who retired.</w:t>
      </w:r>
    </w:p>
    <w:p>
      <w:pPr>
        <w:spacing w:after="0" w:line="185" w:lineRule="exact"/>
        <w:rPr>
          <w:sz w:val="20"/>
          <w:szCs w:val="20"/>
          <w:color w:val="auto"/>
        </w:rPr>
      </w:pPr>
    </w:p>
    <w:p>
      <w:pPr>
        <w:ind w:right="40" w:firstLine="18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of $57.1 million for the year ended October 31, 2018 include costs of marketing and advertising, sales expenses (including broker commissions) and other general and administrative costs, as well as $0.9 million of management transition related expenses. Selling, general and administrative expenses increased $0.4 million, or 1%, for the year ended October 31, 2018, when compared to the same period for fiscal 2017.</w:t>
      </w:r>
    </w:p>
    <w:p>
      <w:pPr>
        <w:spacing w:after="0" w:line="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This increase was primarily related to approximately $3.3 million increase in salaries and benefits ($1.6 million of costs related to the vesting of stock grants earned by certain members of the senior management team over the past three fiscal years, as well as $1.7 million due in part to higher headcount). Partially offsetting this increase was a decrease in bad debt (approximately $1.3 million), a decrease in accrued management bonuses (approximately $0.6 million) and a decrease in legal fees (approximately $0.5 million) for year ended October 31, 2018, when compared to the same period for fiscal 2017.</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Unconsolidated Entities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(loss) from unconsolidated entities</w:t>
            </w:r>
          </w:p>
        </w:tc>
        <w:tc>
          <w:tcPr>
            <w:tcW w:w="10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 (14,082)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 (11,850)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(3,055.1) % $ 401</w:t>
            </w:r>
          </w:p>
        </w:tc>
        <w:tc>
          <w:tcPr>
            <w:tcW w:w="260" w:type="dxa"/>
            <w:vAlign w:val="bottom"/>
            <w:shd w:val="clear" w:color="auto" w:fill="CCEEFF"/>
          </w:tcPr>
          <w:p>
            <w:pPr>
              <w:spacing w:after="0"/>
              <w:rPr>
                <w:sz w:val="18"/>
                <w:szCs w:val="18"/>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72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 %</w:t>
            </w:r>
          </w:p>
        </w:tc>
        <w:tc>
          <w:tcPr>
            <w:tcW w:w="860" w:type="dxa"/>
            <w:vAlign w:val="bottom"/>
          </w:tcPr>
          <w:p>
            <w:pPr>
              <w:spacing w:after="0"/>
              <w:rPr>
                <w:sz w:val="20"/>
                <w:szCs w:val="20"/>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(loss) from unconsolidated entities includes our allocation of earnings or losses from our investments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FreshRealm and Don Memo. For the year ended October 31, 2019 and 2018, we recognized $0.1 million and $0.2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related to Don Memo. For the year ended October 31, 2019 and 2018, we recognized $14.1 million of losses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million of losses related to FreshRealm. While we are unable to determine with certainty the future operating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FreshRealm and future non-Calavo investments, if any, we anticipate recording additional non-cash losses from FreshRealm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2020. See Note 16 in our consolidated financial statements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2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r>
      <w:tr>
        <w:trPr>
          <w:trHeight w:val="142"/>
        </w:trPr>
        <w:tc>
          <w:tcPr>
            <w:tcW w:w="3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3"/>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$ 2,675</w:t>
            </w:r>
          </w:p>
        </w:tc>
        <w:tc>
          <w:tcPr>
            <w:tcW w:w="15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741.2 % $ 318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w:t>
            </w:r>
          </w:p>
        </w:tc>
        <w:tc>
          <w:tcPr>
            <w:tcW w:w="260" w:type="dxa"/>
            <w:vAlign w:val="bottom"/>
            <w:shd w:val="clear" w:color="auto" w:fill="CCEEFF"/>
          </w:tcPr>
          <w:p>
            <w:pPr>
              <w:spacing w:after="0"/>
              <w:rPr>
                <w:sz w:val="18"/>
                <w:szCs w:val="18"/>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in fiscal 2019 as compared to 2018 is primarily due to the loans to FreshRealm in fiscal 2019. The increase in interest income in fiscal 2018 as compared to 2017 is primarily due to the loans to</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FreshRealm in fiscal 2018. See the related party footnote in our consolidated financial statements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3"/>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$ 948</w:t>
            </w:r>
          </w:p>
        </w:tc>
        <w:tc>
          <w:tcPr>
            <w:tcW w:w="1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14.1 % $ 831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$ 1,023</w:t>
            </w:r>
          </w:p>
        </w:tc>
        <w:tc>
          <w:tcPr>
            <w:tcW w:w="260" w:type="dxa"/>
            <w:vAlign w:val="bottom"/>
            <w:shd w:val="clear" w:color="auto" w:fill="CCEEFF"/>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7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0.1 %</w:t>
            </w:r>
          </w:p>
        </w:tc>
      </w:tr>
    </w:tbl>
    <w:p>
      <w:pPr>
        <w:spacing w:after="0" w:line="179"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Interest expense is primarily generated from our line of credit borrowings with Farm Credit West, PCA (FCW) and Bank of America, N.A. (Bank of America). For fiscal 2019, as compared to fiscal 2018, the increase in interest expense was primarily related to higher LIBOR interest rates, offset by a lower average debt balance. For fiscal 2018, as compared to fiscal 2017, the decrease in interest expense was primarily related to lower average debt balance, offset by higher LIBOR interest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3"/>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$ 499</w:t>
            </w:r>
          </w:p>
        </w:tc>
        <w:tc>
          <w:tcPr>
            <w:tcW w:w="1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(10.7)% $ 559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 $ 479</w:t>
            </w:r>
          </w:p>
        </w:tc>
        <w:tc>
          <w:tcPr>
            <w:tcW w:w="260" w:type="dxa"/>
            <w:vAlign w:val="bottom"/>
            <w:shd w:val="clear" w:color="auto" w:fill="CCEEFF"/>
          </w:tcPr>
          <w:p>
            <w:pPr>
              <w:spacing w:after="0"/>
              <w:rPr>
                <w:sz w:val="18"/>
                <w:szCs w:val="18"/>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7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jc w:val="both"/>
        <w:ind w:right="120" w:firstLine="259"/>
        <w:spacing w:after="0" w:line="266" w:lineRule="auto"/>
        <w:rPr>
          <w:sz w:val="20"/>
          <w:szCs w:val="20"/>
          <w:color w:val="auto"/>
        </w:rPr>
      </w:pPr>
      <w:r>
        <w:rPr>
          <w:rFonts w:ascii="Times New Roman" w:cs="Times New Roman" w:eastAsia="Times New Roman" w:hAnsi="Times New Roman"/>
          <w:sz w:val="18"/>
          <w:szCs w:val="18"/>
          <w:color w:val="auto"/>
        </w:rPr>
        <w:t>Other income, net includes dividend income, as well as certain other transactions that are outside of the normal course of operations. During fiscal 2019, 2018 and 2017, we received $0.5 million, $0.4 million and $0.4 million as dividend income from Limoneira.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r>
      <w:tr>
        <w:trPr>
          <w:trHeight w:val="196"/>
        </w:trPr>
        <w:tc>
          <w:tcPr>
            <w:tcW w:w="3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3"/>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$ 12,882</w:t>
            </w:r>
          </w:p>
        </w:tc>
        <w:tc>
          <w:tcPr>
            <w:tcW w:w="17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1.3 % $ 12,719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$ 20,450</w:t>
            </w:r>
          </w:p>
        </w:tc>
        <w:tc>
          <w:tcPr>
            <w:tcW w:w="160" w:type="dxa"/>
            <w:vAlign w:val="bottom"/>
            <w:shd w:val="clear" w:color="auto" w:fill="CCEEFF"/>
          </w:tcPr>
          <w:p>
            <w:pPr>
              <w:spacing w:after="0"/>
              <w:rPr>
                <w:sz w:val="18"/>
                <w:szCs w:val="18"/>
                <w:color w:val="auto"/>
              </w:rPr>
            </w:pPr>
          </w:p>
        </w:tc>
      </w:tr>
      <w:tr>
        <w:trPr>
          <w:trHeight w:val="234"/>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26.0 %</w:t>
            </w:r>
          </w:p>
        </w:tc>
        <w:tc>
          <w:tcPr>
            <w:tcW w:w="7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7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36.3 %</w:t>
            </w:r>
          </w:p>
        </w:tc>
      </w:tr>
    </w:tbl>
    <w:p>
      <w:pPr>
        <w:spacing w:after="0" w:line="179" w:lineRule="exact"/>
        <w:rPr>
          <w:sz w:val="20"/>
          <w:szCs w:val="20"/>
          <w:color w:val="auto"/>
        </w:rPr>
      </w:pPr>
    </w:p>
    <w:p>
      <w:pPr>
        <w:ind w:right="140" w:firstLine="270"/>
        <w:spacing w:after="0" w:line="261"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adjusted for discrete taxable events that may occur during the quarter.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80"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and enacted comprehensive tax legislation into law H.R. 1, commonly referred to as the Tax Cuts and Jobs Act (the “Tax Act”). Except for certain provisions, the Tax Act was effective for tax years beginning on or after January 1, 2018. As a fiscal year U.S. taxpayer with an October 31 fiscal year end, the majority of the new provisions, such as eliminating the domestic manufacturing deduction, creating new taxes on certain foreign sourced income and introducing new limitations on certain business deductions, did not apply until our 2019 fiscal year.</w:t>
      </w:r>
    </w:p>
    <w:p>
      <w:pPr>
        <w:spacing w:after="0" w:line="188" w:lineRule="exact"/>
        <w:rPr>
          <w:sz w:val="20"/>
          <w:szCs w:val="20"/>
          <w:color w:val="auto"/>
        </w:rPr>
      </w:pPr>
    </w:p>
    <w:p>
      <w:pPr>
        <w:ind w:right="40" w:firstLine="270"/>
        <w:spacing w:after="0" w:line="254" w:lineRule="auto"/>
        <w:rPr>
          <w:sz w:val="20"/>
          <w:szCs w:val="20"/>
          <w:color w:val="auto"/>
        </w:rPr>
      </w:pPr>
      <w:r>
        <w:rPr>
          <w:rFonts w:ascii="Times New Roman" w:cs="Times New Roman" w:eastAsia="Times New Roman" w:hAnsi="Times New Roman"/>
          <w:sz w:val="18"/>
          <w:szCs w:val="18"/>
          <w:color w:val="auto"/>
        </w:rPr>
        <w:t xml:space="preserve">In the prior fiscal period 2018, the most significant impacts included: lowering of the U.S. federal corporate income tax rate; remeasuring certain net deferred tax assets and liabilities; and requiring the transition tax on the deemed repatriation of certain foreign earnings. In the first quarter of fiscal 2018, we recorded $1.7 million in one-time, non-cash charges related to the revaluation of our net deferred tax assets (approximately $1.4 million) and the transition tax on the deemed repatriation of foreign earnings (approximately $0.3 million). In addition, we recorded an income tax benefit of approximately $0.4 million for the first quarters of fiscal 2018, pursuant to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Based on the Tax Act and a change accelerating certain tax deductions on our 2017 federal tax return, we recorded $0.8 million of a tax benefit as a discrete item during our third fiscal quarter of 2018. Many of these one-time charges did not recur in 2019.</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34" w:name="page35"/>
    <w:bookmarkEnd w:id="34"/>
    <w:p>
      <w:pPr>
        <w:ind w:right="260" w:firstLine="225"/>
        <w:spacing w:after="0" w:line="282" w:lineRule="auto"/>
        <w:rPr>
          <w:sz w:val="20"/>
          <w:szCs w:val="20"/>
          <w:color w:val="auto"/>
        </w:rPr>
      </w:pPr>
      <w:r>
        <w:rPr>
          <w:rFonts w:ascii="Times New Roman" w:cs="Times New Roman" w:eastAsia="Times New Roman" w:hAnsi="Times New Roman"/>
          <w:sz w:val="18"/>
          <w:szCs w:val="18"/>
          <w:color w:val="auto"/>
        </w:rPr>
        <w:t>Additionally, we recorded approximately $0.2 million of tax expense related to return to provision differences upon the filing of the 2018 and 2017 tax returns during our third quarter of fiscal quarters of 2019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noncontrolling interest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3"/>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6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  60</w:t>
            </w:r>
          </w:p>
        </w:tc>
        <w:tc>
          <w:tcPr>
            <w:tcW w:w="1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(77.7) % $ 269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260" w:type="dxa"/>
            <w:vAlign w:val="bottom"/>
            <w:shd w:val="clear" w:color="auto" w:fill="CCEEFF"/>
          </w:tcPr>
          <w:p>
            <w:pPr>
              <w:spacing w:after="0"/>
              <w:rPr>
                <w:sz w:val="18"/>
                <w:szCs w:val="18"/>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7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7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right="240" w:firstLine="315"/>
        <w:spacing w:after="0" w:line="282" w:lineRule="auto"/>
        <w:rPr>
          <w:sz w:val="20"/>
          <w:szCs w:val="20"/>
          <w:color w:val="auto"/>
        </w:rPr>
      </w:pPr>
      <w:r>
        <w:rPr>
          <w:rFonts w:ascii="Times New Roman" w:cs="Times New Roman" w:eastAsia="Times New Roman" w:hAnsi="Times New Roman"/>
          <w:sz w:val="18"/>
          <w:szCs w:val="18"/>
          <w:color w:val="auto"/>
        </w:rPr>
        <w:t>For fiscal years 2019 and 2018, the net losses attributable to noncontrolling interest is due to losses from Avocados de Jalisco.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29" w:lineRule="exact"/>
        <w:rPr>
          <w:sz w:val="20"/>
          <w:szCs w:val="20"/>
          <w:color w:val="auto"/>
        </w:rPr>
      </w:pPr>
    </w:p>
    <w:p>
      <w:pPr>
        <w:ind w:right="260" w:firstLine="259"/>
        <w:spacing w:after="0" w:line="258" w:lineRule="auto"/>
        <w:rPr>
          <w:sz w:val="20"/>
          <w:szCs w:val="20"/>
          <w:color w:val="auto"/>
        </w:rPr>
      </w:pPr>
      <w:r>
        <w:rPr>
          <w:rFonts w:ascii="Times New Roman" w:cs="Times New Roman" w:eastAsia="Times New Roman" w:hAnsi="Times New Roman"/>
          <w:sz w:val="18"/>
          <w:szCs w:val="18"/>
          <w:color w:val="auto"/>
        </w:rPr>
        <w:t>The following table presents our operating results for each of the eight fiscal quarters in the period ended October 31, 2019. The information for each of these quarters is derived from our unaudited interim financial statements and should be read in conjunction with our audited consolidated financial statements included in this Annual Report. In our opinion, all necessary adjustments, which consist only of normal and recurring accruals, have been included to fairly present our unaudited quarterly results.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Oct. 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80" w:type="dxa"/>
            <w:vAlign w:val="bottom"/>
          </w:tcPr>
          <w:p>
            <w:pPr>
              <w:spacing w:after="0"/>
              <w:rPr>
                <w:sz w:val="10"/>
                <w:szCs w:val="10"/>
                <w:color w:val="auto"/>
              </w:rPr>
            </w:pPr>
          </w:p>
        </w:tc>
        <w:tc>
          <w:tcPr>
            <w:tcW w:w="70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Apr. 30,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Oct.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60" w:type="dxa"/>
            <w:vAlign w:val="bottom"/>
          </w:tcPr>
          <w:p>
            <w:pPr>
              <w:spacing w:after="0"/>
              <w:rPr>
                <w:sz w:val="10"/>
                <w:szCs w:val="10"/>
                <w:color w:val="auto"/>
              </w:rPr>
            </w:pPr>
          </w:p>
        </w:tc>
        <w:tc>
          <w:tcPr>
            <w:tcW w:w="64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Apr.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Jan.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14"/>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Income Data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292,176</w:t>
            </w: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359,333</w:t>
            </w:r>
          </w:p>
        </w:tc>
        <w:tc>
          <w:tcPr>
            <w:tcW w:w="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286,236</w:t>
            </w: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258,032</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280,005</w:t>
            </w:r>
          </w:p>
        </w:tc>
        <w:tc>
          <w:tcPr>
            <w:tcW w:w="8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296,419</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264,405</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323,558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227,195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257,738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263,349</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Gross profit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24,633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35,775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36,837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30,837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22,267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33,070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31,969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26,310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Temecula packinghouse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13,893</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Operating income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9,823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21,555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23,107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16,561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7,471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19,177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19,094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10,793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Gains (losses) on Limoneira 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(1,460)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(5,116)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06"/>
        </w:trPr>
        <w:tc>
          <w:tcPr>
            <w:tcW w:w="28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Income before provision for income taxes and</w:t>
            </w: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from unconsol. entities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(loss) from unconsolidated entities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color w:val="auto"/>
              </w:rPr>
              <w:t>(2,510)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(3,136)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(3,677)</w:t>
            </w:r>
          </w:p>
        </w:tc>
        <w:tc>
          <w:tcPr>
            <w:tcW w:w="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5,177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16,278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12,368</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14,016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bottom w:val="single" w:sz="8" w:color="CCEE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Add: Net (inc) loss-noncontrolling int.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left="89"/>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 -Calavo Growers, Inc</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5,211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10,603</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16,345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4,487</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12,350</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7,139</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0.30</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0.61</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0.93</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0.26</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(0.08)</w:t>
            </w:r>
          </w:p>
        </w:tc>
        <w:tc>
          <w:tcPr>
            <w:tcW w:w="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0.71</w:t>
            </w:r>
          </w:p>
        </w:tc>
        <w:tc>
          <w:tcPr>
            <w:tcW w:w="16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0.81</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0.93</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0.80</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Number of shares used in per share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computation: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Operating activities for fiscal 2019, 2018 and 2017 provided cash flows of $72.1 million, $48.4 million and $62.1 million. Fiscal year 2019 operating cash flows reflect our net income of $36.6 million, net increase of noncash charges (depreciation and amortization, income/(loss) from unconsolidated entities, provision for losses on accounts receivable, deferred income taxes, loss on disposal of fixed assets, net losses on Limoneira stock, and stock compensation expense) of $37.8 million and a net decrease from changes in the non-cash components of our working capital accounts of approximately $2.3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5" w:name="page36"/>
    <w:bookmarkEnd w:id="35"/>
    <w:p>
      <w:pPr>
        <w:ind w:right="160" w:firstLine="259"/>
        <w:spacing w:after="0" w:line="256" w:lineRule="auto"/>
        <w:rPr>
          <w:sz w:val="20"/>
          <w:szCs w:val="20"/>
          <w:color w:val="auto"/>
        </w:rPr>
      </w:pPr>
      <w:r>
        <w:rPr>
          <w:rFonts w:ascii="Times New Roman" w:cs="Times New Roman" w:eastAsia="Times New Roman" w:hAnsi="Times New Roman"/>
          <w:sz w:val="18"/>
          <w:szCs w:val="18"/>
          <w:color w:val="auto"/>
        </w:rPr>
        <w:t>Fiscal year 2019 decreases in operating cash flows, caused by working capital changes, includes an increase in other assets of $5.0 million, an increase in prepaid expenses and other current assets of $2.5 million, an increase in inventory of $1.8 million, an increase in advances to suppliers of $1.0 million, and a decrease in payable to growers of $0.5 million, partially offset by, an increase in trade accounts payable, accrued expenses, and other long-term liabilities of $4.2 million, a decrease in accounts receivable of $2.7 million, an increase in deferred rent of $1.0 million and a decrease in income tax receivable of $0.7 million.</w:t>
      </w:r>
    </w:p>
    <w:p>
      <w:pPr>
        <w:spacing w:after="0" w:line="188"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The increase in other assets is due to an increase in Mexican IVA tax receivable (see Note 15 to our consolidated condensed financial statements). The increase in our inventory balance is primarily related to an increase in the volume of avocado pounds on hand at October 31, 2019 as compared to the same prior year period, as well as increased RFG raw material inventories as a greater percentage of production moves to in-house facilities. The increase in advances to suppliers is mainly due to an increase in advances to our tomato growers in fiscal 2019 compared to fiscal 2018. The decrease in payable to our growers primarily reflects a decrease in our Peruvian avocado grower payable due to an earlier end to the Peruvian season in 2019 compared to 2018. The increase in accounts payable and accrued expenses is primarily related to an increase in our payables related to RFG, as well as higher accrued bonuses. The decrease in our accounts receivable, as of October 31, 2019 when compared to October 31, 2018, primarily reflects an improvement in days of sales outstanding in October 2019, as compared to October 2018.</w:t>
      </w:r>
    </w:p>
    <w:p>
      <w:pPr>
        <w:spacing w:after="0" w:line="186" w:lineRule="exact"/>
        <w:rPr>
          <w:sz w:val="20"/>
          <w:szCs w:val="20"/>
          <w:color w:val="auto"/>
        </w:rPr>
      </w:pPr>
    </w:p>
    <w:p>
      <w:pPr>
        <w:ind w:right="260" w:firstLine="259"/>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$31.9 million, $30.2 million and $53.7 million for fiscal years 2019, 2018, and 2017. Fiscal year 2019 cash flows used in investing activities include notes to FreshRealm of $23.8 million, and property, plant and equipment purchases of $16.7 million, partially offset by proceeds received on the sale of the Temecula packinghouse of $7.1 million, by proceeds received on the sales of Limoneira stock of $1.2 million and proceeds received from the repayment of the San Rafael note of $0.4 million.</w:t>
      </w:r>
    </w:p>
    <w:p>
      <w:pPr>
        <w:spacing w:after="0" w:line="184"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$33.8 million, $23.3 million and $15.7 million for fiscal years 2019, 2018 and 2017. Cash used during fiscal year 2019 primarily relates to the payment of our $17.6 million dividend, payments on our credit facilities totaling $15.0 million, the payment of minimum withholding taxes on net share settlement of equity awards of $1.0 million and payments on long-term debt.</w:t>
      </w:r>
    </w:p>
    <w:p>
      <w:pPr>
        <w:spacing w:after="0" w:line="180"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existing credit facilities. Cash and cash equivalents as of October 31, 2019 and 2018 totaled $8.0 million and $1.5 million. Our working capital at October 31, 2019 was $36.9 million, compared to $29.6 million at October 31, 2018.</w:t>
      </w:r>
    </w:p>
    <w:p>
      <w:pPr>
        <w:spacing w:after="0" w:line="180"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expanded relationships with retail and club customers, and exclusivity arrangements with food service companies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line of credit the weighted-average interest rate was 3.8% and 3.4% at October 31, 2019 and 2018. Under this credit facility, there was nothing outstanding as of October 31, 2019 and we had $15.0 million outstanding as of October 31, 2018.</w:t>
      </w:r>
    </w:p>
    <w:p>
      <w:pPr>
        <w:spacing w:after="0" w:line="193"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such covenants at October 31,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contractual obligations pursuant to which we are required to make cash payments. The information is presented as of our fiscal year ended October 31,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 (in thousands)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20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 (including interest)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plan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87,476</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94,935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California avocado industry is subject to a state marketing order whereby handlers are required to collect assessments from the growers and remit such assessments to the California Avocado Commission (CAC). The assessments are primarily for advertising and promotions. The amount of the assessment is based on the dollars paid to the growers for their fruit, and, as a result, is not determinable until the value of the payments to the growers has been calculated.</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Amounts remitted to the Hass Avocado Board (HAB) in connection with their assessment program are likewise not determinable until the fruit is actually delivered to us. HAB assessments are primarily used to fund marketing and promotion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January 2016, the FASB issued an ASU, which requires equity investments (except those accounted for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method of accounting) to be measured at fair value with changes in fair value recognized in net income.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this new standard at the beginning of fiscal 2019. With the adoption of this new standard, we reclassed unrealized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of $12.1 million in accumulated other comprehensive income to retained earnings as of November 1,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for the year ended October 31, 2019, we sold 51,271 shares of Limoneira stock and recorded a loss of $0.1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our consolidated statements of income. Limoneira’s stock price at October 31, 2019, and October 31, 2018 equaled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$18.92 per share, and $24.65 per share. Our remaining shares of Limoneira stock, totaling 1,677,299, were revalued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$18.92 per share at October 31, 2019 and, as a result, we recorded a loss of $9.6 million for the year ended October 31,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consolidated condensed statements of income.</w:t>
      </w:r>
    </w:p>
    <w:p>
      <w:pPr>
        <w:spacing w:after="0" w:line="234" w:lineRule="exact"/>
        <w:rPr>
          <w:sz w:val="20"/>
          <w:szCs w:val="20"/>
          <w:color w:val="auto"/>
        </w:rPr>
      </w:pPr>
    </w:p>
    <w:p>
      <w:pPr>
        <w:ind w:right="60" w:firstLine="216"/>
        <w:spacing w:after="0" w:line="254" w:lineRule="auto"/>
        <w:rPr>
          <w:sz w:val="20"/>
          <w:szCs w:val="20"/>
          <w:color w:val="auto"/>
        </w:rPr>
      </w:pPr>
      <w:r>
        <w:rPr>
          <w:rFonts w:ascii="Times New Roman" w:cs="Times New Roman" w:eastAsia="Times New Roman" w:hAnsi="Times New Roman"/>
          <w:sz w:val="18"/>
          <w:szCs w:val="18"/>
          <w:color w:val="auto"/>
        </w:rPr>
        <w:t>In May 2014, the FASB issued a comprehensive new revenue recognition standard which superseded previous existing revenue recognition guidance. The standard is intended to clarify the principles of recognizing revenue and create common revenue recognition guidance between U.S. GAAP and International Financial Reporting Standards. The standard also requires expanded disclosures surrounding revenue recognition. During fiscal 2017, the FASB issued additional clarification guidance on the new revenue recognition standard which also included certain scope improvements and practical expedients. The Company adopted this new standard at the beginning of fiscal 2019 using the modified retrospective transition method, under which the cumulative effect of initially applying the new guidance is recognized as an adjustment to the opening balance of retained earnings on the first day of our 2019 fiscal year. The adoption of the amendment did not have an impact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right="20" w:firstLine="180"/>
        <w:spacing w:after="0" w:line="256"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Targeted Improvements to Related Party Guidance for 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This ASU provides that indirect interests held through related parties in common control arrangements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on a proportional basis for determining whether fees paid to decision makers and service providers are variable interests. The new guidance is effective for fiscal years beginning after December 15, 2019.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7" w:name="page38"/>
    <w:bookmarkEnd w:id="37"/>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2018, the FASB issued and ASU, </w:t>
      </w:r>
      <w:r>
        <w:rPr>
          <w:rFonts w:ascii="Times New Roman" w:cs="Times New Roman" w:eastAsia="Times New Roman" w:hAnsi="Times New Roman"/>
          <w:sz w:val="18"/>
          <w:szCs w:val="18"/>
          <w:i w:val="1"/>
          <w:iCs w:val="1"/>
          <w:color w:val="auto"/>
        </w:rPr>
        <w:t xml:space="preserve">Intangibles-Goodwill and Other-Internal-Use Software (Subtopic 350-40), Customer’s Accounting for Implementation Costs Incurred in a Cloud Computing Arrangement That is a Service Contract. </w:t>
      </w:r>
      <w:r>
        <w:rPr>
          <w:rFonts w:ascii="Times New Roman" w:cs="Times New Roman" w:eastAsia="Times New Roman" w:hAnsi="Times New Roman"/>
          <w:sz w:val="18"/>
          <w:szCs w:val="18"/>
          <w:color w:val="auto"/>
        </w:rPr>
        <w:t>This ASU requires implementation costs incurred by customers in cloud computing arrangements (i.e., hosting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9" w:lineRule="exact"/>
        <w:rPr>
          <w:sz w:val="20"/>
          <w:szCs w:val="20"/>
          <w:color w:val="auto"/>
        </w:rPr>
      </w:pPr>
    </w:p>
    <w:p>
      <w:pPr>
        <w:jc w:val="both"/>
        <w:ind w:right="100" w:firstLine="259"/>
        <w:spacing w:after="0" w:line="282" w:lineRule="auto"/>
        <w:rPr>
          <w:sz w:val="20"/>
          <w:szCs w:val="20"/>
          <w:color w:val="auto"/>
        </w:rPr>
      </w:pPr>
      <w:r>
        <w:rPr>
          <w:rFonts w:ascii="Times New Roman" w:cs="Times New Roman" w:eastAsia="Times New Roman" w:hAnsi="Times New Roman"/>
          <w:sz w:val="17"/>
          <w:szCs w:val="17"/>
          <w:color w:val="auto"/>
        </w:rPr>
        <w:t>In June 2018, the FASB issued an ASU</w:t>
      </w:r>
      <w:r>
        <w:rPr>
          <w:rFonts w:ascii="Times New Roman" w:cs="Times New Roman" w:eastAsia="Times New Roman" w:hAnsi="Times New Roman"/>
          <w:sz w:val="17"/>
          <w:szCs w:val="17"/>
          <w:i w:val="1"/>
          <w:iCs w:val="1"/>
          <w:color w:val="auto"/>
        </w:rPr>
        <w:t>, Improvements to Nonemployee Share-Based Payment Accounting</w:t>
      </w:r>
      <w:r>
        <w:rPr>
          <w:rFonts w:ascii="Times New Roman" w:cs="Times New Roman" w:eastAsia="Times New Roman" w:hAnsi="Times New Roman"/>
          <w:sz w:val="17"/>
          <w:szCs w:val="17"/>
          <w:color w:val="auto"/>
        </w:rPr>
        <w:t>. The FASB is issuing this update to simplify the accounting for share-based payments to nonemployees by aligning it with the accounting for share-based payments to employees, with certain exceptions. This ASU will be effective for us beginning the first day of our 2020 fiscal year. We do not expect that the adoption of this ASU to have an impact on our financial statements.</w:t>
      </w:r>
    </w:p>
    <w:p>
      <w:pPr>
        <w:spacing w:after="0" w:line="162" w:lineRule="exact"/>
        <w:rPr>
          <w:sz w:val="20"/>
          <w:szCs w:val="20"/>
          <w:color w:val="auto"/>
        </w:rPr>
      </w:pPr>
    </w:p>
    <w:p>
      <w:pPr>
        <w:ind w:right="220" w:firstLine="259"/>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an ASU, </w:t>
      </w:r>
      <w:r>
        <w:rPr>
          <w:rFonts w:ascii="Times New Roman" w:cs="Times New Roman" w:eastAsia="Times New Roman" w:hAnsi="Times New Roman"/>
          <w:sz w:val="18"/>
          <w:szCs w:val="18"/>
          <w:i w:val="1"/>
          <w:iCs w:val="1"/>
          <w:color w:val="auto"/>
        </w:rPr>
        <w:t>Reclassification of Certain Tax Effects From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which amends Accounting Standards Codification ("ASC") 220, Income Statement —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is effective for us the first day of our 2020 fiscal year. We do not expect that the adoption of this ASU to have an impact on our financial statements.</w:t>
      </w:r>
    </w:p>
    <w:p>
      <w:pPr>
        <w:spacing w:after="0" w:line="183"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an ASU,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5" w:lineRule="exact"/>
        <w:rPr>
          <w:sz w:val="20"/>
          <w:szCs w:val="20"/>
          <w:color w:val="auto"/>
        </w:rPr>
      </w:pPr>
    </w:p>
    <w:p>
      <w:pPr>
        <w:ind w:firstLine="259"/>
        <w:spacing w:after="0" w:line="252"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Measurement of Credit Losses on Financial Instruments, and subsequent amendments to the guidance, ASU 2018-19 in November 2018 and ASU 2019-05 in May 2019 including codification improvements to Topic 326 in ASU 2019-04. The standard significantly changes how entities will measure credit losses for most financial assets and certain other instruments that aren’t measured at fair value through net income. The standard will replace today’s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It also simplifies the accounting model for purchased credit-impaired debt securities and loans. The amendment will affect loans, debt securities, trade receivables, net investments in leases, off balance sheet credit exposures, reinsurance receivables, and any other financial assets not excluded from the scope that have the contractual right to receive cash. ASU 2018-19 clarifies that receivables arising from operating leases are accounted for using lease guidance and not as financial instruments. ASU 2019-05 provides entities that have certain instruments with an option to irrevocably elect the fair value option. The amendments should be applied on either a prospective transition or modified-retrospective approach depending on the subtopic. This ASU will be effective for us beginning the first day of our 2021 fiscal year. Early adoption is permitted.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94" w:lineRule="exact"/>
        <w:rPr>
          <w:sz w:val="20"/>
          <w:szCs w:val="20"/>
          <w:color w:val="auto"/>
        </w:rPr>
      </w:pPr>
    </w:p>
    <w:p>
      <w:pPr>
        <w:ind w:right="100" w:firstLine="259"/>
        <w:spacing w:after="0" w:line="267" w:lineRule="auto"/>
        <w:rPr>
          <w:sz w:val="20"/>
          <w:szCs w:val="20"/>
          <w:color w:val="auto"/>
        </w:rPr>
      </w:pPr>
      <w:r>
        <w:rPr>
          <w:rFonts w:ascii="Times New Roman" w:cs="Times New Roman" w:eastAsia="Times New Roman" w:hAnsi="Times New Roman"/>
          <w:sz w:val="18"/>
          <w:szCs w:val="18"/>
          <w:color w:val="auto"/>
        </w:rPr>
        <w:t xml:space="preserve">In February 2016, the FASB issued an ASU,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 dual approach for lessee accounting under which a lessee would account for leases as finance leases or operating leases. Both finance leases and operating leases will result in the lessee recognizing a right-of use asset (ROU) and a corresponding lease liability. For finance leases,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9" w:right="1419" w:bottom="1440" w:gutter="0" w:footer="0" w:header="0"/>
        </w:sectPr>
      </w:pPr>
    </w:p>
    <w:bookmarkStart w:id="38" w:name="page39"/>
    <w:bookmarkEnd w:id="38"/>
    <w:p>
      <w:pPr>
        <w:ind w:right="40"/>
        <w:spacing w:after="0" w:line="258" w:lineRule="auto"/>
        <w:rPr>
          <w:sz w:val="20"/>
          <w:szCs w:val="20"/>
          <w:color w:val="auto"/>
        </w:rPr>
      </w:pPr>
      <w:r>
        <w:rPr>
          <w:rFonts w:ascii="Times New Roman" w:cs="Times New Roman" w:eastAsia="Times New Roman" w:hAnsi="Times New Roman"/>
          <w:sz w:val="18"/>
          <w:szCs w:val="18"/>
          <w:color w:val="auto"/>
        </w:rPr>
        <w:t>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This ASU will be effective for us beginning the first day of our 2020 fiscal year.</w:t>
      </w:r>
    </w:p>
    <w:p>
      <w:pPr>
        <w:spacing w:after="0" w:line="76" w:lineRule="exact"/>
        <w:rPr>
          <w:sz w:val="20"/>
          <w:szCs w:val="20"/>
          <w:color w:val="auto"/>
        </w:rPr>
      </w:pPr>
    </w:p>
    <w:p>
      <w:pPr>
        <w:ind w:right="380" w:firstLine="225"/>
        <w:spacing w:after="0" w:line="258" w:lineRule="auto"/>
        <w:rPr>
          <w:sz w:val="20"/>
          <w:szCs w:val="20"/>
          <w:color w:val="auto"/>
        </w:rPr>
      </w:pPr>
      <w:r>
        <w:rPr>
          <w:rFonts w:ascii="Times New Roman" w:cs="Times New Roman" w:eastAsia="Times New Roman" w:hAnsi="Times New Roman"/>
          <w:sz w:val="18"/>
          <w:szCs w:val="18"/>
          <w:color w:val="auto"/>
        </w:rPr>
        <w:t>The new standard provides a number of optional practical expedients in transition. We expect to elect the ‘package of practical expedients’, which permits us not to reassess under the new standard our prior conclusions about lease identification, lease classification and initial direct costs. We do not expect to elect the use-of-hindsight or the practical expedient pertaining to land easements; the latter not being applicable to us. We expect to elect all of the new standard’s available transition practical expedients.</w:t>
      </w:r>
    </w:p>
    <w:p>
      <w:pPr>
        <w:spacing w:after="0" w:line="76"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We will elect the alternative modified retrospective approach, applying ASC 840 to all comparative periods, including disclosures, and recognize the effects of applying ASC 842 as a cumulative-effect adjustment to retained earnings as of the effective date. Upon adoption, the most significant effects are expected to relate to (1) the recognition of new ROU assets and lease liabilities on our balance sheet for our operating leases, which is expected to be between $60 million and $70 million at the beginning of fiscal 2020; and (2) providing significant new disclosures about our leasing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20" w:right="20" w:firstLine="259"/>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4"/>
                <w:szCs w:val="14"/>
                <w:color w:val="auto"/>
              </w:rPr>
              <w:t>Expected maturity date October 31,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w w:val="92"/>
              </w:rPr>
              <w:t>2023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w w:val="99"/>
              </w:rPr>
              <w:t>2024</w:t>
            </w:r>
          </w:p>
        </w:tc>
        <w:tc>
          <w:tcPr>
            <w:tcW w:w="14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Pr>
          <w:p>
            <w:pPr>
              <w:spacing w:after="0"/>
              <w:rPr>
                <w:sz w:val="12"/>
                <w:szCs w:val="12"/>
                <w:color w:val="auto"/>
              </w:rPr>
            </w:pPr>
          </w:p>
        </w:tc>
        <w:tc>
          <w:tcPr>
            <w:tcW w:w="7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40" w:type="dxa"/>
            <w:vAlign w:val="bottom"/>
          </w:tcPr>
          <w:p>
            <w:pPr>
              <w:spacing w:after="0"/>
              <w:rPr>
                <w:sz w:val="12"/>
                <w:szCs w:val="12"/>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4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63,423</w:t>
            </w:r>
          </w:p>
        </w:tc>
        <w:tc>
          <w:tcPr>
            <w:tcW w:w="4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FreshRealm (2)</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35,241</w:t>
            </w:r>
          </w:p>
        </w:tc>
        <w:tc>
          <w:tcPr>
            <w:tcW w:w="4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4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40" w:type="dxa"/>
            <w:vAlign w:val="bottom"/>
          </w:tcPr>
          <w:p>
            <w:pPr>
              <w:spacing w:after="0"/>
              <w:rPr>
                <w:sz w:val="18"/>
                <w:szCs w:val="18"/>
                <w:color w:val="auto"/>
              </w:rPr>
            </w:pPr>
          </w:p>
        </w:tc>
      </w:tr>
      <w:tr>
        <w:trPr>
          <w:trHeight w:val="198"/>
        </w:trPr>
        <w:tc>
          <w:tcPr>
            <w:tcW w:w="2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borrowings pursuant to credit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(1)</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Fixed-rate long-term obligations (3)</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194310</wp:posOffset>
            </wp:positionV>
            <wp:extent cx="14408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71" w:lineRule="exact"/>
        <w:rPr>
          <w:sz w:val="20"/>
          <w:szCs w:val="20"/>
          <w:color w:val="auto"/>
        </w:rPr>
      </w:pPr>
    </w:p>
    <w:p>
      <w:pPr>
        <w:ind w:left="340" w:right="180" w:hanging="318"/>
        <w:spacing w:after="0" w:line="233"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ind w:left="340" w:right="40" w:hanging="318"/>
        <w:spacing w:after="0" w:line="22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to FreshRealm, as of October 31, 2019, bear interest at the rate of 10% annually, with monthly interest payments scheduled to begin on October 31, 2020. This first interest payment would represent interest due for the month of October 2020 only, with similar monthly payments scheduled to follow afterwards. The due date of the notes is November 1, 2021, with the Company having the option of up to two, one-year extensions (i.e. first to November 1, 2022, then to November 1, 2023).</w:t>
      </w:r>
    </w:p>
    <w:p>
      <w:pPr>
        <w:spacing w:after="0" w:line="1" w:lineRule="exact"/>
        <w:rPr>
          <w:rFonts w:ascii="Times New Roman" w:cs="Times New Roman" w:eastAsia="Times New Roman" w:hAnsi="Times New Roman"/>
          <w:sz w:val="14"/>
          <w:szCs w:val="14"/>
          <w:color w:val="auto"/>
        </w:rPr>
      </w:pPr>
    </w:p>
    <w:p>
      <w:pPr>
        <w:ind w:left="340" w:right="40" w:hanging="318"/>
        <w:spacing w:after="0" w:line="239"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Fixed-rate long-term obligations bear interest rates ranging from 3.5% to 3.6% with a weighted-average interest rate of 3.6%. We project the impact of an increase or decrease in interest rates of 100 basis points would result in a change of fair value of approximately $310,000.</w:t>
      </w:r>
    </w:p>
    <w:p>
      <w:pPr>
        <w:spacing w:after="0" w:line="181" w:lineRule="exact"/>
        <w:rPr>
          <w:sz w:val="20"/>
          <w:szCs w:val="20"/>
          <w:color w:val="auto"/>
        </w:rPr>
      </w:pPr>
    </w:p>
    <w:p>
      <w:pPr>
        <w:ind w:left="20" w:right="320"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95" w:lineRule="exact"/>
        <w:rPr>
          <w:sz w:val="20"/>
          <w:szCs w:val="20"/>
          <w:color w:val="auto"/>
        </w:rPr>
      </w:pPr>
    </w:p>
    <w:p>
      <w:pPr>
        <w:ind w:left="20" w:right="160" w:firstLine="259"/>
        <w:spacing w:after="0" w:line="258"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translation losses for fiscal years 2019, 2018, and 2017, net of gains, were $0.3 million, $0.8 million and $0.3 million.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333" w:right="1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$3,366 (2019)</w:t>
            </w:r>
          </w:p>
        </w:tc>
        <w:tc>
          <w:tcPr>
            <w:tcW w:w="284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99"/>
              </w:rPr>
              <w:t>$3,227 (2018)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Advances to suppliers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FreshRealm</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390,360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367,736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gridSpan w:val="2"/>
            <w:vMerge w:val="continue"/>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 to growers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200" w:type="dxa"/>
            <w:vAlign w:val="bottom"/>
          </w:tcPr>
          <w:p>
            <w:pPr>
              <w:spacing w:after="0"/>
              <w:rPr>
                <w:sz w:val="18"/>
                <w:szCs w:val="18"/>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 accounts payable</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borrowings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2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rent</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8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17,595 (2019) and 17,567</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(2018) shares issued and outstanding)</w:t>
            </w: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390,360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1,195,777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961,021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Temecula packinghouse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71,046</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Unrealized and realized net loss on Limoneira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Income before provision for income taxes and loss from unconsolidated</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unconsolidated entities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per share: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17,593</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17,568</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5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37,324</w:t>
            </w:r>
          </w:p>
        </w:tc>
        <w:tc>
          <w:tcPr>
            <w:tcW w:w="40" w:type="dxa"/>
            <w:vAlign w:val="bottom"/>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40" w:type="dxa"/>
            <w:vAlign w:val="bottom"/>
            <w:shd w:val="clear" w:color="auto" w:fill="CCEEFF"/>
          </w:tcPr>
          <w:p>
            <w:pPr>
              <w:spacing w:after="0"/>
              <w:rPr>
                <w:sz w:val="18"/>
                <w:szCs w:val="18"/>
                <w:color w:val="auto"/>
              </w:rPr>
            </w:pPr>
          </w:p>
        </w:tc>
      </w:tr>
      <w:tr>
        <w:trPr>
          <w:trHeight w:val="216"/>
        </w:trPr>
        <w:tc>
          <w:tcPr>
            <w:tcW w:w="5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income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40" w:type="dxa"/>
            <w:vAlign w:val="bottom"/>
            <w:tcBorders>
              <w:bottom w:val="single" w:sz="8" w:color="CCEEFF"/>
            </w:tcBorders>
          </w:tcPr>
          <w:p>
            <w:pPr>
              <w:spacing w:after="0"/>
              <w:rPr>
                <w:sz w:val="18"/>
                <w:szCs w:val="18"/>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40" w:type="dxa"/>
            <w:vAlign w:val="bottom"/>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41,214</w:t>
            </w: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 Calavo Growers, Inc.</w:t>
            </w:r>
          </w:p>
        </w:tc>
        <w:tc>
          <w:tcPr>
            <w:tcW w:w="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41,160</w:t>
            </w:r>
          </w:p>
        </w:tc>
        <w:tc>
          <w:tcPr>
            <w:tcW w:w="4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60" w:type="dxa"/>
            <w:vAlign w:val="bottom"/>
            <w:gridSpan w:val="4"/>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6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October 31, 2016</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6,544</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215,069</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and income tax</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issued</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Limoneira investment, net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3,890</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declared to shareholders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Salsa Lisa contingent consideration</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income attributable to Calavo Growers,</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37,270</w:t>
            </w: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w:t>
            </w: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October 31, 2017</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17,533</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154,243</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10,434</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78,411</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1,016</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244,122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and income tax</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w:t>
            </w: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issued</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891</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Limoneira investment, net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1,707</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declared to shareholders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(17,568)</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transfer of noncontrolling interest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attributable to Calavo Growers,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32,281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32,281</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October 31, 2018</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17,567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157,928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12,141</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93,124</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264,959</w:t>
            </w: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 stock options and income tax</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benefit</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stock issued</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gains on Limoneira investment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(12,141)</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reclassed to retained earnings</w:t>
            </w: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 declared to shareholders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Avocados de Jalisco noncontrolling interest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attributable to Calavo Growers,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36,646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36,646</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w:t>
            </w: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October 31, 2019</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161,606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122,557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285,869</w:t>
            </w: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CALAVO GROWERS,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36,586</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32,012</w:t>
            </w:r>
          </w:p>
        </w:tc>
        <w:tc>
          <w:tcPr>
            <w:tcW w:w="26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37,324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10,691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losses (gains) on accounts receivable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from unconsolidated entities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and realized net loss on Limoneira shares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9,722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income on notes to FreshRealm</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4,320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(4,186)</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(3,118)</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long-term liabilities</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4,246</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(7,942)</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14,652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72,099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48,426</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62,140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of and deposits on property, plant, and equipment</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(15,004)</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unconsolidated entities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for repayment of San Rafael note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from Limoneira stock sales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Temecula packinghouse</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Infrastructure advance to Agricola Belher</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receivables advanced to FreshRealm</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(23,800)</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2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received for repayment of loan to FreshRealm</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 Agricola Don Memo</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(31,850)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(30,204)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(53,668)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212,500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278,500</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163,500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(227,500)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(283,500)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noncontrolling interest of Salsa Lisa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(33,796)</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(23,327)</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6,453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(5,105)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6,625</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13,842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5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7,973</w:t>
            </w:r>
          </w:p>
        </w:tc>
        <w:tc>
          <w:tcPr>
            <w:tcW w:w="26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1,520</w:t>
            </w:r>
          </w:p>
        </w:tc>
        <w:tc>
          <w:tcPr>
            <w:tcW w:w="26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6,625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during the year for: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Income taxes</w:t>
            </w: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6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10,224</w:t>
            </w:r>
          </w:p>
        </w:tc>
        <w:tc>
          <w:tcPr>
            <w:tcW w:w="2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9,262</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17,011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Declared dividends payable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19,354</w:t>
            </w:r>
          </w:p>
        </w:tc>
        <w:tc>
          <w:tcPr>
            <w:tcW w:w="3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17,568</w:t>
            </w:r>
          </w:p>
        </w:tc>
        <w:tc>
          <w:tcPr>
            <w:tcW w:w="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16,657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Acquisitions of property, plant, and equipment with capital lease</w:t>
            </w:r>
          </w:p>
        </w:tc>
        <w:tc>
          <w:tcPr>
            <w:tcW w:w="5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2,827</w:t>
            </w:r>
          </w:p>
        </w:tc>
        <w:tc>
          <w:tcPr>
            <w:tcW w:w="26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8,368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Capital lease related to Temecula packinghouse</w:t>
            </w: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3,306</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5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2,059</w:t>
            </w:r>
          </w:p>
        </w:tc>
        <w:tc>
          <w:tcPr>
            <w:tcW w:w="26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946</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1,833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Collection for Agricola Belher Infrastructure Advance</w:t>
            </w: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800</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200</w:t>
            </w:r>
          </w:p>
        </w:tc>
        <w:tc>
          <w:tcPr>
            <w:tcW w:w="26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Unrealized investment gain</w:t>
            </w:r>
          </w:p>
        </w:tc>
        <w:tc>
          <w:tcPr>
            <w:tcW w:w="5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2,247</w:t>
            </w:r>
          </w:p>
        </w:tc>
        <w:tc>
          <w:tcPr>
            <w:tcW w:w="260" w:type="dxa"/>
            <w:vAlign w:val="bottom"/>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6,326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3" w:right="141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229"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were prepared in accordance with accounting principles generally accepted in the U.S.</w:t>
      </w:r>
    </w:p>
    <w:p>
      <w:pPr>
        <w:spacing w:after="0" w:line="162" w:lineRule="exact"/>
        <w:rPr>
          <w:sz w:val="20"/>
          <w:szCs w:val="20"/>
          <w:color w:val="auto"/>
        </w:rPr>
      </w:pPr>
    </w:p>
    <w:p>
      <w:pPr>
        <w:ind w:right="160" w:firstLine="25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Calavo Growers, Inc. and our wholly owned subsidiaries, Calavo de Mexico S.A. de C.V. (Calavo de Mexico), Calavo Foods de Mexico S.A. de C.V., Calavo Growers de Mexico, S. de R.L. de C.V. ( Calavo Growers de Mexico), Maui Fresh International, Inc. (Maui), Hawaiian Sweet, Inc. (HS), Hawaiian Pride, LLC (HP), Calavo Salsa Lisa, LLC (CSL), Avocados de Jalisco, S.A.P.I. de C.V. (Avocados de Jalisco), in which we have an 83 percent ownership interest, and RFG. All intercompany accounts and transactions have been eliminated in consolidation.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valuation allowances for accounts and notes receivable, goodwill, grower advances, inventories, long-lived assets, valuation of and estimated useful lives of identifiable intangible assets, stock-based compensation, promotional allowances and income taxes. On an ongoing basis, management reviews its estimates based upon currently available information. Actual results could differ materially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20" w:firstLine="259"/>
        <w:spacing w:after="0" w:line="282" w:lineRule="auto"/>
        <w:rPr>
          <w:sz w:val="20"/>
          <w:szCs w:val="20"/>
          <w:color w:val="auto"/>
        </w:rPr>
      </w:pPr>
      <w:r>
        <w:rPr>
          <w:rFonts w:ascii="Times New Roman" w:cs="Times New Roman" w:eastAsia="Times New Roman" w:hAnsi="Times New Roman"/>
          <w:sz w:val="18"/>
          <w:szCs w:val="18"/>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firstLine="259"/>
        <w:spacing w:after="0" w:line="274" w:lineRule="auto"/>
        <w:rPr>
          <w:sz w:val="20"/>
          <w:szCs w:val="20"/>
          <w:color w:val="auto"/>
        </w:rPr>
      </w:pPr>
      <w:r>
        <w:rPr>
          <w:rFonts w:ascii="Times New Roman" w:cs="Times New Roman" w:eastAsia="Times New Roman" w:hAnsi="Times New Roman"/>
          <w:sz w:val="17"/>
          <w:szCs w:val="17"/>
          <w:color w:val="auto"/>
        </w:rPr>
        <w:t>Prepaid expenses and other current assets consist primarily of non-trade receivables, infrastructure advances and prepaid expenses. Non-trade receivables were $5.3 million and $4.9 million at October 31, 2019 and 2018. Included in non-trade receivables are $1.9 million and $1.5 million related to the current portion of non-CDM Mexican IVA (i.e. value-added) taxes at October 31, 2019 and 2018 (See Note 15). Infrastructure advances are discussed below. In addition, at October 31, 2018, loans of $9.0 million to FreshRealm are included in prepaid expenses and other current assets (See Note 8). Prepaid expenses totaling $3.4 million and $2.8 million at October 31, 2019 and 2018, are primarily for insurance, rent and other items.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 - 7 to 25 years; information systems hardware and software – 3 to 10 years. Significant repairs and maintenance that increase the value or extend the useful life of our fixed asset are capitalized. On-going maintenance and repairs are charged to expense.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229"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Goodwill, defined as unidentified asset(s) acquired in conjunction with a 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can use a qualitative test, known as "Step 0," or a two-step quantitative method to determine whether impairment has occurred. In Step 0, we elect to perform an optional qualitative analysis and based on the results skip the two step analysis. In fiscal 2019, 2018 and 2017, we elected to implement Step 0 and were not required to conduct the remaining two step analysis.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The results of our Step 0 assessments indicated that it was more likely than not that the fair value of our reporting unit exceeded its carrying value and therefore we concluded that there were no impairments for the years ended October 31, 2019 and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right="100" w:firstLine="259"/>
        <w:spacing w:after="0" w:line="254" w:lineRule="auto"/>
        <w:rPr>
          <w:sz w:val="20"/>
          <w:szCs w:val="20"/>
          <w:color w:val="auto"/>
        </w:rPr>
      </w:pPr>
      <w:r>
        <w:rPr>
          <w:rFonts w:ascii="Times New Roman" w:cs="Times New Roman" w:eastAsia="Times New Roman" w:hAnsi="Times New Roman"/>
          <w:sz w:val="18"/>
          <w:szCs w:val="18"/>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fiscal years 2019 and 2018, we performed our annual assessment of long-lived assets and determined that no impairment existed as of October 31, 2019 and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7" w:name="page48"/>
    <w:bookmarkEnd w:id="47"/>
    <w:p>
      <w:pPr>
        <w:ind w:firstLine="259"/>
        <w:spacing w:after="0" w:line="254" w:lineRule="auto"/>
        <w:rPr>
          <w:sz w:val="20"/>
          <w:szCs w:val="20"/>
          <w:color w:val="auto"/>
        </w:rPr>
      </w:pPr>
      <w:r>
        <w:rPr>
          <w:rFonts w:ascii="Times New Roman" w:cs="Times New Roman" w:eastAsia="Times New Roman" w:hAnsi="Times New Roman"/>
          <w:sz w:val="18"/>
          <w:szCs w:val="18"/>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Agricola Don Memo, S.A. de C.V. (Don Memo). Don Memo, a Mexican corporation formed in July 2013, is engaged in the business of owning and improving land in Jalisco, Mexico for the growing of tomatoes and other produce and the sale and distribution of tomatoes and other produce. Belo and Calavo Sub have an equal one-half ownership interest in Don Memo. Pursuant to a management service agreement, Belo, through its officers and employees, shall have day-to-day power and authority to manage the operations. In fiscal 2018, we contributed $0.1 million as investments in Don Memo. This investment contribution represent Calavo Sub’s 50% ownership in Don Memo, which is included in investment in unconsolidated entities on our balance sheet. We use the equity method to account for this investment. As of October 31, 2019 and 2018, we have an investment of $4.9 million and $4.9 million in Don Memo.</w:t>
      </w:r>
    </w:p>
    <w:p>
      <w:pPr>
        <w:spacing w:after="0" w:line="186"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As of October 31, 2019 and 2018, we have an investment of $5.8 million and $19.9 million in FreshRealm, LLC (“FreshRealm”). We record the amount of our investment in FreshRealm in “Investment in unconsolidated entities” on our Consolidated Balance Sheets and recognize losses in FreshRealm in “Income/(loss) in unconsolidated entities” in our Consolidated Condensed Statement of Income. See Note 16 for additional information.</w:t>
      </w:r>
    </w:p>
    <w:p>
      <w:pPr>
        <w:spacing w:after="0" w:line="180" w:lineRule="exact"/>
        <w:rPr>
          <w:sz w:val="20"/>
          <w:szCs w:val="20"/>
          <w:color w:val="auto"/>
        </w:rPr>
      </w:pPr>
    </w:p>
    <w:p>
      <w:pPr>
        <w:ind w:right="160" w:firstLine="259"/>
        <w:spacing w:after="0" w:line="256" w:lineRule="auto"/>
        <w:rPr>
          <w:sz w:val="20"/>
          <w:szCs w:val="20"/>
          <w:color w:val="auto"/>
        </w:rPr>
      </w:pPr>
      <w:r>
        <w:rPr>
          <w:rFonts w:ascii="Times New Roman" w:cs="Times New Roman" w:eastAsia="Times New Roman" w:hAnsi="Times New Roman"/>
          <w:sz w:val="18"/>
          <w:szCs w:val="18"/>
          <w:color w:val="auto"/>
        </w:rPr>
        <w:t>Effective July 31, 2018, we entered into a Note and Membership Unit Purchase Agreement (“NMUPA”) with FreshRealm, pursuant to which we agreed to provide additional financing to FreshRealm, subject to certain terms and conditions. Pursuant to such NMUPA, we entered into a Subscription Agreement with FreshRealm, whereby we purchased $3.5 million of equity units in FreshRealm, on July 31, 2018. As of October 31, 2018, our ownership percentage in FreshRealm was approximately 37%. In fiscal 2019, certain FreshRealm employees left the company surrendering their ownership units. This changed Calavo’s ownership percentage slightly to 38%.</w:t>
      </w:r>
    </w:p>
    <w:p>
      <w:pPr>
        <w:spacing w:after="0" w:line="188"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In order to estimate the fair value of our investment in FreshRealm we hired an independent third-party expert to provide their written opinion on the fair value of our investment. We reviewed and considered their independent expert opinion in making our determination.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220" w:firstLine="243"/>
        <w:spacing w:after="0" w:line="266" w:lineRule="auto"/>
        <w:rPr>
          <w:sz w:val="20"/>
          <w:szCs w:val="20"/>
          <w:color w:val="auto"/>
        </w:rPr>
      </w:pPr>
      <w:r>
        <w:rPr>
          <w:rFonts w:ascii="Times New Roman" w:cs="Times New Roman" w:eastAsia="Times New Roman" w:hAnsi="Times New Roman"/>
          <w:sz w:val="18"/>
          <w:szCs w:val="18"/>
          <w:color w:val="auto"/>
        </w:rPr>
        <w:t>Our marketable securities consist of our investment in Limoneira Company (Limoneira) stock. We currently own less than 10% of Limoneira’s outstanding common stock. These securities are considered available for sale securities based on management’s intent with respect to such securities and are carried at fair value as determined from quoted market prices.</w:t>
      </w:r>
    </w:p>
    <w:p>
      <w:pPr>
        <w:spacing w:after="0" w:line="176"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On November 1, 2018 we adopted a new accounting standard, which requires equity investments (except those accounted for under the equity method of accounting) to be measured at fair value with changes in fair value recognized in net income. With the adoption of this new standard, we reclassed unrealized gains of $12.1 million in accumulated other comprehensive income to retained earnings as of November 1, 2018. Additionally, for the year ended October 31, 2019, we sold 51,271 shares of Limoneira stock and recorded a loss of $0.1 million in our consolidated statements of income. Limoneira’s stock price at October 31, 2019, and October 31, 2018 equaled $18.92 per share, and $24.65 per share. Our remaining shares of Limoneira stock, totaling 1,677,299, were revalued to $18.92 per share at October 31, 2019 and, as a result, we recorded a loss of $9.6 million for the year ended October 31, 2019 in our consolidated condensed statements of income.</w:t>
      </w:r>
    </w:p>
    <w:p>
      <w:pPr>
        <w:spacing w:after="0" w:line="185" w:lineRule="exact"/>
        <w:rPr>
          <w:sz w:val="20"/>
          <w:szCs w:val="20"/>
          <w:color w:val="auto"/>
        </w:rPr>
      </w:pPr>
    </w:p>
    <w:p>
      <w:pPr>
        <w:ind w:right="140" w:firstLine="243"/>
        <w:spacing w:after="0" w:line="282" w:lineRule="auto"/>
        <w:rPr>
          <w:sz w:val="20"/>
          <w:szCs w:val="20"/>
          <w:color w:val="auto"/>
        </w:rPr>
      </w:pPr>
      <w:r>
        <w:rPr>
          <w:rFonts w:ascii="Times New Roman" w:cs="Times New Roman" w:eastAsia="Times New Roman" w:hAnsi="Times New Roman"/>
          <w:sz w:val="18"/>
          <w:szCs w:val="18"/>
          <w:color w:val="auto"/>
        </w:rPr>
        <w:t>The estimated fair value, cost, and gross unrealized gain related to such investment was $42.6 million, $23.5 million and $19.1 million as of October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to Suppliers</w:t>
      </w:r>
    </w:p>
    <w:p>
      <w:pPr>
        <w:spacing w:after="0" w:line="229"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We advance funds to third-party growers primarily in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2019 and 2018.</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Pursuant to our distribution agreement, which was amended in fiscal 2011, with Agricola Belher (Belher) of Mexico, a producer of fresh vegetables, primarily tomatoes, for export to the U.S. market, Belher agreed, at their sole cost and expense, to harvest, pack, export, ship, and deliver tomatoes exclusively to our company, primarily our Arizona facility. In exchange, we agreed to sell and distribute such tomatoes, make advances to Belher for operating purposes, provide additional advances as shipments are made during the season (subject to limitations, as defined), and return the proceeds from such tomato sales to Belher, net of our commission and aforementioned advances. These advances will be collected through settlements by the end of each year. For fiscal 2019 and 2018, we agreed to advance $4.5 million and $4.0 million for preseason advances. As of October 31, 2019 and 2018, we have total advances of $4.5 million and $4.0 million to Belher pursuant to this agreement, which is recorded in advances to suppliers.</w:t>
      </w:r>
    </w:p>
    <w:p>
      <w:pPr>
        <w:spacing w:after="0" w:line="18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2019 and 2018, we have total advances of $3.7 million and $2.5 million to Don Memo, which is recorded in advances to suppliers, offset by tomato liabilities from the sales of tomatoes per the tomato marketing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Advances</w:t>
      </w:r>
    </w:p>
    <w:p>
      <w:pPr>
        <w:spacing w:after="0" w:line="229"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Pursuant to our infrastructure agreements, we make advances to be used solely for the acquisition, construction, and installation of improvements to and on certain land owned/controlled by Belher, as well as packing line equipment. In August 2018, we entered into an amended infrastructure agreement with Belher and advanced $3.0 million. This amount shall be paid back in annual installments of $0.6 million through June 2023, and incurs interest at Libor plus 10%. Advances prior to this amended agreement incur interest at Libor plus 3.0%. As of October 31, 2019, we have advanced a total of $2.6 million ($0.8 million included in prepaid expenses and other current assets and $1.8 million included in other long-term assets). As of October 31, 2018, we have advanced a total of $3.4 million ($0.8 million included in prepaid expenses and other current assets and $2.6 million included in other long-term assets). Belher may prepay, without penalty, all or any portion of the advances at any time. In order to secure their obligations pursuant to both agreements discussed above, Belher granted us a first-priority security interest in certain assets, including cash, inventory and fixed assets, as defined.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Included in accrued expenses are liabilities related to the receipt of goods and/or services for which an invoice has not yet been received. These totaled approximately $18.7 million and $20.9 million for the year ended October 31, 2019 and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Effective at the beginning of our fiscal 2019, the Company adopted Accounting Standards Update (ASU) No. 2014-09, "Revenue from Contracts with Customers," and all the related amendments (Accounting Standards Codification (ASC) 606) using the modified retrospective method of adoption. ASC 606 consists of a comprehensive revenue recognition standard, which requires the recognition of revenue when control of promised goods are transferred to customers in an amount that reflects the consideration to which the entity expects to be entitled.</w:t>
      </w:r>
    </w:p>
    <w:p>
      <w:pPr>
        <w:spacing w:after="0" w:line="184"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337" w:right="1439" w:bottom="1440" w:gutter="0" w:footer="0" w:header="0"/>
        </w:sectPr>
      </w:pPr>
    </w:p>
    <w:bookmarkStart w:id="49" w:name="page50"/>
    <w:bookmarkEnd w:id="49"/>
    <w:p>
      <w:pPr>
        <w:ind w:right="159"/>
        <w:spacing w:after="0" w:line="282" w:lineRule="auto"/>
        <w:rPr>
          <w:sz w:val="20"/>
          <w:szCs w:val="20"/>
          <w:color w:val="auto"/>
        </w:rPr>
      </w:pPr>
      <w:r>
        <w:rPr>
          <w:rFonts w:ascii="Times New Roman" w:cs="Times New Roman" w:eastAsia="Times New Roman" w:hAnsi="Times New Roman"/>
          <w:sz w:val="18"/>
          <w:szCs w:val="18"/>
          <w:color w:val="auto"/>
        </w:rPr>
        <w:t>payment discounts and product return allowances, which is estimated, is recorded as a reduction of sales in the same period that the revenue is recognized.</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Sales Incentives and Other Promotional Programs</w:t>
      </w:r>
    </w:p>
    <w:p>
      <w:pPr>
        <w:spacing w:after="0" w:line="241" w:lineRule="exact"/>
        <w:rPr>
          <w:sz w:val="20"/>
          <w:szCs w:val="20"/>
          <w:color w:val="auto"/>
        </w:rPr>
      </w:pPr>
    </w:p>
    <w:p>
      <w:pPr>
        <w:ind w:right="79" w:firstLine="259"/>
        <w:spacing w:after="0" w:line="253" w:lineRule="auto"/>
        <w:rPr>
          <w:sz w:val="20"/>
          <w:szCs w:val="20"/>
          <w:color w:val="auto"/>
        </w:rPr>
      </w:pPr>
      <w:r>
        <w:rPr>
          <w:rFonts w:ascii="Times New Roman" w:cs="Times New Roman" w:eastAsia="Times New Roman" w:hAnsi="Times New Roman"/>
          <w:sz w:val="18"/>
          <w:szCs w:val="18"/>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condensed consolidated balance sheets as part of accrued expenses.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Principal vs. Agent Considerations</w:t>
      </w:r>
    </w:p>
    <w:p>
      <w:pPr>
        <w:spacing w:after="0" w:line="241" w:lineRule="exact"/>
        <w:rPr>
          <w:sz w:val="20"/>
          <w:szCs w:val="20"/>
          <w:color w:val="auto"/>
        </w:rPr>
      </w:pPr>
    </w:p>
    <w:p>
      <w:pPr>
        <w:ind w:right="79" w:firstLine="259"/>
        <w:spacing w:after="0" w:line="255"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We evaluate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elected the following practical expedients upon its adoption of Accounting Standards Update ("ASU")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Topic 606).</w:t>
      </w:r>
    </w:p>
    <w:p>
      <w:pPr>
        <w:spacing w:after="0" w:line="245" w:lineRule="exact"/>
        <w:rPr>
          <w:sz w:val="20"/>
          <w:szCs w:val="20"/>
          <w:color w:val="auto"/>
        </w:rPr>
      </w:pPr>
    </w:p>
    <w:p>
      <w:pPr>
        <w:ind w:left="600" w:right="39" w:hanging="314"/>
        <w:spacing w:after="0" w:line="284"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 The company elected to account for shipping and handling activities that occur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has obtained control of a good as fulfillment activities rather than as a promised service.</w:t>
      </w:r>
    </w:p>
    <w:p>
      <w:pPr>
        <w:spacing w:after="0" w:line="158" w:lineRule="exact"/>
        <w:rPr>
          <w:rFonts w:ascii="Times New Roman" w:cs="Times New Roman" w:eastAsia="Times New Roman" w:hAnsi="Times New Roman"/>
          <w:sz w:val="18"/>
          <w:szCs w:val="18"/>
          <w:color w:val="auto"/>
        </w:rPr>
      </w:pPr>
    </w:p>
    <w:p>
      <w:pPr>
        <w:ind w:left="600" w:right="79" w:hanging="314"/>
        <w:spacing w:after="0" w:line="267"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Measurement of transaction price - </w:t>
      </w:r>
      <w:r>
        <w:rPr>
          <w:rFonts w:ascii="Times New Roman" w:cs="Times New Roman" w:eastAsia="Times New Roman" w:hAnsi="Times New Roman"/>
          <w:sz w:val="18"/>
          <w:szCs w:val="18"/>
          <w:color w:val="auto"/>
        </w:rPr>
        <w:t>The Company has elected to exclude from the measurement of transaction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taxes assessed by a governmental authority that are both imposed on, and concurrent with, a specific revenue-producing transaction and collected by the Company from a customer for sales taxes.</w:t>
      </w:r>
    </w:p>
    <w:p>
      <w:pPr>
        <w:spacing w:after="0" w:line="173" w:lineRule="exact"/>
        <w:rPr>
          <w:rFonts w:ascii="Times New Roman" w:cs="Times New Roman" w:eastAsia="Times New Roman" w:hAnsi="Times New Roman"/>
          <w:sz w:val="18"/>
          <w:szCs w:val="18"/>
          <w:color w:val="auto"/>
        </w:rPr>
      </w:pPr>
    </w:p>
    <w:p>
      <w:pPr>
        <w:ind w:left="600" w:right="179" w:hanging="314"/>
        <w:spacing w:after="0" w:line="284"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 costs - </w:t>
      </w:r>
      <w:r>
        <w:rPr>
          <w:rFonts w:ascii="Times New Roman" w:cs="Times New Roman" w:eastAsia="Times New Roman" w:hAnsi="Times New Roman"/>
          <w:sz w:val="18"/>
          <w:szCs w:val="18"/>
          <w:color w:val="auto"/>
        </w:rPr>
        <w:t>The Company has elected to recognize the incremental costs of obtaining a contract as an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incurred if the amortization period is one year or less.</w:t>
      </w:r>
    </w:p>
    <w:p>
      <w:pPr>
        <w:spacing w:after="0" w:line="160" w:lineRule="exact"/>
        <w:rPr>
          <w:sz w:val="20"/>
          <w:szCs w:val="20"/>
          <w:color w:val="auto"/>
        </w:rPr>
      </w:pPr>
    </w:p>
    <w:p>
      <w:pPr>
        <w:ind w:right="19" w:firstLine="259"/>
        <w:spacing w:after="0" w:line="282" w:lineRule="auto"/>
        <w:rPr>
          <w:sz w:val="20"/>
          <w:szCs w:val="20"/>
          <w:color w:val="auto"/>
        </w:rPr>
      </w:pPr>
      <w:r>
        <w:rPr>
          <w:rFonts w:ascii="Times New Roman" w:cs="Times New Roman" w:eastAsia="Times New Roman" w:hAnsi="Times New Roman"/>
          <w:sz w:val="18"/>
          <w:szCs w:val="18"/>
          <w:color w:val="auto"/>
        </w:rPr>
        <w:t>The adoption of ASC 606 did not have an impact on our consolidated results of operations for the year ended October 31, 2019.</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120" w:firstLine="270"/>
        <w:spacing w:after="0" w:line="256" w:lineRule="auto"/>
        <w:rPr>
          <w:sz w:val="20"/>
          <w:szCs w:val="20"/>
          <w:color w:val="auto"/>
        </w:rPr>
      </w:pPr>
      <w:r>
        <w:rPr>
          <w:rFonts w:ascii="Times New Roman" w:cs="Times New Roman" w:eastAsia="Times New Roman" w:hAnsi="Times New Roman"/>
          <w:sz w:val="18"/>
          <w:szCs w:val="18"/>
          <w:color w:val="auto"/>
        </w:rPr>
        <w:t>We sell to retail grocery, foodservice, club stores, mass merchandisers, food distributors and wholesale customers. Our top ten customers accounted for approximately 59%, 59% and 59% of our consolidated net sales in fiscal years 2019, 2018 and 2017. Sales to our largest customer, Kroger (including its affiliates), represented approximately 21%, 20%, and 19% of net sales in each of fiscal years 2019, 2018, and 2017. Additionally, Wal-Mart (including its affiliates) represented approximately 13% and 10% of net sales in fiscal years 2019 and 2018. No other single customer accounted for more than 10% of our net sales in any of the last three fiscal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229" w:lineRule="exact"/>
        <w:rPr>
          <w:sz w:val="20"/>
          <w:szCs w:val="20"/>
          <w:color w:val="auto"/>
        </w:rPr>
      </w:pPr>
    </w:p>
    <w:p>
      <w:pPr>
        <w:ind w:right="520" w:firstLine="259"/>
        <w:spacing w:after="0" w:line="282" w:lineRule="auto"/>
        <w:rPr>
          <w:sz w:val="20"/>
          <w:szCs w:val="20"/>
          <w:color w:val="auto"/>
        </w:rPr>
      </w:pPr>
      <w:r>
        <w:rPr>
          <w:rFonts w:ascii="Times New Roman" w:cs="Times New Roman" w:eastAsia="Times New Roman" w:hAnsi="Times New Roman"/>
          <w:sz w:val="18"/>
          <w:szCs w:val="18"/>
          <w:color w:val="auto"/>
        </w:rPr>
        <w:t>We include shipping and handling fees billed to customers in net revenues. Amounts incurred by us for freight are included in cost of goods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Promotional Allowances</w:t>
      </w:r>
    </w:p>
    <w:p>
      <w:pPr>
        <w:spacing w:after="0" w:line="229"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We provide for promotional allowances at the time of sale, based on our historical experience. Our estimates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accrued expenses.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Accounts Receivable</w:t>
      </w:r>
    </w:p>
    <w:p>
      <w:pPr>
        <w:spacing w:after="0" w:line="229" w:lineRule="exact"/>
        <w:rPr>
          <w:sz w:val="20"/>
          <w:szCs w:val="20"/>
          <w:color w:val="auto"/>
        </w:rPr>
      </w:pPr>
    </w:p>
    <w:p>
      <w:pPr>
        <w:ind w:right="100" w:firstLine="243"/>
        <w:spacing w:after="0" w:line="282" w:lineRule="auto"/>
        <w:rPr>
          <w:sz w:val="20"/>
          <w:szCs w:val="20"/>
          <w:color w:val="auto"/>
        </w:rPr>
      </w:pPr>
      <w:r>
        <w:rPr>
          <w:rFonts w:ascii="Times New Roman" w:cs="Times New Roman" w:eastAsia="Times New Roman" w:hAnsi="Times New Roman"/>
          <w:sz w:val="18"/>
          <w:szCs w:val="18"/>
          <w:color w:val="auto"/>
        </w:rPr>
        <w:t>We provide an allowance for estimated uncollectible accounts receivable balances based on historical experience and the aging of the related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FreshRealm</w:t>
      </w:r>
    </w:p>
    <w:p>
      <w:pPr>
        <w:spacing w:after="0" w:line="229" w:lineRule="exact"/>
        <w:rPr>
          <w:sz w:val="20"/>
          <w:szCs w:val="20"/>
          <w:color w:val="auto"/>
        </w:rPr>
      </w:pPr>
    </w:p>
    <w:p>
      <w:pPr>
        <w:ind w:right="100" w:firstLine="259"/>
        <w:spacing w:after="0" w:line="253" w:lineRule="auto"/>
        <w:rPr>
          <w:sz w:val="20"/>
          <w:szCs w:val="20"/>
          <w:color w:val="auto"/>
        </w:rPr>
      </w:pPr>
      <w:r>
        <w:rPr>
          <w:rFonts w:ascii="Times New Roman" w:cs="Times New Roman" w:eastAsia="Times New Roman" w:hAnsi="Times New Roman"/>
          <w:sz w:val="18"/>
          <w:szCs w:val="18"/>
          <w:color w:val="auto"/>
        </w:rPr>
        <w:t>As of October 31, 2019, and October 31, 2018, we had notes receivable (including interest) from FreshRealm totaling $35.2 million and $9.0 million. At October 31, 2018, notes receivable from FreshRealm of $9.0 million was included in prepaids and other current assets. The notes to FreshRealm, as of October 31, 2019, bear interest at the rate of 10% annually, with monthly interest payments scheduled to begin on October 31, 2020. This first interest payment would represent interest due for the month of October 2020 only, with similar monthly payments scheduled to follow afterwards. The due date of the notes is November 1, 2021, with the Company having the option of up to two, one-year extensions (i.e. first to November 1, 2022, then to November 1, 2023). At October 31, 2019, we have a receivable of $2.4 million related to interest that we have recorded within Note receivables to FreshRealm on the balance sheet. We assess the collectability of these notes from FreshRealm based on their financial results and, primarily, their cash projections. We have concluded no reserve is necessary as of October 31, 2019. See Notes 8 and 16 in our consolidated financial statements for further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Consignment Arrangements</w:t>
      </w:r>
    </w:p>
    <w:p>
      <w:pPr>
        <w:spacing w:after="0" w:line="22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7" w:right="1439" w:bottom="1440" w:gutter="0" w:footer="0" w:header="0"/>
        </w:sectPr>
      </w:pPr>
    </w:p>
    <w:bookmarkStart w:id="51" w:name="page52"/>
    <w:bookmarkEnd w:id="51"/>
    <w:p>
      <w:pPr>
        <w:ind w:right="40"/>
        <w:spacing w:after="0" w:line="282" w:lineRule="auto"/>
        <w:rPr>
          <w:sz w:val="20"/>
          <w:szCs w:val="20"/>
          <w:color w:val="auto"/>
        </w:rPr>
      </w:pPr>
      <w:r>
        <w:rPr>
          <w:rFonts w:ascii="Times New Roman" w:cs="Times New Roman" w:eastAsia="Times New Roman" w:hAnsi="Times New Roman"/>
          <w:sz w:val="18"/>
          <w:szCs w:val="18"/>
          <w:color w:val="auto"/>
        </w:rPr>
        <w:t>procured under consignment arrangements. Amounts recorded for each of the fiscal years ended October 31, 2019, 2018 and 2017 in the financial statements pursuant to consignment arrangements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CEEFF"/>
            </w:tcBorders>
          </w:tcPr>
          <w:p>
            <w:pPr>
              <w:spacing w:after="0"/>
              <w:rPr>
                <w:sz w:val="15"/>
                <w:szCs w:val="15"/>
                <w:color w:val="auto"/>
              </w:rPr>
            </w:pPr>
          </w:p>
        </w:tc>
      </w:tr>
      <w:tr>
        <w:trPr>
          <w:trHeight w:val="196"/>
        </w:trPr>
        <w:tc>
          <w:tcPr>
            <w:tcW w:w="37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w:t>
            </w:r>
          </w:p>
        </w:tc>
        <w:tc>
          <w:tcPr>
            <w:tcW w:w="40" w:type="dxa"/>
            <w:vAlign w:val="bottom"/>
            <w:shd w:val="clear" w:color="auto" w:fill="CCEEFF"/>
          </w:tcPr>
          <w:p>
            <w:pPr>
              <w:spacing w:after="0"/>
              <w:rPr>
                <w:sz w:val="18"/>
                <w:szCs w:val="18"/>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4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229" w:lineRule="exact"/>
        <w:rPr>
          <w:sz w:val="20"/>
          <w:szCs w:val="20"/>
          <w:color w:val="auto"/>
        </w:rPr>
      </w:pPr>
    </w:p>
    <w:p>
      <w:pPr>
        <w:ind w:right="380" w:firstLine="259"/>
        <w:spacing w:after="0" w:line="266" w:lineRule="auto"/>
        <w:rPr>
          <w:sz w:val="20"/>
          <w:szCs w:val="20"/>
          <w:color w:val="auto"/>
        </w:rPr>
      </w:pPr>
      <w:r>
        <w:rPr>
          <w:rFonts w:ascii="Times New Roman" w:cs="Times New Roman" w:eastAsia="Times New Roman" w:hAnsi="Times New Roman"/>
          <w:sz w:val="18"/>
          <w:szCs w:val="18"/>
          <w:color w:val="auto"/>
        </w:rPr>
        <w:t>Advertising costs are expensed when incurred and are generally included as a component of selling, general and administrative expense. Such costs were approximately $0.3 million, $0.2 million and $0.1 million for fiscal years 2019, 2018, and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are generally included as a component of selling, general and administrative expense. Total research and development costs for fiscal years 2019, 2018 and 2017 were less than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380" w:firstLine="259"/>
        <w:spacing w:after="0" w:line="282" w:lineRule="auto"/>
        <w:rPr>
          <w:sz w:val="20"/>
          <w:szCs w:val="20"/>
          <w:color w:val="auto"/>
        </w:rPr>
      </w:pPr>
      <w:r>
        <w:rPr>
          <w:rFonts w:ascii="Times New Roman" w:cs="Times New Roman" w:eastAsia="Times New Roman" w:hAnsi="Times New Roman"/>
          <w:sz w:val="18"/>
          <w:szCs w:val="18"/>
          <w:color w:val="auto"/>
        </w:rPr>
        <w:t>Included in other income is dividend income totaling $0.6 million for fiscal year 2019. Dividend income totaled $0.6 million and $0.5 million for fiscal years 2018 and 2017. See Note 8 for related party disclosure related to other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88"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94"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201"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per Share</w:t>
      </w:r>
    </w:p>
    <w:p>
      <w:pPr>
        <w:spacing w:after="0" w:line="229" w:lineRule="exact"/>
        <w:rPr>
          <w:sz w:val="20"/>
          <w:szCs w:val="20"/>
          <w:color w:val="auto"/>
        </w:rPr>
      </w:pPr>
    </w:p>
    <w:p>
      <w:pPr>
        <w:ind w:right="460" w:firstLine="259"/>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using the weighted-average number of common shares outstanding during the period without consideration of the dilutive effect of stock options and contingent consideration. Diluted earnings per common share is calculated using the weighted-average number of common shares outstanding during the period after consideration of the dilutive effect of stock options and the effect of contingent consideration shares.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Basic and diluted net income per share is calculated as follows (U.S. dollars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00" w:type="dxa"/>
            <w:vAlign w:val="bottom"/>
            <w:tcBorders>
              <w:bottom w:val="single" w:sz="8" w:color="auto"/>
            </w:tcBorders>
          </w:tcPr>
          <w:p>
            <w:pPr>
              <w:spacing w:after="0"/>
              <w:rPr>
                <w:sz w:val="15"/>
                <w:szCs w:val="15"/>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stock/options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9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17,514</w:t>
            </w:r>
          </w:p>
        </w:tc>
      </w:tr>
      <w:tr>
        <w:trPr>
          <w:trHeight w:val="197"/>
        </w:trPr>
        <w:tc>
          <w:tcPr>
            <w:tcW w:w="5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attributable to Calavo Growers, Inc:</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We account for awards of equity instruments issued to employees under the fair value method of accounting and recognize such amounts in our statements of income. We measure compensation cost for all stock-based awards at fair value on the date of grant and recognize compensation expense in our consolidated statements of income over the service period that the awards are expected to vest.</w:t>
      </w:r>
    </w:p>
    <w:p>
      <w:pPr>
        <w:spacing w:after="0" w:line="180"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For the years ended October 31, 2019, 2018 and 2017, we recognized compensation expense of $3.6 million, $4.6 million, and $4.3 million related to stock-based compensation (See Note 12). The value of the stock-based compensation was determined from quoted market prices at the date of the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22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Our foreign operations are subject to exchange rate fluctuations and foreign currency transaction costs. The functional currency of our foreign subsidiaries is the United States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currently in income. Total foreign currency translation losses for fiscal 2019, 2018 and 2017, net of gains, were $0.3 million, $0.8 million, and $0.3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40" w:firstLine="259"/>
        <w:spacing w:after="0" w:line="261" w:lineRule="auto"/>
        <w:rPr>
          <w:sz w:val="20"/>
          <w:szCs w:val="20"/>
          <w:color w:val="auto"/>
        </w:rPr>
      </w:pPr>
      <w:r>
        <w:rPr>
          <w:rFonts w:ascii="Times New Roman" w:cs="Times New Roman" w:eastAsia="Times New Roman" w:hAnsi="Times New Roman"/>
          <w:sz w:val="18"/>
          <w:szCs w:val="18"/>
          <w:color w:val="auto"/>
        </w:rPr>
        <w:t>We believe that the carrying amounts of cash and cash equivalents, accounts receivable, accounts payable, and short-term borrowings approximates fair value based on either their short-term nature or on terms currently available to the Company in financial markets. Due to current market rates, we believe that our fixed-rate long-term obligations have nearly the same fair value and carrying value of approximately $6.2 million and $0.4 million as of October 31, 2019 and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As part of certain lease agreements, we receive construction allowances from our landlords. The construction allowances are deferred and amortized on a straight-line basis over the life of the lease as a reduction to rent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right="20" w:firstLine="180"/>
        <w:spacing w:after="0" w:line="256"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Targeted Improvements to Related Party Guidance for 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This ASU provides that indirect interests held through related parties in common control arrangements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on a proportional basis for determining whether fees paid to decision makers and service providers are variable interests. The new guidance is effective for fiscal years beginning after December 15, 2019.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3"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2018, the FASB issued and ASU, </w:t>
      </w:r>
      <w:r>
        <w:rPr>
          <w:rFonts w:ascii="Times New Roman" w:cs="Times New Roman" w:eastAsia="Times New Roman" w:hAnsi="Times New Roman"/>
          <w:sz w:val="18"/>
          <w:szCs w:val="18"/>
          <w:i w:val="1"/>
          <w:iCs w:val="1"/>
          <w:color w:val="auto"/>
        </w:rPr>
        <w:t xml:space="preserve">Intangibles-Goodwill and Other-Internal-Use Software (Subtopic 350-40), Customer’s Accounting for Implementation Costs Incurred in a Cloud Computing Arrangement That is a Service Contract. </w:t>
      </w:r>
      <w:r>
        <w:rPr>
          <w:rFonts w:ascii="Times New Roman" w:cs="Times New Roman" w:eastAsia="Times New Roman" w:hAnsi="Times New Roman"/>
          <w:sz w:val="18"/>
          <w:szCs w:val="18"/>
          <w:color w:val="auto"/>
        </w:rPr>
        <w:t>This ASU requires implementation costs incurred by customers in cloud computing arrangements (i.e., hosting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9" w:lineRule="exact"/>
        <w:rPr>
          <w:sz w:val="20"/>
          <w:szCs w:val="20"/>
          <w:color w:val="auto"/>
        </w:rPr>
      </w:pPr>
    </w:p>
    <w:p>
      <w:pPr>
        <w:jc w:val="both"/>
        <w:ind w:right="100" w:firstLine="259"/>
        <w:spacing w:after="0" w:line="282" w:lineRule="auto"/>
        <w:rPr>
          <w:sz w:val="20"/>
          <w:szCs w:val="20"/>
          <w:color w:val="auto"/>
        </w:rPr>
      </w:pPr>
      <w:r>
        <w:rPr>
          <w:rFonts w:ascii="Times New Roman" w:cs="Times New Roman" w:eastAsia="Times New Roman" w:hAnsi="Times New Roman"/>
          <w:sz w:val="17"/>
          <w:szCs w:val="17"/>
          <w:color w:val="auto"/>
        </w:rPr>
        <w:t>In June 2018, the FASB issued an ASU</w:t>
      </w:r>
      <w:r>
        <w:rPr>
          <w:rFonts w:ascii="Times New Roman" w:cs="Times New Roman" w:eastAsia="Times New Roman" w:hAnsi="Times New Roman"/>
          <w:sz w:val="17"/>
          <w:szCs w:val="17"/>
          <w:i w:val="1"/>
          <w:iCs w:val="1"/>
          <w:color w:val="auto"/>
        </w:rPr>
        <w:t>, Improvements to Nonemployee Share-Based Payment Accounting</w:t>
      </w:r>
      <w:r>
        <w:rPr>
          <w:rFonts w:ascii="Times New Roman" w:cs="Times New Roman" w:eastAsia="Times New Roman" w:hAnsi="Times New Roman"/>
          <w:sz w:val="17"/>
          <w:szCs w:val="17"/>
          <w:color w:val="auto"/>
        </w:rPr>
        <w:t>. The FASB is issuing this update to simplify the accounting for share-based payments to nonemployees by aligning it with the accounting for share-based payments to employees, with certain exceptions. This ASU will be effective for us beginning the first day of our 2020 fiscal year. We do not expect that the adoption of this ASU to have an impact on our financial statements.</w:t>
      </w:r>
    </w:p>
    <w:p>
      <w:pPr>
        <w:spacing w:after="0" w:line="162" w:lineRule="exact"/>
        <w:rPr>
          <w:sz w:val="20"/>
          <w:szCs w:val="20"/>
          <w:color w:val="auto"/>
        </w:rPr>
      </w:pPr>
    </w:p>
    <w:p>
      <w:pPr>
        <w:ind w:right="220" w:firstLine="259"/>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an ASU, </w:t>
      </w:r>
      <w:r>
        <w:rPr>
          <w:rFonts w:ascii="Times New Roman" w:cs="Times New Roman" w:eastAsia="Times New Roman" w:hAnsi="Times New Roman"/>
          <w:sz w:val="18"/>
          <w:szCs w:val="18"/>
          <w:i w:val="1"/>
          <w:iCs w:val="1"/>
          <w:color w:val="auto"/>
        </w:rPr>
        <w:t>Reclassification of Certain Tax Effects From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which amends Accounting Standards Codification ("ASC") 220, Income Statement —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is effective for us the first day of our 2020 fiscal year. We do not expect that the adoption of this ASU to have an impact on our financial statements.</w:t>
      </w:r>
    </w:p>
    <w:p>
      <w:pPr>
        <w:spacing w:after="0" w:line="183"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an ASU,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3" w:lineRule="exact"/>
        <w:rPr>
          <w:sz w:val="20"/>
          <w:szCs w:val="20"/>
          <w:color w:val="auto"/>
        </w:rPr>
      </w:pPr>
    </w:p>
    <w:p>
      <w:pPr>
        <w:ind w:right="100" w:firstLine="135"/>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subsequent amendments to the guidance</w:t>
      </w:r>
      <w:r>
        <w:rPr>
          <w:rFonts w:ascii="Times New Roman" w:cs="Times New Roman" w:eastAsia="Times New Roman" w:hAnsi="Times New Roman"/>
          <w:sz w:val="18"/>
          <w:szCs w:val="18"/>
          <w:color w:val="auto"/>
        </w:rPr>
        <w:t>, ASU 2018-19 in November 2018 and ASU 2019-05 in May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codification improvements to Topic 326 in ASU 2019-04. The standard significantly changes how entities will measure credit losses for most financial assets and certain other instruments that aren’t measured at fair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54" w:name="page55"/>
    <w:bookmarkEnd w:id="54"/>
    <w:p>
      <w:pPr>
        <w:ind w:right="40"/>
        <w:spacing w:after="0" w:line="253" w:lineRule="auto"/>
        <w:rPr>
          <w:sz w:val="20"/>
          <w:szCs w:val="20"/>
          <w:color w:val="auto"/>
        </w:rPr>
      </w:pPr>
      <w:r>
        <w:rPr>
          <w:rFonts w:ascii="Times New Roman" w:cs="Times New Roman" w:eastAsia="Times New Roman" w:hAnsi="Times New Roman"/>
          <w:sz w:val="18"/>
          <w:szCs w:val="18"/>
          <w:color w:val="auto"/>
        </w:rPr>
        <w:t>value through net income. The standard will replace today’s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It also simplifies the accounting model for purchased credit-impaired debt securities and loans. The amendment will affect loans, debt securities, trade receivables, net investments in leases, off balance sheet credit exposures, reinsurance receivables, and any other financial assets not excluded from the scope that have the contractual right to receive cash. ASU 2018-19 clarifies that receivables arising from operating leases are accounted for using lease guidance and not as financial instruments. ASU 2019-05 provides entities that have certain instruments with an option to irrevocably elect the fair value option. The amendments should be applied on either a prospective transition or modified-retrospective approach depending on the subtopic. This ASU will be effective for us beginning the first day of our 2021 fiscal year. Early adoption is permitted.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an ASU,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 dual approach for lessee accounting under which a lessee would account for leases as finance leases or operating leases. Both finance leases and operating leases will result in the lessee recognizing a right-of use asset (ROU)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This ASU will be effective for us beginning the first day of our 2020 fiscal year.</w:t>
      </w:r>
    </w:p>
    <w:p>
      <w:pPr>
        <w:spacing w:after="0" w:line="79" w:lineRule="exact"/>
        <w:rPr>
          <w:sz w:val="20"/>
          <w:szCs w:val="20"/>
          <w:color w:val="auto"/>
        </w:rPr>
      </w:pPr>
    </w:p>
    <w:p>
      <w:pPr>
        <w:ind w:right="420" w:firstLine="180"/>
        <w:spacing w:after="0" w:line="258" w:lineRule="auto"/>
        <w:rPr>
          <w:sz w:val="20"/>
          <w:szCs w:val="20"/>
          <w:color w:val="auto"/>
        </w:rPr>
      </w:pPr>
      <w:r>
        <w:rPr>
          <w:rFonts w:ascii="Times New Roman" w:cs="Times New Roman" w:eastAsia="Times New Roman" w:hAnsi="Times New Roman"/>
          <w:sz w:val="18"/>
          <w:szCs w:val="18"/>
          <w:color w:val="auto"/>
        </w:rPr>
        <w:t>The new standard provides a number of optional practical expedients in transition. We expect to elect the ‘package of practical expedients’, which permits us not to reassess under the new standard our prior conclusions about lease identification, lease classification and initial direct costs. We do not expect to elect the use-of-hindsight or the practical expedient pertaining to land easements; the latter not being applicable to us. We expect to elect all of the new standard’s available transition practical expedients.</w:t>
      </w:r>
    </w:p>
    <w:p>
      <w:pPr>
        <w:spacing w:after="0" w:line="76"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We will elect the alternative modified retrospective approach, applying ASC 840 to all comparative periods, including disclosures, and recognize the effects of applying ASC 842 as a cumulative-effect adjustment to retained earnings as of the effective date. Upon adoption, the most significant effects are expected to relate to (1) the recognition of new ROU assets and lease liabilities on our balance sheet for our operating leases, which is expected to be between $60 million and $70 million at the beginning of fiscal 2020; and (2) providing significant new disclosures about our leasing activities.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Comprehensive income is defined as all changes in a company's net assets, except changes resulting from transactions with shareholders. For the fiscal year ended October 31, 2018, other comprehensive income includes the unrealized gain on our Limoneira investment totaling $1.7 million, net of income taxes. Limoneira’s stock price at October 31, 2018 equaled $24.65 per share. For the fiscal year ended October 31, 2017, other comprehensive income includes the unrealized gain on our Limoneira investment totaling $3.9 million, net of income taxes. Limoneira’s stock price at October 31, 2017 equaled $23.35 per share.</w:t>
      </w:r>
    </w:p>
    <w:p>
      <w:pPr>
        <w:spacing w:after="0" w:line="188" w:lineRule="exact"/>
        <w:rPr>
          <w:sz w:val="20"/>
          <w:szCs w:val="20"/>
          <w:color w:val="auto"/>
        </w:rPr>
      </w:pPr>
    </w:p>
    <w:p>
      <w:pPr>
        <w:ind w:right="20" w:firstLine="225"/>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an ASU, which requires equity investments (except those accounted for under the equity method of accounting) to be measured at fair value with changes in fair value recognized in net income. The Company adopted this new standard at the beginning of fiscal 2019. Limoneira’s stock price at October 31, 2019, and October 31, 2018 equaled $18.92 per share, and $24.65 per share. Our shares of Limoneira stock, totaling 1,677,299, were revalued to $18.92 per share at October 31, 2019 and, as a result, we recorded a loss of $9.6 million for the year ended October 31, 2019 in our consolidated 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reconcile shareholders’ equity attributable to noncontrolling interest related to Avocados de Jalisco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73"/>
        </w:trPr>
        <w:tc>
          <w:tcPr>
            <w:tcW w:w="6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80" w:type="dxa"/>
            <w:vAlign w:val="bottom"/>
          </w:tcPr>
          <w:p>
            <w:pPr>
              <w:spacing w:after="0"/>
              <w:rPr>
                <w:sz w:val="15"/>
                <w:szCs w:val="15"/>
                <w:color w:val="auto"/>
              </w:rPr>
            </w:pPr>
          </w:p>
        </w:tc>
        <w:tc>
          <w:tcPr>
            <w:tcW w:w="11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transfer of noncontrolling interest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of Avocados de Jalisco</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Fresh fruit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$ 15,874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pacing w:after="0" w:line="184"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 No adjustment was necessary as of October 31, 2019 and 2018.</w:t>
      </w:r>
    </w:p>
    <w:p>
      <w:pPr>
        <w:spacing w:after="0" w:line="180" w:lineRule="exact"/>
        <w:rPr>
          <w:sz w:val="20"/>
          <w:szCs w:val="20"/>
          <w:color w:val="auto"/>
        </w:rPr>
      </w:pPr>
    </w:p>
    <w:p>
      <w:pPr>
        <w:ind w:left="360" w:hanging="358"/>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plant, and equipment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systems - hardware and software</w:t>
            </w: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(71,201)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(66,328)</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16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7" w:right="1419" w:bottom="1440" w:gutter="0" w:footer="0" w:header="0"/>
        </w:sectPr>
      </w:pPr>
    </w:p>
    <w:bookmarkStart w:id="56" w:name="page57"/>
    <w:bookmarkEnd w:id="56"/>
    <w:p>
      <w:pPr>
        <w:jc w:val="both"/>
        <w:ind w:right="160" w:firstLine="324"/>
        <w:spacing w:after="0" w:line="313" w:lineRule="auto"/>
        <w:rPr>
          <w:sz w:val="20"/>
          <w:szCs w:val="20"/>
          <w:color w:val="auto"/>
        </w:rPr>
      </w:pPr>
      <w:r>
        <w:rPr>
          <w:rFonts w:ascii="Times New Roman" w:cs="Times New Roman" w:eastAsia="Times New Roman" w:hAnsi="Times New Roman"/>
          <w:sz w:val="17"/>
          <w:szCs w:val="17"/>
          <w:color w:val="auto"/>
        </w:rPr>
        <w:t>Depreciation expense was $13.0 million, $11.9 million and $9.5 million for fiscal years 2019, 2018, and 2017, of which $0.4 million, $0.3 million and $0.5 million was related to depreciation on capital leases for fiscal year 2019, 2018, and 2017.</w:t>
      </w:r>
    </w:p>
    <w:p>
      <w:pPr>
        <w:spacing w:after="0" w:line="13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include various capital leases which total $7.5 million and $3.4 million, less accumulated depreciation of $1.1 million and $3.3 million as of October 31, 2019 and 2018.</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Other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9"/>
        </w:trPr>
        <w:tc>
          <w:tcPr>
            <w:tcW w:w="58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7"/>
                <w:szCs w:val="17"/>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(see note 15)</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21,859</w:t>
            </w:r>
          </w:p>
        </w:tc>
        <w:tc>
          <w:tcPr>
            <w:tcW w:w="16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 to Agricola Belher</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60" w:type="dxa"/>
            <w:vAlign w:val="bottom"/>
            <w:tcBorders>
              <w:bottom w:val="single" w:sz="8" w:color="CCEEFF"/>
            </w:tcBorders>
          </w:tcPr>
          <w:p>
            <w:pPr>
              <w:spacing w:after="0"/>
              <w:rPr>
                <w:sz w:val="18"/>
                <w:szCs w:val="18"/>
                <w:color w:val="auto"/>
              </w:rPr>
            </w:pPr>
          </w:p>
        </w:tc>
      </w:tr>
      <w:tr>
        <w:trPr>
          <w:trHeight w:val="210"/>
        </w:trPr>
        <w:tc>
          <w:tcPr>
            <w:tcW w:w="58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intangible assets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7"/>
        </w:trPr>
        <w:tc>
          <w:tcPr>
            <w:tcW w:w="2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6"/>
        </w:trPr>
        <w:tc>
          <w:tcPr>
            <w:tcW w:w="2760" w:type="dxa"/>
            <w:vAlign w:val="bottom"/>
          </w:tcPr>
          <w:p>
            <w:pPr>
              <w:spacing w:after="0"/>
              <w:rPr>
                <w:sz w:val="18"/>
                <w:szCs w:val="18"/>
                <w:color w:val="auto"/>
              </w:rPr>
            </w:pPr>
          </w:p>
        </w:tc>
        <w:tc>
          <w:tcPr>
            <w:tcW w:w="7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Book</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Book</w:t>
            </w:r>
          </w:p>
        </w:tc>
      </w:tr>
      <w:tr>
        <w:trPr>
          <w:trHeight w:val="199"/>
        </w:trPr>
        <w:tc>
          <w:tcPr>
            <w:tcW w:w="27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list/relationships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secrets/recipes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years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Brand name intangibles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r>
      <w:tr>
        <w:trPr>
          <w:trHeight w:val="21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259"/>
        <w:spacing w:after="0" w:line="266" w:lineRule="auto"/>
        <w:rPr>
          <w:sz w:val="20"/>
          <w:szCs w:val="20"/>
          <w:color w:val="auto"/>
        </w:rPr>
      </w:pPr>
      <w:r>
        <w:rPr>
          <w:rFonts w:ascii="Times New Roman" w:cs="Times New Roman" w:eastAsia="Times New Roman" w:hAnsi="Times New Roman"/>
          <w:sz w:val="18"/>
          <w:szCs w:val="18"/>
          <w:color w:val="auto"/>
        </w:rPr>
        <w:t>We recorded amortization expense of approximately $0.7 million, $1.1 million, and $1.2 million for fiscal years 2019, 2018, and 2017. We anticipate recording amortization expense of approximately $0.1 million for each fiscal years 2020 through 2023.</w:t>
      </w:r>
    </w:p>
    <w:p>
      <w:pPr>
        <w:spacing w:after="0" w:line="172" w:lineRule="exact"/>
        <w:rPr>
          <w:sz w:val="20"/>
          <w:szCs w:val="20"/>
          <w:color w:val="auto"/>
        </w:rPr>
      </w:pPr>
    </w:p>
    <w:p>
      <w:pPr>
        <w:ind w:left="360" w:hanging="358"/>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Revolving Credit Facilities</w:t>
      </w:r>
    </w:p>
    <w:p>
      <w:pPr>
        <w:spacing w:after="0" w:line="229" w:lineRule="exact"/>
        <w:rPr>
          <w:sz w:val="20"/>
          <w:szCs w:val="20"/>
          <w:color w:val="auto"/>
        </w:rPr>
      </w:pPr>
    </w:p>
    <w:p>
      <w:pPr>
        <w:ind w:right="200" w:firstLine="225"/>
        <w:spacing w:after="0" w:line="256" w:lineRule="auto"/>
        <w:rPr>
          <w:sz w:val="20"/>
          <w:szCs w:val="20"/>
          <w:color w:val="auto"/>
        </w:rPr>
      </w:pPr>
      <w:r>
        <w:rPr>
          <w:rFonts w:ascii="Times New Roman" w:cs="Times New Roman" w:eastAsia="Times New Roman" w:hAnsi="Times New Roman"/>
          <w:sz w:val="18"/>
          <w:szCs w:val="18"/>
          <w:color w:val="auto"/>
        </w:rPr>
        <w:t>In June 2016, we entered into a new Credit Agreement with Bank of America, N.A. (Bank of America) as administrative agent and Merrill Lynch, Pierce, Fenner &amp; Smith Inc. as joint lead arranger and sole bookrunner, and Farm Credit West (FCW), as joint lead arranger. The Credit Agreement provides for a five-year, $80 million syndicated senior unsecured revolving credit facility maturing on June 14, 2021 (the Credit Facility). For our line of credit the weighted-average interest rate was 3.8% and 3.4% at October 31, 2019 and 2018. Under this credit facility, there was nothing outstanding as of October 31, 2019 and we had $15.0 million outstanding as of October 31, 2018.</w:t>
      </w:r>
    </w:p>
    <w:p>
      <w:pPr>
        <w:spacing w:after="0" w:line="188" w:lineRule="exact"/>
        <w:rPr>
          <w:sz w:val="20"/>
          <w:szCs w:val="20"/>
          <w:color w:val="auto"/>
        </w:rPr>
      </w:pPr>
    </w:p>
    <w:p>
      <w:pPr>
        <w:ind w:right="680" w:firstLine="225"/>
        <w:spacing w:after="0" w:line="266" w:lineRule="auto"/>
        <w:rPr>
          <w:sz w:val="20"/>
          <w:szCs w:val="20"/>
          <w:color w:val="auto"/>
        </w:rPr>
      </w:pPr>
      <w:r>
        <w:rPr>
          <w:rFonts w:ascii="Times New Roman" w:cs="Times New Roman" w:eastAsia="Times New Roman" w:hAnsi="Times New Roman"/>
          <w:sz w:val="18"/>
          <w:szCs w:val="18"/>
          <w:color w:val="auto"/>
        </w:rPr>
        <w:t>Provided there exists no default, upon notice to Bank of America, the Company may from time to time, request an increase in the Credit Facility by an amount not exceeding $50 million (the Accordion). Any future exercises of the Accordion would require additional commitments from existing or new lenders.</w:t>
      </w:r>
    </w:p>
    <w:p>
      <w:pPr>
        <w:spacing w:after="0" w:line="176" w:lineRule="exact"/>
        <w:rPr>
          <w:sz w:val="20"/>
          <w:szCs w:val="20"/>
          <w:color w:val="auto"/>
        </w:rPr>
      </w:pPr>
    </w:p>
    <w:p>
      <w:pPr>
        <w:ind w:right="160" w:firstLine="225"/>
        <w:spacing w:after="0" w:line="281" w:lineRule="auto"/>
        <w:rPr>
          <w:sz w:val="20"/>
          <w:szCs w:val="20"/>
          <w:color w:val="auto"/>
        </w:rPr>
      </w:pPr>
      <w:r>
        <w:rPr>
          <w:rFonts w:ascii="Times New Roman" w:cs="Times New Roman" w:eastAsia="Times New Roman" w:hAnsi="Times New Roman"/>
          <w:sz w:val="17"/>
          <w:szCs w:val="17"/>
          <w:color w:val="auto"/>
        </w:rPr>
        <w:t>Borrowings under the Credit Facility will be at the Company’s discretion either at a Eurodollar Rate (LIBOR) loan plus applicable margin or a base rate loan plus applicable margin. The applicable margin will be based on the Company’s Consolidated Leverage Ratio and can range from 1.00% to 1.50% for LIBOR loans and 0.00% to 0.50% for Base Rate Loans. The Credit Facility also includes a commitment fee on the unused commitment amount at a rate per annum of 0.15%.</w:t>
      </w: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1" w:right="1339" w:bottom="1440" w:gutter="0" w:footer="0" w:header="0"/>
        </w:sectPr>
      </w:pPr>
    </w:p>
    <w:bookmarkStart w:id="57" w:name="page58"/>
    <w:bookmarkEnd w:id="57"/>
    <w:p>
      <w:pPr>
        <w:ind w:left="20" w:right="180" w:firstLine="180"/>
        <w:spacing w:after="0" w:line="261" w:lineRule="auto"/>
        <w:rPr>
          <w:sz w:val="20"/>
          <w:szCs w:val="20"/>
          <w:color w:val="auto"/>
        </w:rPr>
      </w:pPr>
      <w:r>
        <w:rPr>
          <w:rFonts w:ascii="Times New Roman" w:cs="Times New Roman" w:eastAsia="Times New Roman" w:hAnsi="Times New Roman"/>
          <w:sz w:val="18"/>
          <w:szCs w:val="18"/>
          <w:color w:val="auto"/>
        </w:rPr>
        <w:t>The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such covenants at October 31, 2019 and 2018.</w:t>
      </w:r>
    </w:p>
    <w:p>
      <w:pPr>
        <w:spacing w:after="0" w:line="180" w:lineRule="exact"/>
        <w:rPr>
          <w:sz w:val="20"/>
          <w:szCs w:val="20"/>
          <w:color w:val="auto"/>
        </w:rPr>
      </w:pPr>
    </w:p>
    <w:p>
      <w:pPr>
        <w:ind w:left="20" w:right="160" w:firstLine="225"/>
        <w:spacing w:after="0" w:line="258" w:lineRule="auto"/>
        <w:rPr>
          <w:sz w:val="20"/>
          <w:szCs w:val="20"/>
          <w:color w:val="auto"/>
        </w:rPr>
      </w:pPr>
      <w:r>
        <w:rPr>
          <w:rFonts w:ascii="Times New Roman" w:cs="Times New Roman" w:eastAsia="Times New Roman" w:hAnsi="Times New Roman"/>
          <w:sz w:val="18"/>
          <w:szCs w:val="18"/>
          <w:color w:val="auto"/>
        </w:rPr>
        <w:t>The Credit Facility also contains customary events of default. If any event of default occurs and is continuing, Bank of America may take the following actions: (a) declare the commitment of each lender to make loans and any obligation of the Issuer to make credit extensions to be terminated; (b) declare the unpaid principal amount of all outstanding loans, all interest, and all other amounts to be immediately due and payable; (c) require that Calavo cash collateralize the obligations; and (d) exercise on behalf of itself, the lenders and the Issuer all rights and remedies available to it.</w:t>
      </w:r>
    </w:p>
    <w:p>
      <w:pPr>
        <w:spacing w:after="0" w:line="193" w:lineRule="exact"/>
        <w:rPr>
          <w:sz w:val="20"/>
          <w:szCs w:val="20"/>
          <w:color w:val="auto"/>
        </w:rPr>
      </w:pPr>
    </w:p>
    <w:p>
      <w:pPr>
        <w:ind w:left="380" w:hanging="358"/>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guarantees</w:t>
      </w:r>
    </w:p>
    <w:p>
      <w:pPr>
        <w:spacing w:after="0" w:line="229" w:lineRule="exact"/>
        <w:rPr>
          <w:sz w:val="20"/>
          <w:szCs w:val="20"/>
          <w:color w:val="auto"/>
        </w:rPr>
      </w:pPr>
    </w:p>
    <w:p>
      <w:pPr>
        <w:ind w:left="20" w:right="400" w:firstLine="259"/>
        <w:spacing w:after="0" w:line="313" w:lineRule="auto"/>
        <w:rPr>
          <w:sz w:val="20"/>
          <w:szCs w:val="20"/>
          <w:color w:val="auto"/>
        </w:rPr>
      </w:pPr>
      <w:r>
        <w:rPr>
          <w:rFonts w:ascii="Times New Roman" w:cs="Times New Roman" w:eastAsia="Times New Roman" w:hAnsi="Times New Roman"/>
          <w:sz w:val="17"/>
          <w:szCs w:val="17"/>
          <w:color w:val="auto"/>
        </w:rPr>
        <w:t>We lease facilities and certain equipment under non-cancelable leases expiring at various dates through 2031. We are committed to make minimum cash payments under these agreements as of October 31, 2019,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2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20" w:type="dxa"/>
            <w:vAlign w:val="bottom"/>
            <w:shd w:val="clear" w:color="auto" w:fill="CCEEFF"/>
          </w:tcPr>
          <w:p>
            <w:pPr>
              <w:spacing w:after="0"/>
              <w:rPr>
                <w:sz w:val="18"/>
                <w:szCs w:val="18"/>
                <w:color w:val="auto"/>
              </w:rPr>
            </w:pP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50,796</w:t>
            </w:r>
          </w:p>
        </w:tc>
        <w:tc>
          <w:tcPr>
            <w:tcW w:w="20" w:type="dxa"/>
            <w:vAlign w:val="bottom"/>
            <w:tcBorders>
              <w:bottom w:val="single" w:sz="8" w:color="CCEEFF"/>
            </w:tcBorders>
          </w:tcPr>
          <w:p>
            <w:pPr>
              <w:spacing w:after="0"/>
              <w:rPr>
                <w:sz w:val="18"/>
                <w:szCs w:val="18"/>
                <w:color w:val="auto"/>
              </w:rPr>
            </w:pPr>
          </w:p>
        </w:tc>
      </w:tr>
      <w:tr>
        <w:trPr>
          <w:trHeight w:val="210"/>
        </w:trPr>
        <w:tc>
          <w:tcPr>
            <w:tcW w:w="456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220" w:firstLine="259"/>
        <w:spacing w:after="0" w:line="266" w:lineRule="auto"/>
        <w:rPr>
          <w:sz w:val="20"/>
          <w:szCs w:val="20"/>
          <w:color w:val="auto"/>
        </w:rPr>
      </w:pPr>
      <w:r>
        <w:rPr>
          <w:rFonts w:ascii="Times New Roman" w:cs="Times New Roman" w:eastAsia="Times New Roman" w:hAnsi="Times New Roman"/>
          <w:sz w:val="18"/>
          <w:szCs w:val="18"/>
          <w:color w:val="auto"/>
        </w:rPr>
        <w:t>Total rent expense amounted to approximately $10.7 million, $6.4 million and $6.0 million for the years ended October 31, 2019, 2018, and 2017 Rent to Limoneira, for our corporate office, amounted to approximately $0.3 million for fiscal years 2019, 2018, and 2017.</w:t>
      </w:r>
    </w:p>
    <w:p>
      <w:pPr>
        <w:spacing w:after="0" w:line="176" w:lineRule="exact"/>
        <w:rPr>
          <w:sz w:val="20"/>
          <w:szCs w:val="20"/>
          <w:color w:val="auto"/>
        </w:rPr>
      </w:pPr>
    </w:p>
    <w:p>
      <w:pPr>
        <w:jc w:val="both"/>
        <w:ind w:left="20" w:right="220" w:firstLine="259"/>
        <w:spacing w:after="0" w:line="261" w:lineRule="auto"/>
        <w:rPr>
          <w:sz w:val="20"/>
          <w:szCs w:val="20"/>
          <w:color w:val="auto"/>
        </w:rPr>
      </w:pPr>
      <w:r>
        <w:rPr>
          <w:rFonts w:ascii="Times New Roman" w:cs="Times New Roman" w:eastAsia="Times New Roman" w:hAnsi="Times New Roman"/>
          <w:sz w:val="18"/>
          <w:szCs w:val="18"/>
          <w:color w:val="auto"/>
        </w:rPr>
        <w:t>In April 2019, we sold our Temecula, California packinghouse for $7.1 million in cash and, concurrently, leased back a portion of the facility representing approximately one-third of the total square footage. In connection with the capital lease we capitalized $3.2 million as a capital lease in property, plant and equipment and recorded a lease liability of $3.2 million ($0.1 million in current portion and $3.1 million in long term debt).</w:t>
      </w:r>
    </w:p>
    <w:p>
      <w:pPr>
        <w:spacing w:after="0" w:line="180" w:lineRule="exact"/>
        <w:rPr>
          <w:sz w:val="20"/>
          <w:szCs w:val="20"/>
          <w:color w:val="auto"/>
        </w:rPr>
      </w:pPr>
    </w:p>
    <w:p>
      <w:pPr>
        <w:ind w:left="20" w:right="20" w:firstLine="259"/>
        <w:spacing w:after="0" w:line="256" w:lineRule="auto"/>
        <w:rPr>
          <w:sz w:val="20"/>
          <w:szCs w:val="20"/>
          <w:color w:val="auto"/>
        </w:rPr>
      </w:pPr>
      <w:r>
        <w:rPr>
          <w:rFonts w:ascii="Times New Roman" w:cs="Times New Roman" w:eastAsia="Times New Roman" w:hAnsi="Times New Roman"/>
          <w:sz w:val="18"/>
          <w:szCs w:val="18"/>
          <w:color w:val="auto"/>
        </w:rPr>
        <w:t>During our third quarter of fiscal year 2019, we entered into a 10-year building and equipment lease for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88" w:lineRule="exact"/>
        <w:rPr>
          <w:sz w:val="20"/>
          <w:szCs w:val="20"/>
          <w:color w:val="auto"/>
        </w:rPr>
      </w:pPr>
    </w:p>
    <w:p>
      <w:pPr>
        <w:jc w:val="both"/>
        <w:ind w:left="20" w:right="400" w:firstLine="259"/>
        <w:spacing w:after="0" w:line="266" w:lineRule="auto"/>
        <w:rPr>
          <w:sz w:val="20"/>
          <w:szCs w:val="20"/>
          <w:color w:val="auto"/>
        </w:rPr>
      </w:pPr>
      <w:r>
        <w:rPr>
          <w:rFonts w:ascii="Times New Roman" w:cs="Times New Roman" w:eastAsia="Times New Roman" w:hAnsi="Times New Roman"/>
          <w:sz w:val="18"/>
          <w:szCs w:val="18"/>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20" w:right="28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other litigation arising in the ordinary course of our business that we do not believe will have a material adverse impact on our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121" w:right="1399" w:bottom="1440" w:gutter="0" w:footer="0" w:header="0"/>
        </w:sectPr>
      </w:pPr>
    </w:p>
    <w:bookmarkStart w:id="58" w:name="page59"/>
    <w:bookmarkEnd w:id="5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right="60" w:firstLine="259"/>
        <w:spacing w:after="0" w:line="253"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93"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As a result, in April 2019, the MFM issued a final tax assessment to CDM (“the 2011 Assessment”) totaling approximately $2.2 billion Mexican pesos (approx. $114.4 million USD at October 31, 2019) related to Income Tax, Flat Rate Business Tax and Value Added Tax, corresponding to the fiscal 2011 tax audit. We have consulted with an internationally recognized tax advisor and continue to believe this tax assessment is without merit. Therefore, we filed an administrative appeal challenging the MFM’s fiscal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Note 15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8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89"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(the “2013 Assessment”) totaling approximately $2.6 billion Mexican pesos (approx. $135.1 million USD at October 31, 2019) related to Income Tax, Flat Rate Business Tax, and Value Added Tax, corresponding to the fiscal 2013 tax audit. Additionally, the tax authorities have determined that we owe an employee’s profit-sharing liability, totaling approximately $118 million Mexican pesos (approx. $6.1 million USD at October 31, 2019).</w:t>
      </w:r>
    </w:p>
    <w:p>
      <w:pPr>
        <w:spacing w:after="0" w:line="184"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Note 15 regarding IVA refunds) indicating that they believe that our legal interpretation is accurate on a matter that is also central to the 2013 Assessment. We believe this recent ruling significantly undermines the 2013 Assessment we received in July 2018. We believe we have the legal arguments and documentation to sustain the positions challenged by the SAT.</w:t>
      </w:r>
    </w:p>
    <w:p>
      <w:pPr>
        <w:spacing w:after="0" w:line="185" w:lineRule="exact"/>
        <w:rPr>
          <w:sz w:val="20"/>
          <w:szCs w:val="20"/>
          <w:color w:val="auto"/>
        </w:rPr>
      </w:pPr>
    </w:p>
    <w:p>
      <w:pPr>
        <w:ind w:right="240" w:firstLine="225"/>
        <w:spacing w:after="0" w:line="266" w:lineRule="auto"/>
        <w:rPr>
          <w:sz w:val="20"/>
          <w:szCs w:val="20"/>
          <w:color w:val="auto"/>
        </w:rPr>
      </w:pPr>
      <w:r>
        <w:rPr>
          <w:rFonts w:ascii="Times New Roman" w:cs="Times New Roman" w:eastAsia="Times New Roman" w:hAnsi="Times New Roman"/>
          <w:sz w:val="18"/>
          <w:szCs w:val="18"/>
          <w:color w:val="auto"/>
        </w:rPr>
        <w:t>We continue to believe that the ultimate resolution of these matters is unlikely to have a material effect on our consolidated financial position, results of operations and cash flows. No amounts have been accrued in the accompanying financial statements related to these Mexico tax audits.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7" w:right="1439" w:bottom="1440" w:gutter="0" w:footer="0" w:header="0"/>
        </w:sectPr>
      </w:pPr>
    </w:p>
    <w:bookmarkStart w:id="59" w:name="page60"/>
    <w:bookmarkEnd w:id="59"/>
    <w:p>
      <w:pPr>
        <w:ind w:left="360" w:hanging="358"/>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During the years ended October 31, 2019, 2018, and 2017, the aggregate amount of avocados procured from entities owned or controlled by members of our Board of Directors was $11.9 million, $11.2 million and $19.8 million. We did not have any amounts due to Board members as of October 31, 2019 and 2018.</w:t>
      </w:r>
    </w:p>
    <w:p>
      <w:pPr>
        <w:spacing w:after="0" w:line="184"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During fiscal years 2019, 2018, and 2017, we received $0.5 million, $0.4 million and $0.4 million as dividend income from Limoneira. In addition, we lease office space from Limoneira for our corporate office. Rent to Limoneira amounted to approximately $0.3 million for fiscal years 2019, 2018, and 2017. Harold Edwards, who is a member of our Board of Directors, is the Chief Executive Officer of Limoneira Company. We have less than 10% ownership interest in Limoneira. Additionally, our Chief Executive Officer was a member of the Limoneira Board of Directors. In December 2018, our Chief Executive Officer retired from Limoneira’s Board of Directors.</w:t>
      </w:r>
    </w:p>
    <w:p>
      <w:pPr>
        <w:spacing w:after="0" w:line="188" w:lineRule="exact"/>
        <w:rPr>
          <w:sz w:val="20"/>
          <w:szCs w:val="20"/>
          <w:color w:val="auto"/>
        </w:rPr>
      </w:pPr>
    </w:p>
    <w:p>
      <w:pPr>
        <w:ind w:right="340" w:firstLine="259"/>
        <w:spacing w:after="0" w:line="266" w:lineRule="auto"/>
        <w:rPr>
          <w:sz w:val="20"/>
          <w:szCs w:val="20"/>
          <w:color w:val="auto"/>
        </w:rPr>
      </w:pPr>
      <w:r>
        <w:rPr>
          <w:rFonts w:ascii="Times New Roman" w:cs="Times New Roman" w:eastAsia="Times New Roman" w:hAnsi="Times New Roman"/>
          <w:sz w:val="18"/>
          <w:szCs w:val="18"/>
          <w:color w:val="auto"/>
        </w:rPr>
        <w:t>We currently have a member of our Board of Directors who also serves as a partner in the law firm of TroyGould PC, which frequently represents Calavo as legal counsel. During the years ended October 31, 2019, 2018, and 2017, Calavo Growers, Inc. paid fees totaling approximately $0.4 million, $0.2 million and $0.2 million to TroyGould PC.</w:t>
      </w:r>
    </w:p>
    <w:p>
      <w:pPr>
        <w:spacing w:after="0" w:line="176"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formed Agricola Don Memo, S.A. de C.V. Belo and Calavo Sub have an equal one-half ownership interest in Don Memo in exchange for $2 million each. Pursuant to a management service agreement, Belo, through its officers and employees, has day-to-day power and authority to manage the operations. Belo is entitled to a management fee, as defined, which is payable annually in July of each year. Additionally, Calavo Sub is entitled to commission, for the sale of produce in the Mexican National Market, U.S., Canada, and any other overseas market.</w:t>
      </w:r>
    </w:p>
    <w:p>
      <w:pPr>
        <w:spacing w:after="0" w:line="18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In January 2016, our unconsolidated subsidiary, Don Memo, entered into a loan agreement in the amount of $4.5 million with Bank of America, N.A. (BoA) proceeds of which were used by Don Memo to repay debt owed to Calavo. Also in January 2016, Calavo and BoA, entered into a Continuing and Unconditional Guaranty Agreement (the Guaranty). Under the terms of the Guaranty, Calavo unconditionally guarantees and promises to pay Bank of America any and all Indebtedness, as defined therein, of our unconsolidated subsidiary Don Memo to BoA. Belo has also entered into a similar guarantee with BoA. In December 2018, Don Memo received third party financing, repaid its loan to Bank of America and therefore, Calavo is no longer a guarantor for Don Memo’s indebtedness.</w:t>
      </w:r>
    </w:p>
    <w:p>
      <w:pPr>
        <w:spacing w:after="0" w:line="189" w:lineRule="exact"/>
        <w:rPr>
          <w:sz w:val="20"/>
          <w:szCs w:val="20"/>
          <w:color w:val="auto"/>
        </w:rPr>
      </w:pPr>
    </w:p>
    <w:p>
      <w:pPr>
        <w:ind w:right="100" w:firstLine="259"/>
        <w:spacing w:after="0" w:line="254" w:lineRule="auto"/>
        <w:rPr>
          <w:sz w:val="20"/>
          <w:szCs w:val="20"/>
          <w:color w:val="auto"/>
        </w:rPr>
      </w:pPr>
      <w:r>
        <w:rPr>
          <w:rFonts w:ascii="Times New Roman" w:cs="Times New Roman" w:eastAsia="Times New Roman" w:hAnsi="Times New Roman"/>
          <w:sz w:val="18"/>
          <w:szCs w:val="18"/>
          <w:color w:val="auto"/>
        </w:rPr>
        <w:t>As of October 31, 2019, 2018 and 2017, we have an investment of $4.9 million, $4.9 million and $4.6 million,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In September 2018, we contributed $0.2 million, of which $0.1 million was a short-term loan, and $0.1 million was an additional investment. As of October 31, 2019, 2018 and 2017, we had outstanding advances of $3.7 million, $2.5 million and $1.6 million to Don Memo. During the year ended October 31, 2019, 2018 and 2017 we purchased $14.1 million, $11.1 million and $8.9 million of tomatoes from Don Memo pursuant to our consignment agreement.</w:t>
      </w:r>
    </w:p>
    <w:p>
      <w:pPr>
        <w:spacing w:after="0" w:line="189"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We had grower advances due from Belher of $4.5 million, $4.0 million and $4.0 million as of October 31, 2019, 2018 and 2017. In August 2018, we entered into an amended infrastructure agreement with Belher and advanced $3.0 million. This amount shall be paid back annually at $0.6 million through June 2023, and incur interest of Libor plus 10%. We had infrastructure advances due from Belher of $2.6 million, $3.4 million and $0.6 million as of October 31, 2019, 2018 and 2017. Of these infrastructure advances $0.8 million was recorded as receivable in prepaid and other current assets and $1.8 million is included in other assets. During the year ended October 31, 2019, 2018 and 2017, we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3" w:right="1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purchased $19.5 million, $14.1 million, and $13.9 million of tomatoes from Belher pursuant to our consignment agreement.</w:t>
      </w:r>
    </w:p>
    <w:p>
      <w:pPr>
        <w:spacing w:after="0" w:line="225"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In August 2015, we entered into Shareholder’s Agreement with various partners which created Avocados de Jalisco, S.A.P.I. de C.V. Avocados de Jalisco is a Mexican corporation created to engage in procuring, packing and selling avocados. This entity is approximately 83% owned by Calavo and is consolidated in our financial statements. Avocados de Jalisco built a packinghouse located in Jalisco, Mexico and such packinghouse began operations in June of 2017. As of October 31, 2019, we have made an insignificant amount of preseason advances to various partners of Avocados de Jalisco. As of October 31, 2018 and 2017, we have made preseason advances of approximately $0.1 million to various partners of Avocados de Jalisco. During the year ended October 31, 2019, 2018 and 2017, we purchased approximately $2.5 million, $1.8 million and $1.9 million of avocados from the partners of Avocados de Jalisco. In January 2018, we transferred $1.0 million of interest to the Avocados de Jalisco noncontrolling members.</w:t>
      </w:r>
    </w:p>
    <w:p>
      <w:pPr>
        <w:spacing w:after="0" w:line="189"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As of October 31, 2019 and 2018, we have an equity investment of $5.8 million and $19.9 million in FreshRealm, LLC (“FreshRealm”). We record the amount of our investment in FreshRealm in “Investment in unconsolidated entities” on our Consolidated Condensed Balance Sheets and recognize losses in FreshRealm in “Income/(loss) in unconsolidated entities” in our Consolidated Condensed Statement of Income. See Note 16 for additional information. As of October 31, 2018, our ownership percentage in FreshRealm was approximately 37%. In fiscal 2019, certain FreshRealm employees left the company surrendering their ownership units, as a result, this increased our ownership percentage in FreshRealm slightly to approximately 38%.</w:t>
      </w:r>
    </w:p>
    <w:p>
      <w:pPr>
        <w:spacing w:after="0" w:line="189"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Effective July 31, 2018, we entered into a Note and Membership Unit Purchase Agreement (“NMUPA”) with FreshRealm, pursuant to which we agreed to provide additional financing to FreshRealm, subject to certain terms and conditions. Pursuant to the NMUPA, we entered into a $12 million Senior Promissory Note and corresponding Security Agreement with FreshRealm, effective August 10, 2018. We funded $9 million of this loan commitment during the fourth quarter of fiscal 2018 and funded the remaining loan commitment amount of $3 million during the first quarter of fiscal 2019. During the second quarter of fiscal 2019, we amended the note related to this loan, due October 31, 2019, and, among other things, included a provision whereby we had the option to extend repayment of this note to November 1, 2020.</w:t>
      </w:r>
    </w:p>
    <w:p>
      <w:pPr>
        <w:spacing w:after="0" w:line="18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During our first quarter of fiscal 2019, we loaned FreshRealm $7.5 million in unsecured notes receivable. During our second quarter of fiscal 2019, we loaned an additional $4.2 million on an unsecured basis to FreshRealm under similar terms. During our third quarter of fiscal 2019, we loaned an additional $5.4 million on an unsecured basis to FreshRealm under similar terms. During our fourth quarter of fiscal 2019, we loaned an additional $3.7 million to FreshRealm for a total outstanding principal amount of $32.8 million, not including accrued interest. At such time, we entered into an agreement with FreshRealm wherein all of the outstanding loan amount owed by Fresh Realm to us would be secured in the assets of FreshRealm.</w:t>
      </w:r>
    </w:p>
    <w:p>
      <w:pPr>
        <w:spacing w:after="0" w:line="18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As of October 31, 2019, we have $35.2 million in note receivables (including interest) from FreshRealm, and as of October 31, 2018, we had $9.0 million. At October 31, 2018, note receivables from FreshRealm of $9.0 million was included in prepaids and other current assets. The notes to FreshRealm, as of October 31, 2019, bear interest at the rate of 10% annually, with monthly interest payments scheduled to begin on October 31, 2020. This first interest payment would represent interest due for the month of October 2020 only, with similar monthly payments scheduled to follow afterwards. The due date of the notes is November 1, 2021, with the Company having the option of up to two, one-year extensions (i.e. first to November 1, 2022, then to November 1, 2023). At October 31, 2019 we have a receivable of $2.4 million related to interest that we have recorded with Note receivables to FreshRealm on the balance sheet.</w:t>
      </w:r>
    </w:p>
    <w:p>
      <w:pPr>
        <w:spacing w:after="0" w:line="185"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As of November 25, 2019, we converted approximately $2.7 million of the outstanding secured loan to FreshRealm and applied it to unsecured debt as part of a convertible note round offered by FreshRealm to its existing equity holders. Such $2.7 million unsecured note will be converted into additional equity of FreshRealm if not repaid by January 31, 2020. Such convertible note accrues interest at the rate of 10%.</w:t>
      </w:r>
    </w:p>
    <w:p>
      <w:pPr>
        <w:spacing w:after="0" w:line="180"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Three officers and five members of our board of directors have investments in FreshRealm. In addition, as of October 31, 2019 and 2018, we have a loan to FreshRealm members of approximately $0.2 million. In October 2017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1" w:name="page62"/>
    <w:bookmarkEnd w:id="61"/>
    <w:p>
      <w:pPr>
        <w:ind w:right="400"/>
        <w:spacing w:after="0" w:line="258" w:lineRule="auto"/>
        <w:rPr>
          <w:sz w:val="20"/>
          <w:szCs w:val="20"/>
          <w:color w:val="auto"/>
        </w:rPr>
      </w:pPr>
      <w:r>
        <w:rPr>
          <w:rFonts w:ascii="Times New Roman" w:cs="Times New Roman" w:eastAsia="Times New Roman" w:hAnsi="Times New Roman"/>
          <w:sz w:val="18"/>
          <w:szCs w:val="18"/>
          <w:color w:val="auto"/>
        </w:rPr>
        <w:t>December 2017, our Chairman and Chief Executive Officer invested $7.0 million and $1.5 million, respectively, into FreshRealm. In January 2018, one of our non-executive directors invested $1.8 million into FreshRealm. In the second quarter of fiscal 2018, two of our non-executive directors invested $1.2 million into FreshRealm. In October 2019, our Chairman and Chief Executive Officer invested $0.5 million in FreshRealm. In October 2019, one of our non-executive directors invested $0.2 million into FreshRealm.</w:t>
      </w:r>
    </w:p>
    <w:p>
      <w:pPr>
        <w:spacing w:after="0" w:line="184" w:lineRule="exact"/>
        <w:rPr>
          <w:sz w:val="20"/>
          <w:szCs w:val="20"/>
          <w:color w:val="auto"/>
        </w:rPr>
      </w:pPr>
    </w:p>
    <w:p>
      <w:pPr>
        <w:ind w:right="140" w:firstLine="304"/>
        <w:spacing w:after="0" w:line="261" w:lineRule="auto"/>
        <w:rPr>
          <w:sz w:val="20"/>
          <w:szCs w:val="20"/>
          <w:color w:val="auto"/>
        </w:rPr>
      </w:pPr>
      <w:r>
        <w:rPr>
          <w:rFonts w:ascii="Times New Roman" w:cs="Times New Roman" w:eastAsia="Times New Roman" w:hAnsi="Times New Roman"/>
          <w:sz w:val="18"/>
          <w:szCs w:val="18"/>
          <w:color w:val="auto"/>
        </w:rPr>
        <w:t>We provide storage services to FreshRealm from select Value-Added Depots and RFG facilities. We received $0.5 million, $0.3 million and $0.2 million in storage services revenue from FreshRealm for the year ended October 31, 2019, 2018 and 2017. For the year ended October 31, 2019, 2018 and 2017, RFG sold $2.0 million, $9.9 million and $7.3 million of products to FreshRealm.</w:t>
      </w:r>
    </w:p>
    <w:p>
      <w:pPr>
        <w:spacing w:after="0" w:line="180"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The previous owners of RFG, one of which is currently an officer of Calavo, have a majority ownership of certain entities that provide various services to RFG, specifically LIG Partners, LLC and THNC, LLC. One of RFG’s California operating entities leases a building from LIG Partners, LLC (LIG) pursuant to an operating lease. This lease with LIG was renewed in April 2019, through May 2026. RFG’s Texas operating entity leases a building from THNC, LLC (THNC) pursuant to an operating lease. In the first quarter of fiscal 2020, these facilities have been sold to a third party and our lease has transferred to the new owners. See the following tables for the related party activity for fiscal years 2019 and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paid to LIG</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Rent paid to THNC, LLC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60" w:hanging="358"/>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and enacted comprehensive tax legislation into law H.R. 1, commonly referred to as the Tax Cuts and Jobs Act (the “Tax Act”). In the prior fiscal period, the Company considered a number of changes from the Tax Act, most notably reducing the U.S. federal corporate tax rate, a one-time transition tax on earnings of certain foreign subsidiaries that were previously tax deferred, and accelerated depreciation for certain assets acquired and placed in service after September 27, 2017. Effective January 1, 2018, the Tax Act reduced the U.S. federal corporate tax rate from 35.0% to 21.0%. Because the Company has an October 31 fiscal year-end, the lower corporate federal income tax rate was phased in, resulting in a blended U.S. federal statutory tax rate of 23.3% for our fiscal period 2018, and 21% for the fiscal period 2019.</w:t>
      </w:r>
    </w:p>
    <w:p>
      <w:pPr>
        <w:spacing w:after="0" w:line="185"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Effective beginning in fiscal period 2019, the Company is subject to additional requirements of the Tax Act including the repeal of the deduction for domestic production activities, a tax on global intangible low-taxed income (GILTI), a tax determined by base erosion tax benefits (BEAT) from certain payments between a U.S. corporation and foreign subsidiaries, a limitation of certain executive compensation, a deduction for foreign derived intangible income (FDII) and interest expense limitations. The Company has considered these new requirements, the most significant of which being the limitation of executive compensation of $0.2 million and the repeal of the domestic production deduction. The domestic production deduction generated a tax benefit of $0.8 million in fiscal period 2018.</w:t>
      </w:r>
    </w:p>
    <w:p>
      <w:pPr>
        <w:spacing w:after="0" w:line="189"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The Tax Act created new rules that allow the Company to make an accounting policy election to either treat taxes due on future GILTI inclusions in taxable income as either a current period expense or reflect such inclusions related to temporary basis differences in the Company’s measurement of deferred taxes. The Company is not expecting to be subject to GILTI and therefore has not yet made a policy election regarding the tax accounting treatment of the GILTI tax. The Company also continues to evaluate the impact of the GILTI provisions under the U.S. tax law changes which are complex and subject to continuing regulatory interpretation by the IRS. The impact of GILTI was not material for the fiscal period 2019.</w:t>
      </w:r>
    </w:p>
    <w:p>
      <w:pPr>
        <w:spacing w:after="0" w:line="188"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On December 22, 2017, the SEC issued guidance under Staff Accounting Bulletin No. 118, Income Tax Accounting Implications of the Tax Cuts and Jobs Act (“SAB 118”) allowing taxpayers to record a reasonable estimate of the impact of the U.S. legislation when it does not have the necessary information available, prepared or analyzed (including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2" w:name="page63"/>
    <w:bookmarkEnd w:id="62"/>
    <w:p>
      <w:pPr>
        <w:ind w:right="640"/>
        <w:spacing w:after="0" w:line="282" w:lineRule="auto"/>
        <w:rPr>
          <w:sz w:val="20"/>
          <w:szCs w:val="20"/>
          <w:color w:val="auto"/>
        </w:rPr>
      </w:pPr>
      <w:r>
        <w:rPr>
          <w:rFonts w:ascii="Times New Roman" w:cs="Times New Roman" w:eastAsia="Times New Roman" w:hAnsi="Times New Roman"/>
          <w:sz w:val="18"/>
          <w:szCs w:val="18"/>
          <w:color w:val="auto"/>
        </w:rPr>
        <w:t>computations) in reasonable detail to complete its accounting for the change in tax law. As of fiscal period 2019, the company has completed its accounting for the act.</w:t>
      </w:r>
    </w:p>
    <w:p>
      <w:pPr>
        <w:spacing w:after="0" w:line="162"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Prior to the enactment of the Tax Act, the Company regularly determined certain foreign earnings to be indefinitely reinvested outside the 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income tax provision consists of the following for the years ended October 31, (in thousands):</w:t>
      </w:r>
    </w:p>
    <w:p>
      <w:pPr>
        <w:spacing w:after="0" w:line="30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3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$ 20,450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At October 31, 2019 and 2018, gross deferred tax assets totaled approximately $18.5 million and $19.1 million, while gross deferred tax liabilities totaled approximately $15.0. million and $14.8 million. Deferred income taxes reflect the net of temporary differences between the carrying amount of assets and liabilities for financial reporting and income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our deferred taxes assets (liabilities) as of October 31,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44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(10,407)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Limoneira investment</w:t>
            </w:r>
          </w:p>
        </w:tc>
        <w:tc>
          <w:tcPr>
            <w:tcW w:w="4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FreshRealm</w:t>
            </w:r>
          </w:p>
        </w:tc>
        <w:tc>
          <w:tcPr>
            <w:tcW w:w="4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(1,513)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State taxes</w:t>
            </w:r>
          </w:p>
        </w:tc>
        <w:tc>
          <w:tcPr>
            <w:tcW w:w="4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(437)</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 and incentives</w:t>
            </w:r>
          </w:p>
        </w:tc>
        <w:tc>
          <w:tcPr>
            <w:tcW w:w="4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income taxes</w:t>
            </w:r>
          </w:p>
        </w:tc>
        <w:tc>
          <w:tcPr>
            <w:tcW w:w="36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3,447</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20" w:type="dxa"/>
            <w:vAlign w:val="bottom"/>
            <w:vMerge w:val="restart"/>
          </w:tcPr>
          <w:p>
            <w:pPr>
              <w:jc w:val="right"/>
              <w:ind w:right="2551"/>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63" w:name="page64"/>
    <w:bookmarkEnd w:id="63"/>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A reconciliation of the significant differences between the federal statutory income tax rate and the effective income tax rate on pretax income for the years ended October 31,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5"/>
                <w:szCs w:val="15"/>
                <w:color w:val="auto"/>
              </w:rPr>
            </w:pPr>
          </w:p>
        </w:tc>
      </w:tr>
      <w:tr>
        <w:trPr>
          <w:trHeight w:val="196"/>
        </w:trPr>
        <w:tc>
          <w:tcPr>
            <w:tcW w:w="6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21.0 %</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35.0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effects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c>
          <w:tcPr>
            <w:tcW w:w="3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taxes greater than U.S.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3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deferred taxes</w:t>
            </w:r>
          </w:p>
        </w:tc>
        <w:tc>
          <w:tcPr>
            <w:tcW w:w="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199 deduction</w:t>
            </w:r>
          </w:p>
        </w:tc>
        <w:tc>
          <w:tcPr>
            <w:tcW w:w="700" w:type="dxa"/>
            <w:vAlign w:val="bottom"/>
            <w:gridSpan w:val="2"/>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c>
          <w:tcPr>
            <w:tcW w:w="3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Tax</w:t>
            </w:r>
          </w:p>
        </w:tc>
        <w:tc>
          <w:tcPr>
            <w:tcW w:w="700" w:type="dxa"/>
            <w:vAlign w:val="bottom"/>
            <w:gridSpan w:val="2"/>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State rate change</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3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c>
          <w:tcPr>
            <w:tcW w:w="340" w:type="dxa"/>
            <w:vAlign w:val="bottom"/>
            <w:shd w:val="clear" w:color="auto" w:fill="CCEEFF"/>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26.0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35.4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For fiscal years 2019, 2018 and 2017, income before income taxes related to domestic operations was approximately $47.9 million, $45.8 million, and $57.5. million. For fiscal years 2019, 2018 and 2017, income (loss) before income taxes related to foreign operations was approximately $1.6 million, $(1.1) million and $0.2 million.</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2019 and 2018, we had liability of $0.1 million and $0.1 million for unrecognized tax benefits related to various foreign income tax matters.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U.S. federal income tax as well as income of multiple state tax and foreign tax jurisdictions. We are no longer subject to U.S. income tax examinations for the fiscal years prior to October 31, 2016, and are no longer subject to state income tax examinations for fiscal years prior to October 31, 2015.</w:t>
      </w:r>
    </w:p>
    <w:p>
      <w:pPr>
        <w:spacing w:after="0" w:line="172" w:lineRule="exact"/>
        <w:rPr>
          <w:sz w:val="20"/>
          <w:szCs w:val="20"/>
          <w:color w:val="auto"/>
        </w:rPr>
      </w:pPr>
    </w:p>
    <w:p>
      <w:pPr>
        <w:ind w:left="460" w:hanging="458"/>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firstLine="259"/>
        <w:spacing w:after="0" w:line="272" w:lineRule="auto"/>
        <w:rPr>
          <w:sz w:val="20"/>
          <w:szCs w:val="20"/>
          <w:color w:val="auto"/>
        </w:rPr>
      </w:pPr>
      <w:r>
        <w:rPr>
          <w:rFonts w:ascii="Times New Roman" w:cs="Times New Roman" w:eastAsia="Times New Roman" w:hAnsi="Times New Roman"/>
          <w:sz w:val="17"/>
          <w:szCs w:val="17"/>
          <w:color w:val="auto"/>
        </w:rPr>
        <w:t>As discussed in Note 1, 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all operations that involve the distribution of avocados and other fresh produce products. The Calavo Foods segment represents all operations related to the purchase, manufacturing, and distribution of prepared avocado products, including guacamole, and salsa. The RFG segment represents operations related to the manufacturing and distribution of fresh-cut fruit, fresh-cut vegetables and prepared foods. Selling, general and administrative expenses, as well as other non-operating income/expense items, are evaluated by our Chief Executive Officer in the aggregate. We do not allocate assets, or specifically identify them to, our operating segments.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8"/>
          <w:szCs w:val="18"/>
          <w:color w:val="auto"/>
        </w:rPr>
        <w:t>The following table sets forth sales by product category, by segment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Fresh</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Calavo</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5300" w:type="dxa"/>
            <w:vAlign w:val="bottom"/>
          </w:tcPr>
          <w:p>
            <w:pPr>
              <w:spacing w:after="0"/>
              <w:rPr>
                <w:sz w:val="20"/>
                <w:szCs w:val="20"/>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products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Foods</w:t>
            </w:r>
          </w:p>
        </w:tc>
        <w:tc>
          <w:tcPr>
            <w:tcW w:w="14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RFG</w:t>
            </w:r>
          </w:p>
        </w:tc>
        <w:tc>
          <w:tcPr>
            <w:tcW w:w="140" w:type="dxa"/>
            <w:vAlign w:val="bottom"/>
          </w:tcPr>
          <w:p>
            <w:pPr>
              <w:spacing w:after="0"/>
              <w:rPr>
                <w:sz w:val="20"/>
                <w:szCs w:val="20"/>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gridSpan w:val="9"/>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(All amounts are presented in thousands)</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October 31, 2019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 before intercompany eliminations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621,183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$ 94,734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486,063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1,201,980</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(2,246)</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(3,957)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(6,203)</w:t>
            </w:r>
          </w:p>
        </w:tc>
      </w:tr>
      <w:tr>
        <w:trPr>
          <w:trHeight w:val="21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618,937</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486,063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1,195,777</w:t>
            </w:r>
          </w:p>
        </w:tc>
        <w:tc>
          <w:tcPr>
            <w:tcW w:w="20" w:type="dxa"/>
            <w:vAlign w:val="bottom"/>
            <w:tcBorders>
              <w:bottom w:val="single" w:sz="8" w:color="CCEEFF"/>
            </w:tcBorders>
          </w:tcPr>
          <w:p>
            <w:pPr>
              <w:spacing w:after="0"/>
              <w:rPr>
                <w:sz w:val="18"/>
                <w:szCs w:val="18"/>
                <w:color w:val="auto"/>
              </w:rPr>
            </w:pPr>
          </w:p>
        </w:tc>
      </w:tr>
      <w:tr>
        <w:trPr>
          <w:trHeight w:val="210"/>
        </w:trPr>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before intercompany eliminations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1,073,898</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(2,013)</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(6,203)</w:t>
            </w:r>
          </w:p>
        </w:tc>
      </w:tr>
      <w:tr>
        <w:trPr>
          <w:trHeight w:val="21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532,587</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464,495</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1,067,695</w:t>
            </w:r>
          </w:p>
        </w:tc>
        <w:tc>
          <w:tcPr>
            <w:tcW w:w="20" w:type="dxa"/>
            <w:vAlign w:val="bottom"/>
            <w:tcBorders>
              <w:bottom w:val="single" w:sz="8" w:color="CCEEFF"/>
            </w:tcBorders>
          </w:tcPr>
          <w:p>
            <w:pPr>
              <w:spacing w:after="0"/>
              <w:rPr>
                <w:sz w:val="18"/>
                <w:szCs w:val="18"/>
                <w:color w:val="auto"/>
              </w:rPr>
            </w:pPr>
          </w:p>
        </w:tc>
      </w:tr>
      <w:tr>
        <w:trPr>
          <w:trHeight w:val="210"/>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$ 20,164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October 31, 2018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 before intercompany eliminations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553,208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$ 91,646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448,930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1,093,784</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(1,554)</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(5,026)</w:t>
            </w:r>
          </w:p>
        </w:tc>
      </w:tr>
      <w:tr>
        <w:trPr>
          <w:trHeight w:val="21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551,654</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88,174</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448,930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1,088,758</w:t>
            </w:r>
          </w:p>
        </w:tc>
        <w:tc>
          <w:tcPr>
            <w:tcW w:w="20" w:type="dxa"/>
            <w:vAlign w:val="bottom"/>
            <w:tcBorders>
              <w:bottom w:val="single" w:sz="8" w:color="CCEEFF"/>
            </w:tcBorders>
          </w:tcPr>
          <w:p>
            <w:pPr>
              <w:spacing w:after="0"/>
              <w:rPr>
                <w:sz w:val="18"/>
                <w:szCs w:val="18"/>
                <w:color w:val="auto"/>
              </w:rPr>
            </w:pPr>
          </w:p>
        </w:tc>
      </w:tr>
      <w:tr>
        <w:trPr>
          <w:trHeight w:val="210"/>
        </w:trPr>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before intercompany eliminations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498,962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980,168</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(1,468)</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(5,026)</w:t>
            </w:r>
          </w:p>
        </w:tc>
      </w:tr>
      <w:tr>
        <w:trPr>
          <w:trHeight w:val="21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497,494</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61,861</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415,787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975,142</w:t>
            </w:r>
          </w:p>
        </w:tc>
        <w:tc>
          <w:tcPr>
            <w:tcW w:w="20" w:type="dxa"/>
            <w:vAlign w:val="bottom"/>
            <w:tcBorders>
              <w:bottom w:val="single" w:sz="8" w:color="CCEEFF"/>
            </w:tcBorders>
          </w:tcPr>
          <w:p>
            <w:pPr>
              <w:spacing w:after="0"/>
              <w:rPr>
                <w:sz w:val="18"/>
                <w:szCs w:val="18"/>
                <w:color w:val="auto"/>
              </w:rPr>
            </w:pPr>
          </w:p>
        </w:tc>
      </w:tr>
      <w:tr>
        <w:trPr>
          <w:trHeight w:val="210"/>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54,160</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$ 26,313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October 31, 2017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 before intercompany eliminations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583,976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$ 77,579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418,508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1,080,063</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(1,314)</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(4,498)</w:t>
            </w:r>
          </w:p>
        </w:tc>
      </w:tr>
      <w:tr>
        <w:trPr>
          <w:trHeight w:val="21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582,662</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74,395</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418,508</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1,075,565</w:t>
            </w:r>
          </w:p>
        </w:tc>
        <w:tc>
          <w:tcPr>
            <w:tcW w:w="20" w:type="dxa"/>
            <w:vAlign w:val="bottom"/>
            <w:tcBorders>
              <w:bottom w:val="single" w:sz="8" w:color="CCEEFF"/>
            </w:tcBorders>
          </w:tcPr>
          <w:p>
            <w:pPr>
              <w:spacing w:after="0"/>
              <w:rPr>
                <w:sz w:val="18"/>
                <w:szCs w:val="18"/>
                <w:color w:val="auto"/>
              </w:rPr>
            </w:pPr>
          </w:p>
        </w:tc>
      </w:tr>
      <w:tr>
        <w:trPr>
          <w:trHeight w:val="210"/>
        </w:trPr>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before intercompany eliminations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511,410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965,519</w:t>
            </w:r>
          </w:p>
        </w:tc>
        <w:tc>
          <w:tcPr>
            <w:tcW w:w="20" w:type="dxa"/>
            <w:vAlign w:val="bottom"/>
          </w:tcPr>
          <w:p>
            <w:pPr>
              <w:spacing w:after="0"/>
              <w:rPr>
                <w:sz w:val="18"/>
                <w:szCs w:val="18"/>
                <w:color w:val="auto"/>
              </w:rPr>
            </w:pP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(1,124)</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(4,498)</w:t>
            </w:r>
          </w:p>
        </w:tc>
      </w:tr>
      <w:tr>
        <w:trPr>
          <w:trHeight w:val="210"/>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510,286</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61,042</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389,693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961,021</w:t>
            </w:r>
          </w:p>
        </w:tc>
        <w:tc>
          <w:tcPr>
            <w:tcW w:w="20" w:type="dxa"/>
            <w:vAlign w:val="bottom"/>
            <w:tcBorders>
              <w:bottom w:val="single" w:sz="8" w:color="CCEEFF"/>
            </w:tcBorders>
          </w:tcPr>
          <w:p>
            <w:pPr>
              <w:spacing w:after="0"/>
              <w:rPr>
                <w:sz w:val="18"/>
                <w:szCs w:val="18"/>
                <w:color w:val="auto"/>
              </w:rPr>
            </w:pPr>
          </w:p>
        </w:tc>
      </w:tr>
      <w:tr>
        <w:trPr>
          <w:trHeight w:val="210"/>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72,376</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$ 13,353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00" w:firstLine="259"/>
        <w:spacing w:after="0" w:line="258" w:lineRule="auto"/>
        <w:rPr>
          <w:sz w:val="20"/>
          <w:szCs w:val="20"/>
          <w:color w:val="auto"/>
        </w:rPr>
      </w:pPr>
      <w:r>
        <w:rPr>
          <w:rFonts w:ascii="Times New Roman" w:cs="Times New Roman" w:eastAsia="Times New Roman" w:hAnsi="Times New Roman"/>
          <w:sz w:val="18"/>
          <w:szCs w:val="18"/>
          <w:color w:val="auto"/>
        </w:rPr>
        <w:t>For fiscal year 2019, 2018 and 2017, inter-segment sales and cost of sales of $1.8 million, $1.6 million and $1.3 million between Fresh products and RFG were eliminated. For fiscal year 2019, 2018 and 2017, inter-segment sales and cost of sales of $4.0 million, $3.5 million and $3.2 million between Calavo Foods and RFG were eliminated. For the year ended October 31, 2019 and 2018, inter-segment sales and cost of sales of $0.5 million and $0.4 million between Fresh products and Calavo Foods were eliminated.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360680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60"/>
          </w:cols>
          <w:pgMar w:left="1360" w:top="121" w:right="1379"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8"/>
          <w:szCs w:val="18"/>
          <w:color w:val="auto"/>
        </w:rPr>
        <w:t>The following table sets forth sales by product category, by segment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October 31, 2019</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October 31, 2018</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RFG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RFG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569,779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511,730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Other fresh products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Prepared avocado products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100,842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fruit &amp; veg. and prepared</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foods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488,373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6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gross sales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622,942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488,373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1,215,409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555,535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103,058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1,109,796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incentives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sales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618,937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486,063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88,174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1,088,758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October 31, 2018</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October 31, 2017</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RFG</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RFG</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511,730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546,433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Other fresh products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Prepared avocado products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fruit &amp; veg. and prepared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foods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419,973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gross sales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555,535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103,058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1,109,796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585,479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89,155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419,973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1,094,607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sales incentives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sales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551,654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88,174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1,088,758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582,662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74,395</w:t>
            </w:r>
          </w:p>
        </w:tc>
        <w:tc>
          <w:tcPr>
            <w:tcW w:w="2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418,508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40" w:firstLine="243"/>
        <w:spacing w:after="0" w:line="282" w:lineRule="auto"/>
        <w:rPr>
          <w:sz w:val="20"/>
          <w:szCs w:val="20"/>
          <w:color w:val="auto"/>
        </w:rPr>
      </w:pPr>
      <w:r>
        <w:rPr>
          <w:rFonts w:ascii="Times New Roman" w:cs="Times New Roman" w:eastAsia="Times New Roman" w:hAnsi="Times New Roman"/>
          <w:sz w:val="18"/>
          <w:szCs w:val="18"/>
          <w:color w:val="auto"/>
        </w:rPr>
        <w:t>Sales to customers outside the U.S. were approximately $42.5 million, $41.8 million and $29.8 million for fiscal years 2019, 2018, and 2017.</w:t>
      </w:r>
    </w:p>
    <w:p>
      <w:pPr>
        <w:spacing w:after="0" w:line="162" w:lineRule="exact"/>
        <w:rPr>
          <w:sz w:val="20"/>
          <w:szCs w:val="20"/>
          <w:color w:val="auto"/>
        </w:rPr>
      </w:pPr>
    </w:p>
    <w:p>
      <w:pPr>
        <w:ind w:left="40" w:right="240" w:firstLine="243"/>
        <w:spacing w:after="0" w:line="266" w:lineRule="auto"/>
        <w:rPr>
          <w:sz w:val="20"/>
          <w:szCs w:val="20"/>
          <w:color w:val="auto"/>
        </w:rPr>
      </w:pPr>
      <w:r>
        <w:rPr>
          <w:rFonts w:ascii="Times New Roman" w:cs="Times New Roman" w:eastAsia="Times New Roman" w:hAnsi="Times New Roman"/>
          <w:sz w:val="18"/>
          <w:szCs w:val="18"/>
          <w:color w:val="auto"/>
        </w:rPr>
        <w:t>RFG segment sales included sales to one customer who represented more than 10% of total consolidated revenues for fiscal 2019, 2018 and 2017. Additionally, the Fresh products segment had sales to one customer that represented more than 10% of total consolidated revenues for fiscal 2019 and 2018.</w:t>
      </w:r>
    </w:p>
    <w:p>
      <w:pPr>
        <w:spacing w:after="0" w:line="176" w:lineRule="exact"/>
        <w:rPr>
          <w:sz w:val="20"/>
          <w:szCs w:val="20"/>
          <w:color w:val="auto"/>
        </w:rPr>
      </w:pPr>
    </w:p>
    <w:p>
      <w:pPr>
        <w:ind w:left="40" w:right="440" w:firstLine="243"/>
        <w:spacing w:after="0" w:line="282" w:lineRule="auto"/>
        <w:rPr>
          <w:sz w:val="20"/>
          <w:szCs w:val="20"/>
          <w:color w:val="auto"/>
        </w:rPr>
      </w:pPr>
      <w:r>
        <w:rPr>
          <w:rFonts w:ascii="Times New Roman" w:cs="Times New Roman" w:eastAsia="Times New Roman" w:hAnsi="Times New Roman"/>
          <w:sz w:val="18"/>
          <w:szCs w:val="18"/>
          <w:color w:val="auto"/>
        </w:rPr>
        <w:t>Our goodwill balance of $18.3 million is attributed by segment to Fresh products for $3.9 million and RFG for $14.3 million as of October 31, 2019 and 2018.</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Long-lived assets attributed to geographic areas as of October 31, are as follows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8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2400" w:type="dxa"/>
            <w:vAlign w:val="bottom"/>
            <w:tcBorders>
              <w:top w:val="single" w:sz="8" w:color="CCEEFF"/>
            </w:tcBorders>
            <w:shd w:val="clear" w:color="auto" w:fill="CCEEFF"/>
          </w:tcPr>
          <w:p>
            <w:pPr>
              <w:jc w:val="right"/>
              <w:ind w:right="1950"/>
              <w:spacing w:after="0"/>
              <w:rPr>
                <w:sz w:val="20"/>
                <w:szCs w:val="20"/>
                <w:color w:val="auto"/>
              </w:rPr>
            </w:pPr>
            <w:r>
              <w:rPr>
                <w:rFonts w:ascii="Times New Roman" w:cs="Times New Roman" w:eastAsia="Times New Roman" w:hAnsi="Times New Roman"/>
                <w:sz w:val="18"/>
                <w:szCs w:val="18"/>
                <w:color w:val="auto"/>
                <w:w w:val="94"/>
              </w:rPr>
              <w:t>2019</w:t>
            </w:r>
          </w:p>
        </w:tc>
        <w:tc>
          <w:tcPr>
            <w:tcW w:w="3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$ 33,874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240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w w:val="94"/>
              </w:rPr>
              <w:t>2018</w:t>
            </w:r>
          </w:p>
        </w:tc>
        <w:tc>
          <w:tcPr>
            <w:tcW w:w="4000" w:type="dxa"/>
            <w:vAlign w:val="bottom"/>
            <w:gridSpan w:val="2"/>
          </w:tcPr>
          <w:p>
            <w:pPr>
              <w:ind w:left="38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88,600</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$ 33,543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122,143</w:t>
            </w:r>
          </w:p>
        </w:tc>
        <w:tc>
          <w:tcPr>
            <w:tcW w:w="40" w:type="dxa"/>
            <w:vAlign w:val="bottom"/>
          </w:tcPr>
          <w:p>
            <w:pPr>
              <w:spacing w:after="0"/>
              <w:rPr>
                <w:sz w:val="20"/>
                <w:szCs w:val="20"/>
                <w:color w:val="auto"/>
              </w:rPr>
            </w:pPr>
          </w:p>
        </w:tc>
      </w:tr>
      <w:tr>
        <w:trPr>
          <w:trHeight w:val="860"/>
        </w:trPr>
        <w:tc>
          <w:tcPr>
            <w:tcW w:w="2400" w:type="dxa"/>
            <w:vAlign w:val="bottom"/>
          </w:tcPr>
          <w:p>
            <w:pPr>
              <w:spacing w:after="0"/>
              <w:rPr>
                <w:sz w:val="24"/>
                <w:szCs w:val="24"/>
                <w:color w:val="auto"/>
              </w:rPr>
            </w:pPr>
          </w:p>
        </w:tc>
        <w:tc>
          <w:tcPr>
            <w:tcW w:w="38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24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140"/>
          </w:cols>
          <w:pgMar w:left="1380" w:top="121" w:right="1379" w:bottom="1440" w:gutter="0" w:footer="0" w:header="0"/>
        </w:sectPr>
      </w:pPr>
    </w:p>
    <w:bookmarkStart w:id="66" w:name="page67"/>
    <w:bookmarkEnd w:id="66"/>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tab/>
        <w:t>Long-Term Obligations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Long-term obligations at fiscal year ends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7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270"/>
        <w:spacing w:after="0" w:line="255" w:lineRule="auto"/>
        <w:rPr>
          <w:sz w:val="20"/>
          <w:szCs w:val="20"/>
          <w:color w:val="auto"/>
        </w:rPr>
      </w:pPr>
      <w:r>
        <w:rPr>
          <w:rFonts w:ascii="Times New Roman" w:cs="Times New Roman" w:eastAsia="Times New Roman" w:hAnsi="Times New Roman"/>
          <w:sz w:val="18"/>
          <w:szCs w:val="18"/>
          <w:color w:val="auto"/>
        </w:rPr>
        <w:t>In April 2019, we sold our Temecula, California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of fiscal 2019 and recorded a deferred gain of $4.5 million, which will be recognized over the life of the lease. In connection with the capital lease we capitalized $3.2 million as a capital lease in property, plant and equipment and recorded a lease liability of $3.2 million ($0.1 million in current portion and $3.1 million in long term debt).</w:t>
      </w:r>
    </w:p>
    <w:p>
      <w:pPr>
        <w:spacing w:after="0" w:line="185"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During our third quarter of fiscal year 2019, we entered into a 10-year building and equipment lease for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October 31, 2019, capital lease payments are scheduled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ending October 31:</w:t>
            </w:r>
          </w:p>
        </w:tc>
        <w:tc>
          <w:tcPr>
            <w:tcW w:w="1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Minimum lease payments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hanging="458"/>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2005 Stock Incentive Plan</w:t>
      </w:r>
    </w:p>
    <w:p>
      <w:pPr>
        <w:spacing w:after="0" w:line="229" w:lineRule="exact"/>
        <w:rPr>
          <w:sz w:val="20"/>
          <w:szCs w:val="20"/>
          <w:color w:val="auto"/>
        </w:rPr>
      </w:pPr>
    </w:p>
    <w:p>
      <w:pPr>
        <w:ind w:right="360" w:firstLine="259"/>
        <w:spacing w:after="0" w:line="266" w:lineRule="auto"/>
        <w:rPr>
          <w:sz w:val="20"/>
          <w:szCs w:val="20"/>
          <w:color w:val="auto"/>
        </w:rPr>
      </w:pPr>
      <w:r>
        <w:rPr>
          <w:rFonts w:ascii="Times New Roman" w:cs="Times New Roman" w:eastAsia="Times New Roman" w:hAnsi="Times New Roman"/>
          <w:sz w:val="18"/>
          <w:szCs w:val="18"/>
          <w:color w:val="auto"/>
        </w:rPr>
        <w:t>The 2005 Stock Incentive Plan, was a stock-based compensation plan, under which employees and directors could be granted options to purchase shares of our common stock. In June 2012, this plan was terminated without affecting the outstanding stock options related to this plan.</w:t>
      </w:r>
    </w:p>
    <w:p>
      <w:pPr>
        <w:spacing w:after="0" w:line="176"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Stock options were granted with exercise prices of not less than the fair market value at grant date, generally vested over one to five years and generally expired two to five years after the grant date. We settle stock option exercises with newly issued shares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67" w:name="page68"/>
    <w:bookmarkEnd w:id="67"/>
    <w:p>
      <w:pPr>
        <w:ind w:left="20" w:right="360" w:firstLine="259"/>
        <w:spacing w:after="0" w:line="266" w:lineRule="auto"/>
        <w:rPr>
          <w:sz w:val="20"/>
          <w:szCs w:val="20"/>
          <w:color w:val="auto"/>
        </w:rPr>
      </w:pPr>
      <w:r>
        <w:rPr>
          <w:rFonts w:ascii="Times New Roman" w:cs="Times New Roman" w:eastAsia="Times New Roman" w:hAnsi="Times New Roman"/>
          <w:sz w:val="18"/>
          <w:szCs w:val="18"/>
          <w:color w:val="auto"/>
        </w:rPr>
        <w:t>We measured compensation cost for all stock-based awards pursuant to this plan at fair value on the date of grant and recognize compensation expense in our consolidated statements of income over the service period that the awards are expected to vest. We measured the fair value of our stock based compensation awards on the date of grant.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stock option activity is as follows (in thousands, except for per share amounts):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9"/>
        </w:trPr>
        <w:tc>
          <w:tcPr>
            <w:tcW w:w="54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CCEEFF"/>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October 31, 2019</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tcPr>
          <w:p>
            <w:pPr>
              <w:jc w:val="right"/>
              <w:ind w:right="174"/>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6"/>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80" w:firstLine="259"/>
        <w:spacing w:after="0" w:line="266" w:lineRule="auto"/>
        <w:rPr>
          <w:sz w:val="20"/>
          <w:szCs w:val="20"/>
          <w:color w:val="auto"/>
        </w:rPr>
      </w:pPr>
      <w:r>
        <w:rPr>
          <w:rFonts w:ascii="Times New Roman" w:cs="Times New Roman" w:eastAsia="Times New Roman" w:hAnsi="Times New Roman"/>
          <w:sz w:val="18"/>
          <w:szCs w:val="18"/>
          <w:color w:val="auto"/>
        </w:rPr>
        <w:t>The weighted average remaining life of such outstanding options is 0.8 years and the total intrinsic value of options exercised during fiscal 2019 was $0.2 million. The weighted average remaining life of such exercisable options is 0.8 years. The fair value of vested shares as of October 31, 2019, and 2018 was approximately $0.2 million and $0.4 million.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2011 Management Incentive Plan</w:t>
      </w:r>
    </w:p>
    <w:p>
      <w:pPr>
        <w:spacing w:after="0" w:line="229" w:lineRule="exact"/>
        <w:rPr>
          <w:sz w:val="20"/>
          <w:szCs w:val="20"/>
          <w:color w:val="auto"/>
        </w:rPr>
      </w:pPr>
    </w:p>
    <w:p>
      <w:pPr>
        <w:ind w:left="20" w:firstLine="259"/>
        <w:spacing w:after="0" w:line="261"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0" w:lineRule="exact"/>
        <w:rPr>
          <w:sz w:val="20"/>
          <w:szCs w:val="20"/>
          <w:color w:val="auto"/>
        </w:rPr>
      </w:pPr>
    </w:p>
    <w:p>
      <w:pPr>
        <w:ind w:left="20" w:right="40" w:firstLine="259"/>
        <w:spacing w:after="0" w:line="256" w:lineRule="auto"/>
        <w:rPr>
          <w:sz w:val="20"/>
          <w:szCs w:val="20"/>
          <w:color w:val="auto"/>
        </w:rPr>
      </w:pPr>
      <w:r>
        <w:rPr>
          <w:rFonts w:ascii="Times New Roman" w:cs="Times New Roman" w:eastAsia="Times New Roman" w:hAnsi="Times New Roman"/>
          <w:sz w:val="18"/>
          <w:szCs w:val="18"/>
          <w:color w:val="auto"/>
        </w:rPr>
        <w:t>In January of fiscal 2019, 2018, and 2017, all 12 of our non-employee directors were granted 1,750 restricted shares each (total of 21,000 shares). These shares have full voting rights and participate in dividends as if unrestricted. The closing price of our stock were $71.56, $85.90 and $62.65 for each respective year. After one year since the grant date, as long as the directors are still serving on the board, these shares lose their restriction and become non-forfeitable and transferable. These shares were granted pursuant to our 2011 Plan. The total recognized stock-based compensation expense for these grants were $1.6 million and $1.8 million for the year ended October 31, 2019 and 2018.</w:t>
      </w:r>
    </w:p>
    <w:p>
      <w:pPr>
        <w:spacing w:after="0" w:line="188" w:lineRule="exact"/>
        <w:rPr>
          <w:sz w:val="20"/>
          <w:szCs w:val="20"/>
          <w:color w:val="auto"/>
        </w:rPr>
      </w:pPr>
    </w:p>
    <w:p>
      <w:pPr>
        <w:ind w:left="20" w:right="100" w:firstLine="259"/>
        <w:spacing w:after="0" w:line="255" w:lineRule="auto"/>
        <w:rPr>
          <w:sz w:val="20"/>
          <w:szCs w:val="20"/>
          <w:color w:val="auto"/>
        </w:rPr>
      </w:pPr>
      <w:r>
        <w:rPr>
          <w:rFonts w:ascii="Times New Roman" w:cs="Times New Roman" w:eastAsia="Times New Roman" w:hAnsi="Times New Roman"/>
          <w:sz w:val="18"/>
          <w:szCs w:val="18"/>
          <w:color w:val="auto"/>
        </w:rPr>
        <w:t>On December 14, 2018, our executive officers were granted a total of 14,522 restricted shares. On December 18, 2017, our executive officers were granted a total of 25,241 restricted shares. On December 19, 2016, our executive officers were granted a total of 70,327 restricted shares. These shares have full voting rights and participate in dividends as if unrestricted. The closing price of our stock on such dates were $85.67, $75.45 and $56.20, respectively These shares vest in one-third increments, on an annual basis, beginning December 14, 2019, December 18, 2018 and December 19, 2017. These shares were granted pursuant to our 2011 Plan. The total recognized stock-based compensation expense for these grants were $2.0 million and $2.9 million for the year ended October 31, 2019 and 2018.</w:t>
      </w:r>
    </w:p>
    <w:p>
      <w:pPr>
        <w:spacing w:after="0" w:line="189" w:lineRule="exact"/>
        <w:rPr>
          <w:sz w:val="20"/>
          <w:szCs w:val="20"/>
          <w:color w:val="auto"/>
        </w:rPr>
      </w:pPr>
    </w:p>
    <w:p>
      <w:pPr>
        <w:ind w:left="20" w:right="60" w:firstLine="259"/>
        <w:spacing w:after="0" w:line="281" w:lineRule="auto"/>
        <w:rPr>
          <w:sz w:val="20"/>
          <w:szCs w:val="20"/>
          <w:color w:val="auto"/>
        </w:rPr>
      </w:pPr>
      <w:r>
        <w:rPr>
          <w:rFonts w:ascii="Times New Roman" w:cs="Times New Roman" w:eastAsia="Times New Roman" w:hAnsi="Times New Roman"/>
          <w:sz w:val="17"/>
          <w:szCs w:val="17"/>
          <w:color w:val="auto"/>
        </w:rPr>
        <w:t>On January 6, 2017, our Chief Operating Officer resigned from Calavo. His unvested portion of restricted stock of 12,800 shares issued in December of 2016 and January of 2016 was forfeited. On January 25, 2017, as part of his resignation he was granted 12,800 shares of unrestricted stock, which immediately vested. The closing price of our stock on such date was $58.05. We recorded for this grant $0.7 million of stock-based compensation expense in our fiscal first quarter of 2017.</w:t>
      </w:r>
    </w:p>
    <w:p>
      <w:pPr>
        <w:spacing w:after="0" w:line="165" w:lineRule="exact"/>
        <w:rPr>
          <w:sz w:val="20"/>
          <w:szCs w:val="20"/>
          <w:color w:val="auto"/>
        </w:rPr>
      </w:pPr>
    </w:p>
    <w:p>
      <w:pPr>
        <w:ind w:left="20" w:right="20" w:firstLine="259"/>
        <w:spacing w:after="0" w:line="255" w:lineRule="auto"/>
        <w:rPr>
          <w:sz w:val="20"/>
          <w:szCs w:val="20"/>
          <w:color w:val="auto"/>
        </w:rPr>
      </w:pPr>
      <w:r>
        <w:rPr>
          <w:rFonts w:ascii="Times New Roman" w:cs="Times New Roman" w:eastAsia="Times New Roman" w:hAnsi="Times New Roman"/>
          <w:sz w:val="18"/>
          <w:szCs w:val="18"/>
          <w:color w:val="auto"/>
        </w:rPr>
        <w:t>On February 2, 2017, our Vice President of the Foods Division retired from Calavo for medical reasons. In January 2017, the board of directors agreed that his unvested portion of restricted stock of 13,040 shares shall be vested due to the medical reasons provision in the restricted stock agreements. As a result, we recorded $0.5 million of stock-based compensation expense in our fiscal first quarter of 2017. In January 2018, per the terms of our 2011 Plan and the respective employee award, the board of directors awarded the portion of the fiscal 2017 management bonus for the percentage of the year worked. As a result, he was granted 867 shares of unrestricted stock, which immediately vested. As a result, we recorded $0.1 million of stock-based compensation expense in our fiscal first quarter of 2018.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121" w:right="1419" w:bottom="1440" w:gutter="0" w:footer="0" w:header="0"/>
        </w:sectPr>
      </w:pPr>
    </w:p>
    <w:bookmarkStart w:id="68" w:name="page69"/>
    <w:bookmarkEnd w:id="68"/>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On October 31, 2017, a member of the management team at RFG resigned. His unvested portion of restricted stock issued in December of 2016 and January of 2016 was forfeited. On January 25, 2018, in consideration of and in exchange for his forfeiture of restricted shares upon his resignation, the board of directors granted 10,788 shares of unrestricted stock, which immediately vested. The closing price of our stock on such date was $87.10. We recorded for this grant $0.9 million of stock-based compensation expense in our fiscal first quarter of 2018.</w:t>
      </w:r>
    </w:p>
    <w:p>
      <w:pPr>
        <w:spacing w:after="0" w:line="184" w:lineRule="exact"/>
        <w:rPr>
          <w:sz w:val="20"/>
          <w:szCs w:val="20"/>
          <w:color w:val="auto"/>
        </w:rPr>
      </w:pPr>
    </w:p>
    <w:p>
      <w:pPr>
        <w:ind w:right="480" w:firstLine="259"/>
        <w:spacing w:after="0" w:line="282" w:lineRule="auto"/>
        <w:rPr>
          <w:sz w:val="20"/>
          <w:szCs w:val="20"/>
          <w:color w:val="auto"/>
        </w:rPr>
      </w:pPr>
      <w:r>
        <w:rPr>
          <w:rFonts w:ascii="Times New Roman" w:cs="Times New Roman" w:eastAsia="Times New Roman" w:hAnsi="Times New Roman"/>
          <w:sz w:val="18"/>
          <w:szCs w:val="18"/>
          <w:color w:val="auto"/>
        </w:rPr>
        <w:t>A summary of restricted stock activity, related to our 2011 Management Incentive Plan, is as follows (in thousands, except for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2018</w:t>
            </w:r>
          </w:p>
        </w:tc>
        <w:tc>
          <w:tcPr>
            <w:tcW w:w="15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October 31, 2019</w:t>
            </w:r>
          </w:p>
        </w:tc>
        <w:tc>
          <w:tcPr>
            <w:tcW w:w="15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was $3.6 million and $4.6 million for the years ended October 31, 2019 and 2018.</w:t>
      </w:r>
    </w:p>
    <w:p>
      <w:pPr>
        <w:spacing w:after="0" w:line="162"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2011 Management Incentive Plan, is as follows (in thousands, except for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9"/>
        </w:trPr>
        <w:tc>
          <w:tcPr>
            <w:tcW w:w="57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October 31, 2019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The weighted average remaining life of such outstanding options is 3.7 years. The weighted average remaining life of such exercisable options is 2.2 years. The fair value of vested shares as of October 31, 2019 and 2018, was $0.7 million and $0.8 million.</w:t>
      </w:r>
    </w:p>
    <w:p>
      <w:pPr>
        <w:spacing w:after="0" w:line="172" w:lineRule="exact"/>
        <w:rPr>
          <w:sz w:val="20"/>
          <w:szCs w:val="20"/>
          <w:color w:val="auto"/>
        </w:rPr>
      </w:pPr>
    </w:p>
    <w:p>
      <w:pPr>
        <w:ind w:left="460" w:hanging="458"/>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0" w:firstLine="259"/>
        <w:spacing w:after="0" w:line="261" w:lineRule="auto"/>
        <w:rPr>
          <w:sz w:val="20"/>
          <w:szCs w:val="20"/>
          <w:color w:val="auto"/>
        </w:rPr>
      </w:pPr>
      <w:r>
        <w:rPr>
          <w:rFonts w:ascii="Times New Roman" w:cs="Times New Roman" w:eastAsia="Times New Roman" w:hAnsi="Times New Roman"/>
          <w:sz w:val="18"/>
          <w:szCs w:val="18"/>
          <w:color w:val="auto"/>
        </w:rPr>
        <w:t>On October 1, 2019, the Company declared a $1.10 per share cash dividend to shareholders of record on November 15, 2019. On December 6, 2019, the Company paid this cash dividend which totaled $19.4 million. On December 7, 2018, the Company paid a $1.00 per share dividend in the aggregate amount of $17.6 million to shareholders of record on November 16, 2018.</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9" w:name="page70"/>
    <w:bookmarkEnd w:id="69"/>
    <w:p>
      <w:pPr>
        <w:ind w:left="20" w:right="18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financial assets and liabilities as of October 31, 2019 that are measured on a recurring basis during the period, segregated by level within the fair value hierarchy: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196"/>
        </w:trPr>
        <w:tc>
          <w:tcPr>
            <w:tcW w:w="4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(All amounts are pres</w:t>
            </w: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nted in thousands)</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 in Limoneira Company</w:t>
            </w:r>
            <w:r>
              <w:rPr>
                <w:rFonts w:ascii="Times New Roman" w:cs="Times New Roman" w:eastAsia="Times New Roman" w:hAnsi="Times New Roman"/>
                <w:sz w:val="25"/>
                <w:szCs w:val="25"/>
                <w:color w:val="auto"/>
                <w:vertAlign w:val="superscript"/>
              </w:rPr>
              <w:t>(1)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31,734</w:t>
            </w:r>
          </w:p>
        </w:tc>
        <w:tc>
          <w:tcPr>
            <w:tcW w:w="20" w:type="dxa"/>
            <w:vAlign w:val="bottom"/>
          </w:tcPr>
          <w:p>
            <w:pPr>
              <w:spacing w:after="0"/>
              <w:rPr>
                <w:sz w:val="18"/>
                <w:szCs w:val="18"/>
                <w:color w:val="auto"/>
              </w:rPr>
            </w:pPr>
          </w:p>
        </w:tc>
      </w:tr>
      <w:tr>
        <w:trPr>
          <w:trHeight w:val="21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31,734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60" w:hanging="318"/>
        <w:spacing w:after="0" w:line="254"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Limoneira Company consists of marketable securities in the Limoneira Company stock. We currently own less than 10% of Limoneira’s outstanding common stock. These securities are measured at fair value by quoted market prices. Limoneira’s stock price at October 31, 2019 and October 31, 2018 equaled $18.92 per share and $24.65 per share (level 1). For the year ended October 31, 2019, we sold 51,271 shares of Limoneira stock and recorded a loss of $0.1 million in our consolidated statements of income. Our remaining shares of Limoneira stock, totaling 1,677,299, were revalued to $18.92 per share at October 31, 2019 and, as a result, we recorded a loss of $9.6 million for the year ended October 31, 2019 in our consolidated condensed statements of income. For the year ended October 31, 2018 and 2017, we recognized losses of Unrealized gains and losses are recognized through other comprehensive income. Unrealized investment holding gains arising during the years ended October 31, 2018, and 2017 were $2.2 million and $6.3 million.</w:t>
      </w:r>
    </w:p>
    <w:p>
      <w:pPr>
        <w:spacing w:after="0" w:line="182" w:lineRule="exact"/>
        <w:rPr>
          <w:sz w:val="20"/>
          <w:szCs w:val="20"/>
          <w:color w:val="auto"/>
        </w:rPr>
      </w:pPr>
    </w:p>
    <w:p>
      <w:pPr>
        <w:ind w:left="480" w:hanging="458"/>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Mexican IVA taxes receivable</w:t>
      </w:r>
    </w:p>
    <w:p>
      <w:pPr>
        <w:spacing w:after="0" w:line="229" w:lineRule="exact"/>
        <w:rPr>
          <w:sz w:val="20"/>
          <w:szCs w:val="20"/>
          <w:color w:val="auto"/>
        </w:rPr>
      </w:pPr>
    </w:p>
    <w:p>
      <w:pPr>
        <w:ind w:left="20" w:right="60"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76" w:lineRule="exact"/>
        <w:rPr>
          <w:sz w:val="20"/>
          <w:szCs w:val="20"/>
          <w:color w:val="auto"/>
        </w:rPr>
      </w:pPr>
    </w:p>
    <w:p>
      <w:pPr>
        <w:ind w:left="20" w:right="140" w:firstLine="259"/>
        <w:spacing w:after="0" w:line="255" w:lineRule="auto"/>
        <w:rPr>
          <w:sz w:val="20"/>
          <w:szCs w:val="20"/>
          <w:color w:val="auto"/>
        </w:rPr>
      </w:pPr>
      <w:r>
        <w:rPr>
          <w:rFonts w:ascii="Times New Roman" w:cs="Times New Roman" w:eastAsia="Times New Roman" w:hAnsi="Times New Roman"/>
          <w:sz w:val="18"/>
          <w:szCs w:val="18"/>
          <w:color w:val="auto"/>
        </w:rPr>
        <w:t>As of October 31, 2019 and 2018, CDM IVA receivables totaled $27.6 million and $21.9 million. Historically, CDM received IVA refund payments from the Mexican tax authorities on a timely basis. Beginning in fiscal 2014 and continuing into fiscal 2019,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 and/or administrative appeals.</w:t>
      </w:r>
    </w:p>
    <w:p>
      <w:pPr>
        <w:spacing w:after="0" w:line="185" w:lineRule="exact"/>
        <w:rPr>
          <w:sz w:val="20"/>
          <w:szCs w:val="20"/>
          <w:color w:val="auto"/>
        </w:rPr>
      </w:pPr>
    </w:p>
    <w:p>
      <w:pPr>
        <w:ind w:left="20" w:right="120" w:firstLine="259"/>
        <w:spacing w:after="0" w:line="270" w:lineRule="auto"/>
        <w:rPr>
          <w:sz w:val="20"/>
          <w:szCs w:val="20"/>
          <w:color w:val="auto"/>
        </w:rPr>
      </w:pPr>
      <w:r>
        <w:rPr>
          <w:rFonts w:ascii="Times New Roman" w:cs="Times New Roman" w:eastAsia="Times New Roman" w:hAnsi="Times New Roman"/>
          <w:sz w:val="17"/>
          <w:szCs w:val="17"/>
          <w:color w:val="auto"/>
        </w:rPr>
        <w:t>During the first quarter of fiscal 2017,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74" w:lineRule="exact"/>
        <w:rPr>
          <w:sz w:val="20"/>
          <w:szCs w:val="20"/>
          <w:color w:val="auto"/>
        </w:rPr>
      </w:pPr>
    </w:p>
    <w:p>
      <w:pPr>
        <w:ind w:left="20" w:right="60" w:firstLine="259"/>
        <w:spacing w:after="0" w:line="256" w:lineRule="auto"/>
        <w:rPr>
          <w:sz w:val="20"/>
          <w:szCs w:val="20"/>
          <w:color w:val="auto"/>
        </w:rPr>
      </w:pPr>
      <w:r>
        <w:rPr>
          <w:rFonts w:ascii="Times New Roman" w:cs="Times New Roman" w:eastAsia="Times New Roman" w:hAnsi="Times New Roman"/>
          <w:sz w:val="18"/>
          <w:szCs w:val="18"/>
          <w:color w:val="auto"/>
        </w:rPr>
        <w:t>In spite of the favorable ruling from the SAT’s central legal department in Mexico City,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January through November of 2014, January through November 2015 and January 2017. CDM has strong arguments and supporting documentation to sustain its declared tax structure for IVA and income tax purposes. With assistance of our internationally recognized tax advisory firm, during 2019 CDM has filed (or has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360680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121" w:right="1399" w:bottom="1440" w:gutter="0" w:footer="0" w:header="0"/>
        </w:sectPr>
      </w:pPr>
    </w:p>
    <w:bookmarkStart w:id="70" w:name="page71"/>
    <w:bookmarkEnd w:id="70"/>
    <w:p>
      <w:pPr>
        <w:ind w:right="200"/>
        <w:spacing w:after="0" w:line="282" w:lineRule="auto"/>
        <w:rPr>
          <w:sz w:val="20"/>
          <w:szCs w:val="20"/>
          <w:color w:val="auto"/>
        </w:rPr>
      </w:pPr>
      <w:r>
        <w:rPr>
          <w:rFonts w:ascii="Times New Roman" w:cs="Times New Roman" w:eastAsia="Times New Roman" w:hAnsi="Times New Roman"/>
          <w:sz w:val="18"/>
          <w:szCs w:val="18"/>
          <w:color w:val="auto"/>
        </w:rPr>
        <w:t>plans to file shortly) administrative appeals for the IVA related to the preceding months. A response to these administrative appeals is currently pending resolution.</w:t>
      </w:r>
    </w:p>
    <w:p>
      <w:pPr>
        <w:spacing w:after="0" w:line="162"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72" w:lineRule="exact"/>
        <w:rPr>
          <w:sz w:val="20"/>
          <w:szCs w:val="20"/>
          <w:color w:val="auto"/>
        </w:rPr>
      </w:pPr>
    </w:p>
    <w:p>
      <w:pPr>
        <w:ind w:left="460" w:hanging="458"/>
        <w:spacing w:after="0"/>
        <w:tabs>
          <w:tab w:leader="none" w:pos="4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FreshRealm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Entity</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Based on the NMUPA and related Agreements, as described in Note 8, we reconsidered whether FreshRealm was a variable interest entity (VIE) as of October 31, 2019 and 2018. A VIE refers to a legal business structure in which an investor has a controlling interest in,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believe that FreshRealm should be considered a VIE. In evaluating whether we are the primary beneficiary of FreshRealm, we considered several factors, including whether we (a) have the power to direct the activities that most significantly impact FreshRealm’s economic performance and (b) the obligation to absorb losses and the right to receive benefits that could potentially be significant to the VIE. We concluded that we were not the primary beneficiary of FreshRealm at October 31, 2019 and 2018, because the nature of our involvement with the activities of FreshRealm does not give us the power to direct the activities that most significantly impact its economic performance. We do not have a future obligation to fund losses or debts on behalf of FreshRealm. We may, however, voluntarily contribute funds. In the accompanying statements of income, we have presented the income (loss) from unconsolidated entities, after the provision for income taxes for all periods presented.</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record the amount of our investment in FreshRealm, totaling $5.8 million and $19.9 million at October 31, 2019 and 2018, in “Investment in unconsolidated entities” on our Consolidated Balance Sheets and recognize losses in FreshRealm in “Income/(loss) in unconsolidated entities” on our Consolidated Statement of Income.</w:t>
      </w:r>
    </w:p>
    <w:p>
      <w:pPr>
        <w:spacing w:after="0" w:line="17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For the year ended October 31, 2019 and 2018, FreshRealm incurred losses totaling $30.6 million and $29.4 million, of which we recorded $14.1 million and $12.0 million of non-cash losses during fiscal 2019 and 2018. Effective December 16, 2018, FreshRealm completed a “check the box” tax election to change their entity classification for tax purposes to that of a corporation. To effect this change, FreshRealm, among other things, amended its operating agreement to eliminate the appropriate language related to the flow-through tax consequences of its prior tax status (Seventh Amended and Restated LLC Agreement) and checked the appropriate box on Form 8832 which it then filed with the Internal Revenue Service (IRS). As a result, losses incurred by FreshRealm from November 1, 2018 to December 15, 2018 were recorded in accordance with FASB Accounting Standards Codification (“ASC”) 810, ASC 323, and ASC 970, which mandate that the recognition of losses for an unconsolidated subsidiary be handled in a manner consistent with cash distributions upon liquidation of the entity when such distributions are different than the investors percentage ownership. As such, we recorded 100% of FreshRealm’s losses from November 1, 2018 through December 15, 2018 totaling $4.2 million. Losses incurred by FreshRealm from December 16, 2018 to October 31, 2019 (after the change in tax status was effective) were recorded to reflect our proportionate share of FreshRealm losses. We recorded losses from December 16, 2018 through October 31, 2019 totaling $9.9 million. As a result of FreshRealm’s recent change in tax status (described above), future operating results for FreshRealm will be allocated to its owners based on ownership percentage.</w:t>
      </w:r>
    </w:p>
    <w:p>
      <w:pPr>
        <w:spacing w:after="0" w:line="197"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In fiscal 2019, certain FreshRealm employees left the company surrendering their ownership units. This changed Calavo’s ownership percentage slightly to approximately 38%.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w:t>
      </w:r>
    </w:p>
    <w:p>
      <w:pPr>
        <w:spacing w:after="0" w:line="227" w:lineRule="exact"/>
        <w:rPr>
          <w:sz w:val="20"/>
          <w:szCs w:val="20"/>
          <w:color w:val="auto"/>
        </w:rPr>
      </w:pPr>
    </w:p>
    <w:p>
      <w:pPr>
        <w:ind w:right="180" w:firstLine="225"/>
        <w:spacing w:after="0" w:line="282" w:lineRule="auto"/>
        <w:rPr>
          <w:sz w:val="20"/>
          <w:szCs w:val="20"/>
          <w:color w:val="auto"/>
        </w:rPr>
      </w:pPr>
      <w:r>
        <w:rPr>
          <w:rFonts w:ascii="Times New Roman" w:cs="Times New Roman" w:eastAsia="Times New Roman" w:hAnsi="Times New Roman"/>
          <w:sz w:val="18"/>
          <w:szCs w:val="18"/>
          <w:color w:val="auto"/>
        </w:rPr>
        <w:t>As described above, we own approximately 38% of FreshRealm as of October 31, 2019. In accordance with Rules 3-09 and 4-08(g) of Regulation S-X, we must determine if our unconsolidated subsidiaries are considered, “significant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1" w:name="page72"/>
    <w:bookmarkEnd w:id="71"/>
    <w:p>
      <w:pPr>
        <w:ind w:right="40"/>
        <w:spacing w:after="0" w:line="261" w:lineRule="auto"/>
        <w:rPr>
          <w:sz w:val="20"/>
          <w:szCs w:val="20"/>
          <w:color w:val="auto"/>
        </w:rPr>
      </w:pPr>
      <w:r>
        <w:rPr>
          <w:rFonts w:ascii="Times New Roman" w:cs="Times New Roman" w:eastAsia="Times New Roman" w:hAnsi="Times New Roman"/>
          <w:sz w:val="18"/>
          <w:szCs w:val="18"/>
          <w:color w:val="auto"/>
        </w:rPr>
        <w:t>subsidiaries”. In evaluating our investments, there are three tests utilized to determine if our subsidiaries are considered significant subsidiaries: the asset test, the income test and the investment test. Rule 3-09 of Regulation S-X requires separate audited financial statements of an unconsolidated subsidiary in an annual report if any of the three tests exceed 20%. Rule 4-08(g) of Regulation S-X requires summarized financial information in an annual report if any of the three tests exceed 10%.</w:t>
      </w:r>
    </w:p>
    <w:p>
      <w:pPr>
        <w:spacing w:after="0" w:line="180" w:lineRule="exact"/>
        <w:rPr>
          <w:sz w:val="20"/>
          <w:szCs w:val="20"/>
          <w:color w:val="auto"/>
        </w:rPr>
      </w:pPr>
    </w:p>
    <w:p>
      <w:pPr>
        <w:ind w:right="100" w:firstLine="225"/>
        <w:spacing w:after="0" w:line="257" w:lineRule="auto"/>
        <w:rPr>
          <w:sz w:val="20"/>
          <w:szCs w:val="20"/>
          <w:color w:val="auto"/>
        </w:rPr>
      </w:pPr>
      <w:r>
        <w:rPr>
          <w:rFonts w:ascii="Times New Roman" w:cs="Times New Roman" w:eastAsia="Times New Roman" w:hAnsi="Times New Roman"/>
          <w:sz w:val="18"/>
          <w:szCs w:val="18"/>
          <w:color w:val="auto"/>
        </w:rPr>
        <w:t>FreshRealm incurred losses totaling $30.6 million, of which we recorded $14.1 million of non-cash losses during our fiscal year 2019. Pursuant to Rule 3-09 of Regulation S-X, this requires separate audited financial statements of FreshRealm in our Form 10-K. However, because Calavo and FreshRealm have different fiscal year-ends, the guidance in Rule 3-09(b)</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(2), as well our filing status, must be considered in determining the due date for Calavo to file the financial statements of FreshRealm in our Form 10-K. Since we are a large accelerated filer, our 2019 Form 10-K is due by December 30, 2019. Since FreshRealm’s fiscal year-end is December 31, we plan to file the financial statements of FreshRealm as an amendment to our Form 10-K within 90 days after FreshRealm’s year-end (i.e., by March 30, 2019).</w:t>
      </w:r>
    </w:p>
    <w:p>
      <w:pPr>
        <w:spacing w:after="0" w:line="186" w:lineRule="exact"/>
        <w:rPr>
          <w:sz w:val="20"/>
          <w:szCs w:val="20"/>
          <w:color w:val="auto"/>
        </w:rPr>
      </w:pPr>
    </w:p>
    <w:p>
      <w:pPr>
        <w:ind w:right="20" w:firstLine="180"/>
        <w:spacing w:after="0" w:line="282" w:lineRule="auto"/>
        <w:rPr>
          <w:sz w:val="20"/>
          <w:szCs w:val="20"/>
          <w:color w:val="auto"/>
        </w:rPr>
      </w:pPr>
      <w:r>
        <w:rPr>
          <w:rFonts w:ascii="Times New Roman" w:cs="Times New Roman" w:eastAsia="Times New Roman" w:hAnsi="Times New Roman"/>
          <w:sz w:val="18"/>
          <w:szCs w:val="18"/>
          <w:color w:val="auto"/>
        </w:rPr>
        <w:t>Note that since Rule 3-09 of Regulation S-X financial statements are not filed at the same time as our 2019 Form 10-K, we must include Rule 4-08(g) summarized financial information in our 2019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tables show summarized financial information for FreshRealm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Balance Sheet: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314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to Calavo</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w:t>
            </w: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4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12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33,769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loss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(30,600)</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left="300" w:right="19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Calavo Growers, Inc. and subsidiaries (the "Company") as of October 31, 2019 and 2018, the related consolidated statements of income, comprehensive income, shareholders' equity, and cash flows, for each of the three years in the period ended October 31, 2019, and the related notes and the schedules listed in the Index at Item 15 (a) collectively referred to as the "financial statements". In our opinion, the financial statements present fairly, in all material respects, the financial position of the Company as of October 31, 2019 and 2018, and the results of its operations and its cash flows for each of the three years in the period ended October 31, 2019, in conformity with accounting principles generally accepted in the United States of America.</w:t>
      </w:r>
    </w:p>
    <w:p>
      <w:pPr>
        <w:spacing w:after="0" w:line="189" w:lineRule="exact"/>
        <w:rPr>
          <w:sz w:val="20"/>
          <w:szCs w:val="20"/>
          <w:color w:val="auto"/>
        </w:rPr>
      </w:pPr>
    </w:p>
    <w:p>
      <w:pPr>
        <w:ind w:left="300" w:right="159"/>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October 31, 2019,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December 19, 2019, expressed an unqualified opinion on the Company's internal control over financial reporting.</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Adoption of ASU No. 2016-01</w:t>
      </w:r>
    </w:p>
    <w:p>
      <w:pPr>
        <w:spacing w:after="0" w:line="189" w:lineRule="exact"/>
        <w:rPr>
          <w:sz w:val="20"/>
          <w:szCs w:val="20"/>
          <w:color w:val="auto"/>
        </w:rPr>
      </w:pPr>
    </w:p>
    <w:p>
      <w:pPr>
        <w:ind w:left="300" w:right="39"/>
        <w:spacing w:after="0" w:line="261" w:lineRule="auto"/>
        <w:rPr>
          <w:sz w:val="20"/>
          <w:szCs w:val="20"/>
          <w:color w:val="auto"/>
        </w:rPr>
      </w:pPr>
      <w:r>
        <w:rPr>
          <w:rFonts w:ascii="Times New Roman" w:cs="Times New Roman" w:eastAsia="Times New Roman" w:hAnsi="Times New Roman"/>
          <w:sz w:val="18"/>
          <w:szCs w:val="18"/>
          <w:color w:val="auto"/>
        </w:rPr>
        <w:t>As discussed in Note 2 to the financial statements, the Company has changed its method of accounting for certain equity investments by recognizing the change in fair value in net income effective November 1, 2018 due to the adoption</w:t>
      </w: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 xml:space="preserve">of Accounting Standards Update (“ASU”) No. 2016-01, </w:t>
      </w:r>
      <w:r>
        <w:rPr>
          <w:rFonts w:ascii="Times New Roman" w:cs="Times New Roman" w:eastAsia="Times New Roman" w:hAnsi="Times New Roman"/>
          <w:sz w:val="18"/>
          <w:szCs w:val="18"/>
          <w:i w:val="1"/>
          <w:iCs w:val="1"/>
          <w:color w:val="auto"/>
        </w:rPr>
        <w:t>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Liabilities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left="300" w:right="11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300" w:right="79"/>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ind w:left="300" w:right="7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360680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3" w:name="page74"/>
    <w:bookmarkEnd w:id="73"/>
    <w:p>
      <w:pPr>
        <w:ind w:left="300" w:right="2920"/>
        <w:spacing w:after="0" w:line="4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Mexican IVA taxes receivable — Refer to Note 15 to the Financial Statements </w:t>
      </w:r>
      <w:r>
        <w:rPr>
          <w:rFonts w:ascii="Times New Roman" w:cs="Times New Roman" w:eastAsia="Times New Roman" w:hAnsi="Times New Roman"/>
          <w:sz w:val="18"/>
          <w:szCs w:val="18"/>
          <w:i w:val="1"/>
          <w:iCs w:val="1"/>
          <w:color w:val="auto"/>
        </w:rPr>
        <w:t>Critical Audit Matter Description</w:t>
      </w: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As of October 31, 2019, the Company has value-added taxes (IVA) receivable of $27.6 million from the Mexican government. Historically, the Company’s subsidiary, Calavo de Mexico (CDM), received IVA refund payments from the Mexican tax authorities on a timely basis. Beginning in fiscal 2014 and continuing into fiscal 2019, there have been delays in the processing of the IVA claims by the Mexican tax authorities. The Mexican authorities informed the Company that CDM is not properly documented relative to its declared tax structure and therefore CDM cannot claim the refundable IVA balance. Mexican authorities also questioned refunds requested attributable to IVA paid to certain suppliers that allegedly did not fulfill their own tax obligations.</w:t>
      </w:r>
    </w:p>
    <w:p>
      <w:pPr>
        <w:spacing w:after="0" w:line="149"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the Company’s ability to recover the IVA taxes receivable, performing audit procedures to evaluate the Company’s interpretation and compliance with international tax laws involved significant auditor judgment and use of a tax specialist with specialized skills and knowledge, which we have determined to be a critical audit matter.</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ind w:left="300" w:right="6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judgments related to the collectability of the IVA taxes receivable included the following, among others:</w:t>
      </w:r>
    </w:p>
    <w:p>
      <w:pPr>
        <w:spacing w:after="0" w:line="54" w:lineRule="exact"/>
        <w:rPr>
          <w:sz w:val="20"/>
          <w:szCs w:val="20"/>
          <w:color w:val="auto"/>
        </w:rPr>
      </w:pPr>
    </w:p>
    <w:p>
      <w:pPr>
        <w:ind w:left="980" w:right="240" w:hanging="323"/>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 over the recoverability of the Mexican IVA taxes receivable, along with the review of related disclosures.</w:t>
      </w:r>
    </w:p>
    <w:p>
      <w:pPr>
        <w:spacing w:after="0" w:line="53" w:lineRule="exact"/>
        <w:rPr>
          <w:rFonts w:ascii="Times New Roman" w:cs="Times New Roman" w:eastAsia="Times New Roman" w:hAnsi="Times New Roman"/>
          <w:sz w:val="18"/>
          <w:szCs w:val="18"/>
          <w:color w:val="auto"/>
        </w:rPr>
      </w:pPr>
    </w:p>
    <w:p>
      <w:pPr>
        <w:jc w:val="both"/>
        <w:ind w:left="980" w:right="180" w:hanging="323"/>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the recoverability of the IVA receivable by evaluating the technical merits including substantiating that the Company’s declared tax structure is in compliance with Mexican tax regulations.</w:t>
      </w:r>
    </w:p>
    <w:p>
      <w:pPr>
        <w:spacing w:after="0" w:line="68" w:lineRule="exact"/>
        <w:rPr>
          <w:rFonts w:ascii="Times New Roman" w:cs="Times New Roman" w:eastAsia="Times New Roman" w:hAnsi="Times New Roman"/>
          <w:sz w:val="18"/>
          <w:szCs w:val="18"/>
          <w:color w:val="auto"/>
        </w:rPr>
      </w:pPr>
    </w:p>
    <w:p>
      <w:pPr>
        <w:ind w:left="980" w:hanging="323"/>
        <w:spacing w:after="0" w:line="313" w:lineRule="auto"/>
        <w:tabs>
          <w:tab w:leader="none" w:pos="9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 confirmation from the Company’s tax advisors related to the collectability of the IVA receivable, and evaluated case rulings supporting the recoverability of IVA taxes paid to non-compliant vendors.</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 Related to Mexico tax audits — Refer to Note 7 to the Financial Statements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The Company is under audit by the Mexican tax authorities relating to the Company’s 2011 and 2013 fiscal years. The Mexican tax authorities have assessed the Company with an underpayment of tax amounts alleging improper deductions for intercompany funding, deduction for services, and IVA in the Company’s calculation of taxable income. The assessments, including the effect of inflation and penalties, amounted to $2.2 billion Mexican pesos (approx. $114.4 million USD at October 31, 2019) and $2.6 billion Mexican pesos (approx. $135.1 million USD at October 31, 2019) relating to the 2011 and 2013 audits, respectively. The Company filed administrative appeals to dismiss the assessments made by the Mexican tax authorities, asserting that the positions taken by the Company are in accordance with tax regulations. No amounts have been accrued in the accompanying financial statements related to these Mexico tax audits.</w:t>
      </w:r>
    </w:p>
    <w:p>
      <w:pPr>
        <w:spacing w:after="0" w:line="77" w:lineRule="exact"/>
        <w:rPr>
          <w:sz w:val="20"/>
          <w:szCs w:val="20"/>
          <w:color w:val="auto"/>
        </w:rPr>
      </w:pPr>
    </w:p>
    <w:p>
      <w:pPr>
        <w:ind w:left="300" w:right="320"/>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in determining its analysis and accounting for the Company’s uncertain tax positions,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determination of whether it is more likely than not that the Company’s tax positions challenged by the Mexican tax authorities will be realized included the following, among others:</w:t>
      </w:r>
    </w:p>
    <w:p>
      <w:pPr>
        <w:spacing w:after="0" w:line="54" w:lineRule="exact"/>
        <w:rPr>
          <w:sz w:val="20"/>
          <w:szCs w:val="20"/>
          <w:color w:val="auto"/>
        </w:rPr>
      </w:pPr>
    </w:p>
    <w:p>
      <w:pPr>
        <w:ind w:left="4420" w:right="380" w:hanging="3763"/>
        <w:spacing w:after="0" w:line="783" w:lineRule="auto"/>
        <w:tabs>
          <w:tab w:leader="none" w:pos="9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 over the evaluation of Uncertain Tax Positions as it relates to the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5754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20"/>
          </w:cols>
          <w:pgMar w:left="1440" w:top="117" w:right="1439" w:bottom="1440" w:gutter="0" w:footer="0" w:header="0"/>
        </w:sectPr>
      </w:pPr>
    </w:p>
    <w:bookmarkStart w:id="74" w:name="page75"/>
    <w:bookmarkEnd w:id="74"/>
    <w:p>
      <w:pPr>
        <w:ind w:left="1000"/>
        <w:spacing w:after="0"/>
        <w:rPr>
          <w:sz w:val="20"/>
          <w:szCs w:val="20"/>
          <w:color w:val="auto"/>
        </w:rPr>
      </w:pPr>
      <w:r>
        <w:rPr>
          <w:rFonts w:ascii="Times New Roman" w:cs="Times New Roman" w:eastAsia="Times New Roman" w:hAnsi="Times New Roman"/>
          <w:sz w:val="18"/>
          <w:szCs w:val="18"/>
          <w:color w:val="auto"/>
        </w:rPr>
        <w:t>periods subject to the Mexico tax audits, along with the review of related disclosures.</w:t>
      </w:r>
    </w:p>
    <w:p>
      <w:pPr>
        <w:spacing w:after="0" w:line="117" w:lineRule="exact"/>
        <w:rPr>
          <w:sz w:val="20"/>
          <w:szCs w:val="20"/>
          <w:color w:val="auto"/>
        </w:rPr>
      </w:pPr>
    </w:p>
    <w:p>
      <w:pPr>
        <w:ind w:left="1000" w:right="79" w:hanging="32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and reviewed a sample of source documents supporting management’s position on the Company’s accounting for intercompany funding for product purchases and vendor-provided services.</w:t>
      </w:r>
    </w:p>
    <w:p>
      <w:pPr>
        <w:spacing w:after="0" w:line="53" w:lineRule="exact"/>
        <w:rPr>
          <w:rFonts w:ascii="Times New Roman" w:cs="Times New Roman" w:eastAsia="Times New Roman" w:hAnsi="Times New Roman"/>
          <w:sz w:val="18"/>
          <w:szCs w:val="18"/>
          <w:color w:val="auto"/>
        </w:rPr>
      </w:pPr>
    </w:p>
    <w:p>
      <w:pPr>
        <w:ind w:left="1000" w:right="79" w:hanging="323"/>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management’s assertion that the Company’s tax positions are more likely than not to be realized by evaluating whether the Company’s declared tax structure is in compliance with Mexican tax regulations.</w:t>
      </w:r>
    </w:p>
    <w:p>
      <w:pPr>
        <w:spacing w:after="0" w:line="68" w:lineRule="exact"/>
        <w:rPr>
          <w:rFonts w:ascii="Times New Roman" w:cs="Times New Roman" w:eastAsia="Times New Roman" w:hAnsi="Times New Roman"/>
          <w:sz w:val="18"/>
          <w:szCs w:val="18"/>
          <w:color w:val="auto"/>
        </w:rPr>
      </w:pPr>
    </w:p>
    <w:p>
      <w:pPr>
        <w:ind w:left="1000" w:right="299" w:hanging="323"/>
        <w:spacing w:after="0" w:line="313" w:lineRule="auto"/>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 confirmation from the Company’s tax advisors related to understanding the advisor’s current assessment of the tax audits and assessed the technical merits of tax positions taken by the Company.</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Collectability of Notes Receivable from FreshRealm — Refer to Note 8 to the Financial Statements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left="320" w:right="159"/>
        <w:spacing w:after="0" w:line="258" w:lineRule="auto"/>
        <w:rPr>
          <w:sz w:val="20"/>
          <w:szCs w:val="20"/>
          <w:color w:val="auto"/>
        </w:rPr>
      </w:pPr>
      <w:r>
        <w:rPr>
          <w:rFonts w:ascii="Times New Roman" w:cs="Times New Roman" w:eastAsia="Times New Roman" w:hAnsi="Times New Roman"/>
          <w:sz w:val="18"/>
          <w:szCs w:val="18"/>
          <w:color w:val="auto"/>
        </w:rPr>
        <w:t>The Company has $35.2M in notes receivable (including interest) due from FreshRealm, an unconsolidated entity. The notes are due on November 1, 2021 with monthly interest payments scheduled to begin on October 31, 2020. The Company has the option to extend repayment of the note receivable for up to two additional and separate one-year extension periods through to November 1, 2023 (in aggregate). The Company has no allowance on these notes receivable due from FreshRealm as of October 31, 2019.</w:t>
      </w:r>
    </w:p>
    <w:p>
      <w:pPr>
        <w:spacing w:after="0" w:line="184" w:lineRule="exact"/>
        <w:rPr>
          <w:sz w:val="20"/>
          <w:szCs w:val="20"/>
          <w:color w:val="auto"/>
        </w:rPr>
      </w:pPr>
    </w:p>
    <w:p>
      <w:pPr>
        <w:ind w:left="320" w:right="79"/>
        <w:spacing w:after="0" w:line="261" w:lineRule="auto"/>
        <w:rPr>
          <w:sz w:val="20"/>
          <w:szCs w:val="20"/>
          <w:color w:val="auto"/>
        </w:rPr>
      </w:pPr>
      <w:r>
        <w:rPr>
          <w:rFonts w:ascii="Times New Roman" w:cs="Times New Roman" w:eastAsia="Times New Roman" w:hAnsi="Times New Roman"/>
          <w:sz w:val="18"/>
          <w:szCs w:val="18"/>
          <w:color w:val="auto"/>
        </w:rPr>
        <w:t>The Company’s evaluation of the collectability of the FreshRealm notes receivable includes consideration of qualitative factors, including economic and business conditions, current operations, new customer agreements, and projections related to future operations. We identified management’s evaluation of these factors as a critical audit matter as it required a high degree of auditor judgment.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left="320" w:right="3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collectability of the FreshRealm notes receivable included the following, among others:</w:t>
      </w:r>
    </w:p>
    <w:p>
      <w:pPr>
        <w:spacing w:after="0" w:line="54" w:lineRule="exact"/>
        <w:rPr>
          <w:sz w:val="20"/>
          <w:szCs w:val="20"/>
          <w:color w:val="auto"/>
        </w:rPr>
      </w:pPr>
    </w:p>
    <w:p>
      <w:pPr>
        <w:ind w:left="1000" w:right="359" w:hanging="323"/>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 over the evaluation of items used to determine the need for an allowance, including management’s consideration and judgments related to the qualitative and quantitative assessment of the relevant facts and circumstances.</w:t>
      </w:r>
    </w:p>
    <w:p>
      <w:pPr>
        <w:spacing w:after="0" w:line="68" w:lineRule="exact"/>
        <w:rPr>
          <w:rFonts w:ascii="Times New Roman" w:cs="Times New Roman" w:eastAsia="Times New Roman" w:hAnsi="Times New Roman"/>
          <w:sz w:val="18"/>
          <w:szCs w:val="18"/>
          <w:color w:val="auto"/>
        </w:rPr>
      </w:pPr>
    </w:p>
    <w:p>
      <w:pPr>
        <w:ind w:left="1000" w:hanging="32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FreshRealm’s revenue and operating profit forecasts to:</w:t>
      </w:r>
    </w:p>
    <w:p>
      <w:pPr>
        <w:spacing w:after="0" w:line="117" w:lineRule="exact"/>
        <w:rPr>
          <w:rFonts w:ascii="Times New Roman" w:cs="Times New Roman" w:eastAsia="Times New Roman" w:hAnsi="Times New Roman"/>
          <w:sz w:val="18"/>
          <w:szCs w:val="18"/>
          <w:color w:val="auto"/>
        </w:rPr>
      </w:pPr>
    </w:p>
    <w:p>
      <w:pPr>
        <w:ind w:left="1640"/>
        <w:spacing w:after="0"/>
        <w:rPr>
          <w:rFonts w:ascii="Times New Roman" w:cs="Times New Roman" w:eastAsia="Times New Roman" w:hAnsi="Times New Roman"/>
          <w:sz w:val="18"/>
          <w:szCs w:val="18"/>
          <w:color w:val="auto"/>
        </w:rPr>
      </w:pPr>
      <w:r>
        <w:rPr>
          <w:rFonts w:ascii="Verdana" w:cs="Verdana" w:eastAsia="Verdana" w:hAnsi="Verdana"/>
          <w:sz w:val="18"/>
          <w:szCs w:val="18"/>
          <w:color w:val="auto"/>
        </w:rPr>
        <w:t xml:space="preserve">–  </w:t>
      </w:r>
      <w:r>
        <w:rPr>
          <w:rFonts w:ascii="Times New Roman" w:cs="Times New Roman" w:eastAsia="Times New Roman" w:hAnsi="Times New Roman"/>
          <w:sz w:val="18"/>
          <w:szCs w:val="18"/>
          <w:color w:val="auto"/>
        </w:rPr>
        <w:t>FreshRealm’s current business plan and nature of relationships with existing customers.</w:t>
      </w:r>
    </w:p>
    <w:p>
      <w:pPr>
        <w:spacing w:after="0" w:line="14" w:lineRule="exact"/>
        <w:rPr>
          <w:rFonts w:ascii="Times New Roman" w:cs="Times New Roman" w:eastAsia="Times New Roman" w:hAnsi="Times New Roman"/>
          <w:sz w:val="18"/>
          <w:szCs w:val="18"/>
          <w:color w:val="auto"/>
        </w:rPr>
      </w:pPr>
    </w:p>
    <w:p>
      <w:pPr>
        <w:ind w:left="1980" w:right="779" w:hanging="324"/>
        <w:spacing w:after="0" w:line="235"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 xml:space="preserve">– </w:t>
      </w:r>
      <w:r>
        <w:rPr>
          <w:rFonts w:ascii="Times New Roman" w:cs="Times New Roman" w:eastAsia="Times New Roman" w:hAnsi="Times New Roman"/>
          <w:sz w:val="18"/>
          <w:szCs w:val="18"/>
          <w:color w:val="auto"/>
        </w:rPr>
        <w:t>Periodic operational communications from FreshRealm management to the Company’s</w:t>
      </w:r>
      <w:r>
        <w:rPr>
          <w:rFonts w:ascii="Verdana" w:cs="Verdana" w:eastAsia="Verdana" w:hAnsi="Verdana"/>
          <w:sz w:val="18"/>
          <w:szCs w:val="18"/>
          <w:color w:val="auto"/>
        </w:rPr>
        <w:t xml:space="preserve"> </w:t>
      </w:r>
      <w:r>
        <w:rPr>
          <w:rFonts w:ascii="Times New Roman" w:cs="Times New Roman" w:eastAsia="Times New Roman" w:hAnsi="Times New Roman"/>
          <w:sz w:val="18"/>
          <w:szCs w:val="18"/>
          <w:color w:val="auto"/>
        </w:rPr>
        <w:t>management and the Board of Directors.</w:t>
      </w:r>
    </w:p>
    <w:p>
      <w:pPr>
        <w:spacing w:after="0" w:line="1" w:lineRule="exact"/>
        <w:rPr>
          <w:rFonts w:ascii="Times New Roman" w:cs="Times New Roman" w:eastAsia="Times New Roman" w:hAnsi="Times New Roman"/>
          <w:sz w:val="18"/>
          <w:szCs w:val="18"/>
          <w:color w:val="auto"/>
        </w:rPr>
      </w:pPr>
    </w:p>
    <w:p>
      <w:pPr>
        <w:ind w:left="1640"/>
        <w:spacing w:after="0" w:line="235" w:lineRule="auto"/>
        <w:rPr>
          <w:rFonts w:ascii="Times New Roman" w:cs="Times New Roman" w:eastAsia="Times New Roman" w:hAnsi="Times New Roman"/>
          <w:sz w:val="18"/>
          <w:szCs w:val="18"/>
          <w:color w:val="auto"/>
        </w:rPr>
      </w:pPr>
      <w:r>
        <w:rPr>
          <w:rFonts w:ascii="Verdana" w:cs="Verdana" w:eastAsia="Verdana" w:hAnsi="Verdana"/>
          <w:sz w:val="18"/>
          <w:szCs w:val="18"/>
          <w:color w:val="auto"/>
        </w:rPr>
        <w:t xml:space="preserve">–  </w:t>
      </w:r>
      <w:r>
        <w:rPr>
          <w:rFonts w:ascii="Times New Roman" w:cs="Times New Roman" w:eastAsia="Times New Roman" w:hAnsi="Times New Roman"/>
          <w:sz w:val="18"/>
          <w:szCs w:val="18"/>
          <w:color w:val="auto"/>
        </w:rPr>
        <w:t>Industry forecasts.</w:t>
      </w:r>
    </w:p>
    <w:p>
      <w:pPr>
        <w:spacing w:after="0" w:line="90" w:lineRule="exact"/>
        <w:rPr>
          <w:rFonts w:ascii="Times New Roman" w:cs="Times New Roman" w:eastAsia="Times New Roman" w:hAnsi="Times New Roman"/>
          <w:sz w:val="18"/>
          <w:szCs w:val="18"/>
          <w:color w:val="auto"/>
        </w:rPr>
      </w:pPr>
    </w:p>
    <w:p>
      <w:pPr>
        <w:jc w:val="both"/>
        <w:ind w:left="1000" w:right="199" w:hanging="323"/>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FreshRealm’s projections of future results that are based on expected growth by obtaining and reviewing select executed customer contracts and purchase orders with large retailers and the related trend of purchase orders.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2019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ind w:right="7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2019.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19" w:firstLine="2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October 31, 2019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19" w:firstLine="25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w:t>
      </w:r>
    </w:p>
    <w:p>
      <w:pPr>
        <w:spacing w:after="0" w:line="186" w:lineRule="exact"/>
        <w:rPr>
          <w:sz w:val="20"/>
          <w:szCs w:val="20"/>
          <w:color w:val="auto"/>
        </w:rPr>
      </w:pPr>
    </w:p>
    <w:p>
      <w:pPr>
        <w:ind w:right="179" w:firstLine="259"/>
        <w:spacing w:after="0" w:line="261" w:lineRule="auto"/>
        <w:rPr>
          <w:sz w:val="20"/>
          <w:szCs w:val="20"/>
          <w:color w:val="auto"/>
        </w:rPr>
      </w:pPr>
      <w:r>
        <w:rPr>
          <w:rFonts w:ascii="Times New Roman" w:cs="Times New Roman" w:eastAsia="Times New Roman" w:hAnsi="Times New Roman"/>
          <w:sz w:val="18"/>
          <w:szCs w:val="18"/>
          <w:color w:val="auto"/>
        </w:rPr>
        <w:t xml:space="preserve">Based on our evaluation under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October 31, 2019. Our internal control over financial reporting as of October 31, 2019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7"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Calavo Growers, Inc. and subsidiaries (the “Company”) as of October 31, 2019,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2019,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COSO.</w:t>
      </w:r>
    </w:p>
    <w:p>
      <w:pPr>
        <w:spacing w:after="0" w:line="21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2019, of the Company and our report dated December 19, 2019, expressed an unqualified opinion on those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7" w:right="1439" w:bottom="1440" w:gutter="0" w:footer="0" w:header="0"/>
        </w:sectPr>
      </w:pPr>
    </w:p>
    <w:bookmarkStart w:id="77" w:name="page78"/>
    <w:bookmarkEnd w:id="77"/>
    <w:p>
      <w:pPr>
        <w:jc w:val="both"/>
        <w:ind w:right="17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2019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right="159" w:firstLine="259"/>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79" w:firstLine="259"/>
        <w:spacing w:after="0" w:line="282" w:lineRule="auto"/>
        <w:rPr>
          <w:sz w:val="20"/>
          <w:szCs w:val="20"/>
          <w:color w:val="auto"/>
        </w:rPr>
      </w:pPr>
      <w:r>
        <w:rPr>
          <w:rFonts w:ascii="Times New Roman" w:cs="Times New Roman" w:eastAsia="Times New Roman" w:hAnsi="Times New Roman"/>
          <w:sz w:val="18"/>
          <w:szCs w:val="18"/>
          <w:color w:val="auto"/>
        </w:rPr>
        <w:t>The names of our executive officers and their ages, titles and biographies are incorporated by reference from Part I, above.</w:t>
      </w:r>
    </w:p>
    <w:p>
      <w:pPr>
        <w:spacing w:after="0" w:line="162" w:lineRule="exact"/>
        <w:rPr>
          <w:sz w:val="20"/>
          <w:szCs w:val="20"/>
          <w:color w:val="auto"/>
        </w:rPr>
      </w:pPr>
    </w:p>
    <w:p>
      <w:pPr>
        <w:jc w:val="both"/>
        <w:ind w:right="99" w:firstLine="259"/>
        <w:spacing w:after="0" w:line="261" w:lineRule="auto"/>
        <w:rPr>
          <w:sz w:val="20"/>
          <w:szCs w:val="20"/>
          <w:color w:val="auto"/>
        </w:rPr>
      </w:pPr>
      <w:r>
        <w:rPr>
          <w:rFonts w:ascii="Times New Roman" w:cs="Times New Roman" w:eastAsia="Times New Roman" w:hAnsi="Times New Roman"/>
          <w:sz w:val="18"/>
          <w:szCs w:val="18"/>
          <w:color w:val="auto"/>
        </w:rPr>
        <w:t>The following information is included in our Notice of Annual Meeting of Shareholders and Proxy Statement to be filed within 120 days after our fiscal year end of October 31, 2019 (the Proxy Statement) and is incorporated herein by reference:</w:t>
      </w:r>
    </w:p>
    <w:p>
      <w:pPr>
        <w:ind w:left="1320" w:right="79" w:hanging="318"/>
        <w:spacing w:after="0" w:line="250"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our directors who are standing for reelection and any persons nominated to become our directors is set forth under "Election of Directors."</w:t>
      </w:r>
    </w:p>
    <w:p>
      <w:pPr>
        <w:ind w:left="1320" w:right="79" w:hanging="318"/>
        <w:spacing w:after="0" w:line="250"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our Audit Committee and designated "audit committee financial expert" is set forth under "Corporate Governance Principles and Board Matters—Board Structure and Committee Composition—Audit Committee."</w:t>
      </w:r>
    </w:p>
    <w:p>
      <w:pPr>
        <w:spacing w:after="0" w:line="1" w:lineRule="exact"/>
        <w:rPr>
          <w:rFonts w:ascii="Times New Roman" w:cs="Times New Roman" w:eastAsia="Times New Roman" w:hAnsi="Times New Roman"/>
          <w:sz w:val="18"/>
          <w:szCs w:val="18"/>
          <w:color w:val="auto"/>
        </w:rPr>
      </w:pPr>
    </w:p>
    <w:p>
      <w:pPr>
        <w:ind w:left="1320" w:right="439" w:hanging="318"/>
        <w:spacing w:after="0" w:line="250"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our code of business conduct and ethics for directors, officers and employees and our Corporate Governance Guidelines is set forth under "Corporate Governance Principles and Board Matters."</w:t>
      </w:r>
    </w:p>
    <w:p>
      <w:pPr>
        <w:spacing w:after="0" w:line="1" w:lineRule="exact"/>
        <w:rPr>
          <w:rFonts w:ascii="Times New Roman" w:cs="Times New Roman" w:eastAsia="Times New Roman" w:hAnsi="Times New Roman"/>
          <w:sz w:val="18"/>
          <w:szCs w:val="18"/>
          <w:color w:val="auto"/>
        </w:rPr>
      </w:pPr>
    </w:p>
    <w:p>
      <w:pPr>
        <w:ind w:left="1320" w:right="719" w:hanging="318"/>
        <w:spacing w:after="0" w:line="261" w:lineRule="auto"/>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Section 16(a) beneficial ownership reporting compliance is set forth under "Section 16(a) Beneficial Ownership Reporting Compliance."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999"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“Executive Compensation” and “Directors’ Compensation”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79"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36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“Certain Relationships and Related Transactions”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Accountant’s Fees and Services</w:t>
      </w:r>
    </w:p>
    <w:p>
      <w:pPr>
        <w:spacing w:after="0" w:line="229" w:lineRule="exact"/>
        <w:rPr>
          <w:sz w:val="20"/>
          <w:szCs w:val="20"/>
          <w:color w:val="auto"/>
        </w:rPr>
      </w:pPr>
    </w:p>
    <w:p>
      <w:pPr>
        <w:ind w:right="520" w:firstLine="25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of the Proxy Statement entitled “Principal Accountant Fees and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260" w:hanging="258"/>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540" w:right="22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as of October 31, 2019 and 2018 and for each of the three years in the period ended October 31, 2019 are included herewith:</w:t>
      </w:r>
    </w:p>
    <w:p>
      <w:pPr>
        <w:spacing w:after="0" w:line="162"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Consolidated Balance Sheets, Consolidated Statements of Income, Consolidated Statements of Comprehensive Income, Consolidated Statements of Cash Flows, Consolidated Statements of Shareholders' Equity, Notes to Consolidated Financial Statements, and Report of Deloitte &amp; Touche LLP, Independent Registered Public Accounting Firm.</w:t>
      </w:r>
    </w:p>
    <w:p>
      <w:pPr>
        <w:spacing w:after="0" w:line="176" w:lineRule="exact"/>
        <w:rPr>
          <w:sz w:val="20"/>
          <w:szCs w:val="20"/>
          <w:color w:val="auto"/>
        </w:rPr>
      </w:pPr>
    </w:p>
    <w:p>
      <w:pPr>
        <w:ind w:left="540" w:hanging="281"/>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Supplemental Schedules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sz w:val="20"/>
          <w:szCs w:val="20"/>
          <w:color w:val="auto"/>
        </w:rPr>
      </w:pPr>
    </w:p>
    <w:p>
      <w:pPr>
        <w:jc w:val="both"/>
        <w:ind w:left="560" w:right="160" w:firstLine="16"/>
        <w:spacing w:after="0" w:line="266"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in amounts sufficient to require submission of the schedule,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7" w:right="1439" w:bottom="1440" w:gutter="0" w:footer="0" w:header="0"/>
        </w:sectPr>
      </w:pPr>
    </w:p>
    <w:bookmarkStart w:id="79" w:name="page80"/>
    <w:bookmarkEnd w:id="79"/>
    <w:p>
      <w:pPr>
        <w:ind w:left="540" w:hanging="281"/>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the “Exhibit Index” on pages 81 - 84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subsection (a) (3) above.</w:t>
      </w:r>
    </w:p>
    <w:p>
      <w:pPr>
        <w:spacing w:after="0" w:line="221" w:lineRule="exact"/>
        <w:rPr>
          <w:sz w:val="20"/>
          <w:szCs w:val="20"/>
          <w:color w:val="auto"/>
        </w:rPr>
      </w:pPr>
    </w:p>
    <w:p>
      <w:pPr>
        <w:ind w:left="280" w:hanging="278"/>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subsection (a) (1) and (2)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7"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VALUATION AND QUALIFYING ACCOUNTS (in thousands)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Additions(1)</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Deductions(2)</w:t>
            </w: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9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customer deductions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1,845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10,016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9,079</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8,267</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12,211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12,107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1,452</w:t>
            </w:r>
          </w:p>
        </w:tc>
        <w:tc>
          <w:tcPr>
            <w:tcW w:w="14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1,377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94" w:lineRule="exact"/>
        <w:rPr>
          <w:sz w:val="20"/>
          <w:szCs w:val="20"/>
          <w:color w:val="auto"/>
        </w:rPr>
      </w:pPr>
    </w:p>
    <w:p>
      <w:pPr>
        <w:ind w:left="300" w:hanging="298"/>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Charged to net sales (customer deductions) or costs and expenses (doubtful accounts).</w:t>
      </w:r>
    </w:p>
    <w:p>
      <w:pPr>
        <w:spacing w:after="0" w:line="103" w:lineRule="exact"/>
        <w:rPr>
          <w:rFonts w:ascii="Times New Roman" w:cs="Times New Roman" w:eastAsia="Times New Roman" w:hAnsi="Times New Roman"/>
          <w:sz w:val="18"/>
          <w:szCs w:val="18"/>
          <w:color w:val="auto"/>
        </w:rPr>
      </w:pPr>
    </w:p>
    <w:p>
      <w:pPr>
        <w:ind w:left="300" w:hanging="298"/>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deductions taken or write off of accounts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7"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gridSpan w:val="57"/>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5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8000" w:type="dxa"/>
            <w:vAlign w:val="bottom"/>
            <w:tcBorders>
              <w:bottom w:val="single" w:sz="8" w:color="auto"/>
            </w:tcBorders>
            <w:gridSpan w:val="63"/>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7840" w:type="dxa"/>
            <w:vAlign w:val="bottom"/>
            <w:tcBorders>
              <w:bottom w:val="single" w:sz="8" w:color="0000EE"/>
            </w:tcBorders>
            <w:gridSpan w:val="58"/>
          </w:tcPr>
          <w:p>
            <w:pPr>
              <w:ind w:left="20"/>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Agreement and Plan of Merger and Reorganization dated as of February 20, 2001 between Calavo Growers,</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gridSpan w:val="2"/>
          </w:tcPr>
          <w:p>
            <w:pPr>
              <w:spacing w:after="0"/>
              <w:rPr>
                <w:sz w:val="13"/>
                <w:szCs w:val="13"/>
                <w:color w:val="auto"/>
              </w:rPr>
            </w:pPr>
          </w:p>
        </w:tc>
        <w:tc>
          <w:tcPr>
            <w:tcW w:w="2820" w:type="dxa"/>
            <w:vAlign w:val="bottom"/>
            <w:gridSpan w:val="4"/>
            <w:vMerge w:val="restart"/>
          </w:tcPr>
          <w:p>
            <w:pPr>
              <w:ind w:left="20"/>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Inc. and Calavo Growers of California.</w:t>
              </w:r>
            </w:hyperlink>
          </w:p>
        </w:tc>
        <w:tc>
          <w:tcPr>
            <w:tcW w:w="80" w:type="dxa"/>
            <w:vAlign w:val="bottom"/>
            <w:tcBorders>
              <w:bottom w:val="single" w:sz="8" w:color="0000EE"/>
            </w:tcBorders>
            <w:gridSpan w:val="2"/>
          </w:tcPr>
          <w:p>
            <w:pPr>
              <w:jc w:val="right"/>
              <w:spacing w:after="0" w:line="142" w:lineRule="exact"/>
              <w:rPr>
                <w:rFonts w:ascii="Times New Roman" w:cs="Times New Roman" w:eastAsia="Times New Roman" w:hAnsi="Times New Roman"/>
                <w:sz w:val="14"/>
                <w:szCs w:val="14"/>
                <w:color w:val="0000EE"/>
                <w:w w:val="84"/>
              </w:rPr>
            </w:pPr>
            <w:hyperlink r:id="rId84">
              <w:r>
                <w:rPr>
                  <w:rFonts w:ascii="Times New Roman" w:cs="Times New Roman" w:eastAsia="Times New Roman" w:hAnsi="Times New Roman"/>
                  <w:sz w:val="14"/>
                  <w:szCs w:val="14"/>
                  <w:color w:val="0000EE"/>
                  <w:w w:val="84"/>
                </w:rPr>
                <w:t>1</w:t>
              </w:r>
            </w:hyperlink>
          </w:p>
        </w:tc>
        <w:tc>
          <w:tcPr>
            <w:tcW w:w="5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3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4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60" w:type="dxa"/>
            <w:vAlign w:val="bottom"/>
            <w:gridSpan w:val="2"/>
          </w:tcPr>
          <w:p>
            <w:pPr>
              <w:spacing w:after="0" w:line="20" w:lineRule="exact"/>
              <w:rPr>
                <w:sz w:val="1"/>
                <w:szCs w:val="1"/>
                <w:color w:val="auto"/>
              </w:rPr>
            </w:pPr>
          </w:p>
        </w:tc>
        <w:tc>
          <w:tcPr>
            <w:tcW w:w="2820" w:type="dxa"/>
            <w:vAlign w:val="bottom"/>
            <w:tcBorders>
              <w:bottom w:val="single" w:sz="8" w:color="0000EE"/>
            </w:tcBorders>
            <w:gridSpan w:val="4"/>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7180" w:type="dxa"/>
            <w:vAlign w:val="bottom"/>
            <w:tcBorders>
              <w:bottom w:val="single" w:sz="8" w:color="0000EE"/>
            </w:tcBorders>
            <w:gridSpan w:val="39"/>
          </w:tcPr>
          <w:p>
            <w:pPr>
              <w:ind w:left="20"/>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Agreement and Plan of Merger dated as of November 7, 2003 among Calavo Growers, Inc., Calavo</w:t>
              </w:r>
            </w:hyperlink>
          </w:p>
        </w:tc>
        <w:tc>
          <w:tcPr>
            <w:tcW w:w="8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700" w:type="dxa"/>
            <w:vAlign w:val="bottom"/>
            <w:gridSpan w:val="52"/>
            <w:vMerge w:val="restart"/>
          </w:tcPr>
          <w:p>
            <w:pPr>
              <w:ind w:left="20"/>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Acquisition Inc., Maui Fresh International, Inc. and Arthur J. Bruno, Robert J. Bruno and Javier J. Badillo.</w:t>
              </w:r>
            </w:hyperlink>
          </w:p>
        </w:tc>
        <w:tc>
          <w:tcPr>
            <w:tcW w:w="120" w:type="dxa"/>
            <w:vAlign w:val="bottom"/>
            <w:tcBorders>
              <w:bottom w:val="single" w:sz="8" w:color="0000EE"/>
            </w:tcBorders>
            <w:gridSpan w:val="5"/>
          </w:tcPr>
          <w:p>
            <w:pPr>
              <w:jc w:val="right"/>
              <w:ind w:right="20"/>
              <w:spacing w:after="0" w:line="142"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2</w:t>
              </w:r>
            </w:hyperlink>
          </w:p>
        </w:tc>
        <w:tc>
          <w:tcPr>
            <w:tcW w:w="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00" w:type="dxa"/>
            <w:vAlign w:val="bottom"/>
            <w:tcBorders>
              <w:bottom w:val="single" w:sz="8" w:color="0000EE"/>
            </w:tcBorders>
            <w:gridSpan w:val="52"/>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6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7860" w:type="dxa"/>
            <w:vAlign w:val="bottom"/>
            <w:gridSpan w:val="59"/>
            <w:vMerge w:val="restart"/>
          </w:tcPr>
          <w:p>
            <w:pPr>
              <w:ind w:left="20"/>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Stock Purchase Agreement dated as of June 1, 2005, between Limoneira Company and Calavo Growers, Inc.</w:t>
              </w:r>
            </w:hyperlink>
          </w:p>
        </w:tc>
        <w:tc>
          <w:tcPr>
            <w:tcW w:w="120" w:type="dxa"/>
            <w:vAlign w:val="bottom"/>
            <w:tcBorders>
              <w:bottom w:val="single" w:sz="8" w:color="0000EE"/>
            </w:tcBorders>
            <w:gridSpan w:val="3"/>
          </w:tcPr>
          <w:p>
            <w:pPr>
              <w:jc w:val="right"/>
              <w:ind w:right="20"/>
              <w:spacing w:after="0" w:line="142"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3</w:t>
              </w:r>
            </w:hyperlink>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60" w:type="dxa"/>
            <w:vAlign w:val="bottom"/>
            <w:gridSpan w:val="2"/>
            <w:vMerge w:val="continue"/>
          </w:tcPr>
          <w:p>
            <w:pPr>
              <w:spacing w:after="0" w:line="20" w:lineRule="exact"/>
              <w:rPr>
                <w:sz w:val="1"/>
                <w:szCs w:val="1"/>
                <w:color w:val="auto"/>
              </w:rPr>
            </w:pPr>
          </w:p>
        </w:tc>
        <w:tc>
          <w:tcPr>
            <w:tcW w:w="7860" w:type="dxa"/>
            <w:vAlign w:val="bottom"/>
            <w:tcBorders>
              <w:bottom w:val="single" w:sz="8" w:color="0000EE"/>
            </w:tcBorders>
            <w:gridSpan w:val="59"/>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7480" w:type="dxa"/>
            <w:vAlign w:val="bottom"/>
            <w:tcBorders>
              <w:bottom w:val="single" w:sz="8" w:color="0000EE"/>
            </w:tcBorders>
            <w:gridSpan w:val="45"/>
          </w:tcPr>
          <w:p>
            <w:pPr>
              <w:ind w:left="20"/>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Acquisition Agreement between Calavo Growers, Inc., a California corporation and Lecil E. Cole, Eric</w:t>
              </w:r>
            </w:hyperlink>
          </w:p>
        </w:tc>
        <w:tc>
          <w:tcPr>
            <w:tcW w:w="5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bottom w:val="single" w:sz="8" w:color="0000EE"/>
            </w:tcBorders>
            <w:gridSpan w:val="45"/>
          </w:tcPr>
          <w:p>
            <w:pPr>
              <w:ind w:left="20"/>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Weinert, Suzanne Cole-Savard, Guy Cole, and Lecil E. Cole and Mary Jeanette Cole, acting jointly and</w:t>
              </w:r>
            </w:hyperlink>
          </w:p>
        </w:tc>
        <w:tc>
          <w:tcPr>
            <w:tcW w:w="5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63"/>
          </w:tcPr>
          <w:p>
            <w:pPr>
              <w:ind w:left="20"/>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severally as trustees of the Lecil E. and Mary Jeanette Cole Revocable Trust dated October 19, 1993, also</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80" w:type="dxa"/>
            <w:vAlign w:val="bottom"/>
            <w:tcBorders>
              <w:top w:val="single" w:sz="8" w:color="0000EE"/>
              <w:bottom w:val="single" w:sz="8" w:color="0000EE"/>
            </w:tcBorders>
            <w:gridSpan w:val="33"/>
            <w:vMerge w:val="restart"/>
          </w:tcPr>
          <w:p>
            <w:pPr>
              <w:ind w:left="20"/>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known as the Lecil E. and Mary Jeanette Cole Revocable 1993 Trust dated May 19, 2008</w:t>
              </w:r>
            </w:hyperlink>
          </w:p>
        </w:tc>
        <w:tc>
          <w:tcPr>
            <w:tcW w:w="60" w:type="dxa"/>
            <w:vAlign w:val="bottom"/>
            <w:tcBorders>
              <w:top w:val="single" w:sz="8" w:color="0000EE"/>
              <w:bottom w:val="single" w:sz="8" w:color="0000EE"/>
            </w:tcBorders>
          </w:tcPr>
          <w:p>
            <w:pPr>
              <w:jc w:val="right"/>
              <w:spacing w:after="0"/>
              <w:rPr>
                <w:rFonts w:ascii="Times New Roman" w:cs="Times New Roman" w:eastAsia="Times New Roman" w:hAnsi="Times New Roman"/>
                <w:sz w:val="11"/>
                <w:szCs w:val="11"/>
                <w:color w:val="0000EE"/>
                <w:w w:val="71"/>
              </w:rPr>
            </w:pPr>
            <w:hyperlink r:id="rId87">
              <w:r>
                <w:rPr>
                  <w:rFonts w:ascii="Times New Roman" w:cs="Times New Roman" w:eastAsia="Times New Roman" w:hAnsi="Times New Roman"/>
                  <w:sz w:val="11"/>
                  <w:szCs w:val="11"/>
                  <w:color w:val="0000EE"/>
                  <w:w w:val="71"/>
                </w:rPr>
                <w:t>4</w:t>
              </w:r>
            </w:hyperlink>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18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gridSpan w:val="2"/>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4"/>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80" w:type="dxa"/>
            <w:vAlign w:val="bottom"/>
            <w:tcBorders>
              <w:bottom w:val="single" w:sz="8" w:color="0000EE"/>
            </w:tcBorders>
            <w:gridSpan w:val="3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8000" w:type="dxa"/>
            <w:vAlign w:val="bottom"/>
            <w:gridSpan w:val="63"/>
          </w:tcPr>
          <w:p>
            <w:pPr>
              <w:ind w:left="20"/>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Acquisition Agreement between Calavo Growers, Inc., Calavo Salsa Lisa, LLC, Lisa’s Salsa Company and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60" w:type="dxa"/>
            <w:vAlign w:val="bottom"/>
            <w:tcBorders>
              <w:top w:val="single" w:sz="8" w:color="0000EE"/>
              <w:bottom w:val="single" w:sz="8" w:color="0000EE"/>
            </w:tcBorders>
            <w:gridSpan w:val="18"/>
            <w:vMerge w:val="restart"/>
          </w:tcPr>
          <w:p>
            <w:pPr>
              <w:ind w:left="20"/>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Elizabeth Nicholson and Eric Nicholson dated February 8, 2010</w:t>
              </w:r>
            </w:hyperlink>
          </w:p>
        </w:tc>
        <w:tc>
          <w:tcPr>
            <w:tcW w:w="140" w:type="dxa"/>
            <w:vAlign w:val="bottom"/>
            <w:tcBorders>
              <w:top w:val="single" w:sz="8" w:color="0000EE"/>
              <w:bottom w:val="single" w:sz="8" w:color="0000EE"/>
            </w:tcBorders>
          </w:tcPr>
          <w:p>
            <w:pPr>
              <w:jc w:val="right"/>
              <w:spacing w:after="0" w:line="142" w:lineRule="exact"/>
              <w:rPr>
                <w:rFonts w:ascii="Times New Roman" w:cs="Times New Roman" w:eastAsia="Times New Roman" w:hAnsi="Times New Roman"/>
                <w:sz w:val="14"/>
                <w:szCs w:val="14"/>
                <w:color w:val="0000EE"/>
                <w:w w:val="85"/>
              </w:rPr>
            </w:pPr>
            <w:hyperlink r:id="rId88">
              <w:r>
                <w:rPr>
                  <w:rFonts w:ascii="Times New Roman" w:cs="Times New Roman" w:eastAsia="Times New Roman" w:hAnsi="Times New Roman"/>
                  <w:sz w:val="14"/>
                  <w:szCs w:val="14"/>
                  <w:color w:val="0000EE"/>
                  <w:w w:val="85"/>
                </w:rPr>
                <w:t>13</w:t>
              </w:r>
            </w:hyperlink>
          </w:p>
        </w:tc>
        <w:tc>
          <w:tcPr>
            <w:tcW w:w="4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44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300" w:type="dxa"/>
            <w:vAlign w:val="bottom"/>
            <w:tcBorders>
              <w:top w:val="single" w:sz="8" w:color="0000EE"/>
              <w:bottom w:val="single" w:sz="8" w:color="0000EE"/>
            </w:tcBorders>
            <w:gridSpan w:val="3"/>
            <w:vMerge w:val="restart"/>
          </w:tcPr>
          <w:p>
            <w:pPr>
              <w:spacing w:after="0"/>
              <w:rPr>
                <w:sz w:val="13"/>
                <w:szCs w:val="13"/>
                <w:color w:val="auto"/>
              </w:rPr>
            </w:pPr>
          </w:p>
        </w:tc>
        <w:tc>
          <w:tcPr>
            <w:tcW w:w="18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gridSpan w:val="2"/>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gridSpan w:val="4"/>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tcBorders>
              <w:bottom w:val="single" w:sz="8" w:color="0000EE"/>
            </w:tcBorders>
            <w:gridSpan w:val="18"/>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7880" w:type="dxa"/>
            <w:vAlign w:val="bottom"/>
            <w:tcBorders>
              <w:bottom w:val="single" w:sz="8" w:color="0000EE"/>
            </w:tcBorders>
            <w:gridSpan w:val="60"/>
          </w:tcPr>
          <w:p>
            <w:pPr>
              <w:ind w:left="20"/>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Amended and Restated Limited Liability Company Agreement for Calavo Salsa Lisa, LLC dated February 8,</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0" w:type="dxa"/>
            <w:vAlign w:val="bottom"/>
            <w:tcBorders>
              <w:bottom w:val="single" w:sz="8" w:color="0000EE"/>
            </w:tcBorders>
            <w:gridSpan w:val="56"/>
          </w:tcPr>
          <w:p>
            <w:pPr>
              <w:ind w:left="20"/>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2010 among Calavo Growers, Inc., Calavo Salsa Lisa LLC, Lisa’s Salsa Company, Elizabeth Nicholson and</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20" w:type="dxa"/>
            <w:vAlign w:val="bottom"/>
            <w:tcBorders>
              <w:bottom w:val="single" w:sz="8" w:color="0000EE"/>
            </w:tcBorders>
            <w:gridSpan w:val="50"/>
          </w:tcPr>
          <w:p>
            <w:pPr>
              <w:ind w:left="20"/>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Eric Nicholson. (Portions of this agreement have been deleted and filed separately with the Securities and</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20" w:type="dxa"/>
            <w:vAlign w:val="bottom"/>
            <w:gridSpan w:val="20"/>
            <w:vMerge w:val="restart"/>
          </w:tcPr>
          <w:p>
            <w:pPr>
              <w:ind w:left="20"/>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Exchange Commission Pursuant to a request for confidential treatment.)</w:t>
              </w:r>
            </w:hyperlink>
          </w:p>
        </w:tc>
        <w:tc>
          <w:tcPr>
            <w:tcW w:w="160" w:type="dxa"/>
            <w:vAlign w:val="bottom"/>
            <w:tcBorders>
              <w:bottom w:val="single" w:sz="8" w:color="0000EE"/>
            </w:tcBorders>
            <w:gridSpan w:val="2"/>
          </w:tcPr>
          <w:p>
            <w:pPr>
              <w:jc w:val="right"/>
              <w:spacing w:after="0" w:line="142" w:lineRule="exact"/>
              <w:rPr>
                <w:rFonts w:ascii="Times New Roman" w:cs="Times New Roman" w:eastAsia="Times New Roman" w:hAnsi="Times New Roman"/>
                <w:sz w:val="14"/>
                <w:szCs w:val="14"/>
                <w:color w:val="0000EE"/>
                <w:w w:val="99"/>
              </w:rPr>
            </w:pPr>
            <w:hyperlink r:id="rId89">
              <w:r>
                <w:rPr>
                  <w:rFonts w:ascii="Times New Roman" w:cs="Times New Roman" w:eastAsia="Times New Roman" w:hAnsi="Times New Roman"/>
                  <w:sz w:val="14"/>
                  <w:szCs w:val="14"/>
                  <w:color w:val="0000EE"/>
                  <w:w w:val="99"/>
                </w:rPr>
                <w:t>13</w:t>
              </w:r>
            </w:hyperlink>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44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300" w:type="dxa"/>
            <w:vAlign w:val="bottom"/>
            <w:gridSpan w:val="3"/>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80" w:type="dxa"/>
            <w:vAlign w:val="bottom"/>
            <w:gridSpan w:val="6"/>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tcBorders>
              <w:bottom w:val="single" w:sz="8" w:color="0000EE"/>
            </w:tcBorders>
            <w:gridSpan w:val="20"/>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gridSpan w:val="6"/>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7460" w:type="dxa"/>
            <w:vAlign w:val="bottom"/>
            <w:tcBorders>
              <w:bottom w:val="single" w:sz="8" w:color="0000EE"/>
            </w:tcBorders>
            <w:gridSpan w:val="44"/>
          </w:tcPr>
          <w:p>
            <w:pPr>
              <w:ind w:left="20"/>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Agreement and Plan of Merger dated May 25, 2011 among Calavo Growers, Inc., CG Mergersub LLC,</w:t>
              </w:r>
            </w:hyperlink>
          </w:p>
        </w:tc>
        <w:tc>
          <w:tcPr>
            <w:tcW w:w="5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00" w:type="dxa"/>
            <w:vAlign w:val="bottom"/>
            <w:tcBorders>
              <w:bottom w:val="single" w:sz="8" w:color="0000EE"/>
            </w:tcBorders>
            <w:gridSpan w:val="46"/>
          </w:tcPr>
          <w:p>
            <w:pPr>
              <w:ind w:left="20"/>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Renaissance Food Group, LLC and Liberty Fresh Foods, LLC, Kenneth Catchot, Cut Fruit, LLC, James</w:t>
              </w:r>
            </w:hyperlink>
          </w:p>
        </w:tc>
        <w:tc>
          <w:tcPr>
            <w:tcW w:w="5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63"/>
          </w:tcPr>
          <w:p>
            <w:pPr>
              <w:ind w:left="20"/>
              <w:spacing w:after="0" w:line="197"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Catchot, James Gibson, Jose O. Castillo, Donald L. Johnson and RFG Nominee Trust</w:t>
              </w:r>
              <w:r>
                <w:rPr>
                  <w:rFonts w:ascii="Times New Roman" w:cs="Times New Roman" w:eastAsia="Times New Roman" w:hAnsi="Times New Roman"/>
                  <w:sz w:val="22"/>
                  <w:szCs w:val="22"/>
                  <w:u w:val="single" w:color="auto"/>
                  <w:color w:val="0000EE"/>
                  <w:w w:val="99"/>
                  <w:vertAlign w:val="superscript"/>
                </w:rPr>
                <w:t>1</w:t>
              </w:r>
              <w:r>
                <w:rPr>
                  <w:rFonts w:ascii="Times New Roman" w:cs="Times New Roman" w:eastAsia="Times New Roman" w:hAnsi="Times New Roman"/>
                  <w:sz w:val="18"/>
                  <w:szCs w:val="18"/>
                  <w:color w:val="0000EE"/>
                  <w:w w:val="99"/>
                </w:rPr>
                <w:t xml:space="preserve"> (Certain portions of the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63"/>
          </w:tcPr>
          <w:p>
            <w:pPr>
              <w:ind w:left="20"/>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exhibit have been omitted based upon a request for confidential treatment filed by the Registrant with the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63"/>
          </w:tcPr>
          <w:p>
            <w:pPr>
              <w:ind w:left="20"/>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Securities and Exchange Commission. The omitted portions of the exhibit have been separately filed by the</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60" w:type="dxa"/>
            <w:vAlign w:val="bottom"/>
            <w:tcBorders>
              <w:top w:val="single" w:sz="8" w:color="0000EE"/>
              <w:bottom w:val="single" w:sz="8" w:color="0000EE"/>
            </w:tcBorders>
            <w:gridSpan w:val="15"/>
            <w:vMerge w:val="restart"/>
          </w:tcPr>
          <w:p>
            <w:pPr>
              <w:ind w:left="20"/>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Registrant with the Securities and Exchange Commission.)</w:t>
              </w:r>
            </w:hyperlink>
          </w:p>
        </w:tc>
        <w:tc>
          <w:tcPr>
            <w:tcW w:w="160" w:type="dxa"/>
            <w:vAlign w:val="bottom"/>
            <w:tcBorders>
              <w:top w:val="single" w:sz="8" w:color="0000EE"/>
              <w:bottom w:val="single" w:sz="8" w:color="0000EE"/>
            </w:tcBorders>
            <w:gridSpan w:val="2"/>
          </w:tcPr>
          <w:p>
            <w:pPr>
              <w:jc w:val="right"/>
              <w:spacing w:after="0" w:line="142" w:lineRule="exact"/>
              <w:rPr>
                <w:rFonts w:ascii="Times New Roman" w:cs="Times New Roman" w:eastAsia="Times New Roman" w:hAnsi="Times New Roman"/>
                <w:sz w:val="14"/>
                <w:szCs w:val="14"/>
                <w:color w:val="0000EE"/>
                <w:w w:val="99"/>
              </w:rPr>
            </w:pPr>
            <w:hyperlink r:id="rId90">
              <w:r>
                <w:rPr>
                  <w:rFonts w:ascii="Times New Roman" w:cs="Times New Roman" w:eastAsia="Times New Roman" w:hAnsi="Times New Roman"/>
                  <w:sz w:val="14"/>
                  <w:szCs w:val="14"/>
                  <w:color w:val="0000EE"/>
                  <w:w w:val="99"/>
                </w:rPr>
                <w:t>16</w:t>
              </w:r>
            </w:hyperlink>
          </w:p>
        </w:tc>
        <w:tc>
          <w:tcPr>
            <w:tcW w:w="1040" w:type="dxa"/>
            <w:vAlign w:val="bottom"/>
            <w:tcBorders>
              <w:top w:val="single" w:sz="8" w:color="0000EE"/>
              <w:bottom w:val="single" w:sz="8" w:color="0000EE"/>
            </w:tcBorders>
            <w:gridSpan w:val="6"/>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vMerge w:val="restart"/>
          </w:tcPr>
          <w:p>
            <w:pPr>
              <w:spacing w:after="0"/>
              <w:rPr>
                <w:sz w:val="13"/>
                <w:szCs w:val="13"/>
                <w:color w:val="auto"/>
              </w:rPr>
            </w:pPr>
          </w:p>
        </w:tc>
        <w:tc>
          <w:tcPr>
            <w:tcW w:w="50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300" w:type="dxa"/>
            <w:vAlign w:val="bottom"/>
            <w:tcBorders>
              <w:top w:val="single" w:sz="8" w:color="0000EE"/>
              <w:bottom w:val="single" w:sz="8" w:color="0000EE"/>
            </w:tcBorders>
            <w:gridSpan w:val="3"/>
            <w:vMerge w:val="restart"/>
          </w:tcPr>
          <w:p>
            <w:pPr>
              <w:spacing w:after="0"/>
              <w:rPr>
                <w:sz w:val="13"/>
                <w:szCs w:val="13"/>
                <w:color w:val="auto"/>
              </w:rPr>
            </w:pPr>
          </w:p>
        </w:tc>
        <w:tc>
          <w:tcPr>
            <w:tcW w:w="180" w:type="dxa"/>
            <w:vAlign w:val="bottom"/>
            <w:tcBorders>
              <w:top w:val="single" w:sz="8" w:color="0000EE"/>
              <w:bottom w:val="single" w:sz="8" w:color="0000EE"/>
            </w:tcBorders>
            <w:vMerge w:val="restart"/>
          </w:tcPr>
          <w:p>
            <w:pPr>
              <w:spacing w:after="0"/>
              <w:rPr>
                <w:sz w:val="13"/>
                <w:szCs w:val="13"/>
                <w:color w:val="auto"/>
              </w:rPr>
            </w:pPr>
          </w:p>
        </w:tc>
        <w:tc>
          <w:tcPr>
            <w:tcW w:w="14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vMerge w:val="restart"/>
          </w:tcPr>
          <w:p>
            <w:pPr>
              <w:spacing w:after="0"/>
              <w:rPr>
                <w:sz w:val="13"/>
                <w:szCs w:val="13"/>
                <w:color w:val="auto"/>
              </w:rPr>
            </w:pPr>
          </w:p>
        </w:tc>
        <w:tc>
          <w:tcPr>
            <w:tcW w:w="160" w:type="dxa"/>
            <w:vAlign w:val="bottom"/>
            <w:tcBorders>
              <w:top w:val="single" w:sz="8" w:color="0000EE"/>
              <w:bottom w:val="single" w:sz="8" w:color="0000EE"/>
            </w:tcBorders>
            <w:gridSpan w:val="2"/>
            <w:vMerge w:val="restart"/>
          </w:tcPr>
          <w:p>
            <w:pPr>
              <w:spacing w:after="0"/>
              <w:rPr>
                <w:sz w:val="13"/>
                <w:szCs w:val="13"/>
                <w:color w:val="auto"/>
              </w:rPr>
            </w:pPr>
          </w:p>
        </w:tc>
        <w:tc>
          <w:tcPr>
            <w:tcW w:w="6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80" w:type="dxa"/>
            <w:vAlign w:val="bottom"/>
            <w:tcBorders>
              <w:top w:val="single" w:sz="8" w:color="0000EE"/>
              <w:bottom w:val="single" w:sz="8" w:color="0000EE"/>
            </w:tcBorders>
            <w:gridSpan w:val="4"/>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tcBorders>
              <w:top w:val="single" w:sz="8" w:color="0000EE"/>
              <w:bottom w:val="single" w:sz="8" w:color="0000EE"/>
            </w:tcBorders>
            <w:vMerge w:val="restart"/>
          </w:tcPr>
          <w:p>
            <w:pPr>
              <w:spacing w:after="0"/>
              <w:rPr>
                <w:sz w:val="13"/>
                <w:szCs w:val="13"/>
                <w:color w:val="auto"/>
              </w:rPr>
            </w:pPr>
          </w:p>
        </w:tc>
        <w:tc>
          <w:tcPr>
            <w:tcW w:w="100" w:type="dxa"/>
            <w:vAlign w:val="bottom"/>
            <w:tcBorders>
              <w:top w:val="single" w:sz="8" w:color="0000EE"/>
              <w:bottom w:val="single" w:sz="8" w:color="0000EE"/>
            </w:tcBorders>
            <w:gridSpan w:val="2"/>
            <w:vMerge w:val="restart"/>
          </w:tcPr>
          <w:p>
            <w:pPr>
              <w:spacing w:after="0"/>
              <w:rPr>
                <w:sz w:val="13"/>
                <w:szCs w:val="13"/>
                <w:color w:val="auto"/>
              </w:rPr>
            </w:pPr>
          </w:p>
        </w:tc>
        <w:tc>
          <w:tcPr>
            <w:tcW w:w="40" w:type="dxa"/>
            <w:vAlign w:val="bottom"/>
            <w:tcBorders>
              <w:top w:val="single" w:sz="8" w:color="0000EE"/>
              <w:bottom w:val="single" w:sz="8" w:color="0000EE"/>
            </w:tcBorders>
            <w:gridSpan w:val="2"/>
            <w:vMerge w:val="restart"/>
          </w:tcPr>
          <w:p>
            <w:pPr>
              <w:spacing w:after="0"/>
              <w:rPr>
                <w:sz w:val="13"/>
                <w:szCs w:val="13"/>
                <w:color w:val="auto"/>
              </w:rPr>
            </w:pPr>
          </w:p>
        </w:tc>
        <w:tc>
          <w:tcPr>
            <w:tcW w:w="20" w:type="dxa"/>
            <w:vAlign w:val="bottom"/>
            <w:tcBorders>
              <w:top w:val="single" w:sz="8" w:color="0000EE"/>
              <w:bottom w:val="single" w:sz="8" w:color="0000EE"/>
            </w:tcBorders>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60" w:type="dxa"/>
            <w:vAlign w:val="bottom"/>
            <w:tcBorders>
              <w:bottom w:val="single" w:sz="8" w:color="0000EE"/>
            </w:tcBorders>
            <w:gridSpan w:val="15"/>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7440" w:type="dxa"/>
            <w:vAlign w:val="bottom"/>
            <w:tcBorders>
              <w:bottom w:val="single" w:sz="8" w:color="0000EE"/>
            </w:tcBorders>
            <w:gridSpan w:val="43"/>
          </w:tcPr>
          <w:p>
            <w:pPr>
              <w:ind w:left="20"/>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Sale of LLC Interest Agreement dated October 31, 2013 between Calavo Growers, Inc. and San Rafael</w:t>
              </w:r>
            </w:hyperlink>
          </w:p>
        </w:tc>
        <w:tc>
          <w:tcPr>
            <w:tcW w:w="5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vMerge w:val="restart"/>
          </w:tcPr>
          <w:p>
            <w:pPr>
              <w:ind w:left="20"/>
              <w:spacing w:after="0" w:line="196" w:lineRule="exact"/>
              <w:rPr>
                <w:rFonts w:ascii="Times New Roman" w:cs="Times New Roman" w:eastAsia="Times New Roman" w:hAnsi="Times New Roman"/>
                <w:sz w:val="18"/>
                <w:szCs w:val="18"/>
                <w:color w:val="0000EE"/>
                <w:w w:val="97"/>
              </w:rPr>
            </w:pPr>
            <w:hyperlink r:id="rId91">
              <w:r>
                <w:rPr>
                  <w:rFonts w:ascii="Times New Roman" w:cs="Times New Roman" w:eastAsia="Times New Roman" w:hAnsi="Times New Roman"/>
                  <w:sz w:val="18"/>
                  <w:szCs w:val="18"/>
                  <w:color w:val="0000EE"/>
                  <w:w w:val="97"/>
                </w:rPr>
                <w:t>Distributing, Inc.</w:t>
              </w:r>
            </w:hyperlink>
          </w:p>
        </w:tc>
        <w:tc>
          <w:tcPr>
            <w:tcW w:w="140" w:type="dxa"/>
            <w:vAlign w:val="bottom"/>
            <w:tcBorders>
              <w:bottom w:val="single" w:sz="8" w:color="0000EE"/>
            </w:tcBorders>
          </w:tcPr>
          <w:p>
            <w:pPr>
              <w:jc w:val="right"/>
              <w:spacing w:after="0" w:line="142" w:lineRule="exact"/>
              <w:rPr>
                <w:rFonts w:ascii="Times New Roman" w:cs="Times New Roman" w:eastAsia="Times New Roman" w:hAnsi="Times New Roman"/>
                <w:sz w:val="14"/>
                <w:szCs w:val="14"/>
                <w:color w:val="0000EE"/>
                <w:w w:val="85"/>
              </w:rPr>
            </w:pPr>
            <w:hyperlink r:id="rId91">
              <w:r>
                <w:rPr>
                  <w:rFonts w:ascii="Times New Roman" w:cs="Times New Roman" w:eastAsia="Times New Roman" w:hAnsi="Times New Roman"/>
                  <w:sz w:val="14"/>
                  <w:szCs w:val="14"/>
                  <w:color w:val="0000EE"/>
                  <w:w w:val="85"/>
                </w:rPr>
                <w:t>17</w:t>
              </w:r>
            </w:hyperlink>
          </w:p>
        </w:tc>
        <w:tc>
          <w:tcPr>
            <w:tcW w:w="1300" w:type="dxa"/>
            <w:vAlign w:val="bottom"/>
            <w:vMerge w:val="restart"/>
          </w:tcPr>
          <w:p>
            <w:pPr>
              <w:spacing w:after="0"/>
              <w:rPr>
                <w:sz w:val="13"/>
                <w:szCs w:val="13"/>
                <w:color w:val="auto"/>
              </w:rPr>
            </w:pPr>
          </w:p>
        </w:tc>
        <w:tc>
          <w:tcPr>
            <w:tcW w:w="740" w:type="dxa"/>
            <w:vAlign w:val="bottom"/>
            <w:gridSpan w:val="4"/>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3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380" w:type="dxa"/>
            <w:vAlign w:val="bottom"/>
            <w:gridSpan w:val="9"/>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5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300" w:type="dxa"/>
            <w:vAlign w:val="bottom"/>
            <w:gridSpan w:val="3"/>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00" w:type="dxa"/>
            <w:vAlign w:val="bottom"/>
            <w:gridSpan w:val="5"/>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60" w:type="dxa"/>
            <w:vAlign w:val="bottom"/>
            <w:gridSpan w:val="2"/>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0000EE"/>
            </w:tcBorders>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74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38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7520" w:type="dxa"/>
            <w:vAlign w:val="bottom"/>
            <w:tcBorders>
              <w:bottom w:val="single" w:sz="8" w:color="0000EE"/>
            </w:tcBorders>
            <w:gridSpan w:val="47"/>
          </w:tcPr>
          <w:p>
            <w:pPr>
              <w:ind w:left="20"/>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Amendment No. 1 to Agreement and Plan of Merger, dated July 31, 2013, among Calavo Growers, Inc.,</w:t>
              </w:r>
            </w:hyperlink>
          </w:p>
        </w:tc>
        <w:tc>
          <w:tcPr>
            <w:tcW w:w="4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00" w:type="dxa"/>
            <w:vAlign w:val="bottom"/>
            <w:tcBorders>
              <w:bottom w:val="single" w:sz="8" w:color="0000EE"/>
            </w:tcBorders>
            <w:gridSpan w:val="46"/>
          </w:tcPr>
          <w:p>
            <w:pPr>
              <w:ind w:left="20"/>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Renaissance Food Group, LLC and Liberty Fresh Foods, LLC, Kenneth Catchot, Cut Fruit, LLC, James</w:t>
              </w:r>
            </w:hyperlink>
          </w:p>
        </w:tc>
        <w:tc>
          <w:tcPr>
            <w:tcW w:w="5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20" w:type="dxa"/>
            <w:vAlign w:val="bottom"/>
            <w:gridSpan w:val="30"/>
            <w:vMerge w:val="restart"/>
          </w:tcPr>
          <w:p>
            <w:pPr>
              <w:ind w:left="20"/>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Catchot, James Gibson, Jose O. Castillo, Donald L. Johnson and RFG Nominee Trust.</w:t>
              </w:r>
            </w:hyperlink>
          </w:p>
        </w:tc>
        <w:tc>
          <w:tcPr>
            <w:tcW w:w="160" w:type="dxa"/>
            <w:vAlign w:val="bottom"/>
            <w:tcBorders>
              <w:bottom w:val="single" w:sz="8" w:color="0000EE"/>
            </w:tcBorders>
            <w:gridSpan w:val="2"/>
          </w:tcPr>
          <w:p>
            <w:pPr>
              <w:jc w:val="right"/>
              <w:spacing w:after="0" w:line="142" w:lineRule="exact"/>
              <w:rPr>
                <w:rFonts w:ascii="Times New Roman" w:cs="Times New Roman" w:eastAsia="Times New Roman" w:hAnsi="Times New Roman"/>
                <w:sz w:val="14"/>
                <w:szCs w:val="14"/>
                <w:color w:val="0000EE"/>
                <w:w w:val="99"/>
              </w:rPr>
            </w:pPr>
            <w:hyperlink r:id="rId92">
              <w:r>
                <w:rPr>
                  <w:rFonts w:ascii="Times New Roman" w:cs="Times New Roman" w:eastAsia="Times New Roman" w:hAnsi="Times New Roman"/>
                  <w:sz w:val="14"/>
                  <w:szCs w:val="14"/>
                  <w:color w:val="0000EE"/>
                  <w:w w:val="99"/>
                </w:rPr>
                <w:t>18</w:t>
              </w:r>
            </w:hyperlink>
          </w:p>
        </w:tc>
        <w:tc>
          <w:tcPr>
            <w:tcW w:w="300" w:type="dxa"/>
            <w:vAlign w:val="bottom"/>
            <w:gridSpan w:val="3"/>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20" w:type="dxa"/>
            <w:vAlign w:val="bottom"/>
            <w:gridSpan w:val="6"/>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60" w:type="dxa"/>
            <w:vAlign w:val="bottom"/>
            <w:gridSpan w:val="2"/>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20" w:type="dxa"/>
            <w:vAlign w:val="bottom"/>
            <w:tcBorders>
              <w:bottom w:val="single" w:sz="8" w:color="0000EE"/>
            </w:tcBorders>
            <w:gridSpan w:val="30"/>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 w:type="dxa"/>
            <w:vAlign w:val="bottom"/>
            <w:gridSpan w:val="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7380" w:type="dxa"/>
            <w:vAlign w:val="bottom"/>
            <w:tcBorders>
              <w:bottom w:val="single" w:sz="8" w:color="0000EE"/>
            </w:tcBorders>
            <w:gridSpan w:val="41"/>
          </w:tcPr>
          <w:p>
            <w:pPr>
              <w:ind w:left="20"/>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Amended and Restated Limited Liability Company Agreement, dated August 16, 2013, by and among</w:t>
              </w:r>
            </w:hyperlink>
          </w:p>
        </w:tc>
        <w:tc>
          <w:tcPr>
            <w:tcW w:w="6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60" w:type="dxa"/>
            <w:vAlign w:val="bottom"/>
            <w:gridSpan w:val="23"/>
            <w:vMerge w:val="restart"/>
          </w:tcPr>
          <w:p>
            <w:pPr>
              <w:ind w:left="20"/>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FreshRealm, LLC, a Delaware limited liability company, and the Members.</w:t>
              </w:r>
            </w:hyperlink>
          </w:p>
        </w:tc>
        <w:tc>
          <w:tcPr>
            <w:tcW w:w="160" w:type="dxa"/>
            <w:vAlign w:val="bottom"/>
            <w:tcBorders>
              <w:bottom w:val="single" w:sz="8" w:color="0000EE"/>
            </w:tcBorders>
            <w:gridSpan w:val="4"/>
          </w:tcPr>
          <w:p>
            <w:pPr>
              <w:jc w:val="right"/>
              <w:spacing w:after="0" w:line="142" w:lineRule="exact"/>
              <w:rPr>
                <w:rFonts w:ascii="Times New Roman" w:cs="Times New Roman" w:eastAsia="Times New Roman" w:hAnsi="Times New Roman"/>
                <w:sz w:val="14"/>
                <w:szCs w:val="14"/>
                <w:color w:val="0000EE"/>
                <w:w w:val="99"/>
              </w:rPr>
            </w:pPr>
            <w:hyperlink r:id="rId93">
              <w:r>
                <w:rPr>
                  <w:rFonts w:ascii="Times New Roman" w:cs="Times New Roman" w:eastAsia="Times New Roman" w:hAnsi="Times New Roman"/>
                  <w:sz w:val="14"/>
                  <w:szCs w:val="14"/>
                  <w:color w:val="0000EE"/>
                  <w:w w:val="99"/>
                </w:rPr>
                <w:t>19</w:t>
              </w:r>
            </w:hyperlink>
          </w:p>
        </w:tc>
        <w:tc>
          <w:tcPr>
            <w:tcW w:w="100" w:type="dxa"/>
            <w:vAlign w:val="bottom"/>
            <w:vMerge w:val="restart"/>
          </w:tcPr>
          <w:p>
            <w:pPr>
              <w:spacing w:after="0"/>
              <w:rPr>
                <w:sz w:val="13"/>
                <w:szCs w:val="13"/>
                <w:color w:val="auto"/>
              </w:rPr>
            </w:pPr>
          </w:p>
        </w:tc>
        <w:tc>
          <w:tcPr>
            <w:tcW w:w="960" w:type="dxa"/>
            <w:vAlign w:val="bottom"/>
            <w:gridSpan w:val="7"/>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20" w:type="dxa"/>
            <w:vAlign w:val="bottom"/>
            <w:gridSpan w:val="6"/>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60" w:type="dxa"/>
            <w:vAlign w:val="bottom"/>
            <w:gridSpan w:val="2"/>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60" w:type="dxa"/>
            <w:vAlign w:val="bottom"/>
            <w:tcBorders>
              <w:bottom w:val="single" w:sz="8" w:color="0000EE"/>
            </w:tcBorders>
            <w:gridSpan w:val="23"/>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60" w:type="dxa"/>
            <w:vAlign w:val="bottom"/>
            <w:gridSpan w:val="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20" w:type="dxa"/>
            <w:vAlign w:val="bottom"/>
            <w:gridSpan w:val="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8000" w:type="dxa"/>
            <w:vAlign w:val="bottom"/>
            <w:gridSpan w:val="63"/>
          </w:tcPr>
          <w:p>
            <w:pPr>
              <w:ind w:left="20"/>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Amendment No. 2 to Agreement and Plan of Merger, dated as of October 1, 2013, among Calavo Growers,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49"/>
          </w:tcPr>
          <w:p>
            <w:pPr>
              <w:ind w:left="20"/>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Inc., Renaissance Food Group, LLC and Liberty Fresh Foods, LLC, Kenneth J. Catchot, Cut Fruit, LLC,</w:t>
              </w:r>
            </w:hyperlink>
          </w:p>
        </w:tc>
        <w:tc>
          <w:tcPr>
            <w:tcW w:w="140" w:type="dxa"/>
            <w:vAlign w:val="bottom"/>
            <w:tcBorders>
              <w:top w:val="single" w:sz="8" w:color="0000EE"/>
            </w:tcBorders>
            <w:gridSpan w:val="4"/>
          </w:tcPr>
          <w:p>
            <w:pPr>
              <w:spacing w:after="0"/>
              <w:rPr>
                <w:sz w:val="17"/>
                <w:szCs w:val="17"/>
                <w:color w:val="auto"/>
              </w:rPr>
            </w:pPr>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160" w:type="dxa"/>
            <w:vAlign w:val="bottom"/>
            <w:gridSpan w:val="38"/>
            <w:vMerge w:val="restart"/>
          </w:tcPr>
          <w:p>
            <w:pPr>
              <w:ind w:left="20"/>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James S. Catchot, James Gibson, Jose O. Castillo, Donald L. Johnson and the RFG Nominee Trust.</w:t>
              </w:r>
            </w:hyperlink>
          </w:p>
        </w:tc>
        <w:tc>
          <w:tcPr>
            <w:tcW w:w="160" w:type="dxa"/>
            <w:vAlign w:val="bottom"/>
            <w:tcBorders>
              <w:bottom w:val="single" w:sz="8" w:color="0000EE"/>
            </w:tcBorders>
            <w:gridSpan w:val="2"/>
          </w:tcPr>
          <w:p>
            <w:pPr>
              <w:jc w:val="right"/>
              <w:spacing w:after="0" w:line="142" w:lineRule="exact"/>
              <w:rPr>
                <w:rFonts w:ascii="Times New Roman" w:cs="Times New Roman" w:eastAsia="Times New Roman" w:hAnsi="Times New Roman"/>
                <w:sz w:val="14"/>
                <w:szCs w:val="14"/>
                <w:color w:val="0000EE"/>
                <w:w w:val="99"/>
              </w:rPr>
            </w:pPr>
            <w:hyperlink r:id="rId94">
              <w:r>
                <w:rPr>
                  <w:rFonts w:ascii="Times New Roman" w:cs="Times New Roman" w:eastAsia="Times New Roman" w:hAnsi="Times New Roman"/>
                  <w:sz w:val="14"/>
                  <w:szCs w:val="14"/>
                  <w:color w:val="0000EE"/>
                  <w:w w:val="99"/>
                </w:rPr>
                <w:t>20</w:t>
              </w:r>
            </w:hyperlink>
          </w:p>
        </w:tc>
        <w:tc>
          <w:tcPr>
            <w:tcW w:w="100" w:type="dxa"/>
            <w:vAlign w:val="bottom"/>
            <w:gridSpan w:val="2"/>
            <w:vMerge w:val="restart"/>
          </w:tcPr>
          <w:p>
            <w:pPr>
              <w:spacing w:after="0"/>
              <w:rPr>
                <w:sz w:val="13"/>
                <w:szCs w:val="13"/>
                <w:color w:val="auto"/>
              </w:rPr>
            </w:pPr>
          </w:p>
        </w:tc>
        <w:tc>
          <w:tcPr>
            <w:tcW w:w="120" w:type="dxa"/>
            <w:vAlign w:val="bottom"/>
            <w:gridSpan w:val="6"/>
            <w:vMerge w:val="restart"/>
          </w:tcPr>
          <w:p>
            <w:pPr>
              <w:spacing w:after="0"/>
              <w:rPr>
                <w:sz w:val="13"/>
                <w:szCs w:val="13"/>
                <w:color w:val="auto"/>
              </w:rPr>
            </w:pPr>
          </w:p>
        </w:tc>
        <w:tc>
          <w:tcPr>
            <w:tcW w:w="140" w:type="dxa"/>
            <w:vAlign w:val="bottom"/>
            <w:gridSpan w:val="3"/>
            <w:vMerge w:val="restart"/>
          </w:tcPr>
          <w:p>
            <w:pPr>
              <w:spacing w:after="0"/>
              <w:rPr>
                <w:sz w:val="13"/>
                <w:szCs w:val="13"/>
                <w:color w:val="auto"/>
              </w:rPr>
            </w:pPr>
          </w:p>
        </w:tc>
        <w:tc>
          <w:tcPr>
            <w:tcW w:w="100" w:type="dxa"/>
            <w:vAlign w:val="bottom"/>
            <w:gridSpan w:val="4"/>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Borders>
              <w:bottom w:val="single" w:sz="8" w:color="0000EE"/>
            </w:tcBorders>
            <w:gridSpan w:val="38"/>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20" w:type="dxa"/>
            <w:vAlign w:val="bottom"/>
            <w:gridSpan w:val="6"/>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100" w:type="dxa"/>
            <w:vAlign w:val="bottom"/>
            <w:gridSpan w:val="4"/>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6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580" w:type="dxa"/>
            <w:vAlign w:val="bottom"/>
            <w:gridSpan w:val="10"/>
            <w:vMerge w:val="restart"/>
          </w:tcPr>
          <w:p>
            <w:pPr>
              <w:ind w:left="20"/>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Articles of Incorporation of Calavo Growers, Inc.</w:t>
              </w:r>
            </w:hyperlink>
          </w:p>
        </w:tc>
        <w:tc>
          <w:tcPr>
            <w:tcW w:w="100" w:type="dxa"/>
            <w:vAlign w:val="bottom"/>
            <w:tcBorders>
              <w:bottom w:val="single" w:sz="8" w:color="0000EE"/>
            </w:tcBorders>
            <w:gridSpan w:val="2"/>
          </w:tcPr>
          <w:p>
            <w:pPr>
              <w:jc w:val="right"/>
              <w:spacing w:after="0" w:line="142"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1</w:t>
              </w:r>
            </w:hyperlink>
          </w:p>
        </w:tc>
        <w:tc>
          <w:tcPr>
            <w:tcW w:w="36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460" w:type="dxa"/>
            <w:vAlign w:val="bottom"/>
            <w:gridSpan w:val="11"/>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gridSpan w:val="2"/>
            <w:vMerge w:val="restart"/>
          </w:tcPr>
          <w:p>
            <w:pPr>
              <w:spacing w:after="0"/>
              <w:rPr>
                <w:sz w:val="13"/>
                <w:szCs w:val="13"/>
                <w:color w:val="auto"/>
              </w:rPr>
            </w:pPr>
          </w:p>
        </w:tc>
        <w:tc>
          <w:tcPr>
            <w:tcW w:w="960" w:type="dxa"/>
            <w:vAlign w:val="bottom"/>
            <w:gridSpan w:val="7"/>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20" w:type="dxa"/>
            <w:vAlign w:val="bottom"/>
            <w:gridSpan w:val="5"/>
            <w:vMerge w:val="restart"/>
          </w:tcPr>
          <w:p>
            <w:pPr>
              <w:spacing w:after="0"/>
              <w:rPr>
                <w:sz w:val="13"/>
                <w:szCs w:val="13"/>
                <w:color w:val="auto"/>
              </w:rPr>
            </w:pPr>
          </w:p>
        </w:tc>
        <w:tc>
          <w:tcPr>
            <w:tcW w:w="120" w:type="dxa"/>
            <w:vAlign w:val="bottom"/>
            <w:gridSpan w:val="6"/>
            <w:vMerge w:val="restart"/>
          </w:tcPr>
          <w:p>
            <w:pPr>
              <w:spacing w:after="0"/>
              <w:rPr>
                <w:sz w:val="13"/>
                <w:szCs w:val="13"/>
                <w:color w:val="auto"/>
              </w:rPr>
            </w:pPr>
          </w:p>
        </w:tc>
        <w:tc>
          <w:tcPr>
            <w:tcW w:w="140" w:type="dxa"/>
            <w:vAlign w:val="bottom"/>
            <w:gridSpan w:val="3"/>
            <w:vMerge w:val="restart"/>
          </w:tcPr>
          <w:p>
            <w:pPr>
              <w:spacing w:after="0"/>
              <w:rPr>
                <w:sz w:val="13"/>
                <w:szCs w:val="13"/>
                <w:color w:val="auto"/>
              </w:rPr>
            </w:pPr>
          </w:p>
        </w:tc>
        <w:tc>
          <w:tcPr>
            <w:tcW w:w="100" w:type="dxa"/>
            <w:vAlign w:val="bottom"/>
            <w:gridSpan w:val="4"/>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60" w:type="dxa"/>
            <w:vAlign w:val="bottom"/>
            <w:gridSpan w:val="2"/>
            <w:vMerge w:val="continue"/>
          </w:tcPr>
          <w:p>
            <w:pPr>
              <w:spacing w:after="0" w:line="20" w:lineRule="exact"/>
              <w:rPr>
                <w:sz w:val="1"/>
                <w:szCs w:val="1"/>
                <w:color w:val="auto"/>
              </w:rPr>
            </w:pPr>
          </w:p>
        </w:tc>
        <w:tc>
          <w:tcPr>
            <w:tcW w:w="3580" w:type="dxa"/>
            <w:vAlign w:val="bottom"/>
            <w:tcBorders>
              <w:bottom w:val="single" w:sz="8" w:color="0000EE"/>
            </w:tcBorders>
            <w:gridSpan w:val="10"/>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60" w:type="dxa"/>
            <w:vAlign w:val="bottom"/>
            <w:gridSpan w:val="11"/>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960" w:type="dxa"/>
            <w:vAlign w:val="bottom"/>
            <w:gridSpan w:val="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20" w:type="dxa"/>
            <w:vAlign w:val="bottom"/>
            <w:gridSpan w:val="5"/>
            <w:vMerge w:val="continue"/>
          </w:tcPr>
          <w:p>
            <w:pPr>
              <w:spacing w:after="0" w:line="20" w:lineRule="exact"/>
              <w:rPr>
                <w:sz w:val="1"/>
                <w:szCs w:val="1"/>
                <w:color w:val="auto"/>
              </w:rPr>
            </w:pPr>
          </w:p>
        </w:tc>
        <w:tc>
          <w:tcPr>
            <w:tcW w:w="120" w:type="dxa"/>
            <w:vAlign w:val="bottom"/>
            <w:gridSpan w:val="6"/>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100" w:type="dxa"/>
            <w:vAlign w:val="bottom"/>
            <w:gridSpan w:val="4"/>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000" w:type="dxa"/>
            <w:vAlign w:val="bottom"/>
            <w:gridSpan w:val="63"/>
          </w:tcPr>
          <w:p>
            <w:pPr>
              <w:ind w:left="20"/>
              <w:spacing w:after="0" w:line="197" w:lineRule="exact"/>
              <w:rPr>
                <w:rFonts w:ascii="Times New Roman" w:cs="Times New Roman" w:eastAsia="Times New Roman" w:hAnsi="Times New Roman"/>
                <w:sz w:val="15"/>
                <w:szCs w:val="15"/>
                <w:color w:val="0000EE"/>
              </w:rPr>
            </w:pPr>
            <w:hyperlink r:id="rId96">
              <w:r>
                <w:rPr>
                  <w:rFonts w:ascii="Times New Roman" w:cs="Times New Roman" w:eastAsia="Times New Roman" w:hAnsi="Times New Roman"/>
                  <w:sz w:val="15"/>
                  <w:szCs w:val="15"/>
                  <w:color w:val="0000EE"/>
                </w:rPr>
                <w:t>Amended and Restated Bylaws of Calavo Growers, Inc.</w:t>
              </w:r>
              <w:r>
                <w:rPr>
                  <w:rFonts w:ascii="Times New Roman" w:cs="Times New Roman" w:eastAsia="Times New Roman" w:hAnsi="Times New Roman"/>
                  <w:sz w:val="22"/>
                  <w:szCs w:val="22"/>
                  <w:u w:val="single" w:color="auto"/>
                  <w:color w:val="0000EE"/>
                  <w:vertAlign w:val="superscript"/>
                </w:rPr>
                <w:t>5</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5540" w:type="dxa"/>
            <w:vAlign w:val="bottom"/>
            <w:gridSpan w:val="25"/>
            <w:vMerge w:val="restart"/>
          </w:tcPr>
          <w:p>
            <w:pPr>
              <w:ind w:left="20"/>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Amendments to Articles of Incorporation or Bylaws of Calavo Growers, Inc.</w:t>
              </w:r>
            </w:hyperlink>
          </w:p>
        </w:tc>
        <w:tc>
          <w:tcPr>
            <w:tcW w:w="180" w:type="dxa"/>
            <w:vAlign w:val="bottom"/>
            <w:tcBorders>
              <w:bottom w:val="single" w:sz="8" w:color="0000EE"/>
            </w:tcBorders>
            <w:gridSpan w:val="3"/>
          </w:tcPr>
          <w:p>
            <w:pPr>
              <w:jc w:val="right"/>
              <w:spacing w:after="0" w:line="142"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15</w:t>
              </w:r>
            </w:hyperlink>
          </w:p>
        </w:tc>
        <w:tc>
          <w:tcPr>
            <w:tcW w:w="960" w:type="dxa"/>
            <w:vAlign w:val="bottom"/>
            <w:gridSpan w:val="7"/>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420" w:type="dxa"/>
            <w:vAlign w:val="bottom"/>
            <w:gridSpan w:val="5"/>
            <w:vMerge w:val="restart"/>
          </w:tcPr>
          <w:p>
            <w:pPr>
              <w:spacing w:after="0"/>
              <w:rPr>
                <w:sz w:val="13"/>
                <w:szCs w:val="13"/>
                <w:color w:val="auto"/>
              </w:rPr>
            </w:pPr>
          </w:p>
        </w:tc>
        <w:tc>
          <w:tcPr>
            <w:tcW w:w="120" w:type="dxa"/>
            <w:vAlign w:val="bottom"/>
            <w:gridSpan w:val="6"/>
            <w:vMerge w:val="restart"/>
          </w:tcPr>
          <w:p>
            <w:pPr>
              <w:spacing w:after="0"/>
              <w:rPr>
                <w:sz w:val="13"/>
                <w:szCs w:val="13"/>
                <w:color w:val="auto"/>
              </w:rPr>
            </w:pPr>
          </w:p>
        </w:tc>
        <w:tc>
          <w:tcPr>
            <w:tcW w:w="140" w:type="dxa"/>
            <w:vAlign w:val="bottom"/>
            <w:gridSpan w:val="3"/>
            <w:vMerge w:val="restart"/>
          </w:tcPr>
          <w:p>
            <w:pPr>
              <w:spacing w:after="0"/>
              <w:rPr>
                <w:sz w:val="13"/>
                <w:szCs w:val="13"/>
                <w:color w:val="auto"/>
              </w:rPr>
            </w:pPr>
          </w:p>
        </w:tc>
        <w:tc>
          <w:tcPr>
            <w:tcW w:w="100" w:type="dxa"/>
            <w:vAlign w:val="bottom"/>
            <w:gridSpan w:val="4"/>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60" w:type="dxa"/>
            <w:vAlign w:val="bottom"/>
            <w:gridSpan w:val="2"/>
            <w:vMerge w:val="continue"/>
          </w:tcPr>
          <w:p>
            <w:pPr>
              <w:spacing w:after="0" w:line="20" w:lineRule="exact"/>
              <w:rPr>
                <w:sz w:val="1"/>
                <w:szCs w:val="1"/>
                <w:color w:val="auto"/>
              </w:rPr>
            </w:pPr>
          </w:p>
        </w:tc>
        <w:tc>
          <w:tcPr>
            <w:tcW w:w="5540" w:type="dxa"/>
            <w:vAlign w:val="bottom"/>
            <w:tcBorders>
              <w:bottom w:val="single" w:sz="8" w:color="0000EE"/>
            </w:tcBorders>
            <w:gridSpan w:val="25"/>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20" w:type="dxa"/>
            <w:vAlign w:val="bottom"/>
            <w:gridSpan w:val="5"/>
            <w:vMerge w:val="continue"/>
          </w:tcPr>
          <w:p>
            <w:pPr>
              <w:spacing w:after="0" w:line="20" w:lineRule="exact"/>
              <w:rPr>
                <w:sz w:val="1"/>
                <w:szCs w:val="1"/>
                <w:color w:val="auto"/>
              </w:rPr>
            </w:pPr>
          </w:p>
        </w:tc>
        <w:tc>
          <w:tcPr>
            <w:tcW w:w="120" w:type="dxa"/>
            <w:vAlign w:val="bottom"/>
            <w:gridSpan w:val="6"/>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100" w:type="dxa"/>
            <w:vAlign w:val="bottom"/>
            <w:gridSpan w:val="4"/>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60" w:type="dxa"/>
            <w:vAlign w:val="bottom"/>
            <w:gridSpan w:val="2"/>
            <w:vMerge w:val="restart"/>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6680" w:type="dxa"/>
            <w:vAlign w:val="bottom"/>
            <w:gridSpan w:val="35"/>
            <w:vMerge w:val="restart"/>
          </w:tcPr>
          <w:p>
            <w:pPr>
              <w:ind w:left="20"/>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Amended and Restated Bylaws of Calavo Growers, Inc., effective as of September 25, 2014.</w:t>
              </w:r>
            </w:hyperlink>
          </w:p>
        </w:tc>
        <w:tc>
          <w:tcPr>
            <w:tcW w:w="180" w:type="dxa"/>
            <w:vAlign w:val="bottom"/>
            <w:tcBorders>
              <w:bottom w:val="single" w:sz="8" w:color="0000EE"/>
            </w:tcBorders>
          </w:tcPr>
          <w:p>
            <w:pPr>
              <w:jc w:val="right"/>
              <w:spacing w:after="0" w:line="142"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21</w:t>
              </w:r>
            </w:hyperlink>
          </w:p>
        </w:tc>
        <w:tc>
          <w:tcPr>
            <w:tcW w:w="140" w:type="dxa"/>
            <w:vAlign w:val="bottom"/>
            <w:vMerge w:val="restart"/>
          </w:tcPr>
          <w:p>
            <w:pPr>
              <w:spacing w:after="0"/>
              <w:rPr>
                <w:sz w:val="13"/>
                <w:szCs w:val="13"/>
                <w:color w:val="auto"/>
              </w:rPr>
            </w:pPr>
          </w:p>
        </w:tc>
        <w:tc>
          <w:tcPr>
            <w:tcW w:w="420" w:type="dxa"/>
            <w:vAlign w:val="bottom"/>
            <w:gridSpan w:val="5"/>
            <w:vMerge w:val="restart"/>
          </w:tcPr>
          <w:p>
            <w:pPr>
              <w:spacing w:after="0"/>
              <w:rPr>
                <w:sz w:val="13"/>
                <w:szCs w:val="13"/>
                <w:color w:val="auto"/>
              </w:rPr>
            </w:pPr>
          </w:p>
        </w:tc>
        <w:tc>
          <w:tcPr>
            <w:tcW w:w="120" w:type="dxa"/>
            <w:vAlign w:val="bottom"/>
            <w:gridSpan w:val="6"/>
            <w:vMerge w:val="restart"/>
          </w:tcPr>
          <w:p>
            <w:pPr>
              <w:spacing w:after="0"/>
              <w:rPr>
                <w:sz w:val="13"/>
                <w:szCs w:val="13"/>
                <w:color w:val="auto"/>
              </w:rPr>
            </w:pPr>
          </w:p>
        </w:tc>
        <w:tc>
          <w:tcPr>
            <w:tcW w:w="140" w:type="dxa"/>
            <w:vAlign w:val="bottom"/>
            <w:gridSpan w:val="3"/>
            <w:vMerge w:val="restart"/>
          </w:tcPr>
          <w:p>
            <w:pPr>
              <w:spacing w:after="0"/>
              <w:rPr>
                <w:sz w:val="13"/>
                <w:szCs w:val="13"/>
                <w:color w:val="auto"/>
              </w:rPr>
            </w:pPr>
          </w:p>
        </w:tc>
        <w:tc>
          <w:tcPr>
            <w:tcW w:w="100" w:type="dxa"/>
            <w:vAlign w:val="bottom"/>
            <w:gridSpan w:val="4"/>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060" w:type="dxa"/>
            <w:vAlign w:val="bottom"/>
            <w:gridSpan w:val="2"/>
            <w:vMerge w:val="continue"/>
          </w:tcPr>
          <w:p>
            <w:pPr>
              <w:spacing w:after="0" w:line="20" w:lineRule="exact"/>
              <w:rPr>
                <w:sz w:val="1"/>
                <w:szCs w:val="1"/>
                <w:color w:val="auto"/>
              </w:rPr>
            </w:pPr>
          </w:p>
        </w:tc>
        <w:tc>
          <w:tcPr>
            <w:tcW w:w="6680" w:type="dxa"/>
            <w:vAlign w:val="bottom"/>
            <w:tcBorders>
              <w:bottom w:val="single" w:sz="8" w:color="0000EE"/>
            </w:tcBorders>
            <w:gridSpan w:val="35"/>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20" w:type="dxa"/>
            <w:vAlign w:val="bottom"/>
            <w:gridSpan w:val="5"/>
            <w:vMerge w:val="continue"/>
          </w:tcPr>
          <w:p>
            <w:pPr>
              <w:spacing w:after="0" w:line="20" w:lineRule="exact"/>
              <w:rPr>
                <w:sz w:val="1"/>
                <w:szCs w:val="1"/>
                <w:color w:val="auto"/>
              </w:rPr>
            </w:pPr>
          </w:p>
        </w:tc>
        <w:tc>
          <w:tcPr>
            <w:tcW w:w="120" w:type="dxa"/>
            <w:vAlign w:val="bottom"/>
            <w:gridSpan w:val="6"/>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100" w:type="dxa"/>
            <w:vAlign w:val="bottom"/>
            <w:gridSpan w:val="4"/>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000" w:type="dxa"/>
            <w:vAlign w:val="bottom"/>
            <w:gridSpan w:val="63"/>
          </w:tcPr>
          <w:p>
            <w:pPr>
              <w:ind w:left="20"/>
              <w:spacing w:after="0" w:line="197" w:lineRule="exact"/>
              <w:rPr>
                <w:rFonts w:ascii="Times New Roman" w:cs="Times New Roman" w:eastAsia="Times New Roman" w:hAnsi="Times New Roman"/>
                <w:sz w:val="15"/>
                <w:szCs w:val="15"/>
                <w:color w:val="0000EE"/>
              </w:rPr>
            </w:pPr>
            <w:hyperlink r:id="rId99">
              <w:r>
                <w:rPr>
                  <w:rFonts w:ascii="Times New Roman" w:cs="Times New Roman" w:eastAsia="Times New Roman" w:hAnsi="Times New Roman"/>
                  <w:sz w:val="15"/>
                  <w:szCs w:val="15"/>
                  <w:color w:val="0000EE"/>
                </w:rPr>
                <w:t>Form of Marketing Agreement for Calavo Growers, Inc.</w:t>
              </w:r>
              <w:r>
                <w:rPr>
                  <w:rFonts w:ascii="Times New Roman" w:cs="Times New Roman" w:eastAsia="Times New Roman" w:hAnsi="Times New Roman"/>
                  <w:sz w:val="22"/>
                  <w:szCs w:val="22"/>
                  <w:u w:val="single" w:color="auto"/>
                  <w:color w:val="0000EE"/>
                  <w:vertAlign w:val="superscript"/>
                </w:rPr>
                <w:t>6</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920" w:type="dxa"/>
            <w:vAlign w:val="bottom"/>
            <w:gridSpan w:val="2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420" w:type="dxa"/>
            <w:vAlign w:val="bottom"/>
            <w:tcBorders>
              <w:bottom w:val="single" w:sz="8" w:color="0000EE"/>
            </w:tcBorders>
            <w:gridSpan w:val="42"/>
          </w:tcPr>
          <w:p>
            <w:pPr>
              <w:ind w:left="20"/>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Marketing Agreement dated as of April 1, 1996 between Tropical Hawaiian Products, Inc., a Hawaiian</w:t>
              </w:r>
            </w:hyperlink>
          </w:p>
        </w:tc>
        <w:tc>
          <w:tcPr>
            <w:tcW w:w="5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20" w:type="dxa"/>
            <w:vAlign w:val="bottom"/>
            <w:gridSpan w:val="7"/>
            <w:vMerge w:val="restart"/>
          </w:tcPr>
          <w:p>
            <w:pPr>
              <w:ind w:left="20"/>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corporation, and Calavo Growers of California.</w:t>
              </w:r>
            </w:hyperlink>
          </w:p>
        </w:tc>
        <w:tc>
          <w:tcPr>
            <w:tcW w:w="100" w:type="dxa"/>
            <w:vAlign w:val="bottom"/>
            <w:tcBorders>
              <w:bottom w:val="single" w:sz="8" w:color="0000EE"/>
            </w:tcBorders>
            <w:gridSpan w:val="2"/>
          </w:tcPr>
          <w:p>
            <w:pPr>
              <w:jc w:val="center"/>
              <w:spacing w:after="0" w:line="142"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1</w:t>
              </w:r>
            </w:hyperlink>
          </w:p>
        </w:tc>
        <w:tc>
          <w:tcPr>
            <w:tcW w:w="3480" w:type="dxa"/>
            <w:vAlign w:val="bottom"/>
            <w:gridSpan w:val="28"/>
            <w:vMerge w:val="restart"/>
          </w:tcPr>
          <w:p>
            <w:pPr>
              <w:spacing w:after="0"/>
              <w:rPr>
                <w:sz w:val="13"/>
                <w:szCs w:val="13"/>
                <w:color w:val="auto"/>
              </w:rPr>
            </w:pPr>
          </w:p>
        </w:tc>
        <w:tc>
          <w:tcPr>
            <w:tcW w:w="540" w:type="dxa"/>
            <w:vAlign w:val="bottom"/>
            <w:gridSpan w:val="11"/>
            <w:vMerge w:val="restart"/>
          </w:tcPr>
          <w:p>
            <w:pPr>
              <w:spacing w:after="0"/>
              <w:rPr>
                <w:sz w:val="13"/>
                <w:szCs w:val="13"/>
                <w:color w:val="auto"/>
              </w:rPr>
            </w:pPr>
          </w:p>
        </w:tc>
        <w:tc>
          <w:tcPr>
            <w:tcW w:w="140" w:type="dxa"/>
            <w:vAlign w:val="bottom"/>
            <w:gridSpan w:val="3"/>
            <w:vMerge w:val="restart"/>
          </w:tcPr>
          <w:p>
            <w:pPr>
              <w:spacing w:after="0"/>
              <w:rPr>
                <w:sz w:val="13"/>
                <w:szCs w:val="13"/>
                <w:color w:val="auto"/>
              </w:rPr>
            </w:pPr>
          </w:p>
        </w:tc>
        <w:tc>
          <w:tcPr>
            <w:tcW w:w="100" w:type="dxa"/>
            <w:vAlign w:val="bottom"/>
            <w:gridSpan w:val="4"/>
            <w:vMerge w:val="restart"/>
          </w:tcPr>
          <w:p>
            <w:pPr>
              <w:spacing w:after="0"/>
              <w:rPr>
                <w:sz w:val="13"/>
                <w:szCs w:val="13"/>
                <w:color w:val="auto"/>
              </w:rPr>
            </w:pPr>
          </w:p>
        </w:tc>
        <w:tc>
          <w:tcPr>
            <w:tcW w:w="22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Borders>
              <w:bottom w:val="single" w:sz="8" w:color="0000EE"/>
            </w:tcBorders>
            <w:gridSpan w:val="7"/>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28"/>
            <w:vMerge w:val="continue"/>
          </w:tcPr>
          <w:p>
            <w:pPr>
              <w:spacing w:after="0" w:line="20" w:lineRule="exact"/>
              <w:rPr>
                <w:sz w:val="1"/>
                <w:szCs w:val="1"/>
                <w:color w:val="auto"/>
              </w:rPr>
            </w:pPr>
          </w:p>
        </w:tc>
        <w:tc>
          <w:tcPr>
            <w:tcW w:w="540" w:type="dxa"/>
            <w:vAlign w:val="bottom"/>
            <w:gridSpan w:val="11"/>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100" w:type="dxa"/>
            <w:vAlign w:val="bottom"/>
            <w:gridSpan w:val="4"/>
            <w:vMerge w:val="continue"/>
          </w:tcPr>
          <w:p>
            <w:pPr>
              <w:spacing w:after="0" w:line="20" w:lineRule="exact"/>
              <w:rPr>
                <w:sz w:val="1"/>
                <w:szCs w:val="1"/>
                <w:color w:val="auto"/>
              </w:rPr>
            </w:pPr>
          </w:p>
        </w:tc>
        <w:tc>
          <w:tcPr>
            <w:tcW w:w="220" w:type="dxa"/>
            <w:vAlign w:val="bottom"/>
            <w:gridSpan w:val="8"/>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680" w:type="dxa"/>
            <w:vAlign w:val="bottom"/>
            <w:tcBorders>
              <w:bottom w:val="single" w:sz="8" w:color="0000EE"/>
            </w:tcBorders>
            <w:gridSpan w:val="51"/>
          </w:tcPr>
          <w:p>
            <w:pPr>
              <w:ind w:left="20"/>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Lease Agreement dated as of November 21, 1997, between Tede S.A. de C.V., a Mexican corporation, and</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80" w:type="dxa"/>
            <w:vAlign w:val="bottom"/>
            <w:tcBorders>
              <w:bottom w:val="single" w:sz="8" w:color="0000EE"/>
            </w:tcBorders>
            <w:gridSpan w:val="55"/>
          </w:tcPr>
          <w:p>
            <w:pPr>
              <w:ind w:left="20"/>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Calavo de Mexico, S.A. de C.V., a Mexican corporation, including attached Guaranty of Calavo Growers of</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gridSpan w:val="63"/>
          </w:tcPr>
          <w:p>
            <w:pPr>
              <w:ind w:left="20"/>
              <w:spacing w:after="0" w:line="197" w:lineRule="exact"/>
              <w:rPr>
                <w:rFonts w:ascii="Times New Roman" w:cs="Times New Roman" w:eastAsia="Times New Roman" w:hAnsi="Times New Roman"/>
                <w:sz w:val="15"/>
                <w:szCs w:val="15"/>
                <w:color w:val="0000EE"/>
              </w:rPr>
            </w:pPr>
            <w:hyperlink r:id="rId101">
              <w:r>
                <w:rPr>
                  <w:rFonts w:ascii="Times New Roman" w:cs="Times New Roman" w:eastAsia="Times New Roman" w:hAnsi="Times New Roman"/>
                  <w:sz w:val="15"/>
                  <w:szCs w:val="15"/>
                  <w:color w:val="0000EE"/>
                </w:rPr>
                <w:t>California dated December 16, 1996.</w:t>
              </w:r>
              <w:r>
                <w:rPr>
                  <w:rFonts w:ascii="Times New Roman" w:cs="Times New Roman" w:eastAsia="Times New Roman" w:hAnsi="Times New Roman"/>
                  <w:sz w:val="22"/>
                  <w:szCs w:val="22"/>
                  <w:u w:val="single" w:color="auto"/>
                  <w:color w:val="0000EE"/>
                  <w:vertAlign w:val="superscript"/>
                </w:rPr>
                <w:t>1</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4320" w:type="dxa"/>
            <w:vAlign w:val="bottom"/>
            <w:gridSpan w:val="34"/>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8000" w:type="dxa"/>
            <w:vAlign w:val="bottom"/>
            <w:gridSpan w:val="63"/>
          </w:tcPr>
          <w:p>
            <w:pPr>
              <w:ind w:left="20"/>
              <w:spacing w:after="0" w:line="197" w:lineRule="exact"/>
              <w:rPr>
                <w:rFonts w:ascii="Times New Roman" w:cs="Times New Roman" w:eastAsia="Times New Roman" w:hAnsi="Times New Roman"/>
                <w:sz w:val="15"/>
                <w:szCs w:val="15"/>
                <w:color w:val="0000EE"/>
              </w:rPr>
            </w:pPr>
            <w:hyperlink r:id="rId102">
              <w:r>
                <w:rPr>
                  <w:rFonts w:ascii="Times New Roman" w:cs="Times New Roman" w:eastAsia="Times New Roman" w:hAnsi="Times New Roman"/>
                  <w:sz w:val="15"/>
                  <w:szCs w:val="15"/>
                  <w:color w:val="0000EE"/>
                </w:rPr>
                <w:t>Lease agreement dated as of February 15, 2005, between Limoneira Company and Calavo Growers, Inc.</w:t>
              </w:r>
              <w:r>
                <w:rPr>
                  <w:rFonts w:ascii="Times New Roman" w:cs="Times New Roman" w:eastAsia="Times New Roman" w:hAnsi="Times New Roman"/>
                  <w:sz w:val="22"/>
                  <w:szCs w:val="22"/>
                  <w:u w:val="single" w:color="auto"/>
                  <w:color w:val="0000EE"/>
                  <w:vertAlign w:val="superscript"/>
                </w:rPr>
                <w:t>3</w:t>
              </w:r>
            </w:hyperlink>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7540" w:type="dxa"/>
            <w:vAlign w:val="bottom"/>
            <w:tcBorders>
              <w:top w:val="single" w:sz="8" w:color="0000EE"/>
            </w:tcBorders>
            <w:gridSpan w:val="48"/>
          </w:tcPr>
          <w:p>
            <w:pPr>
              <w:ind w:left="20"/>
              <w:spacing w:after="0" w:line="197" w:lineRule="exact"/>
              <w:rPr>
                <w:rFonts w:ascii="Times New Roman" w:cs="Times New Roman" w:eastAsia="Times New Roman" w:hAnsi="Times New Roman"/>
                <w:sz w:val="15"/>
                <w:szCs w:val="15"/>
                <w:color w:val="0000EE"/>
              </w:rPr>
            </w:pPr>
            <w:hyperlink r:id="rId103">
              <w:r>
                <w:rPr>
                  <w:rFonts w:ascii="Times New Roman" w:cs="Times New Roman" w:eastAsia="Times New Roman" w:hAnsi="Times New Roman"/>
                  <w:sz w:val="15"/>
                  <w:szCs w:val="15"/>
                  <w:color w:val="0000EE"/>
                </w:rPr>
                <w:t>Standstill agreement dated June 1, 2005, between Limoneira Company and Calavo Growers, Inc.</w:t>
              </w:r>
              <w:r>
                <w:rPr>
                  <w:rFonts w:ascii="Times New Roman" w:cs="Times New Roman" w:eastAsia="Times New Roman" w:hAnsi="Times New Roman"/>
                  <w:sz w:val="22"/>
                  <w:szCs w:val="22"/>
                  <w:u w:val="single" w:color="auto"/>
                  <w:color w:val="0000EE"/>
                  <w:vertAlign w:val="superscript"/>
                </w:rPr>
                <w:t>3</w:t>
              </w:r>
            </w:hyperlink>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7000" w:type="dxa"/>
            <w:vAlign w:val="bottom"/>
            <w:gridSpan w:val="37"/>
            <w:shd w:val="clear" w:color="auto" w:fill="0000EE"/>
          </w:tcPr>
          <w:p>
            <w:pPr>
              <w:spacing w:after="0" w:line="20" w:lineRule="exact"/>
              <w:rPr>
                <w:sz w:val="1"/>
                <w:szCs w:val="1"/>
                <w:color w:val="auto"/>
              </w:rPr>
            </w:pPr>
          </w:p>
        </w:tc>
        <w:tc>
          <w:tcPr>
            <w:tcW w:w="10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8000" w:type="dxa"/>
            <w:vAlign w:val="bottom"/>
            <w:gridSpan w:val="63"/>
          </w:tcPr>
          <w:p>
            <w:pPr>
              <w:ind w:left="20"/>
              <w:spacing w:after="0" w:line="197" w:lineRule="exact"/>
              <w:rPr>
                <w:rFonts w:ascii="Times New Roman" w:cs="Times New Roman" w:eastAsia="Times New Roman" w:hAnsi="Times New Roman"/>
                <w:sz w:val="15"/>
                <w:szCs w:val="15"/>
                <w:color w:val="0000EE"/>
              </w:rPr>
            </w:pPr>
            <w:hyperlink r:id="rId104">
              <w:r>
                <w:rPr>
                  <w:rFonts w:ascii="Times New Roman" w:cs="Times New Roman" w:eastAsia="Times New Roman" w:hAnsi="Times New Roman"/>
                  <w:sz w:val="15"/>
                  <w:szCs w:val="15"/>
                  <w:color w:val="0000EE"/>
                </w:rPr>
                <w:t>Standstill agreement dated June 1, 2005 between Calavo Growers, Inc. And Limoneira Company</w:t>
              </w:r>
              <w:r>
                <w:rPr>
                  <w:rFonts w:ascii="Times New Roman" w:cs="Times New Roman" w:eastAsia="Times New Roman" w:hAnsi="Times New Roman"/>
                  <w:sz w:val="22"/>
                  <w:szCs w:val="22"/>
                  <w:u w:val="single" w:color="auto"/>
                  <w:color w:val="0000EE"/>
                  <w:vertAlign w:val="superscript"/>
                </w:rPr>
                <w:t>3</w:t>
              </w:r>
            </w:hyperlink>
          </w:p>
        </w:tc>
        <w:tc>
          <w:tcPr>
            <w:tcW w:w="0" w:type="dxa"/>
            <w:vAlign w:val="bottom"/>
          </w:tcPr>
          <w:p>
            <w:pPr>
              <w:spacing w:after="0"/>
              <w:rPr>
                <w:sz w:val="1"/>
                <w:szCs w:val="1"/>
                <w:color w:val="auto"/>
              </w:rPr>
            </w:pPr>
          </w:p>
        </w:tc>
      </w:tr>
      <w:tr>
        <w:trPr>
          <w:trHeight w:val="669"/>
        </w:trPr>
        <w:tc>
          <w:tcPr>
            <w:tcW w:w="1060" w:type="dxa"/>
            <w:vAlign w:val="bottom"/>
            <w:gridSpan w:val="2"/>
          </w:tcPr>
          <w:p>
            <w:pPr>
              <w:spacing w:after="0"/>
              <w:rPr>
                <w:sz w:val="24"/>
                <w:szCs w:val="24"/>
                <w:color w:val="auto"/>
              </w:rPr>
            </w:pPr>
          </w:p>
        </w:tc>
        <w:tc>
          <w:tcPr>
            <w:tcW w:w="7000" w:type="dxa"/>
            <w:vAlign w:val="bottom"/>
            <w:tcBorders>
              <w:top w:val="single" w:sz="8" w:color="0000EE"/>
            </w:tcBorders>
            <w:gridSpan w:val="37"/>
          </w:tcPr>
          <w:p>
            <w:pPr>
              <w:jc w:val="right"/>
              <w:ind w:right="3440"/>
              <w:spacing w:after="0"/>
              <w:rPr>
                <w:sz w:val="20"/>
                <w:szCs w:val="20"/>
                <w:color w:val="auto"/>
              </w:rPr>
            </w:pPr>
            <w:r>
              <w:rPr>
                <w:rFonts w:ascii="Times New Roman" w:cs="Times New Roman" w:eastAsia="Times New Roman" w:hAnsi="Times New Roman"/>
                <w:sz w:val="18"/>
                <w:szCs w:val="18"/>
                <w:color w:val="auto"/>
              </w:rPr>
              <w:t>82</w:t>
            </w:r>
          </w:p>
        </w:tc>
        <w:tc>
          <w:tcPr>
            <w:tcW w:w="10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060" w:type="dxa"/>
            <w:vAlign w:val="bottom"/>
            <w:tcBorders>
              <w:bottom w:val="single" w:sz="8" w:color="auto"/>
            </w:tcBorders>
            <w:gridSpan w:val="65"/>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7" w:right="1419" w:bottom="1440" w:gutter="0" w:footer="0" w:header="0"/>
        </w:sectPr>
      </w:pPr>
    </w:p>
    <w:bookmarkStart w:id="82" w:name="page83"/>
    <w:bookmarkEnd w:id="82"/>
    <w:p>
      <w:pPr>
        <w:ind w:left="1060" w:right="300" w:hanging="598"/>
        <w:spacing w:after="0" w:line="209"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10.7</w:t>
      </w:r>
      <w:r>
        <w:rPr>
          <w:sz w:val="20"/>
          <w:szCs w:val="20"/>
          <w:color w:val="auto"/>
        </w:rPr>
        <w:tab/>
      </w:r>
      <w:hyperlink r:id="rId105">
        <w:r>
          <w:rPr>
            <w:rFonts w:ascii="Times New Roman" w:cs="Times New Roman" w:eastAsia="Times New Roman" w:hAnsi="Times New Roman"/>
            <w:sz w:val="18"/>
            <w:szCs w:val="18"/>
            <w:u w:val="single" w:color="auto"/>
            <w:color w:val="0000EE"/>
          </w:rPr>
          <w:t>Calavo Supplemental Executive Retirement Agreement dated March 11, 1983 between Egidio Carbone, Jr.</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and Calavo Growers of California.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-50800</wp:posOffset>
            </wp:positionV>
            <wp:extent cx="641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1060" w:right="540" w:hanging="59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10.8</w:t>
      </w:r>
      <w:r>
        <w:rPr>
          <w:sz w:val="20"/>
          <w:szCs w:val="20"/>
          <w:color w:val="auto"/>
        </w:rPr>
        <w:tab/>
      </w:r>
      <w:hyperlink r:id="rId107">
        <w:r>
          <w:rPr>
            <w:rFonts w:ascii="Times New Roman" w:cs="Times New Roman" w:eastAsia="Times New Roman" w:hAnsi="Times New Roman"/>
            <w:sz w:val="18"/>
            <w:szCs w:val="18"/>
            <w:u w:val="single" w:color="auto"/>
            <w:color w:val="0000EE"/>
          </w:rPr>
          <w:t>Amendment to the Calavo Growers of California Supplemental Executive Retirement Agreement dated</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November 9, 1993 Between Egidio Carbone, Jr. and Calavo Growers of California.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-51435</wp:posOffset>
            </wp:positionV>
            <wp:extent cx="641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1060" w:right="20" w:hanging="59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10.9</w:t>
      </w:r>
      <w:r>
        <w:rPr>
          <w:sz w:val="20"/>
          <w:szCs w:val="20"/>
          <w:color w:val="auto"/>
        </w:rPr>
        <w:tab/>
      </w:r>
      <w:hyperlink r:id="rId109">
        <w:r>
          <w:rPr>
            <w:rFonts w:ascii="Times New Roman" w:cs="Times New Roman" w:eastAsia="Times New Roman" w:hAnsi="Times New Roman"/>
            <w:sz w:val="18"/>
            <w:szCs w:val="18"/>
            <w:u w:val="single" w:color="auto"/>
            <w:color w:val="0000EE"/>
          </w:rPr>
          <w:t>Line of Credit and Security Agreement, dated July 15, 2013 by and between Calavo Growers, Inc. a California</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Corporation, and FreshRealm, LLC, a Delaware limited liability company.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-51435</wp:posOffset>
            </wp:positionV>
            <wp:extent cx="1073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360"/>
        <w:spacing w:after="0" w:line="181"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11">
        <w:r>
          <w:rPr>
            <w:rFonts w:ascii="Times New Roman" w:cs="Times New Roman" w:eastAsia="Times New Roman" w:hAnsi="Times New Roman"/>
            <w:sz w:val="17"/>
            <w:szCs w:val="17"/>
            <w:u w:val="single" w:color="auto"/>
            <w:color w:val="0000EE"/>
          </w:rPr>
          <w:t xml:space="preserve">2011 Management Incentive Plan of Calavo Growers, Inc. </w:t>
        </w:r>
        <w:r>
          <w:rPr>
            <w:rFonts w:ascii="Times New Roman" w:cs="Times New Roman" w:eastAsia="Times New Roman" w:hAnsi="Times New Roman"/>
            <w:sz w:val="25"/>
            <w:szCs w:val="25"/>
            <w:color w:val="0000EE"/>
            <w:vertAlign w:val="superscript"/>
          </w:rPr>
          <w:t>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-51435</wp:posOffset>
            </wp:positionV>
            <wp:extent cx="1073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520" w:hanging="681"/>
        <w:spacing w:after="0" w:line="20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3">
        <w:r>
          <w:rPr>
            <w:rFonts w:ascii="Times New Roman" w:cs="Times New Roman" w:eastAsia="Times New Roman" w:hAnsi="Times New Roman"/>
            <w:sz w:val="18"/>
            <w:szCs w:val="18"/>
            <w:u w:val="single" w:color="auto"/>
            <w:color w:val="0000EE"/>
          </w:rPr>
          <w:t>Equity Secured Promissory Note dated October 31, 2013 between Calavo Growers, Inc. and San Rafael</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 xml:space="preserve">Distributing, Inc. </w:t>
        </w:r>
        <w:r>
          <w:rPr>
            <w:rFonts w:ascii="Times New Roman" w:cs="Times New Roman" w:eastAsia="Times New Roman" w:hAnsi="Times New Roman"/>
            <w:sz w:val="27"/>
            <w:szCs w:val="27"/>
            <w:u w:val="single" w:color="auto"/>
            <w:color w:val="0000EE"/>
            <w:vertAlign w:val="superscript"/>
          </w:rPr>
          <w:t>17</w:t>
        </w:r>
      </w:hyperlink>
    </w:p>
    <w:p>
      <w:pPr>
        <w:spacing w:after="0" w:line="1" w:lineRule="exact"/>
        <w:rPr>
          <w:sz w:val="20"/>
          <w:szCs w:val="20"/>
          <w:color w:val="auto"/>
        </w:rPr>
      </w:pPr>
    </w:p>
    <w:p>
      <w:pPr>
        <w:ind w:left="1060" w:right="320" w:hanging="688"/>
        <w:spacing w:after="0" w:line="20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14">
        <w:r>
          <w:rPr>
            <w:rFonts w:ascii="Times New Roman" w:cs="Times New Roman" w:eastAsia="Times New Roman" w:hAnsi="Times New Roman"/>
            <w:sz w:val="18"/>
            <w:szCs w:val="18"/>
            <w:u w:val="single" w:color="auto"/>
            <w:color w:val="0000EE"/>
          </w:rPr>
          <w:t>Goodwill Secured Promissory Note dated October 31, 2013 between Calavo Growers, Inc. and San Rafael</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 xml:space="preserve">Distributing, Inc. </w:t>
        </w:r>
        <w:r>
          <w:rPr>
            <w:rFonts w:ascii="Times New Roman" w:cs="Times New Roman" w:eastAsia="Times New Roman" w:hAnsi="Times New Roman"/>
            <w:sz w:val="27"/>
            <w:szCs w:val="27"/>
            <w:u w:val="single" w:color="auto"/>
            <w:color w:val="0000EE"/>
            <w:vertAlign w:val="superscript"/>
          </w:rPr>
          <w:t>17</w:t>
        </w:r>
      </w:hyperlink>
    </w:p>
    <w:p>
      <w:pPr>
        <w:spacing w:after="0" w:line="1" w:lineRule="exact"/>
        <w:rPr>
          <w:sz w:val="20"/>
          <w:szCs w:val="20"/>
          <w:color w:val="auto"/>
        </w:rPr>
      </w:pPr>
    </w:p>
    <w:p>
      <w:pPr>
        <w:ind w:left="1060" w:right="60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10.13</w:t>
      </w:r>
      <w:r>
        <w:rPr>
          <w:sz w:val="20"/>
          <w:szCs w:val="20"/>
          <w:color w:val="auto"/>
        </w:rPr>
        <w:tab/>
      </w:r>
      <w:hyperlink r:id="rId115">
        <w:r>
          <w:rPr>
            <w:rFonts w:ascii="Times New Roman" w:cs="Times New Roman" w:eastAsia="Times New Roman" w:hAnsi="Times New Roman"/>
            <w:sz w:val="18"/>
            <w:szCs w:val="18"/>
            <w:u w:val="single" w:color="auto"/>
            <w:color w:val="0000EE"/>
          </w:rPr>
          <w:t>Pledge and Security Agreement dated October 31, 2013 between Calavo Growers, Inc. and San Rafael</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Distributing,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-51435</wp:posOffset>
            </wp:positionV>
            <wp:extent cx="1073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360"/>
        <w:spacing w:after="0" w:line="180"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17">
        <w:r>
          <w:rPr>
            <w:rFonts w:ascii="Times New Roman" w:cs="Times New Roman" w:eastAsia="Times New Roman" w:hAnsi="Times New Roman"/>
            <w:sz w:val="17"/>
            <w:szCs w:val="17"/>
            <w:u w:val="single" w:color="auto"/>
            <w:color w:val="0000EE"/>
          </w:rPr>
          <w:t xml:space="preserve">Personal Guaranty dated October 31, 2013 between Calavo Growers, Inc. and Francisco Clouthier. </w:t>
        </w:r>
        <w:r>
          <w:rPr>
            <w:rFonts w:ascii="Times New Roman" w:cs="Times New Roman" w:eastAsia="Times New Roman" w:hAnsi="Times New Roman"/>
            <w:sz w:val="25"/>
            <w:szCs w:val="25"/>
            <w:color w:val="0000EE"/>
            <w:vertAlign w:val="superscript"/>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-50800</wp:posOffset>
            </wp:positionV>
            <wp:extent cx="1073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360"/>
        <w:spacing w:after="0" w:line="181"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19">
        <w:r>
          <w:rPr>
            <w:rFonts w:ascii="Times New Roman" w:cs="Times New Roman" w:eastAsia="Times New Roman" w:hAnsi="Times New Roman"/>
            <w:sz w:val="17"/>
            <w:szCs w:val="17"/>
            <w:u w:val="single" w:color="auto"/>
            <w:color w:val="0000EE"/>
          </w:rPr>
          <w:t xml:space="preserve">Amendment to Goodwill Promissory Note </w:t>
        </w:r>
        <w:r>
          <w:rPr>
            <w:rFonts w:ascii="Times New Roman" w:cs="Times New Roman" w:eastAsia="Times New Roman" w:hAnsi="Times New Roman"/>
            <w:sz w:val="25"/>
            <w:szCs w:val="25"/>
            <w:color w:val="0000EE"/>
            <w:vertAlign w:val="superscript"/>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-51435</wp:posOffset>
            </wp:positionV>
            <wp:extent cx="1073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360"/>
        <w:spacing w:after="0" w:line="206"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21">
        <w:r>
          <w:rPr>
            <w:rFonts w:ascii="Times New Roman" w:cs="Times New Roman" w:eastAsia="Times New Roman" w:hAnsi="Times New Roman"/>
            <w:sz w:val="17"/>
            <w:szCs w:val="17"/>
            <w:u w:val="single" w:color="auto"/>
            <w:color w:val="0000EE"/>
          </w:rPr>
          <w:t xml:space="preserve">Employment Agreement dated July 21, 2015, between Calavo Growers, Inc. and B. John Lindeman. </w:t>
        </w:r>
        <w:r>
          <w:rPr>
            <w:rFonts w:ascii="Times New Roman" w:cs="Times New Roman" w:eastAsia="Times New Roman" w:hAnsi="Times New Roman"/>
            <w:sz w:val="26"/>
            <w:szCs w:val="26"/>
            <w:color w:val="0000EE"/>
            <w:vertAlign w:val="superscript"/>
          </w:rPr>
          <w:t>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-77470</wp:posOffset>
            </wp:positionV>
            <wp:extent cx="1073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10.17</w:t>
      </w:r>
      <w:r>
        <w:rPr>
          <w:sz w:val="20"/>
          <w:szCs w:val="20"/>
          <w:color w:val="auto"/>
        </w:rPr>
        <w:tab/>
      </w:r>
      <w:hyperlink r:id="rId123">
        <w:r>
          <w:rPr>
            <w:rFonts w:ascii="Times New Roman" w:cs="Times New Roman" w:eastAsia="Times New Roman" w:hAnsi="Times New Roman"/>
            <w:sz w:val="18"/>
            <w:szCs w:val="18"/>
            <w:u w:val="single" w:color="auto"/>
            <w:color w:val="0000EE"/>
          </w:rPr>
          <w:t>Amendment No. 7 to Business Loan Agreement, dated as of January 19, 2016 between Bank of America, N.A.</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and 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-51435</wp:posOffset>
            </wp:positionV>
            <wp:extent cx="1073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10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10.18</w:t>
      </w:r>
      <w:r>
        <w:rPr>
          <w:sz w:val="20"/>
          <w:szCs w:val="20"/>
          <w:color w:val="auto"/>
        </w:rPr>
        <w:tab/>
      </w:r>
      <w:hyperlink r:id="rId125">
        <w:r>
          <w:rPr>
            <w:rFonts w:ascii="Times New Roman" w:cs="Times New Roman" w:eastAsia="Times New Roman" w:hAnsi="Times New Roman"/>
            <w:sz w:val="18"/>
            <w:szCs w:val="18"/>
            <w:u w:val="single" w:color="auto"/>
            <w:color w:val="0000EE"/>
          </w:rPr>
          <w:t>Letter Amendment to Revolving Credit Facility, dated January 19, 2016 between Farm Credit West, PCA and</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-51435</wp:posOffset>
            </wp:positionV>
            <wp:extent cx="1073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10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10.19</w:t>
      </w:r>
      <w:r>
        <w:rPr>
          <w:sz w:val="20"/>
          <w:szCs w:val="20"/>
          <w:color w:val="auto"/>
        </w:rPr>
        <w:tab/>
      </w:r>
      <w:hyperlink r:id="rId127">
        <w:r>
          <w:rPr>
            <w:rFonts w:ascii="Times New Roman" w:cs="Times New Roman" w:eastAsia="Times New Roman" w:hAnsi="Times New Roman"/>
            <w:sz w:val="18"/>
            <w:szCs w:val="18"/>
            <w:u w:val="single" w:color="auto"/>
            <w:color w:val="0000EE"/>
          </w:rPr>
          <w:t>Letter Amendment to Revolving Credit Facility, dated January 26, 2016 between Farm Credit West, PCA and</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-51435</wp:posOffset>
            </wp:positionV>
            <wp:extent cx="1073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10.20</w:t>
      </w:r>
      <w:r>
        <w:rPr>
          <w:sz w:val="20"/>
          <w:szCs w:val="20"/>
          <w:color w:val="auto"/>
        </w:rPr>
        <w:tab/>
      </w:r>
      <w:hyperlink r:id="rId129">
        <w:r>
          <w:rPr>
            <w:rFonts w:ascii="Times New Roman" w:cs="Times New Roman" w:eastAsia="Times New Roman" w:hAnsi="Times New Roman"/>
            <w:sz w:val="18"/>
            <w:szCs w:val="18"/>
            <w:u w:val="single" w:color="auto"/>
            <w:color w:val="0000EE"/>
          </w:rPr>
          <w:t>Amendment No. 8 to Business Loan Agreement, dated as of January 28, 2016 between Bank of America, N.A.</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and 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-51435</wp:posOffset>
            </wp:positionV>
            <wp:extent cx="1073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28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10.21</w:t>
      </w:r>
      <w:r>
        <w:rPr>
          <w:sz w:val="20"/>
          <w:szCs w:val="20"/>
          <w:color w:val="auto"/>
        </w:rPr>
        <w:tab/>
      </w:r>
      <w:hyperlink r:id="rId131">
        <w:r>
          <w:rPr>
            <w:rFonts w:ascii="Times New Roman" w:cs="Times New Roman" w:eastAsia="Times New Roman" w:hAnsi="Times New Roman"/>
            <w:sz w:val="18"/>
            <w:szCs w:val="18"/>
            <w:u w:val="single" w:color="auto"/>
            <w:color w:val="0000EE"/>
          </w:rPr>
          <w:t>Continuing and Unconditional Guaranty, dated as of January 28, 2016 between Bank of America, N.A. and</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-51435</wp:posOffset>
            </wp:positionV>
            <wp:extent cx="1073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24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10.22</w:t>
      </w:r>
      <w:r>
        <w:rPr>
          <w:sz w:val="20"/>
          <w:szCs w:val="20"/>
          <w:color w:val="auto"/>
        </w:rPr>
        <w:tab/>
      </w:r>
      <w:hyperlink r:id="rId133">
        <w:r>
          <w:rPr>
            <w:rFonts w:ascii="Times New Roman" w:cs="Times New Roman" w:eastAsia="Times New Roman" w:hAnsi="Times New Roman"/>
            <w:sz w:val="18"/>
            <w:szCs w:val="18"/>
            <w:u w:val="single" w:color="auto"/>
            <w:color w:val="0000EE"/>
          </w:rPr>
          <w:t>Amendment No. 9 to Business Loan Agreement, dated as of May 26, 2016 between Bank of America, N.A.</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and 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-51435</wp:posOffset>
            </wp:positionV>
            <wp:extent cx="1073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32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10.23</w:t>
      </w:r>
      <w:r>
        <w:rPr>
          <w:sz w:val="20"/>
          <w:szCs w:val="20"/>
          <w:color w:val="auto"/>
        </w:rPr>
        <w:tab/>
      </w:r>
      <w:hyperlink r:id="rId135">
        <w:r>
          <w:rPr>
            <w:rFonts w:ascii="Times New Roman" w:cs="Times New Roman" w:eastAsia="Times New Roman" w:hAnsi="Times New Roman"/>
            <w:sz w:val="18"/>
            <w:szCs w:val="18"/>
            <w:u w:val="single" w:color="auto"/>
            <w:color w:val="0000EE"/>
          </w:rPr>
          <w:t>Letter Amendment to Revolving Credit Facility, dated May 20, 2016 between Farm Credit West, PCA and</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Calavo Growers, Inc.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-51435</wp:posOffset>
            </wp:positionV>
            <wp:extent cx="1073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68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10.24</w:t>
      </w:r>
      <w:r>
        <w:rPr>
          <w:sz w:val="20"/>
          <w:szCs w:val="20"/>
          <w:color w:val="auto"/>
        </w:rPr>
        <w:tab/>
      </w:r>
      <w:hyperlink r:id="rId137">
        <w:r>
          <w:rPr>
            <w:rFonts w:ascii="Times New Roman" w:cs="Times New Roman" w:eastAsia="Times New Roman" w:hAnsi="Times New Roman"/>
            <w:sz w:val="18"/>
            <w:szCs w:val="18"/>
            <w:u w:val="single" w:color="auto"/>
            <w:color w:val="0000EE"/>
          </w:rPr>
          <w:t>Credit Agreement, dated as of June 14, 2016, by and among Calavo Growers, Inc., and the subsidiary</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guarantor identified therein and the lenders and agents names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-51435</wp:posOffset>
            </wp:positionV>
            <wp:extent cx="1073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360"/>
        <w:spacing w:after="0" w:line="180"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39">
        <w:r>
          <w:rPr>
            <w:rFonts w:ascii="Times New Roman" w:cs="Times New Roman" w:eastAsia="Times New Roman" w:hAnsi="Times New Roman"/>
            <w:sz w:val="17"/>
            <w:szCs w:val="17"/>
            <w:u w:val="single" w:color="auto"/>
            <w:color w:val="0000EE"/>
          </w:rPr>
          <w:t>Revolving Credit Note, dated as of June 14, 2016, by and among Calavo Growers, Inc., and FCW.</w:t>
        </w:r>
        <w:r>
          <w:rPr>
            <w:rFonts w:ascii="Times New Roman" w:cs="Times New Roman" w:eastAsia="Times New Roman" w:hAnsi="Times New Roman"/>
            <w:sz w:val="25"/>
            <w:szCs w:val="25"/>
            <w:u w:val="single" w:color="auto"/>
            <w:color w:val="0000EE"/>
            <w:vertAlign w:val="superscript"/>
          </w:rPr>
          <w:t>26</w:t>
        </w:r>
      </w:hyperlink>
    </w:p>
    <w:p>
      <w:pPr>
        <w:ind w:left="360"/>
        <w:spacing w:after="0" w:line="181"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40">
        <w:r>
          <w:rPr>
            <w:rFonts w:ascii="Times New Roman" w:cs="Times New Roman" w:eastAsia="Times New Roman" w:hAnsi="Times New Roman"/>
            <w:sz w:val="17"/>
            <w:szCs w:val="17"/>
            <w:u w:val="single" w:color="auto"/>
            <w:color w:val="0000EE"/>
          </w:rPr>
          <w:t xml:space="preserve">First Amendment to Credit Agreement dated August 29, 2016. </w:t>
        </w:r>
        <w:r>
          <w:rPr>
            <w:rFonts w:ascii="Times New Roman" w:cs="Times New Roman" w:eastAsia="Times New Roman" w:hAnsi="Times New Roman"/>
            <w:sz w:val="25"/>
            <w:szCs w:val="25"/>
            <w:color w:val="0000EE"/>
            <w:vertAlign w:val="superscript"/>
          </w:rPr>
          <w:t>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-51435</wp:posOffset>
            </wp:positionV>
            <wp:extent cx="1073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10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10.27</w:t>
      </w:r>
      <w:r>
        <w:rPr>
          <w:sz w:val="20"/>
          <w:szCs w:val="20"/>
          <w:color w:val="auto"/>
        </w:rPr>
        <w:tab/>
      </w:r>
      <w:hyperlink r:id="rId142">
        <w:r>
          <w:rPr>
            <w:rFonts w:ascii="Times New Roman" w:cs="Times New Roman" w:eastAsia="Times New Roman" w:hAnsi="Times New Roman"/>
            <w:sz w:val="18"/>
            <w:szCs w:val="18"/>
            <w:u w:val="single" w:color="auto"/>
            <w:color w:val="0000EE"/>
          </w:rPr>
          <w:t>Agreement to Sell and Purchase and Escrow Instructions with Fresh Foods, LLC, a Delaware limited liability</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company dated July 25, 2016.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-51435</wp:posOffset>
            </wp:positionV>
            <wp:extent cx="1073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060" w:right="220" w:hanging="688"/>
        <w:spacing w:after="0" w:line="20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10.28</w:t>
      </w:r>
      <w:r>
        <w:rPr>
          <w:sz w:val="20"/>
          <w:szCs w:val="20"/>
          <w:color w:val="auto"/>
        </w:rPr>
        <w:tab/>
      </w:r>
      <w:hyperlink r:id="rId144">
        <w:r>
          <w:rPr>
            <w:rFonts w:ascii="Times New Roman" w:cs="Times New Roman" w:eastAsia="Times New Roman" w:hAnsi="Times New Roman"/>
            <w:sz w:val="18"/>
            <w:szCs w:val="18"/>
            <w:u w:val="single" w:color="auto"/>
            <w:color w:val="0000EE"/>
          </w:rPr>
          <w:t>First Amendment Agreement to Sell and Purchase and Escrow Instructions, by and among Calavo Growers,</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Inc., and Fresh Foods, LLC.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27"/>
            <w:szCs w:val="27"/>
            <w:color w:val="0000EE"/>
            <w:vertAlign w:val="superscript"/>
          </w:rPr>
          <w:t>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-51435</wp:posOffset>
            </wp:positionV>
            <wp:extent cx="1073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360"/>
        <w:spacing w:after="0" w:line="181"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46">
        <w:r>
          <w:rPr>
            <w:rFonts w:ascii="Times New Roman" w:cs="Times New Roman" w:eastAsia="Times New Roman" w:hAnsi="Times New Roman"/>
            <w:sz w:val="17"/>
            <w:szCs w:val="17"/>
            <w:u w:val="single" w:color="auto"/>
            <w:color w:val="0000EE"/>
          </w:rPr>
          <w:t xml:space="preserve">FreshRealm, LLC, Sixth Amended and Restated Limited Liability Company Agreement. </w:t>
        </w:r>
        <w:r>
          <w:rPr>
            <w:rFonts w:ascii="Times New Roman" w:cs="Times New Roman" w:eastAsia="Times New Roman" w:hAnsi="Times New Roman"/>
            <w:sz w:val="25"/>
            <w:szCs w:val="25"/>
            <w:color w:val="0000EE"/>
            <w:vertAlign w:val="superscript"/>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-51435</wp:posOffset>
            </wp:positionV>
            <wp:extent cx="1073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3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48">
        <w:r>
          <w:rPr>
            <w:rFonts w:ascii="Times New Roman" w:cs="Times New Roman" w:eastAsia="Times New Roman" w:hAnsi="Times New Roman"/>
            <w:sz w:val="17"/>
            <w:szCs w:val="17"/>
            <w:u w:val="single" w:color="auto"/>
            <w:color w:val="0000EE"/>
          </w:rPr>
          <w:t>First Amendment to FreshRealm, LLC, Sixth Amended and Restated Limited Liability Company Agreement.</w:t>
        </w:r>
      </w:hyperlink>
    </w:p>
    <w:p>
      <w:pPr>
        <w:ind w:left="1060"/>
        <w:spacing w:after="0" w:line="234" w:lineRule="auto"/>
        <w:rPr>
          <w:sz w:val="20"/>
          <w:szCs w:val="20"/>
          <w:color w:val="auto"/>
        </w:rPr>
      </w:pPr>
      <w:r>
        <w:rPr>
          <w:rFonts w:ascii="Times New Roman" w:cs="Times New Roman" w:eastAsia="Times New Roman" w:hAnsi="Times New Roman"/>
          <w:sz w:val="14"/>
          <w:szCs w:val="14"/>
          <w:u w:val="single" w:color="auto"/>
          <w:color w:val="0000EE"/>
        </w:rPr>
        <w:t>31</w:t>
      </w:r>
    </w:p>
    <w:p>
      <w:pPr>
        <w:ind w:left="360"/>
        <w:spacing w:after="0" w:line="180"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49">
        <w:r>
          <w:rPr>
            <w:rFonts w:ascii="Times New Roman" w:cs="Times New Roman" w:eastAsia="Times New Roman" w:hAnsi="Times New Roman"/>
            <w:sz w:val="17"/>
            <w:szCs w:val="17"/>
            <w:u w:val="single" w:color="auto"/>
            <w:color w:val="0000EE"/>
          </w:rPr>
          <w:t xml:space="preserve">Amended and restated Promissory Note </w:t>
        </w:r>
        <w:r>
          <w:rPr>
            <w:rFonts w:ascii="Times New Roman" w:cs="Times New Roman" w:eastAsia="Times New Roman" w:hAnsi="Times New Roman"/>
            <w:sz w:val="25"/>
            <w:szCs w:val="25"/>
            <w:u w:val="single" w:color="auto"/>
            <w:color w:val="0000EE"/>
            <w:vertAlign w:val="superscript"/>
          </w:rPr>
          <w:t>32</w:t>
        </w:r>
      </w:hyperlink>
    </w:p>
    <w:p>
      <w:pPr>
        <w:ind w:left="360"/>
        <w:spacing w:after="0" w:line="180"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50">
        <w:r>
          <w:rPr>
            <w:rFonts w:ascii="Times New Roman" w:cs="Times New Roman" w:eastAsia="Times New Roman" w:hAnsi="Times New Roman"/>
            <w:sz w:val="17"/>
            <w:szCs w:val="17"/>
            <w:u w:val="single" w:color="auto"/>
            <w:color w:val="0000EE"/>
          </w:rPr>
          <w:t xml:space="preserve">Fourth Amendment to Senior Promoissory Note and Note and Membership Unit Purchase Agreement </w:t>
        </w:r>
        <w:r>
          <w:rPr>
            <w:rFonts w:ascii="Times New Roman" w:cs="Times New Roman" w:eastAsia="Times New Roman" w:hAnsi="Times New Roman"/>
            <w:sz w:val="25"/>
            <w:szCs w:val="25"/>
            <w:u w:val="single" w:color="auto"/>
            <w:color w:val="0000EE"/>
            <w:vertAlign w:val="superscript"/>
          </w:rPr>
          <w:t>32</w:t>
        </w:r>
      </w:hyperlink>
    </w:p>
    <w:p>
      <w:pPr>
        <w:ind w:left="360"/>
        <w:spacing w:after="0" w:line="181"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51">
        <w:r>
          <w:rPr>
            <w:rFonts w:ascii="Times New Roman" w:cs="Times New Roman" w:eastAsia="Times New Roman" w:hAnsi="Times New Roman"/>
            <w:sz w:val="17"/>
            <w:szCs w:val="17"/>
            <w:u w:val="single" w:color="auto"/>
            <w:color w:val="0000EE"/>
          </w:rPr>
          <w:t xml:space="preserve">FreshRealm Promissory Note </w:t>
        </w:r>
        <w:r>
          <w:rPr>
            <w:rFonts w:ascii="Times New Roman" w:cs="Times New Roman" w:eastAsia="Times New Roman" w:hAnsi="Times New Roman"/>
            <w:sz w:val="25"/>
            <w:szCs w:val="25"/>
            <w:u w:val="single" w:color="auto"/>
            <w:color w:val="0000EE"/>
            <w:vertAlign w:val="superscript"/>
          </w:rPr>
          <w:t>32</w:t>
        </w:r>
      </w:hyperlink>
    </w:p>
    <w:p>
      <w:pPr>
        <w:ind w:left="360"/>
        <w:spacing w:after="0" w:line="180"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52">
        <w:r>
          <w:rPr>
            <w:rFonts w:ascii="Times New Roman" w:cs="Times New Roman" w:eastAsia="Times New Roman" w:hAnsi="Times New Roman"/>
            <w:sz w:val="17"/>
            <w:szCs w:val="17"/>
            <w:u w:val="single" w:color="auto"/>
            <w:color w:val="0000EE"/>
          </w:rPr>
          <w:t xml:space="preserve">Second Amendment to Credit Agreement </w:t>
        </w:r>
        <w:r>
          <w:rPr>
            <w:rFonts w:ascii="Times New Roman" w:cs="Times New Roman" w:eastAsia="Times New Roman" w:hAnsi="Times New Roman"/>
            <w:sz w:val="25"/>
            <w:szCs w:val="25"/>
            <w:u w:val="single" w:color="auto"/>
            <w:color w:val="0000EE"/>
            <w:vertAlign w:val="superscript"/>
          </w:rPr>
          <w:t>32</w:t>
        </w:r>
      </w:hyperlink>
    </w:p>
    <w:p>
      <w:pPr>
        <w:ind w:left="360"/>
        <w:spacing w:after="0" w:line="181"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53">
        <w:r>
          <w:rPr>
            <w:rFonts w:ascii="Times New Roman" w:cs="Times New Roman" w:eastAsia="Times New Roman" w:hAnsi="Times New Roman"/>
            <w:sz w:val="17"/>
            <w:szCs w:val="17"/>
            <w:u w:val="single" w:color="auto"/>
            <w:color w:val="0000EE"/>
          </w:rPr>
          <w:t xml:space="preserve">FreshRealm Seventh and Restated LLC Agreement </w:t>
        </w:r>
        <w:r>
          <w:rPr>
            <w:rFonts w:ascii="Times New Roman" w:cs="Times New Roman" w:eastAsia="Times New Roman" w:hAnsi="Times New Roman"/>
            <w:sz w:val="25"/>
            <w:szCs w:val="25"/>
            <w:u w:val="single" w:color="auto"/>
            <w:color w:val="0000EE"/>
            <w:vertAlign w:val="superscript"/>
          </w:rPr>
          <w:t>32</w:t>
        </w:r>
      </w:hyperlink>
    </w:p>
    <w:p>
      <w:pPr>
        <w:ind w:left="460"/>
        <w:spacing w:after="0" w:line="180"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54">
        <w:r>
          <w:rPr>
            <w:rFonts w:ascii="Times New Roman" w:cs="Times New Roman" w:eastAsia="Times New Roman" w:hAnsi="Times New Roman"/>
            <w:sz w:val="17"/>
            <w:szCs w:val="17"/>
            <w:u w:val="single" w:color="auto"/>
            <w:color w:val="0000EE"/>
          </w:rPr>
          <w:t xml:space="preserve">Subsidiaries of Calavo Growers, Inc. </w:t>
        </w:r>
        <w:r>
          <w:rPr>
            <w:rFonts w:ascii="Times New Roman" w:cs="Times New Roman" w:eastAsia="Times New Roman" w:hAnsi="Times New Roman"/>
            <w:sz w:val="25"/>
            <w:szCs w:val="25"/>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-51435</wp:posOffset>
            </wp:positionV>
            <wp:extent cx="641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460"/>
        <w:spacing w:after="0" w:line="181" w:lineRule="auto"/>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87">
        <w:r>
          <w:rPr>
            <w:rFonts w:ascii="Times New Roman" w:cs="Times New Roman" w:eastAsia="Times New Roman" w:hAnsi="Times New Roman"/>
            <w:sz w:val="17"/>
            <w:szCs w:val="17"/>
            <w:u w:val="single" w:color="auto"/>
            <w:color w:val="0000EE"/>
          </w:rPr>
          <w:t xml:space="preserve">Consent of Deloitte &amp; Touche LLP. </w:t>
        </w:r>
        <w:r>
          <w:rPr>
            <w:rFonts w:ascii="Times New Roman" w:cs="Times New Roman" w:eastAsia="Times New Roman" w:hAnsi="Times New Roman"/>
            <w:sz w:val="25"/>
            <w:szCs w:val="25"/>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-51435</wp:posOffset>
            </wp:positionV>
            <wp:extent cx="641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4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88">
        <w:r>
          <w:rPr>
            <w:rFonts w:ascii="Times New Roman" w:cs="Times New Roman" w:eastAsia="Times New Roman" w:hAnsi="Times New Roman"/>
            <w:sz w:val="17"/>
            <w:szCs w:val="17"/>
            <w:u w:val="single" w:color="auto"/>
            <w:color w:val="0000EE"/>
          </w:rPr>
          <w:t>Certification of Chief Executive Officer Pursuant to Rule 13a-15(e)</w:t>
        </w:r>
      </w:hyperlink>
    </w:p>
    <w:p>
      <w:pPr>
        <w:ind w:left="1060"/>
        <w:spacing w:after="0" w:line="180" w:lineRule="auto"/>
        <w:rPr>
          <w:rFonts w:ascii="Times New Roman" w:cs="Times New Roman" w:eastAsia="Times New Roman" w:hAnsi="Times New Roman"/>
          <w:sz w:val="17"/>
          <w:szCs w:val="17"/>
          <w:color w:val="0000EE"/>
        </w:rPr>
      </w:pPr>
      <w:hyperlink w:anchor="page88">
        <w:r>
          <w:rPr>
            <w:rFonts w:ascii="Times New Roman" w:cs="Times New Roman" w:eastAsia="Times New Roman" w:hAnsi="Times New Roman"/>
            <w:sz w:val="17"/>
            <w:szCs w:val="17"/>
            <w:u w:val="single" w:color="auto"/>
            <w:color w:val="0000EE"/>
          </w:rPr>
          <w:t>or Rule 15d-15(e)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26"/>
            <w:szCs w:val="26"/>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-51435</wp:posOffset>
            </wp:positionV>
            <wp:extent cx="641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460"/>
        <w:spacing w:after="0"/>
        <w:tabs>
          <w:tab w:leader="none" w:pos="10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89">
        <w:r>
          <w:rPr>
            <w:rFonts w:ascii="Times New Roman" w:cs="Times New Roman" w:eastAsia="Times New Roman" w:hAnsi="Times New Roman"/>
            <w:sz w:val="17"/>
            <w:szCs w:val="17"/>
            <w:u w:val="single" w:color="auto"/>
            <w:color w:val="0000EE"/>
          </w:rPr>
          <w:t>Certification of Chief Financial Officer Pursuant to Rule 13a-15(e)</w:t>
        </w:r>
      </w:hyperlink>
    </w:p>
    <w:p>
      <w:pPr>
        <w:ind w:left="1060"/>
        <w:spacing w:after="0" w:line="180" w:lineRule="auto"/>
        <w:rPr>
          <w:rFonts w:ascii="Times New Roman" w:cs="Times New Roman" w:eastAsia="Times New Roman" w:hAnsi="Times New Roman"/>
          <w:sz w:val="17"/>
          <w:szCs w:val="17"/>
          <w:color w:val="0000EE"/>
        </w:rPr>
      </w:pPr>
      <w:hyperlink w:anchor="page89">
        <w:r>
          <w:rPr>
            <w:rFonts w:ascii="Times New Roman" w:cs="Times New Roman" w:eastAsia="Times New Roman" w:hAnsi="Times New Roman"/>
            <w:sz w:val="17"/>
            <w:szCs w:val="17"/>
            <w:u w:val="single" w:color="auto"/>
            <w:color w:val="0000EE"/>
          </w:rPr>
          <w:t>or Rule 15d-15(e)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26"/>
            <w:szCs w:val="26"/>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-51435</wp:posOffset>
            </wp:positionV>
            <wp:extent cx="641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1060" w:right="100" w:hanging="474"/>
        <w:spacing w:after="0" w:line="270" w:lineRule="auto"/>
        <w:tabs>
          <w:tab w:leader="none" w:pos="1060" w:val="left"/>
        </w:tabs>
        <w:numPr>
          <w:ilvl w:val="0"/>
          <w:numId w:val="33"/>
        </w:numPr>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Certification of Chief Executive Officer and Chief Financial Officer of Periodic Report Pursuant to 18 U.S.C.</w:t>
        </w:r>
      </w:hyperlink>
      <w:r>
        <w:rPr>
          <w:rFonts w:ascii="Times New Roman" w:cs="Times New Roman" w:eastAsia="Times New Roman" w:hAnsi="Times New Roman"/>
          <w:sz w:val="18"/>
          <w:szCs w:val="18"/>
          <w:u w:val="single" w:color="auto"/>
          <w:color w:val="0000EE"/>
        </w:rPr>
        <w:t xml:space="preserve"> </w:t>
      </w:r>
      <w:hyperlink w:anchor="page90">
        <w:r>
          <w:rPr>
            <w:rFonts w:ascii="Times New Roman" w:cs="Times New Roman" w:eastAsia="Times New Roman" w:hAnsi="Times New Roman"/>
            <w:sz w:val="18"/>
            <w:szCs w:val="18"/>
            <w:u w:val="single" w:color="auto"/>
            <w:color w:val="0000EE"/>
          </w:rPr>
          <w:t xml:space="preserve">Section 1350 </w:t>
        </w:r>
      </w:hyperlink>
      <w:r>
        <w:rPr>
          <w:rFonts w:ascii="Times New Roman" w:cs="Times New Roman" w:eastAsia="Times New Roman" w:hAnsi="Times New Roman"/>
          <w:sz w:val="27"/>
          <w:szCs w:val="27"/>
          <w:u w:val="single" w:color="auto"/>
          <w:color w:val="0000EE"/>
          <w:vertAlign w:val="superscript"/>
        </w:rPr>
        <w:t>*</w:t>
      </w:r>
    </w:p>
    <w:p>
      <w:pPr>
        <w:spacing w:after="0" w:line="262" w:lineRule="exact"/>
        <w:rPr>
          <w:rFonts w:ascii="Times New Roman" w:cs="Times New Roman" w:eastAsia="Times New Roman" w:hAnsi="Times New Roman"/>
          <w:sz w:val="18"/>
          <w:szCs w:val="18"/>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-10160</wp:posOffset>
            </wp:positionH>
            <wp:positionV relativeFrom="paragraph">
              <wp:posOffset>360680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21" w:right="1419" w:bottom="1440" w:gutter="0" w:footer="0" w:header="0"/>
        </w:sectPr>
      </w:pPr>
    </w:p>
    <w:bookmarkStart w:id="83" w:name="page84"/>
    <w:bookmarkEnd w:id="83"/>
    <w:p>
      <w:pPr>
        <w:ind w:left="1080" w:right="39" w:hanging="564"/>
        <w:spacing w:after="0" w:line="270"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Annual Report on Form 10-K of Calavo Growers, Inc. for the year ended October 31, 2019, formatted in Inline XBRL (eXtensible Business Reporting Language): (1) Consolidated Balance Sheets as of October 31, 2019 and 2018; (2) Consolidated Statements of Income for the years ended October 31, 2019, 2018 and 2017; (3) Consolidated Statements of Comprehensive Income for the</w:t>
      </w:r>
    </w:p>
    <w:p>
      <w:pPr>
        <w:spacing w:after="0" w:line="3" w:lineRule="exact"/>
        <w:rPr>
          <w:sz w:val="20"/>
          <w:szCs w:val="20"/>
          <w:color w:val="auto"/>
        </w:rPr>
      </w:pPr>
    </w:p>
    <w:p>
      <w:pPr>
        <w:ind w:left="1080" w:right="199"/>
        <w:spacing w:after="0" w:line="250" w:lineRule="auto"/>
        <w:rPr>
          <w:sz w:val="20"/>
          <w:szCs w:val="20"/>
          <w:color w:val="auto"/>
        </w:rPr>
      </w:pPr>
      <w:r>
        <w:rPr>
          <w:rFonts w:ascii="Times New Roman" w:cs="Times New Roman" w:eastAsia="Times New Roman" w:hAnsi="Times New Roman"/>
          <w:sz w:val="18"/>
          <w:szCs w:val="18"/>
          <w:color w:val="auto"/>
        </w:rPr>
        <w:t xml:space="preserve">years ended October 31, 2019, 2018, and 2017; (4) Consolidated Statements of Shareholders’ Equity for the years ended October 31, 2019, 2018, and 2017; (5) Consolidated Statements of Cash Flows for the years ended October 31, 2019, 2018 and 2017; and (6) Notes to Financial Statements. </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1080" w:hanging="564"/>
        <w:spacing w:after="0"/>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*Filed with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14408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4" w:lineRule="exact"/>
        <w:rPr>
          <w:sz w:val="20"/>
          <w:szCs w:val="20"/>
          <w:color w:val="auto"/>
        </w:rPr>
      </w:pPr>
    </w:p>
    <w:p>
      <w:pPr>
        <w:ind w:left="400" w:right="299" w:hanging="398"/>
        <w:spacing w:after="0" w:line="281" w:lineRule="auto"/>
        <w:tabs>
          <w:tab w:leader="none" w:pos="4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April 24, 2001 as an exhibit to the Registrant’s Registration Statement on Form S-4, File No. 333-59418, and incorporated herein by reference.</w:t>
      </w:r>
    </w:p>
    <w:p>
      <w:pPr>
        <w:spacing w:after="0" w:line="136" w:lineRule="exact"/>
        <w:rPr>
          <w:sz w:val="20"/>
          <w:szCs w:val="20"/>
          <w:color w:val="auto"/>
        </w:rPr>
      </w:pPr>
    </w:p>
    <w:p>
      <w:pPr>
        <w:ind w:left="400" w:hanging="398"/>
        <w:spacing w:after="0"/>
        <w:tabs>
          <w:tab w:leader="none" w:pos="4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23, 2004 as an exhibit to the Registrant’s Report on Form 10-K and incorporated herein by reference.</w:t>
      </w:r>
    </w:p>
    <w:p>
      <w:pPr>
        <w:spacing w:after="0" w:line="19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3Previously filed on June 9, 2005 as an exhibit to the Registrant’s Report on Form 10-Q and incorporated herein by reference.</w:t>
      </w:r>
    </w:p>
    <w:p>
      <w:pPr>
        <w:spacing w:after="0" w:line="19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4Previously filed on May 29, 2008 as an exhibit to the Registrant’s Report on Form 8-K and incorporated herein by reference.</w:t>
      </w:r>
    </w:p>
    <w:p>
      <w:pPr>
        <w:spacing w:after="0" w:line="194" w:lineRule="exact"/>
        <w:rPr>
          <w:rFonts w:ascii="Times New Roman" w:cs="Times New Roman" w:eastAsia="Times New Roman" w:hAnsi="Times New Roman"/>
          <w:sz w:val="16"/>
          <w:szCs w:val="16"/>
          <w:color w:val="auto"/>
        </w:rPr>
      </w:pPr>
    </w:p>
    <w:p>
      <w:pPr>
        <w:ind w:right="139"/>
        <w:spacing w:after="0" w:line="4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Previously filed on December 19, 2002 as an exhibit to the Registrant’s Report on Form 8-K, and incorporated herein by reference. 6 Previously filed on January 28, 2003 as an exhibit to the Registrant’s Report on Form 10-K and incorporated herein by reference.</w:t>
      </w:r>
    </w:p>
    <w:p>
      <w:pPr>
        <w:ind w:left="400" w:right="99" w:hanging="398"/>
        <w:spacing w:after="0" w:line="281" w:lineRule="auto"/>
        <w:tabs>
          <w:tab w:leader="none" w:pos="4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March 21, 2005 as an exhibit to the Registrant’s Definitive Proxy Statement on Form DEF14A and incorporated herein by reference.</w:t>
      </w:r>
    </w:p>
    <w:p>
      <w:pPr>
        <w:spacing w:after="0" w:line="136" w:lineRule="exact"/>
        <w:rPr>
          <w:sz w:val="20"/>
          <w:szCs w:val="20"/>
          <w:color w:val="auto"/>
        </w:rPr>
      </w:pPr>
    </w:p>
    <w:p>
      <w:pPr>
        <w:ind w:left="400" w:hanging="398"/>
        <w:spacing w:after="0"/>
        <w:tabs>
          <w:tab w:leader="none" w:pos="4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October 19, 2007 as an exhibit to the Registrant’s Report on Form 8-K and incorporated herein by reference.</w:t>
      </w:r>
    </w:p>
    <w:p>
      <w:pPr>
        <w:spacing w:after="0" w:line="194" w:lineRule="exact"/>
        <w:rPr>
          <w:sz w:val="20"/>
          <w:szCs w:val="20"/>
          <w:color w:val="auto"/>
        </w:rPr>
      </w:pPr>
    </w:p>
    <w:p>
      <w:pPr>
        <w:ind w:left="400" w:hanging="398"/>
        <w:spacing w:after="0"/>
        <w:tabs>
          <w:tab w:leader="none" w:pos="4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27, 2009 as an exhibit to the Registrant’s Report on Form 10-K/A and incorporated herein by reference.</w:t>
      </w:r>
    </w:p>
    <w:p>
      <w:pPr>
        <w:spacing w:after="0" w:line="194" w:lineRule="exact"/>
        <w:rPr>
          <w:rFonts w:ascii="Times New Roman" w:cs="Times New Roman" w:eastAsia="Times New Roman" w:hAnsi="Times New Roman"/>
          <w:sz w:val="16"/>
          <w:szCs w:val="16"/>
          <w:color w:val="auto"/>
        </w:rPr>
      </w:pPr>
    </w:p>
    <w:p>
      <w:pPr>
        <w:ind w:right="79"/>
        <w:spacing w:after="0" w:line="4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Previously filed on September 11, 2006 as an exhibit to the Registrant’s Report on Form 10-Q and incorporated herein by reference. 11 Previously filed on August 6, 2009 as an exhibit to the Registrant’s Report on Form 8-K and incorporated herein by reference.</w:t>
      </w:r>
    </w:p>
    <w:p>
      <w:pPr>
        <w:ind w:right="279"/>
        <w:spacing w:after="0" w:line="4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Previously filed on January 11, 2010 as an exhibit to the Registrant’s Report on Form 10-K and incorporated herein by reference. 13 Previously filed on March 11, 2010 as an exhibit to the Registrant’s Report on Form 10-Q and incorporated herein by reference.</w:t>
      </w:r>
    </w:p>
    <w:p>
      <w:pPr>
        <w:ind w:right="279"/>
        <w:spacing w:after="0" w:line="4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 Previously filed on January 14, 2011 as an exhibit to the Registrant’s Report on Form 10-K and incorporated herein by reference. 15 Previously filed on March 30, 2011 as an exhibit to the Registrant’s Report on Form 8-K and incorporated herein by reference.</w:t>
      </w:r>
    </w:p>
    <w:p>
      <w:pPr>
        <w:ind w:right="179"/>
        <w:spacing w:after="0" w:line="51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Previously filed on January 10, 2012 as an exhibit to the Registrant’s Report on Form 8-K/A and incorporated herein by reference. 17 Previously filed on November 6, 2012 as an exhibit to the Registrant’s Report on Form 8-K and incorporated herein by reference. 18 Previously filed on September 4, 2013 as an exhibit to the Registrant’s Report on Form 8-K and incorporated herein by reference.</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84" w:name="page85"/>
    <w:bookmarkEnd w:id="84"/>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9, 2013 as an exhibit to the Registrant’s Report on Form 10-Q and incorporated herein by reference.</w:t>
      </w:r>
    </w:p>
    <w:p>
      <w:pPr>
        <w:spacing w:after="0" w:line="194"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November 26, 2013 as an exhibit to the Registrant’s Report on Form 8-K and incorporated herein by reference.</w:t>
      </w:r>
    </w:p>
    <w:p>
      <w:pPr>
        <w:spacing w:after="0" w:line="194"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30, 2014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July 27, 2015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January 25,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February 1,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May 27,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June 20,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1,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8, 2016 as an exhibit to the Registrant’s Report on Form 10-Q and incorporated herein by reference.</w:t>
      </w:r>
    </w:p>
    <w:p>
      <w:pPr>
        <w:spacing w:after="0" w:line="194"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November 7, 2016 as an exhibit to the Registrant’s Report on Form 8-K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December 23, 2016 as an exhibit to the Registrant’s Report on Form 10-K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September 4, 2018 as an exhibit to the Registrant’s Report on Form 10-Q and incorporated herein by reference.</w:t>
      </w:r>
    </w:p>
    <w:p>
      <w:pPr>
        <w:spacing w:after="0" w:line="221" w:lineRule="exact"/>
        <w:rPr>
          <w:rFonts w:ascii="Times New Roman" w:cs="Times New Roman" w:eastAsia="Times New Roman" w:hAnsi="Times New Roman"/>
          <w:sz w:val="16"/>
          <w:szCs w:val="16"/>
          <w:color w:val="auto"/>
        </w:rPr>
      </w:pPr>
    </w:p>
    <w:p>
      <w:pPr>
        <w:ind w:left="398" w:hanging="398"/>
        <w:spacing w:after="0"/>
        <w:tabs>
          <w:tab w:leader="none" w:pos="3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on March 7, 2019 as an exhibit to the Registrant’s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360680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7"/>
          </w:cols>
          <w:pgMar w:left="1422" w:top="315"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December 19, 2019.</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131"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Lecil E. Cole</w:t>
            </w:r>
          </w:p>
        </w:tc>
      </w:tr>
      <w:tr>
        <w:trPr>
          <w:trHeight w:val="189"/>
        </w:trPr>
        <w:tc>
          <w:tcPr>
            <w:tcW w:w="280" w:type="dxa"/>
            <w:vAlign w:val="bottom"/>
          </w:tcPr>
          <w:p>
            <w:pPr>
              <w:spacing w:after="0"/>
              <w:rPr>
                <w:sz w:val="16"/>
                <w:szCs w:val="16"/>
                <w:color w:val="auto"/>
              </w:rPr>
            </w:pPr>
          </w:p>
        </w:tc>
        <w:tc>
          <w:tcPr>
            <w:tcW w:w="4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2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 and</w:t>
            </w:r>
          </w:p>
        </w:tc>
      </w:tr>
      <w:tr>
        <w:trPr>
          <w:trHeight w:val="236"/>
        </w:trPr>
        <w:tc>
          <w:tcPr>
            <w:tcW w:w="2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8"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December 19, 2019 by the following persons on behalf of the registrant and in the capacities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00" w:type="dxa"/>
            <w:vAlign w:val="bottom"/>
          </w:tcPr>
          <w:p>
            <w:pPr>
              <w:spacing w:after="0"/>
              <w:rPr>
                <w:sz w:val="18"/>
                <w:szCs w:val="18"/>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r>
      <w:tr>
        <w:trPr>
          <w:trHeight w:val="288"/>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Lecil E. Cole</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of Directors, and</w:t>
            </w:r>
          </w:p>
        </w:tc>
      </w:tr>
      <w:tr>
        <w:trPr>
          <w:trHeight w:val="188"/>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Lecil E. Cole</w:t>
            </w:r>
          </w:p>
        </w:tc>
        <w:tc>
          <w:tcPr>
            <w:tcW w:w="2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0"/>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9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 John Lindeman</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 and Corporate Secretary</w:t>
            </w:r>
          </w:p>
        </w:tc>
      </w:tr>
      <w:tr>
        <w:trPr>
          <w:trHeight w:val="210"/>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 John Lindeman</w:t>
            </w:r>
          </w:p>
        </w:tc>
        <w:tc>
          <w:tcPr>
            <w:tcW w:w="2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283"/>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James E. Snyder</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Corporate Controller</w:t>
            </w:r>
          </w:p>
        </w:tc>
      </w:tr>
      <w:tr>
        <w:trPr>
          <w:trHeight w:val="210"/>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James E. Snyder</w:t>
            </w:r>
          </w:p>
        </w:tc>
        <w:tc>
          <w:tcPr>
            <w:tcW w:w="2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Donald M. Sanders</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Donald M. Sanders</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Marc L. Brown</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 L. Brown</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John M. Hunt</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John M. Hunt</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381"/>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A. DiGregorio</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A. DiGregorio</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 Link Leavens</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 Link Leavens</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James Helin</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James Helin</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Dorcas H. Thille</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Dorcas H. Thille</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Egidio Carbone, Jr</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Egidio Carbone, Jr</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W. Hollister</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Steven W. Hollister</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Harold Edwards</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Harold Edwards</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8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Scott Van Der Kar</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Scott Van Der Kar</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381"/>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Kathleen M. Holmgren</w:t>
            </w:r>
          </w:p>
        </w:tc>
        <w:tc>
          <w:tcPr>
            <w:tcW w:w="2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Kathleen M. Holmgren</w:t>
            </w: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333-180597, 333-191702 and 333-199754 on Form S-3 and Registration Statement Nos. 333-132175 and 333-179101 on Form S-8 of our reports dated December 19, 2019, relating to the consolidated financial statements and financial statement schedule of Calavo Growers, Inc. and subsidiaries (the “Company”) and the effectiveness of the Company’s internal control over financial reporting appearing in this Annual Report on Form 10-K for the year ended October 31,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rPr>
          <w:sz w:val="20"/>
          <w:szCs w:val="20"/>
          <w:color w:val="auto"/>
        </w:rPr>
      </w:pPr>
      <w:r>
        <w:rPr>
          <w:rFonts w:ascii="Times New Roman" w:cs="Times New Roman" w:eastAsia="Times New Roman" w:hAnsi="Times New Roman"/>
          <w:sz w:val="18"/>
          <w:szCs w:val="18"/>
          <w:color w:val="auto"/>
        </w:rPr>
        <w:t>December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Lecil E. Cole, certify that:</w:t>
      </w:r>
    </w:p>
    <w:p>
      <w:pPr>
        <w:spacing w:after="0" w:line="144" w:lineRule="exact"/>
        <w:rPr>
          <w:sz w:val="20"/>
          <w:szCs w:val="20"/>
          <w:color w:val="auto"/>
        </w:rPr>
      </w:pPr>
    </w:p>
    <w:p>
      <w:pPr>
        <w:ind w:left="660" w:hanging="65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Calavo Growers, Inc.;</w:t>
      </w:r>
    </w:p>
    <w:p>
      <w:pPr>
        <w:spacing w:after="0" w:line="144" w:lineRule="exact"/>
        <w:rPr>
          <w:rFonts w:ascii="Times New Roman" w:cs="Times New Roman" w:eastAsia="Times New Roman" w:hAnsi="Times New Roman"/>
          <w:sz w:val="18"/>
          <w:szCs w:val="18"/>
          <w:color w:val="auto"/>
        </w:rPr>
      </w:pPr>
    </w:p>
    <w:p>
      <w:pPr>
        <w:ind w:left="660" w:right="380" w:hanging="657"/>
        <w:spacing w:after="0" w:line="22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60" w:right="140" w:hanging="657"/>
        <w:spacing w:after="0" w:line="22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60" w:right="300" w:hanging="657"/>
        <w:spacing w:after="0" w:line="22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00" w:hanging="649"/>
        <w:spacing w:after="0" w:line="22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300" w:right="40" w:hanging="649"/>
        <w:spacing w:after="0" w:line="220"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660" w:right="60" w:hanging="657"/>
        <w:spacing w:after="0" w:line="263" w:lineRule="auto"/>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8" w:lineRule="exact"/>
        <w:rPr>
          <w:rFonts w:ascii="Times New Roman" w:cs="Times New Roman" w:eastAsia="Times New Roman" w:hAnsi="Times New Roman"/>
          <w:sz w:val="17"/>
          <w:szCs w:val="17"/>
          <w:color w:val="auto"/>
        </w:rPr>
      </w:pPr>
    </w:p>
    <w:p>
      <w:pPr>
        <w:ind w:left="1300" w:right="40" w:hanging="649"/>
        <w:spacing w:after="0" w:line="22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00" w:right="180" w:hanging="649"/>
        <w:spacing w:after="0" w:line="237"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18"/>
          <w:szCs w:val="18"/>
          <w:color w:val="auto"/>
        </w:rPr>
        <w:t>Date: December 19, 2019</w:t>
      </w:r>
      <w:r>
        <w:rPr>
          <w:sz w:val="20"/>
          <w:szCs w:val="20"/>
          <w:color w:val="auto"/>
        </w:rPr>
        <w:tab/>
      </w: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0</wp:posOffset>
            </wp:positionV>
            <wp:extent cx="28898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4520"/>
        <w:spacing w:after="0" w:line="205" w:lineRule="auto"/>
        <w:rPr>
          <w:sz w:val="20"/>
          <w:szCs w:val="20"/>
          <w:color w:val="auto"/>
        </w:rPr>
      </w:pPr>
      <w:r>
        <w:rPr>
          <w:rFonts w:ascii="Times New Roman" w:cs="Times New Roman" w:eastAsia="Times New Roman" w:hAnsi="Times New Roman"/>
          <w:sz w:val="18"/>
          <w:szCs w:val="18"/>
          <w:color w:val="auto"/>
        </w:rPr>
        <w:t>Lecil E. Cole</w:t>
      </w:r>
    </w:p>
    <w:p>
      <w:pPr>
        <w:ind w:left="4520"/>
        <w:spacing w:after="0" w:line="204" w:lineRule="auto"/>
        <w:rPr>
          <w:sz w:val="20"/>
          <w:szCs w:val="20"/>
          <w:color w:val="auto"/>
        </w:rPr>
      </w:pPr>
      <w:r>
        <w:rPr>
          <w:rFonts w:ascii="Times New Roman" w:cs="Times New Roman" w:eastAsia="Times New Roman" w:hAnsi="Times New Roman"/>
          <w:sz w:val="18"/>
          <w:szCs w:val="18"/>
          <w:color w:val="auto"/>
        </w:rPr>
        <w:t>Chairman of the Board of Directors,</w:t>
      </w:r>
    </w:p>
    <w:p>
      <w:pPr>
        <w:ind w:left="452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 John Lindeman, certify that:</w:t>
      </w:r>
    </w:p>
    <w:p>
      <w:pPr>
        <w:spacing w:after="0" w:line="144" w:lineRule="exact"/>
        <w:rPr>
          <w:sz w:val="20"/>
          <w:szCs w:val="20"/>
          <w:color w:val="auto"/>
        </w:rPr>
      </w:pPr>
    </w:p>
    <w:p>
      <w:pPr>
        <w:ind w:left="660" w:hanging="657"/>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Calavo Growers, Inc.;</w:t>
      </w:r>
    </w:p>
    <w:p>
      <w:pPr>
        <w:spacing w:after="0" w:line="144" w:lineRule="exact"/>
        <w:rPr>
          <w:rFonts w:ascii="Times New Roman" w:cs="Times New Roman" w:eastAsia="Times New Roman" w:hAnsi="Times New Roman"/>
          <w:sz w:val="18"/>
          <w:szCs w:val="18"/>
          <w:color w:val="auto"/>
        </w:rPr>
      </w:pPr>
    </w:p>
    <w:p>
      <w:pPr>
        <w:ind w:left="660" w:right="380" w:hanging="657"/>
        <w:spacing w:after="0" w:line="22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60" w:right="140" w:hanging="657"/>
        <w:spacing w:after="0" w:line="22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60" w:right="300" w:hanging="657"/>
        <w:spacing w:after="0" w:line="22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1300" w:right="80" w:hanging="649"/>
        <w:spacing w:after="0" w:line="22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00" w:hanging="649"/>
        <w:spacing w:after="0" w:line="22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300" w:right="40" w:hanging="649"/>
        <w:spacing w:after="0" w:line="220"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left="660" w:right="60" w:hanging="657"/>
        <w:spacing w:after="0" w:line="263" w:lineRule="auto"/>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8" w:lineRule="exact"/>
        <w:rPr>
          <w:rFonts w:ascii="Times New Roman" w:cs="Times New Roman" w:eastAsia="Times New Roman" w:hAnsi="Times New Roman"/>
          <w:sz w:val="17"/>
          <w:szCs w:val="17"/>
          <w:color w:val="auto"/>
        </w:rPr>
      </w:pPr>
    </w:p>
    <w:p>
      <w:pPr>
        <w:ind w:left="1300" w:right="40" w:hanging="649"/>
        <w:spacing w:after="0" w:line="22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00" w:right="180" w:hanging="649"/>
        <w:spacing w:after="0" w:line="237"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December 19, 2019</w:t>
      </w:r>
      <w:r>
        <w:rPr>
          <w:sz w:val="20"/>
          <w:szCs w:val="20"/>
          <w:color w:val="auto"/>
        </w:rPr>
        <w:tab/>
      </w:r>
      <w:r>
        <w:rPr>
          <w:rFonts w:ascii="Times New Roman" w:cs="Times New Roman" w:eastAsia="Times New Roman" w:hAnsi="Times New Roman"/>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5" w:lineRule="auto"/>
        <w:rPr>
          <w:sz w:val="20"/>
          <w:szCs w:val="20"/>
          <w:color w:val="auto"/>
        </w:rPr>
      </w:pPr>
      <w:r>
        <w:rPr>
          <w:rFonts w:ascii="Times New Roman" w:cs="Times New Roman" w:eastAsia="Times New Roman" w:hAnsi="Times New Roman"/>
          <w:sz w:val="18"/>
          <w:szCs w:val="18"/>
          <w:color w:val="auto"/>
        </w:rPr>
        <w:t>B. John Lindeman</w:t>
      </w:r>
    </w:p>
    <w:p>
      <w:pPr>
        <w:ind w:left="4540"/>
        <w:spacing w:after="0" w:line="204" w:lineRule="auto"/>
        <w:rPr>
          <w:sz w:val="20"/>
          <w:szCs w:val="20"/>
          <w:color w:val="auto"/>
        </w:rPr>
      </w:pPr>
      <w:r>
        <w:rPr>
          <w:rFonts w:ascii="Times New Roman" w:cs="Times New Roman" w:eastAsia="Times New Roman" w:hAnsi="Times New Roman"/>
          <w:sz w:val="18"/>
          <w:szCs w:val="18"/>
          <w:color w:val="auto"/>
        </w:rPr>
        <w:t>Chief Financial Officer and Corporate Secretary</w:t>
      </w: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jc w:val="cente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24"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Annual Report on Form 10-K for the year ended October 31, 2019,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19,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8727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Lecil E. Cole</w:t>
      </w:r>
    </w:p>
    <w:p>
      <w:pPr>
        <w:spacing w:after="0" w:line="204" w:lineRule="auto"/>
        <w:rPr>
          <w:sz w:val="20"/>
          <w:szCs w:val="20"/>
          <w:color w:val="auto"/>
        </w:rPr>
      </w:pPr>
      <w:r>
        <w:rPr>
          <w:rFonts w:ascii="Times New Roman" w:cs="Times New Roman" w:eastAsia="Times New Roman" w:hAnsi="Times New Roman"/>
          <w:sz w:val="18"/>
          <w:szCs w:val="18"/>
          <w:color w:val="auto"/>
        </w:rPr>
        <w:t>Chairman of the Board and</w:t>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8727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B. John Lindeman</w:t>
      </w:r>
    </w:p>
    <w:p>
      <w:pPr>
        <w:spacing w:after="0" w:line="204" w:lineRule="auto"/>
        <w:rPr>
          <w:sz w:val="20"/>
          <w:szCs w:val="20"/>
          <w:color w:val="auto"/>
        </w:rPr>
      </w:pPr>
      <w:r>
        <w:rPr>
          <w:rFonts w:ascii="Times New Roman" w:cs="Times New Roman" w:eastAsia="Times New Roman" w:hAnsi="Times New Roman"/>
          <w:sz w:val="18"/>
          <w:szCs w:val="18"/>
          <w:color w:val="auto"/>
        </w:rPr>
        <w:t>Chief Financial Officer and</w:t>
      </w: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lvl w:ilvl="1">
      <w:lvlJc w:val="left"/>
      <w:lvlText w:val="(%2)"/>
      <w:numFmt w:val="decimal"/>
      <w:start w:val="2"/>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4"/>
    </w:lvl>
  </w:abstractNum>
  <w:abstractNum w:abstractNumId="12">
    <w:nsid w:val="2CA88611"/>
    <w:multiLevelType w:val="hybridMultilevel"/>
    <w:lvl w:ilvl="0">
      <w:lvlJc w:val="left"/>
      <w:lvlText w:val="%1."/>
      <w:numFmt w:val="decimal"/>
      <w:start w:val="6"/>
    </w:lvl>
  </w:abstractNum>
  <w:abstractNum w:abstractNumId="13">
    <w:nsid w:val="836C40E"/>
    <w:multiLevelType w:val="hybridMultilevel"/>
    <w:lvl w:ilvl="0">
      <w:lvlJc w:val="left"/>
      <w:lvlText w:val="%1."/>
      <w:numFmt w:val="decimal"/>
      <w:start w:val="7"/>
    </w:lvl>
  </w:abstractNum>
  <w:abstractNum w:abstractNumId="14">
    <w:nsid w:val="2901D82"/>
    <w:multiLevelType w:val="hybridMultilevel"/>
    <w:lvl w:ilvl="0">
      <w:lvlJc w:val="left"/>
      <w:lvlText w:val="%1."/>
      <w:numFmt w:val="decimal"/>
      <w:start w:val="8"/>
    </w:lvl>
  </w:abstractNum>
  <w:abstractNum w:abstractNumId="15">
    <w:nsid w:val="3A95F874"/>
    <w:multiLevelType w:val="hybridMultilevel"/>
    <w:lvl w:ilvl="0">
      <w:lvlJc w:val="left"/>
      <w:lvlText w:val="%1."/>
      <w:numFmt w:val="decimal"/>
      <w:start w:val="9"/>
    </w:lvl>
  </w:abstractNum>
  <w:abstractNum w:abstractNumId="16">
    <w:nsid w:val="8138641"/>
    <w:multiLevelType w:val="hybridMultilevel"/>
    <w:lvl w:ilvl="0">
      <w:lvlJc w:val="left"/>
      <w:lvlText w:val="%1."/>
      <w:numFmt w:val="decimal"/>
      <w:start w:val="10"/>
    </w:lvl>
  </w:abstractNum>
  <w:abstractNum w:abstractNumId="17">
    <w:nsid w:val="1E7FF521"/>
    <w:multiLevelType w:val="hybridMultilevel"/>
    <w:lvl w:ilvl="0">
      <w:lvlJc w:val="left"/>
      <w:lvlText w:val="%1."/>
      <w:numFmt w:val="decimal"/>
      <w:start w:val="12"/>
    </w:lvl>
  </w:abstractNum>
  <w:abstractNum w:abstractNumId="18">
    <w:nsid w:val="7C3DBD3D"/>
    <w:multiLevelType w:val="hybridMultilevel"/>
    <w:lvl w:ilvl="0">
      <w:lvlJc w:val="left"/>
      <w:lvlText w:val="%1."/>
      <w:numFmt w:val="decimal"/>
      <w:start w:val="13"/>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5"/>
    </w:lvl>
  </w:abstractNum>
  <w:abstractNum w:abstractNumId="21">
    <w:nsid w:val="22221A70"/>
    <w:multiLevelType w:val="hybridMultilevel"/>
    <w:lvl w:ilvl="0">
      <w:lvlJc w:val="left"/>
      <w:lvlText w:val="%1."/>
      <w:numFmt w:val="decimal"/>
      <w:start w:val="16"/>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lvl w:ilvl="1">
      <w:lvlJc w:val="left"/>
      <w:lvlText w:val="\endash "/>
      <w:numFmt w:val="bullet"/>
      <w:start w:val="1"/>
    </w:lvl>
  </w:abstractNum>
  <w:abstractNum w:abstractNumId="26">
    <w:nsid w:val="5577F8E1"/>
    <w:multiLevelType w:val="hybridMultilevel"/>
    <w:lvl w:ilvl="0">
      <w:lvlJc w:val="left"/>
      <w:lvlText w:val="Ø"/>
      <w:numFmt w:val="bullet"/>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decimal"/>
      <w:start w:val="2"/>
    </w:lvl>
  </w:abstractNum>
  <w:abstractNum w:abstractNumId="29">
    <w:nsid w:val="3804823E"/>
    <w:multiLevelType w:val="hybridMultilevel"/>
    <w:lvl w:ilvl="0">
      <w:lvlJc w:val="left"/>
      <w:lvlText w:val="(%1)"/>
      <w:numFmt w:val="decimal"/>
      <w:start w:val="3"/>
    </w:lvl>
  </w:abstractNum>
  <w:abstractNum w:abstractNumId="30">
    <w:nsid w:val="77465F01"/>
    <w:multiLevelType w:val="hybridMultilevel"/>
    <w:lvl w:ilvl="0">
      <w:lvlJc w:val="left"/>
      <w:lvlText w:val="(%1)"/>
      <w:numFmt w:val="lowerLetter"/>
      <w:start w:val="3"/>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32"/>
    </w:lvl>
  </w:abstractNum>
  <w:abstractNum w:abstractNumId="33">
    <w:nsid w:val="2463B9EA"/>
    <w:multiLevelType w:val="hybridMultilevel"/>
    <w:lvl w:ilvl="0">
      <w:lvlJc w:val="left"/>
      <w:lvlText w:val="%1"/>
      <w:numFmt w:val="decimal"/>
      <w:start w:val="101"/>
    </w:lvl>
  </w:abstractNum>
  <w:abstractNum w:abstractNumId="34">
    <w:nsid w:val="5E884ADC"/>
    <w:multiLevelType w:val="hybridMultilevel"/>
    <w:lvl w:ilvl="0">
      <w:lvlJc w:val="left"/>
      <w:lvlText w:val="*"/>
      <w:numFmt w:val="bullet"/>
      <w:start w:val="1"/>
    </w:lvl>
    <w:lvl w:ilvl="1">
      <w:lvlJc w:val="left"/>
      <w:lvlText w:val="%2"/>
      <w:numFmt w:val="decimal"/>
      <w:start w:val="104"/>
    </w:lvl>
  </w:abstractNum>
  <w:abstractNum w:abstractNumId="35">
    <w:nsid w:val="51EAD36B"/>
    <w:multiLevelType w:val="hybridMultilevel"/>
    <w:lvl w:ilvl="0">
      <w:lvlJc w:val="left"/>
      <w:lvlText w:val="1"/>
      <w:numFmt w:val="bullet"/>
      <w:start w:val="1"/>
    </w:lvl>
  </w:abstractNum>
  <w:abstractNum w:abstractNumId="36">
    <w:nsid w:val="2D517796"/>
    <w:multiLevelType w:val="hybridMultilevel"/>
    <w:lvl w:ilvl="0">
      <w:lvlJc w:val="left"/>
      <w:lvlText w:val="2"/>
      <w:numFmt w:val="bullet"/>
      <w:start w:val="1"/>
    </w:lvl>
  </w:abstractNum>
  <w:abstractNum w:abstractNumId="37">
    <w:nsid w:val="580BD78F"/>
    <w:multiLevelType w:val="hybridMultilevel"/>
    <w:lvl w:ilvl="0">
      <w:lvlJc w:val="left"/>
      <w:lvlText w:val="7"/>
      <w:numFmt w:val="bullet"/>
      <w:start w:val="1"/>
    </w:lvl>
  </w:abstractNum>
  <w:abstractNum w:abstractNumId="38">
    <w:nsid w:val="153EA438"/>
    <w:multiLevelType w:val="hybridMultilevel"/>
    <w:lvl w:ilvl="0">
      <w:lvlJc w:val="left"/>
      <w:lvlText w:val="8"/>
      <w:numFmt w:val="bullet"/>
      <w:start w:val="1"/>
    </w:lvl>
  </w:abstractNum>
  <w:abstractNum w:abstractNumId="39">
    <w:nsid w:val="3855585C"/>
    <w:multiLevelType w:val="hybridMultilevel"/>
    <w:lvl w:ilvl="0">
      <w:lvlJc w:val="left"/>
      <w:lvlText w:val="9"/>
      <w:numFmt w:val="bullet"/>
      <w:start w:val="1"/>
    </w:lvl>
  </w:abstractNum>
  <w:abstractNum w:abstractNumId="40">
    <w:nsid w:val="70A64E2A"/>
    <w:multiLevelType w:val="hybridMultilevel"/>
    <w:lvl w:ilvl="0">
      <w:lvlJc w:val="left"/>
      <w:lvlText w:val="%1"/>
      <w:numFmt w:val="decimal"/>
      <w:start w:val="19"/>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6" Type="http://schemas.openxmlformats.org/officeDocument/2006/relationships/image" Target="media/image77.png"/><Relationship Id="rId108" Type="http://schemas.openxmlformats.org/officeDocument/2006/relationships/image" Target="media/image78.png"/><Relationship Id="rId110" Type="http://schemas.openxmlformats.org/officeDocument/2006/relationships/image" Target="media/image79.png"/><Relationship Id="rId112" Type="http://schemas.openxmlformats.org/officeDocument/2006/relationships/image" Target="media/image80.png"/><Relationship Id="rId116" Type="http://schemas.openxmlformats.org/officeDocument/2006/relationships/image" Target="media/image81.png"/><Relationship Id="rId118" Type="http://schemas.openxmlformats.org/officeDocument/2006/relationships/image" Target="media/image82.png"/><Relationship Id="rId120" Type="http://schemas.openxmlformats.org/officeDocument/2006/relationships/image" Target="media/image83.png"/><Relationship Id="rId122" Type="http://schemas.openxmlformats.org/officeDocument/2006/relationships/image" Target="media/image84.png"/><Relationship Id="rId124" Type="http://schemas.openxmlformats.org/officeDocument/2006/relationships/image" Target="media/image85.png"/><Relationship Id="rId126" Type="http://schemas.openxmlformats.org/officeDocument/2006/relationships/image" Target="media/image86.png"/><Relationship Id="rId128" Type="http://schemas.openxmlformats.org/officeDocument/2006/relationships/image" Target="media/image87.png"/><Relationship Id="rId130" Type="http://schemas.openxmlformats.org/officeDocument/2006/relationships/image" Target="media/image88.png"/><Relationship Id="rId132" Type="http://schemas.openxmlformats.org/officeDocument/2006/relationships/image" Target="media/image89.png"/><Relationship Id="rId134" Type="http://schemas.openxmlformats.org/officeDocument/2006/relationships/image" Target="media/image90.png"/><Relationship Id="rId136" Type="http://schemas.openxmlformats.org/officeDocument/2006/relationships/image" Target="media/image91.png"/><Relationship Id="rId138" Type="http://schemas.openxmlformats.org/officeDocument/2006/relationships/image" Target="media/image92.png"/><Relationship Id="rId141" Type="http://schemas.openxmlformats.org/officeDocument/2006/relationships/image" Target="media/image93.png"/><Relationship Id="rId143" Type="http://schemas.openxmlformats.org/officeDocument/2006/relationships/image" Target="media/image94.png"/><Relationship Id="rId145" Type="http://schemas.openxmlformats.org/officeDocument/2006/relationships/image" Target="media/image95.png"/><Relationship Id="rId147"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84" Type="http://schemas.openxmlformats.org/officeDocument/2006/relationships/hyperlink" Target="http://www.sec.gov/Archives/edgar/data/1133470/000095014801500411/v70569ex2-1.txt" TargetMode="External"/><Relationship Id="rId85" Type="http://schemas.openxmlformats.org/officeDocument/2006/relationships/hyperlink" Target="http://www.sec.gov/Archives/edgar/data/1133470/000095014804000129/v95808exv2w2.txt" TargetMode="External"/><Relationship Id="rId86" Type="http://schemas.openxmlformats.org/officeDocument/2006/relationships/hyperlink" Target="http://www.sec.gov/Archives/edgar/data/1133470/000095012905006084/v09841exv10w1.htm" TargetMode="External"/><Relationship Id="rId87" Type="http://schemas.openxmlformats.org/officeDocument/2006/relationships/hyperlink" Target="http://www.sec.gov/Archives/edgar/data/1133470/000095012408002518/v41085exv2w1.htm" TargetMode="External"/><Relationship Id="rId88" Type="http://schemas.openxmlformats.org/officeDocument/2006/relationships/hyperlink" Target="http://www.sec.gov/Archives/edgar/data/1133470/000095012310023590/v55403exv2w1.htm" TargetMode="External"/><Relationship Id="rId89" Type="http://schemas.openxmlformats.org/officeDocument/2006/relationships/hyperlink" Target="http://www.sec.gov/Archives/edgar/data/1133470/000095012310023590/v55403exv10w3.htm" TargetMode="External"/><Relationship Id="rId90" Type="http://schemas.openxmlformats.org/officeDocument/2006/relationships/hyperlink" Target="http://www.sec.gov/Archives/edgar/data/1133470/000119312512008063/d280367dex21.htm" TargetMode="External"/><Relationship Id="rId91" Type="http://schemas.openxmlformats.org/officeDocument/2006/relationships/hyperlink" Target="http://www.sec.gov/Archives/edgar/data/1133470/000119312512454567/d435941dex101.htm" TargetMode="External"/><Relationship Id="rId92" Type="http://schemas.openxmlformats.org/officeDocument/2006/relationships/hyperlink" Target="http://www.sec.gov/Archives/edgar/data/1133470/000119312513357144/d592266dex101.htm" TargetMode="External"/><Relationship Id="rId93" Type="http://schemas.openxmlformats.org/officeDocument/2006/relationships/hyperlink" Target="http://www.sec.gov/Archives/edgar/data/1133470/000119312513360154/d576441dex102.htm" TargetMode="External"/><Relationship Id="rId94" Type="http://schemas.openxmlformats.org/officeDocument/2006/relationships/hyperlink" Target="http://www.sec.gov/Archives/edgar/data/1133470/000119312513455104/d636762dex101.htm" TargetMode="External"/><Relationship Id="rId95" Type="http://schemas.openxmlformats.org/officeDocument/2006/relationships/hyperlink" Target="http://www.sec.gov/Archives/edgar/data/1133470/000095014801500411/v70569ex3-1.txt" TargetMode="External"/><Relationship Id="rId96" Type="http://schemas.openxmlformats.org/officeDocument/2006/relationships/hyperlink" Target="http://www.sec.gov/Archives/edgar/data/1133470/000095014802002970/v86640exv99w1.htm" TargetMode="External"/><Relationship Id="rId97" Type="http://schemas.openxmlformats.org/officeDocument/2006/relationships/hyperlink" Target="http://www.sec.gov/Archives/edgar/data/1133470/000095012311030833/0000950123-11-030833.txt" TargetMode="External"/><Relationship Id="rId98" Type="http://schemas.openxmlformats.org/officeDocument/2006/relationships/hyperlink" Target="http://www.sec.gov/Archives/edgar/data/1133470/000119312514358632/d795671dex34.htm" TargetMode="External"/><Relationship Id="rId99" Type="http://schemas.openxmlformats.org/officeDocument/2006/relationships/hyperlink" Target="http://www.sec.gov/Archives/edgar/data/1133470/000095014803000098/v87183exv10w1.htm" TargetMode="External"/><Relationship Id="rId100" Type="http://schemas.openxmlformats.org/officeDocument/2006/relationships/hyperlink" Target="http://www.sec.gov/Archives/edgar/data/1133470/000095014801500411/v70569ex10-2.txt" TargetMode="External"/><Relationship Id="rId101" Type="http://schemas.openxmlformats.org/officeDocument/2006/relationships/hyperlink" Target="http://www.sec.gov/Archives/edgar/data/1133470/000095014801500411/v70569ex10-4.txt" TargetMode="External"/><Relationship Id="rId102" Type="http://schemas.openxmlformats.org/officeDocument/2006/relationships/hyperlink" Target="http://www.sec.gov/Archives/edgar/data/1133470/000095012905006084/v09841exv10w2.htm" TargetMode="External"/><Relationship Id="rId103" Type="http://schemas.openxmlformats.org/officeDocument/2006/relationships/hyperlink" Target="http://www.sec.gov/Archives/edgar/data/1133470/000095012905006084/v09841exv10w4.htm" TargetMode="External"/><Relationship Id="rId104" Type="http://schemas.openxmlformats.org/officeDocument/2006/relationships/hyperlink" Target="http://www.sec.gov/Archives/edgar/data/1133470/000095012905006084/v09841exv10w3.htm" TargetMode="External"/><Relationship Id="rId105" Type="http://schemas.openxmlformats.org/officeDocument/2006/relationships/hyperlink" Target="http://www.sec.gov/Archives/edgar/data/1133470/000095014801500411/v70569ex10-13.txt" TargetMode="External"/><Relationship Id="rId107" Type="http://schemas.openxmlformats.org/officeDocument/2006/relationships/hyperlink" Target="http://www.sec.gov/Archives/edgar/data/1133470/000095014801500411/v70569ex10-14.txt" TargetMode="External"/><Relationship Id="rId109" Type="http://schemas.openxmlformats.org/officeDocument/2006/relationships/hyperlink" Target="http://www.sec.gov/Archives/edgar/data/1133470/000119312513360154/d576441dex103.htm" TargetMode="External"/><Relationship Id="rId111" Type="http://schemas.openxmlformats.org/officeDocument/2006/relationships/hyperlink" Target="http://www.sec.gov/Archives/edgar/data/1133470/000095012311002615/v58339exv10w18.htm" TargetMode="External"/><Relationship Id="rId113" Type="http://schemas.openxmlformats.org/officeDocument/2006/relationships/hyperlink" Target="http://www.sec.gov/Archives/edgar/data/1133470/000119312512454567/d435941dex102.htm" TargetMode="External"/><Relationship Id="rId114" Type="http://schemas.openxmlformats.org/officeDocument/2006/relationships/hyperlink" Target="http://www.sec.gov/Archives/edgar/data/1133470/000119312512454567/d435941dex103.htm" TargetMode="External"/><Relationship Id="rId115" Type="http://schemas.openxmlformats.org/officeDocument/2006/relationships/hyperlink" Target="http://www.sec.gov/Archives/edgar/data/1133470/000119312512454567/d435941dex104.htm" TargetMode="External"/><Relationship Id="rId117" Type="http://schemas.openxmlformats.org/officeDocument/2006/relationships/hyperlink" Target="http://www.sec.gov/Archives/edgar/data/1133470/000119312512454567/d435941dex105.htm" TargetMode="External"/><Relationship Id="rId119" Type="http://schemas.openxmlformats.org/officeDocument/2006/relationships/hyperlink" Target="http://www.sec.gov/Archives/edgar/data/1133470/000155837016010634/cvgw-20161031ex10351237a.htm" TargetMode="External"/><Relationship Id="rId121" Type="http://schemas.openxmlformats.org/officeDocument/2006/relationships/hyperlink" Target="http://www.sec.gov/Archives/edgar/data/1133470/000119312515264163/d40593dex101.htm" TargetMode="External"/><Relationship Id="rId123" Type="http://schemas.openxmlformats.org/officeDocument/2006/relationships/hyperlink" Target="http://www.sec.gov/Archives/edgar/data/1133470/000119312516436927/d273047dex101.htm" TargetMode="External"/><Relationship Id="rId125" Type="http://schemas.openxmlformats.org/officeDocument/2006/relationships/hyperlink" Target="http://www.sec.gov/Archives/edgar/data/1133470/000119312516436927/d273047dex102.htm" TargetMode="External"/><Relationship Id="rId127" Type="http://schemas.openxmlformats.org/officeDocument/2006/relationships/hyperlink" Target="http://www.sec.gov/Archives/edgar/data/1133470/000119312516446268/d21889dex101.htm" TargetMode="External"/><Relationship Id="rId129" Type="http://schemas.openxmlformats.org/officeDocument/2006/relationships/hyperlink" Target="http://www.sec.gov/Archives/edgar/data/1133470/000119312516446268/d21889dex102.htm" TargetMode="External"/><Relationship Id="rId131" Type="http://schemas.openxmlformats.org/officeDocument/2006/relationships/hyperlink" Target="http://www.sec.gov/Archives/edgar/data/1133470/000119312516446268/d21889dex103.htm" TargetMode="External"/><Relationship Id="rId133" Type="http://schemas.openxmlformats.org/officeDocument/2006/relationships/hyperlink" Target="http://www.sec.gov/Archives/edgar/data/1133470/000119312516606560/d189178dex101.htm" TargetMode="External"/><Relationship Id="rId135" Type="http://schemas.openxmlformats.org/officeDocument/2006/relationships/hyperlink" Target="http://www.sec.gov/Archives/edgar/data/1133470/000119312516606560/d189178dex102.htm" TargetMode="External"/><Relationship Id="rId137" Type="http://schemas.openxmlformats.org/officeDocument/2006/relationships/hyperlink" Target="http://www.sec.gov/Archives/edgar/data/1133470/000119312516626473/d196963dex101.htm" TargetMode="External"/><Relationship Id="rId139" Type="http://schemas.openxmlformats.org/officeDocument/2006/relationships/hyperlink" Target="http://www.sec.gov/Archives/edgar/data/1133470/000119312516626473/d196963dex102.htm" TargetMode="External"/><Relationship Id="rId140" Type="http://schemas.openxmlformats.org/officeDocument/2006/relationships/hyperlink" Target="http://www.sec.gov/Archives/edgar/data/1133470/000119312516699606/d245542dex101.htm" TargetMode="External"/><Relationship Id="rId142" Type="http://schemas.openxmlformats.org/officeDocument/2006/relationships/hyperlink" Target="http://www.sec.gov/Archives/edgar/data/1133470/000155837016008260/cvgw-20160731ex10123fd08.htm" TargetMode="External"/><Relationship Id="rId144" Type="http://schemas.openxmlformats.org/officeDocument/2006/relationships/hyperlink" Target="http://www.sec.gov/Archives/edgar/data/1133470/000119312516760447/d287729dex101.htm" TargetMode="External"/><Relationship Id="rId146" Type="http://schemas.openxmlformats.org/officeDocument/2006/relationships/hyperlink" Target="http://www.sec.gov/Archives/edgar/data/1133470/000155837018007357/cvgw-20180731ex101007717.htm" TargetMode="External"/><Relationship Id="rId148" Type="http://schemas.openxmlformats.org/officeDocument/2006/relationships/hyperlink" Target="http://www.sec.gov/Archives/edgar/data/1133470/000155837018007357/cvgw-20180731ex102cafedd.htm" TargetMode="External"/><Relationship Id="rId149" Type="http://schemas.openxmlformats.org/officeDocument/2006/relationships/hyperlink" Target="http://www.sec.gov/Archives/edgar/data/1133470/000155837019001638/cvgw-20190131ex1014d6d57.htm" TargetMode="External"/><Relationship Id="rId150" Type="http://schemas.openxmlformats.org/officeDocument/2006/relationships/hyperlink" Target="http://www.sec.gov/Archives/edgar/data/1133470/000155837019001638/cvgw-20190131ex10270a9dd.htm" TargetMode="External"/><Relationship Id="rId151" Type="http://schemas.openxmlformats.org/officeDocument/2006/relationships/hyperlink" Target="http://www.sec.gov/Archives/edgar/data/1133470/000155837019001638/cvgw-20190131ex103d2fb83.htm" TargetMode="External"/><Relationship Id="rId152" Type="http://schemas.openxmlformats.org/officeDocument/2006/relationships/hyperlink" Target="http://www.sec.gov/Archives/edgar/data/1133470/000155837019001638/cvgw-20190131ex104edc256.htm" TargetMode="External"/><Relationship Id="rId153" Type="http://schemas.openxmlformats.org/officeDocument/2006/relationships/hyperlink" Target="http://www.sec.gov/Archives/edgar/data/1133470/000155837019001638/cvgw-20190131ex105b9cbef.htm" TargetMode="External"/><Relationship Id="rId154" Type="http://schemas.openxmlformats.org/officeDocument/2006/relationships/hyperlink" Target="http://www.sec.gov/Archives/edgar/data/1133470/000095014801500411/v70569ex21-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2019-12-19T13:06:33Z</dcterms:created>
  <dcterms:modified xsi:type="dcterms:W3CDTF">2019-12-19T13:06:33Z</dcterms:modified>
</cp:coreProperties>
</file>