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14, 2026</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center"/>
              <w:ind w:right="3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50"/>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00" w:hanging="250"/>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00" w:hanging="250"/>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left="60" w:right="59" w:firstLine="259"/>
        <w:spacing w:after="0" w:line="266" w:lineRule="auto"/>
        <w:rPr>
          <w:sz w:val="20"/>
          <w:szCs w:val="20"/>
          <w:color w:val="auto"/>
        </w:rPr>
      </w:pPr>
      <w:r>
        <w:rPr>
          <w:rFonts w:ascii="Times New Roman" w:cs="Times New Roman" w:eastAsia="Times New Roman" w:hAnsi="Times New Roman"/>
          <w:sz w:val="18"/>
          <w:szCs w:val="18"/>
          <w:color w:val="auto"/>
        </w:rPr>
        <w:t>On January 14, 2026, Calavo Growers, Inc., (the “Company”) issued a press release announcing our financial results for the three-month and twelve-month periods ended October 31, 2025. A copy of the press release is furnished as Exhibit 99.1 to this Form 8-K.</w:t>
      </w:r>
    </w:p>
    <w:p>
      <w:pPr>
        <w:spacing w:after="0" w:line="176" w:lineRule="exact"/>
        <w:rPr>
          <w:sz w:val="20"/>
          <w:szCs w:val="20"/>
          <w:color w:val="auto"/>
        </w:rPr>
      </w:pPr>
    </w:p>
    <w:p>
      <w:pPr>
        <w:ind w:left="60" w:right="139" w:firstLine="259"/>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the Company under the Securities Act of 1933, as amended, or the Exchange Act, except as shall be expressly set forth by specific reference in such filing.</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540" w:hanging="48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Press Release dated January 14, 2026 of the Company.</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5715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B. John Lindeman</w:t>
      </w:r>
    </w:p>
    <w:p>
      <w:pPr>
        <w:spacing w:after="0" w:line="23"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156845</wp:posOffset>
            </wp:positionV>
            <wp:extent cx="1748790" cy="960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Inc. Announces Fourth Quarter and Fiscal Year 2025 Financial Results</w:t>
      </w:r>
    </w:p>
    <w:p>
      <w:pPr>
        <w:spacing w:after="0" w:line="207" w:lineRule="exact"/>
        <w:rPr>
          <w:sz w:val="20"/>
          <w:szCs w:val="20"/>
          <w:color w:val="auto"/>
        </w:rPr>
      </w:pPr>
    </w:p>
    <w:p>
      <w:pPr>
        <w:jc w:val="center"/>
        <w:ind w:left="1000" w:right="100"/>
        <w:spacing w:after="0" w:line="284" w:lineRule="auto"/>
        <w:rPr>
          <w:sz w:val="20"/>
          <w:szCs w:val="20"/>
          <w:color w:val="auto"/>
        </w:rPr>
      </w:pPr>
      <w:r>
        <w:rPr>
          <w:rFonts w:ascii="Times New Roman" w:cs="Times New Roman" w:eastAsia="Times New Roman" w:hAnsi="Times New Roman"/>
          <w:sz w:val="18"/>
          <w:szCs w:val="18"/>
          <w:i w:val="1"/>
          <w:iCs w:val="1"/>
          <w:color w:val="auto"/>
        </w:rPr>
        <w:t>Delivered Full Year 2025 Growth of +191% in Net Income from continuing operations, +42% in Adjusted Net Income from continuing operations and +12% in Adjusted EBITDA from continuing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Announces Strategic Combination with Mission Produce, Inc.</w:t>
      </w:r>
    </w:p>
    <w:p>
      <w:pPr>
        <w:spacing w:after="0" w:line="2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 xml:space="preserve">SANTA PAULA, Calif., January 14, 2026 (GLOBE NEWSWIRE) -- </w:t>
      </w:r>
      <w:r>
        <w:rPr>
          <w:rFonts w:ascii="Times New Roman" w:cs="Times New Roman" w:eastAsia="Times New Roman" w:hAnsi="Times New Roman"/>
          <w:sz w:val="18"/>
          <w:szCs w:val="18"/>
          <w:b w:val="1"/>
          <w:bCs w:val="1"/>
          <w:color w:val="auto"/>
        </w:rPr>
        <w:t>Calavo Growers, Inc. (Nasdaq-GS: CVGW),</w:t>
      </w:r>
      <w:r>
        <w:rPr>
          <w:rFonts w:ascii="Times New Roman" w:cs="Times New Roman" w:eastAsia="Times New Roman" w:hAnsi="Times New Roman"/>
          <w:sz w:val="18"/>
          <w:szCs w:val="18"/>
          <w:color w:val="auto"/>
        </w:rPr>
        <w:t xml:space="preserve"> a global leader in sourcing, packing and distribution of fresh avocados, tomatoes, papayas and processing of guacamole and other avocado products, today reported its financial results for the fourth fiscal quarter and twelve-month period ended October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Fourth Quarter 2025 vs. Prior Year Period</w:t>
      </w:r>
    </w:p>
    <w:p>
      <w:pPr>
        <w:spacing w:after="0" w:line="21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decreased to $124.7 million, compared to $170.0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$11.6 million, impacted by $1.0 million of non-recurring costs, compared to $16.3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were $12.3 million, a decrease of 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from continuing operations of $3.8 million, compared to $(2.5)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from continuing operations per diluted share of $0.21, compared to $(0.14)</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from continuing operations increased 301% to $4.5 million, or $0.25 per diluted share, compared to $1.1 million, or $0.06 per diluted share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decreased 24% to $5.0 million, compared to $6.6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 2025 vs. Prior Year Period</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decreased to $648.4 million, compared to $661.5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$63.7 million, which includes impact of $6.1 million of non-recurring costs, compared to $67.8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were $42.1 million, a decrease of 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was up 192% to $20.0 million, compared to $6.8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per diluted share of $1.11, compared to $0.38</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from continuing operations increased 42% to $28.9 million, or $1.62 per diluted share, compared to $20.4 million, or $1.14 per diluted share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increased 12% to $40.8 million, compared to $36.5 million</w:t>
      </w:r>
    </w:p>
    <w:p>
      <w:pPr>
        <w:spacing w:after="0" w:line="205"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i w:val="1"/>
          <w:iCs w:val="1"/>
          <w:color w:val="auto"/>
        </w:rPr>
        <w:t>Adjusted net income (loss) from continuing operations, adjusted net income (loss) from continuing operations per diluted share, and adjusted EBITDA from continuing operations are non-GAAP financial measures. See “Non-GAAP Financial Measures” at the end of this press release for additional information, definitions, and reconciliations to the most directly comparable GAAP financial measures.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Announces Strategic Combination with Mission Produce, Inc.</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completion of a comprehensive strategic review process that was first disclosed in June 2025, today the Company and Mission Produce, Inc., (“Mission”), a global leader in sourcing, producing, and distributing fresh avocados, entered into a definitive agreement (the “Merger Agreement”) under which Mission will acquire the Company in a cash and stock transaction. Under the terms of the Merger Agreement, if the transactions are consummated, the Company’s shareholders will receive $27.00 per share (based on the 30-trading day volume weighted average price of Mission common stock for the period ending January 13, 2026), comprised of $14.85 in cash and 0.9790 shares of Mission for each share of the Company’s common stock. Upon the closing of the transactions contemplated by the Merger Agreement, based on the shares currently outstanding, Mission’s stockholders are expected to own approximately 80.3% of the combined company and the Company’s shareholders are expected to own approximately 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810260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4" w:name="page5"/>
    <w:bookmarkEnd w:id="4"/>
    <w:p>
      <w:pPr>
        <w:ind w:right="80"/>
        <w:spacing w:after="0" w:line="256" w:lineRule="auto"/>
        <w:rPr>
          <w:sz w:val="20"/>
          <w:szCs w:val="20"/>
          <w:color w:val="auto"/>
        </w:rPr>
      </w:pPr>
      <w:r>
        <w:rPr>
          <w:rFonts w:ascii="Times New Roman" w:cs="Times New Roman" w:eastAsia="Times New Roman" w:hAnsi="Times New Roman"/>
          <w:sz w:val="18"/>
          <w:szCs w:val="18"/>
          <w:color w:val="auto"/>
        </w:rPr>
        <w:t>The transaction establishes a vertically integrated platform following closing with sourcing security and an expanded year-round portfolio across complementary fresh produce categories. The transaction also creates significant value creation opportunities for shareholders with expected cost synergies of $25 million with potential for meaningful upside. Due to the structure of the transaction, with approximately 45% (based on Mission’s 30-trading day volume-weighted average price) of the consideration coming in the form of stock of the combined company, Calavo’s shareholders have the opportunity to participate in the growth and significant value creation expected to be achieved in the combination.</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transaction, which is subject to customary closing conditions, including regulatory approvals, the approval of Mission’s common stockholders and the Company’s common shareholders, is expected to close by the end of August 2026. The Company can provide no assurances regarding whether the merger will close when expected,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“Over the past century, the Calavo team has built this Company into a global leader in the processing and distribution of avocados, tomatoes, papayas, and guacamole,” said B. John Lindeman, President and Chief Executive Officer of Calavo Growers. “We believe combining with Mission Produce represents a compelling next chapter that will enable our combined business to unlock new growth and expand the impact of our trusted Calavo brand, while also providing our shareholders with compelling value and the opportunity to participate as a shareholder of a global leader in a growing sector. Mission Produce shares our values and our commitment to quality and consistency for customers and growers alike. By joining a larger global platform, we will be better positioned to invest, innovate, and serve the market at scale.”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Regarding our Company’s performance last year, “I’m proud of our team’s performance in the face of several unanticipated challenges in fiscal year 2025. Across the year, we experienced a temporary facility shutdown related to pest remediation, a temporary FDA detention hold on certain avocado imports, managed the now-concluded Foreign Corrupt Practices Act (“FCPA”) investigation, and managed the Strategic Review process originally announced in June 2025, all while also navigating a global avocado supply that increasingly pressured avocado pricing as the year progressed,” said B. John Lindeman, President and Chief Executive Officer of Calavo Growers, Inc. “Despite these challenges, our team executed with discipline across sourcing, operations, and cost management enabling us to deliver Adjusted EBITDA of $40.8 million, up nearly 12% year over year, and Adjusted Net Income of $28.9 million, up 42%.</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“Looking ahead to 2026, while we have experienced sequential monthly improvement since October, we still expect softer first quarter results as compared to the same quarter in the prior year, primarily due to continued strong avocado supply and the resulting pricing dynamics. We are well positioned to leverage an anticipated increase in industry avocado volumes to drive throughput in our Fresh segment. Simultaneously, we remain focused on scaling our Prepared business, which continues to deliver meaningful margin expansion through operating efficiencies.”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Overview</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sales decreased to $124.7 million as compared to $170.0 million from the prior year. Fresh segment sales were $106.3 million, a 31% decrease from the prior year quarter. The lower sales reflect a 19% decline in combined average price per carton and a 5% decrease in total cartons sold, driven primarily by declines in avocado pricing and volume, as the market experienced increasing supply and a pricing reset that intensified late in the quarter, coupled with operational and inventory factors that limited incremental volume. These declines were partially offset by an increase in tomato carton sales. Prepared segment sales were $18.4 million, a 20% increase from the prior year quarter, primarily due to an 11% increase in sales volume. The improvement in the Prepared segment is primarily due to new customers on-boarded, increased volume to existing customers and new products launched in Fiscal 2025.</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Gross profit was $11.6 million, or 9% of net sales, compared to $16.3 million, or 10% of net sales, in the prior year period. Fresh segment gross profit was $7.7 million, a 46% decrease from the prior year quarter, reflecting lower average selling prices and volumes within the Fresh segment, which compressed margins, along with approximately $0.9 million of discrete costs associated with the temporary FDA detention hold on certain avocado imports from Mexico. Prepared segment gross profit increased to $4.0 million, a 100% increase from the prior year quarter, primarily reflecting higher volumes, improved fruit input costs, and improved operating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5" w:name="page6"/>
    <w:bookmarkEnd w:id="5"/>
    <w:p>
      <w:pPr>
        <w:ind w:right="1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were $12.3 million, a 6% decrease from the prior year quarter, reflecting lower professional and consulting fees, including reduced FCPA-related legal expenses, as well as lower IT and facility costs.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Adjusted net income from continuing operations was $4.5 million, or $0.25 per diluted share, compared to $1.1 million, or $0.06 per diluted share, in the prior year quarter, representing an increase of 301% year over year. Adjusted EBITDA from continuing operations was $5.0 million, compared to $6.6 million in the prior year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Overview</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Net sales decreased to $648.4 million as compared to $661.5 million from the prior year due to lower Fresh segment sales, which were partially mitigated by higher Prepared segment sales. Fresh segment sales were $576.5 million, down 4% from the prior year, driven primarily by lower avocado and tomato volumes. Tomato performance was also pressured by adverse weather and abundant domestic supply, which limited import opportunities and compressed margins. Prepared segment sales were $71.9 million, up 12%, reflecting higher volumes, expanded programs with key customers, and meaningful customer wins across retail and foodservice channels in both domestic and international markets.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Gross profit was $63.7 million, or 10% of net sales, compared to $67.8 million, or 10% of net sales, in the prior year. Fresh segment gross profit was $46.3 million, a 16% decrease from the prior year period, reflecting lower avocado and tomato volumes, the temporary FDA detention hold on certain avocado imports from Mexico in the third quarter, and pricing pressure in the second half of the fiscal year as avocado supply from multiple sourcing regions increased. Prepared segment gross profit increased 38% to $17.4 million, primarily driven by higher sales volumes, modestly higher pricing, lower fruit input costs, and improved operating efficiencies.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SG&amp;A expenses were $42.1 million, down 16% from the prior year period, reflecting lower professional and consulting fees (including reduced FCPA related expenses), as well as lower headcount-related costs, stock-based compensation, and facility costs.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net income from continuing operations was $28.9 million, or $1.62 per diluted share, compared to $20.4 million, or $1.14 per diluted share, in the prior year period, representing an increase of 42% year over year. Adjusted EBITDA from continuing operations was $40.8 million, compared to $36.5 million in the prior year period, representing an increase of 12% year over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ended the fourth quarter with cash and cash equivalents of $61.2 million and $97.1 million in available liquidity, which we define as cash and cash equivalents plus available borrowing capacity under our revolving credit facility. As of October 31, 2025, we had no borrowings under our credit facility and total debt of $4.1 million, consisting of other long-term obligations and finance leases. Cash provided by operating activities totaled $21.5 million for fiscal year 2025, reflecting net income of $20.0 million and non-cash charges, partially offset by changes in operating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fiscal 2026, the Company expects: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Higher avocado sales volumes, lower average selling prices and lower per unit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Volume-driven sales growth and higher gross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Adjusted EBITDA resulting primarily from pricing dynamics in the Fresh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Mission and Calavo will host a joint conference call today at 4:30 p.m. EST to discuss the proposed transaction. To listen to the call and access the presentation materials, please visit Mission’s website at https://investors.missionproduce.com/news-events/eventsor Calavo’s website at https://ir.calavo.com. A recording of the call will also be available on both companies’ websites.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Calavo Growers, Inc. (Nasdaq: CVGW) is a global leader in the processing and distribution of avocados, tomatoes, papayas and guacamole. Calavo products are sold under the trusted Calavo brand name, proprietary sub-brands, private label and store brands.</w:t>
      </w:r>
    </w:p>
    <w:p>
      <w:pPr>
        <w:sectPr>
          <w:pgSz w:w="11900" w:h="16838" w:orient="portrait"/>
          <w:cols w:equalWidth="0" w:num="1">
            <w:col w:w="9920"/>
          </w:cols>
          <w:pgMar w:left="980" w:top="675"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6" w:name="page7"/>
    <w:bookmarkEnd w:id="6"/>
    <w:p>
      <w:pPr>
        <w:ind w:right="180"/>
        <w:spacing w:after="0" w:line="266" w:lineRule="auto"/>
        <w:rPr>
          <w:sz w:val="20"/>
          <w:szCs w:val="20"/>
          <w:color w:val="auto"/>
        </w:rPr>
      </w:pPr>
      <w:r>
        <w:rPr>
          <w:rFonts w:ascii="Times New Roman" w:cs="Times New Roman" w:eastAsia="Times New Roman" w:hAnsi="Times New Roman"/>
          <w:sz w:val="18"/>
          <w:szCs w:val="18"/>
          <w:color w:val="auto"/>
        </w:rPr>
        <w:t>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 at calavo.com.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the benefits of the proposed transaction involving Calavo and Mission, including future financial and operating results, Calavo’s and Mission’s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VAT (IVA) refund collections in Mexico; statements regarding the timing and outcomes of legal and tax proceedings in Mexico, including the recovery of VAT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 the ability to obtain the requisite Calavo and Mission stockholder approvals; the risk that Calavo or Mission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Securities and Exchange Commission (the “SEC”) and any subsequent updates that may be contained in our Quarterly Reports on Form 10-Q and other filings with the SEC. Forward-looking statements contained in this press release are made only as of the date of this press release, and we undertake no obligation to update or revise the forward-looking statements, whether because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Calavo and Mission intend to file a joint proxy statement with the SEC and Calavo intends to file with the SEC a registration statement on Form S-4 that will include the joint proxy statement of Calavo and Mission and that will also constitute a prospectus of Calavo (the “Joint Proxy Statement/Prospectus”). Each of Calavo and Mission may also file other relevant documents with the SEC regarding the proposed transaction. This document is not a substitute for the Joint Proxy Statement/Prospectus or registration statement or any other document that Calavo or Mission may file with the SEC. The definitive Joint Proxy Statement/Prospectus (if and when available) will be mailed to stockholders of Calavo and Calavo.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AND THE PROPOSED TRANSACTION.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and Joint Proxy Statement/Prospectus (if and when available) and other documents containing important information about Calavo, Mission and the proposed transaction, once such documents are filed with the SEC through the website maintained by the SEC at http://www.sec.gov. Copies of the Form S-4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may be obtained free of charge on Mission’s website at www. investors.missionproduce.com/financial-information/sec-filings or, alternatively, by directing a request by mail to Mission’s Corporate Secretary at Attention: Corporate Secretary, Mission Produce, 2710 Camino Del Sol, Oxnard, CA 93030.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Calavo, Mission and certain of their respective directors and executive officers may be deemed to be participants in the solicitation of proxies in respect of the proposed transaction. Information about the directors and executive officers of Calavo, including a description of their direct or indirect interests, by security holdings or otherwise, is set forth in Calavo’s annual report on Form 10-K for the year ended October 31, 2024, including under the heading “ Directors, Executive Officers, and Corporate Governance;” proxy</w:t>
      </w:r>
    </w:p>
    <w:p>
      <w:pPr>
        <w:sectPr>
          <w:pgSz w:w="11900" w:h="16838" w:orient="portrait"/>
          <w:cols w:equalWidth="0" w:num="1">
            <w:col w:w="9900"/>
          </w:cols>
          <w:pgMar w:left="980" w:top="675"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75" w:right="1019" w:bottom="1440" w:gutter="0" w:footer="0" w:header="0"/>
          <w:type w:val="continuous"/>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t>statement for Calavo’s 2025 Annual Meeting of Shareholders, which was filed with the SEC on February 28, 2025, including under the headings and subheadings “Executive Compensation,” “Proposal No. 1 Election Board of Directors,” and “Common Stock Ownership Information of Certain Beneficial Owners and Managers;” and Item 5.02 of Calavo’s current reports on Form 8-K filed on November 13, 2025, November 25, 2025, and December 12, 2025. To the extent holdings of Calavo Common Stock by the directors and executive officers of Calavo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Calavo’s directors and executive officers with the SEC. Information about the directors and executive officers of Mission, including a description of their direct or indirect interests, by security holdings or otherwise, is set forth in Mission’s annual report on Form 10-K for the year ended October 31, 2025, and proxy statement for Mission’s 2025 Annual Meeting of Stockholders, which was filed with the SEC on February 25, 2025, including under the headings and subheadings “2024 Director Composition,” “Executive Compensation” and “Security Ownership of Certain Beneficial Owners and Management.” To the extent holdings of Mission Shares by the directors and executive officers of Mission have changed from the amounts reflected therein, such changes have been or will be reflected on Forms 3, Forms 4 or Forms 5, subsequently filed by Mission’s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Calavo or Mission using the sources indicated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This press release includes non-GAAP measures EBITDA, adjusted EBITDA, adjusted net income (loss) and adjusted net income (loss) per diluted share, which are not prepared in accordance with U.S. generally accepted accounting principles, or “GAAP.” EBITDA is defined as net income (loss) from continuing operations attributable to Calavo Growers, Inc. excluding (1) interest income and expense,</w:t>
      </w:r>
    </w:p>
    <w:p>
      <w:pPr>
        <w:spacing w:after="0" w:line="1" w:lineRule="exact"/>
        <w:rPr>
          <w:sz w:val="20"/>
          <w:szCs w:val="20"/>
          <w:color w:val="auto"/>
        </w:rPr>
      </w:pPr>
    </w:p>
    <w:p>
      <w:pPr>
        <w:ind w:firstLine="8"/>
        <w:spacing w:after="0" w:line="25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provision, (3) depreciation and amortization and (4) stock-based compensation expense. Adjusted EBITDA is EBITDA with further adjustments for (1) acquisition-related costs, (2) restructuring-related costs, including certain severance costs, (3) certain litigation, internal investigation and other related costs, (4) foreign currency gain (loss), and (5) asset impairments, (6) impact of discrete tariff or other tax charges that are distortive to results, and (7) one-time items. We believe adjusted EBITDA affords investors a different view of the overall financial performance of the Company than adjusted net income (loss) and the GAAP measure of net income (loss) from continuing operations.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Adjusted net income (loss) is defined as net income (loss) from continuing operations attributable to Calavo Growers, Inc. excluding (1) acquisition-related costs, (2) restructuring-related costs, including certain severance costs, (3) certain litigation, internal investigation and other related costs, (4) foreign currency loss (gain), (5) asset impairments, (6) impact of discrete tariff or other tax charges that are distortive to results,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from continuing operations.</w:t>
      </w:r>
    </w:p>
    <w:p>
      <w:pPr>
        <w:spacing w:after="0" w:line="15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Management believes these measures are useful to investors because they (i) help isolate unusual items not indicative of ongoing operations and (ii) reflect how management monitors operating performance and allocates resources.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(loss) may not be comparable to similarly titled measures presented by other companies and may not be identical to corresponding measures used in Company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Villalta and Will Swett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310-622-8236</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​​​$124,681</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​​​$169,959</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​​​$648,434</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​​​$ 661,544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113,033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153,669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584,771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593,740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net loss from unconsolidated entities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7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17,903</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17,871</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17,897</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17,863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300" w:type="dxa"/>
            <w:vAlign w:val="bottom"/>
            <w:gridSpan w:val="3"/>
          </w:tcPr>
          <w:p>
            <w:pPr>
              <w:ind w:left="20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15"/>
                <w:szCs w:val="15"/>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Prepared</w:t>
            </w:r>
          </w:p>
        </w:tc>
        <w:tc>
          <w:tcPr>
            <w:tcW w:w="20" w:type="dxa"/>
            <w:vAlign w:val="bottom"/>
          </w:tcPr>
          <w:p>
            <w:pPr>
              <w:spacing w:after="0"/>
              <w:rPr>
                <w:sz w:val="15"/>
                <w:szCs w:val="15"/>
                <w:color w:val="auto"/>
              </w:rPr>
            </w:pPr>
          </w:p>
        </w:tc>
        <w:tc>
          <w:tcPr>
            <w:tcW w:w="3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1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October 31, 2025</w:t>
            </w:r>
          </w:p>
        </w:tc>
        <w:tc>
          <w:tcPr>
            <w:tcW w:w="2300" w:type="dxa"/>
            <w:vAlign w:val="bottom"/>
            <w:gridSpan w:val="3"/>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$ 106,237</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$ 18,444</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$ 124,681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October 31, 2024</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$ 154,625</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$ 15,334</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$ 169,959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140,315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153,669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300" w:type="dxa"/>
            <w:vAlign w:val="bottom"/>
            <w:gridSpan w:val="3"/>
          </w:tcPr>
          <w:p>
            <w:pPr>
              <w:ind w:left="20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24"/>
                <w:szCs w:val="24"/>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Prepared</w:t>
            </w:r>
          </w:p>
        </w:tc>
        <w:tc>
          <w:tcPr>
            <w:tcW w:w="20" w:type="dxa"/>
            <w:vAlign w:val="bottom"/>
          </w:tcPr>
          <w:p>
            <w:pPr>
              <w:spacing w:after="0"/>
              <w:rPr>
                <w:sz w:val="24"/>
                <w:szCs w:val="24"/>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auto"/>
            </w:tcBorders>
            <w:gridSpan w:val="1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Twelve months ended October 31, 2025</w:t>
            </w:r>
          </w:p>
        </w:tc>
        <w:tc>
          <w:tcPr>
            <w:tcW w:w="2300" w:type="dxa"/>
            <w:vAlign w:val="bottom"/>
            <w:gridSpan w:val="3"/>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$ 576,544</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$ 71,890</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$ 648,434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530,235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584,771</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2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46,309</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$ 17,354</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63,663</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Twelve months ended October 31, 2024</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$ 597,624</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$ 63,920</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$ 661,544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542,356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593,740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2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$ 12,536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b w:val="1"/>
                <w:bCs w:val="1"/>
                <w:color w:val="auto"/>
              </w:rPr>
              <w:t>October 31,</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b w:val="1"/>
                <w:bCs w:val="1"/>
                <w:color w:val="auto"/>
              </w:rPr>
              <w:t>October 31,</w:t>
            </w:r>
          </w:p>
        </w:tc>
      </w:tr>
      <w:tr>
        <w:trPr>
          <w:trHeight w:val="185"/>
        </w:trPr>
        <w:tc>
          <w:tcPr>
            <w:tcW w:w="77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r>
      <w:tr>
        <w:trPr>
          <w:trHeight w:val="19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allowances of $3,336 (2025) and $3,624 (2024)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41,909</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40" w:type="dxa"/>
            <w:vAlign w:val="bottom"/>
          </w:tcPr>
          <w:p>
            <w:pPr>
              <w:spacing w:after="0"/>
              <w:rPr>
                <w:sz w:val="17"/>
                <w:szCs w:val="17"/>
                <w:color w:val="auto"/>
              </w:rPr>
            </w:pPr>
          </w:p>
        </w:tc>
      </w:tr>
      <w:tr>
        <w:trPr>
          <w:trHeight w:val="20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Advances to suppliers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158,579</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54,200</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49,916</w:t>
            </w:r>
          </w:p>
        </w:tc>
        <w:tc>
          <w:tcPr>
            <w:tcW w:w="40" w:type="dxa"/>
            <w:vAlign w:val="bottom"/>
            <w:shd w:val="clear" w:color="auto" w:fill="CCEEFF"/>
          </w:tcPr>
          <w:p>
            <w:pPr>
              <w:spacing w:after="0"/>
              <w:rPr>
                <w:sz w:val="17"/>
                <w:szCs w:val="17"/>
                <w:color w:val="auto"/>
              </w:rPr>
            </w:pPr>
          </w:p>
        </w:tc>
      </w:tr>
      <w:tr>
        <w:trPr>
          <w:trHeight w:val="236"/>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292,249</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c>
          <w:tcPr>
            <w:tcW w:w="40" w:type="dxa"/>
            <w:vAlign w:val="bottom"/>
            <w:tcBorders>
              <w:bottom w:val="single" w:sz="8" w:color="CCEEFF"/>
            </w:tcBorders>
          </w:tcPr>
          <w:p>
            <w:pPr>
              <w:spacing w:after="0"/>
              <w:rPr>
                <w:sz w:val="20"/>
                <w:szCs w:val="20"/>
                <w:color w:val="auto"/>
              </w:rPr>
            </w:pPr>
          </w:p>
        </w:tc>
      </w:tr>
      <w:tr>
        <w:trPr>
          <w:trHeight w:val="183"/>
        </w:trPr>
        <w:tc>
          <w:tcPr>
            <w:tcW w:w="77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Payable to growers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18,377</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 accounts payable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payable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Mexico Tax Liability</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obligations and finance leases</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40" w:type="dxa"/>
            <w:vAlign w:val="bottom"/>
            <w:shd w:val="clear" w:color="auto" w:fill="CCEEFF"/>
          </w:tcPr>
          <w:p>
            <w:pPr>
              <w:spacing w:after="0"/>
              <w:rPr>
                <w:sz w:val="17"/>
                <w:szCs w:val="17"/>
                <w:color w:val="auto"/>
              </w:rPr>
            </w:pPr>
          </w:p>
        </w:tc>
      </w:tr>
      <w:tr>
        <w:trPr>
          <w:trHeight w:val="196"/>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73,205</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w:t>
            </w: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portion of obligations and finance leases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9"/>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17,855 (2025) and 17,802 (2024) shares issued and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8"/>
                <w:szCs w:val="18"/>
                <w:color w:val="auto"/>
              </w:rPr>
            </w:pPr>
          </w:p>
        </w:tc>
      </w:tr>
      <w:tr>
        <w:trPr>
          <w:trHeight w:val="205"/>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177,973</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Calavo Growers, Inc shareholders’ equity</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200,332</w:t>
            </w:r>
          </w:p>
        </w:tc>
        <w:tc>
          <w:tcPr>
            <w:tcW w:w="40" w:type="dxa"/>
            <w:vAlign w:val="bottom"/>
            <w:shd w:val="clear" w:color="auto" w:fill="CCEEFF"/>
          </w:tcPr>
          <w:p>
            <w:pPr>
              <w:spacing w:after="0"/>
              <w:rPr>
                <w:sz w:val="17"/>
                <w:szCs w:val="17"/>
                <w:color w:val="auto"/>
              </w:rPr>
            </w:pPr>
          </w:p>
        </w:tc>
      </w:tr>
      <w:tr>
        <w:trPr>
          <w:trHeight w:val="203"/>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40" w:type="dxa"/>
            <w:vAlign w:val="bottom"/>
            <w:tcBorders>
              <w:bottom w:val="single" w:sz="8" w:color="CCEEFF"/>
            </w:tcBorders>
          </w:tcPr>
          <w:p>
            <w:pPr>
              <w:spacing w:after="0"/>
              <w:rPr>
                <w:sz w:val="17"/>
                <w:szCs w:val="17"/>
                <w:color w:val="auto"/>
              </w:rPr>
            </w:pPr>
          </w:p>
        </w:tc>
      </w:tr>
      <w:tr>
        <w:trPr>
          <w:trHeight w:val="196"/>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208,558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201,776</w:t>
            </w:r>
          </w:p>
        </w:tc>
        <w:tc>
          <w:tcPr>
            <w:tcW w:w="40" w:type="dxa"/>
            <w:vAlign w:val="bottom"/>
            <w:shd w:val="clear" w:color="auto" w:fill="CCEEFF"/>
          </w:tcPr>
          <w:p>
            <w:pPr>
              <w:spacing w:after="0"/>
              <w:rPr>
                <w:sz w:val="17"/>
                <w:szCs w:val="17"/>
                <w:color w:val="auto"/>
              </w:rPr>
            </w:pPr>
          </w:p>
        </w:tc>
      </w:tr>
      <w:tr>
        <w:trPr>
          <w:trHeight w:val="196"/>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292,249</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c>
          <w:tcPr>
            <w:tcW w:w="4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During the first quarter of fiscal 2025, we modified our calculation of Adjusted Net Income and Adjusted EBITDA to remove income (loss) from unconsolidated entities from excluded items. During the third quarter of fiscal 2025, we further modified our calculation of Adjusted Net Income to add back stock-based compensation expense.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24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October 31,</w:t>
            </w:r>
          </w:p>
        </w:tc>
        <w:tc>
          <w:tcPr>
            <w:tcW w:w="2320" w:type="dxa"/>
            <w:vAlign w:val="bottom"/>
            <w:gridSpan w:val="8"/>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Twelve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Calavo</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(a)</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internal investigation and related expenses (c)</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Tariffs (e)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FDA regulatory hold–related charges (f)</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tomato grower advances (g)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Tax impact of adjustments (i)</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22"/>
                <w:szCs w:val="22"/>
                <w:color w:val="auto"/>
              </w:rPr>
            </w:pP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22"/>
                <w:szCs w:val="22"/>
                <w:color w:val="auto"/>
              </w:rPr>
            </w:pP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Adjusted net income from continuing operations per diluted share</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1" w:right="9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During the first quarter of fiscal 2025, we modified our calculation of Adjusted Net Income and Adjusted EBITDA to remove income (loss) from unconsolidated entities from excluded items.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560" w:type="dxa"/>
            <w:vAlign w:val="bottom"/>
            <w:gridSpan w:val="17"/>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October 31,</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Twelve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Calavo</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related to internal investigation and related expenses (c)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Tariffs (e)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FDA regulatory hold–related charges (f)</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tomato grower advances (g)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40,759</w:t>
            </w:r>
          </w:p>
        </w:tc>
        <w:tc>
          <w:tcPr>
            <w:tcW w:w="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60" w:hanging="332"/>
        <w:spacing w:after="0" w:line="26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twelve months ended October 31, 2024, we incurred $0.9 million in severance and other costs and $0.1 million in stock-based compensation related to the departure of certain members of management.</w:t>
      </w:r>
    </w:p>
    <w:p>
      <w:pPr>
        <w:spacing w:after="0" w:line="14" w:lineRule="exact"/>
        <w:rPr>
          <w:rFonts w:ascii="Times New Roman" w:cs="Times New Roman" w:eastAsia="Times New Roman" w:hAnsi="Times New Roman"/>
          <w:sz w:val="14"/>
          <w:szCs w:val="14"/>
          <w:color w:val="auto"/>
        </w:rPr>
      </w:pPr>
    </w:p>
    <w:p>
      <w:pPr>
        <w:ind w:left="340" w:right="260" w:hanging="332"/>
        <w:spacing w:after="0" w:line="236"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October 31, 2025 and 2024, we incurred 1.1 million and $0.2 million of professional fees related to our Mexican tax matters. For the twelve months ended October 31, 2025 and 2024, we incurred $2.0 million and $1.0 million. “Mexican tax matters” refers to proceedings with the Mexican Tax Administration Service (SAT), including the recovery of value added tax (IVA) receivables, the 2013 assessment, and legal and advisory services connected to the recent court recognition of Calavo de México as a maquila. Additional information is provided in our Annual Report on Form 10-K.</w:t>
      </w:r>
    </w:p>
    <w:p>
      <w:pPr>
        <w:spacing w:after="0" w:line="28" w:lineRule="exact"/>
        <w:rPr>
          <w:rFonts w:ascii="Times New Roman" w:cs="Times New Roman" w:eastAsia="Times New Roman" w:hAnsi="Times New Roman"/>
          <w:sz w:val="14"/>
          <w:szCs w:val="14"/>
          <w:color w:val="auto"/>
        </w:rPr>
      </w:pPr>
    </w:p>
    <w:p>
      <w:pPr>
        <w:ind w:left="340" w:right="12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October 31, 2025, and 2024, we incurred less than $0.1 million and $1.0 million of professional fee expenses related to the FCPA investigation in Mexico. For the twelve months ended October 31, 2025, and 2024, we incurred $0.9 million and $7.4 million of professional fee expenses related to the FCPA investigation in Mexico.</w:t>
      </w:r>
    </w:p>
    <w:p>
      <w:pPr>
        <w:spacing w:after="0" w:line="28" w:lineRule="exact"/>
        <w:rPr>
          <w:rFonts w:ascii="Times New Roman" w:cs="Times New Roman" w:eastAsia="Times New Roman" w:hAnsi="Times New Roman"/>
          <w:sz w:val="14"/>
          <w:szCs w:val="14"/>
          <w:color w:val="auto"/>
        </w:rPr>
      </w:pPr>
    </w:p>
    <w:p>
      <w:pPr>
        <w:ind w:left="340" w:right="100" w:hanging="332"/>
        <w:spacing w:after="0" w:line="26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remeasurement gains, net of losses, were $4.3 million and $1.8 million for the three- and twelve-month periods ended October 31, 2025, compared to a net loss of $3.0 million and $5.8 million for the same periods in 2024.</w:t>
      </w:r>
    </w:p>
    <w:p>
      <w:pPr>
        <w:spacing w:after="0" w:line="14" w:lineRule="exact"/>
        <w:rPr>
          <w:rFonts w:ascii="Times New Roman" w:cs="Times New Roman" w:eastAsia="Times New Roman" w:hAnsi="Times New Roman"/>
          <w:sz w:val="14"/>
          <w:szCs w:val="14"/>
          <w:color w:val="auto"/>
        </w:rPr>
      </w:pPr>
    </w:p>
    <w:p>
      <w:pPr>
        <w:ind w:left="340" w:right="40" w:hanging="332"/>
        <w:spacing w:after="0" w:line="236"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twelve months ended October 31, 2025, we incurred less than $0.1 million and $1.0 million in costs related to tariffs. These costs were primarily attributable to tariffs levied on United States-Mexico-Canada Agreement (USMCA) compliant goods sourced from Mexico during a discrete three-day period (March 4, 2025 through March 6, 2025) before being lifted. The remaining amounts relate primarily to tariffs on certain avocado imports that were also temporary in nature. We were unable to pass these costs on to customers, and we believe they are not indicative of our ongoing operating results.</w:t>
      </w:r>
    </w:p>
    <w:p>
      <w:pPr>
        <w:spacing w:after="0" w:line="28"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third-party inspection and testing costs, incremental logistics/handling expenses, and inventory write-downs on fruit diverted or sold at distressed prices, resulting from the temporary FDA detention hold on certain avocado imports from Mexico during our third and fourth fiscal quarter of 2025. We view these costs as unusual and non-recurring.</w:t>
      </w:r>
    </w:p>
    <w:p>
      <w:pPr>
        <w:spacing w:after="0" w:line="28" w:lineRule="exact"/>
        <w:rPr>
          <w:rFonts w:ascii="Times New Roman" w:cs="Times New Roman" w:eastAsia="Times New Roman" w:hAnsi="Times New Roman"/>
          <w:sz w:val="14"/>
          <w:szCs w:val="14"/>
          <w:color w:val="auto"/>
        </w:rPr>
      </w:pPr>
    </w:p>
    <w:p>
      <w:pPr>
        <w:ind w:left="340" w:right="100" w:hanging="332"/>
        <w:spacing w:after="0" w:line="26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charge recorded in fiscal 2025 to resolve a grower advance balance associated with a tomato program from fiscal years 2021 through 2023. The charge reflects updated recovery considerations and is not indicative of current operations or sourcing activities.</w:t>
      </w:r>
    </w:p>
    <w:p>
      <w:pPr>
        <w:spacing w:after="0" w:line="14" w:lineRule="exact"/>
        <w:rPr>
          <w:rFonts w:ascii="Times New Roman" w:cs="Times New Roman" w:eastAsia="Times New Roman" w:hAnsi="Times New Roman"/>
          <w:sz w:val="14"/>
          <w:szCs w:val="14"/>
          <w:color w:val="auto"/>
        </w:rPr>
      </w:pPr>
    </w:p>
    <w:p>
      <w:pPr>
        <w:jc w:val="both"/>
        <w:ind w:left="340" w:right="24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 costs outside the normal course of operations, consisting primarily of finance organization recruiting and transition-related costs, legal settlement expenses, and professional fees and related costs incurred in connection with the activities of a special committee of the Board of Directors established to evaluate potential strategic transactions. We believe these costs are not indicative of our ongoing operating results.</w:t>
      </w:r>
    </w:p>
    <w:p>
      <w:pPr>
        <w:spacing w:after="0" w:line="2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7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2026-01-20T11:30:07Z</dcterms:created>
  <dcterms:modified xsi:type="dcterms:W3CDTF">2026-01-20T11:30:07Z</dcterms:modified>
</cp:coreProperties>
</file>