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Gibson James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of Subsidiary Corp.</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80" w:type="dxa"/>
            <w:vAlign w:val="bottom"/>
            <w:gridSpan w:val="7"/>
            <w:vMerge w:val="continue"/>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01/10/2019</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93060</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343</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79.28</w:t>
            </w:r>
          </w:p>
        </w:tc>
        <w:tc>
          <w:tcPr>
            <w:tcW w:w="12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57,920</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restart"/>
          </w:tcPr>
          <w:p>
            <w:pPr>
              <w:jc w:val="center"/>
              <w:ind w:right="299"/>
              <w:spacing w:after="0"/>
              <w:rPr>
                <w:sz w:val="20"/>
                <w:szCs w:val="20"/>
                <w:color w:val="auto"/>
              </w:rPr>
            </w:pPr>
            <w:r>
              <w:rPr>
                <w:rFonts w:ascii="Arial" w:cs="Arial" w:eastAsia="Arial" w:hAnsi="Arial"/>
                <w:sz w:val="18"/>
                <w:szCs w:val="18"/>
                <w:color w:val="0000FF"/>
              </w:rPr>
              <w:t>4,986</w:t>
            </w:r>
            <w:r>
              <w:rPr>
                <w:rFonts w:ascii="Arial" w:cs="Arial" w:eastAsia="Arial" w:hAnsi="Arial"/>
                <w:sz w:val="22"/>
                <w:szCs w:val="22"/>
                <w:color w:val="008000"/>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Gibson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amended number of shares shown here as being directly owned by the reporting person following the reported transaction now reflects the transfer of 4,148 shares of restricted stock that, upon vesting, had been transferred to The Gibson Family Trust (the "Family Trust"), but had previously been inadvertently reflected as being directly owned by the reporting person.</w:t>
      </w:r>
    </w:p>
    <w:p>
      <w:pPr>
        <w:ind w:left="40" w:right="2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indirectly by the reporting person in the name of the Family Trust, of which the reporting person is a trustee and in which the reporting person has a pecuniary interest. The number of shares shown here as being indirectly owned by the Family Trust now reflects 4,148 additional shares of restricted stock that, upon vesting, were transferred to the Family Trust, but had been inadvertently omitted from the Family Trust's amount of securities beneficially owned (such shares had instead still been reflected as being directly owned by the reporting person, as noted in Footnote 1).</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5"/>
              </w:rPr>
              <w:t>/s/ James E. Gibson</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03/26/2019</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830"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2020-01-09T13:11:25Z</dcterms:created>
  <dcterms:modified xsi:type="dcterms:W3CDTF">2020-01-09T13:11:25Z</dcterms:modified>
</cp:coreProperties>
</file>