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bookmarkStart w:id="0" w:name="v33507e8vk.htm"/>
      <w:bookmarkStart w:id="1" w:name="ksv33507e8vk"/>
      <w:bookmarkEnd w:id="0"/>
      <w:bookmarkEnd w:id="1"/>
      <w:r>
        <w:rPr/>
        <w:t> </w:t>
      </w:r>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 PURSUANT</w:t>
        <w:br/>
        <w:t>TO SECTION 13 OR 15(d) OF THE</w:t>
        <w:br/>
        <w:t>SECURITIES EXCHANGE ACT OF 1934</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17"/>
        </w:rPr>
      </w:pPr>
      <w:r>
        <w:rPr>
          <w:rFonts w:ascii="Times New Roman;Times;serif" w:hAnsi="Times New Roman;Times;serif"/>
          <w:sz w:val="17"/>
        </w:rPr>
        <w:t xml:space="preserve">Date of report (Date of earliest event reported): </w:t>
      </w:r>
      <w:r>
        <w:rPr>
          <w:rFonts w:ascii="Times New Roman;Times;serif" w:hAnsi="Times New Roman;Times;serif"/>
          <w:b/>
          <w:sz w:val="17"/>
        </w:rPr>
        <w:t>September 5, 2007</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CALAVO GROWERS, INC.</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Charter)</w:t>
      </w:r>
    </w:p>
    <w:tbl>
      <w:tblPr>
        <w:tblW w:w="5000" w:type="pct"/>
        <w:jc w:val="center"/>
        <w:tblInd w:w="0" w:type="dxa"/>
        <w:tblCellMar>
          <w:top w:w="0" w:type="dxa"/>
          <w:left w:w="0" w:type="dxa"/>
          <w:bottom w:w="0" w:type="dxa"/>
          <w:right w:w="0" w:type="dxa"/>
        </w:tblCellMar>
      </w:tblPr>
      <w:tblGrid>
        <w:gridCol w:w="3062"/>
        <w:gridCol w:w="509"/>
        <w:gridCol w:w="3062"/>
        <w:gridCol w:w="509"/>
        <w:gridCol w:w="3063"/>
      </w:tblGrid>
      <w:tr>
        <w:trPr/>
        <w:tc>
          <w:tcPr>
            <w:tcW w:w="3062"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3063" w:type="dxa"/>
            <w:tcBorders/>
            <w:shd w:fill="auto" w:val="clear"/>
            <w:vAlign w:val="bottom"/>
          </w:tcPr>
          <w:p>
            <w:pPr>
              <w:pStyle w:val="TableContents"/>
              <w:spacing w:before="0" w:after="283"/>
              <w:rPr/>
            </w:pPr>
            <w:r>
              <w:rPr/>
              <w:t> </w:t>
            </w:r>
          </w:p>
        </w:tc>
      </w:tr>
      <w:tr>
        <w:trPr/>
        <w:tc>
          <w:tcPr>
            <w:tcW w:w="3062" w:type="dxa"/>
            <w:tcBorders/>
            <w:shd w:fill="auto" w:val="clear"/>
          </w:tcPr>
          <w:p>
            <w:pPr>
              <w:pStyle w:val="TableContents"/>
              <w:spacing w:before="0" w:after="283"/>
              <w:jc w:val="center"/>
              <w:rPr/>
            </w:pPr>
            <w:r>
              <w:rPr>
                <w:b/>
              </w:rPr>
              <w:t>California</w:t>
            </w:r>
            <w:r>
              <w:rPr/>
              <w:t xml:space="preserve">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b/>
              </w:rPr>
              <w:t>000-33385</w:t>
            </w:r>
            <w:r>
              <w:rPr/>
              <w:t xml:space="preserve"> </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b/>
              </w:rPr>
            </w:pPr>
            <w:r>
              <w:rPr>
                <w:b/>
              </w:rPr>
              <w:t>33-0945304</w:t>
            </w:r>
          </w:p>
        </w:tc>
      </w:tr>
      <w:tr>
        <w:trPr/>
        <w:tc>
          <w:tcPr>
            <w:tcW w:w="3062" w:type="dxa"/>
            <w:tcBorders>
              <w:top w:val="single" w:sz="2" w:space="0" w:color="000000"/>
            </w:tcBorders>
            <w:shd w:fill="auto" w:val="clear"/>
            <w:tcMar>
              <w:top w:w="28" w:type="dxa"/>
            </w:tcMar>
          </w:tcPr>
          <w:p>
            <w:pPr>
              <w:pStyle w:val="TableContents"/>
              <w:spacing w:before="0" w:after="283"/>
              <w:jc w:val="center"/>
              <w:rPr/>
            </w:pPr>
            <w:r>
              <w:rPr/>
              <w:t xml:space="preserve">  </w:t>
            </w:r>
          </w:p>
        </w:tc>
        <w:tc>
          <w:tcPr>
            <w:tcW w:w="509" w:type="dxa"/>
            <w:tcBorders/>
            <w:shd w:fill="auto" w:val="clear"/>
            <w:vAlign w:val="center"/>
          </w:tcPr>
          <w:p>
            <w:pPr>
              <w:pStyle w:val="TableContents"/>
              <w:spacing w:before="0" w:after="283"/>
              <w:rPr/>
            </w:pPr>
            <w:r>
              <w:rPr/>
              <w:t> </w:t>
            </w:r>
          </w:p>
        </w:tc>
        <w:tc>
          <w:tcPr>
            <w:tcW w:w="3062" w:type="dxa"/>
            <w:tcBorders>
              <w:top w:val="single" w:sz="2" w:space="0" w:color="000000"/>
            </w:tcBorders>
            <w:shd w:fill="auto" w:val="clear"/>
            <w:tcMar>
              <w:top w:w="28" w:type="dxa"/>
            </w:tcMar>
          </w:tcPr>
          <w:p>
            <w:pPr>
              <w:pStyle w:val="TableContents"/>
              <w:spacing w:before="0" w:after="283"/>
              <w:jc w:val="center"/>
              <w:rPr/>
            </w:pPr>
            <w:r>
              <w:rPr/>
              <w:t xml:space="preserve">  </w:t>
            </w:r>
          </w:p>
        </w:tc>
        <w:tc>
          <w:tcPr>
            <w:tcW w:w="509" w:type="dxa"/>
            <w:tcBorders/>
            <w:shd w:fill="auto" w:val="clear"/>
            <w:vAlign w:val="center"/>
          </w:tcPr>
          <w:p>
            <w:pPr>
              <w:pStyle w:val="TableContents"/>
              <w:spacing w:before="0" w:after="283"/>
              <w:rPr/>
            </w:pPr>
            <w:r>
              <w:rPr/>
              <w:t> </w:t>
            </w:r>
          </w:p>
        </w:tc>
        <w:tc>
          <w:tcPr>
            <w:tcW w:w="3063" w:type="dxa"/>
            <w:tcBorders>
              <w:top w:val="single" w:sz="2" w:space="0" w:color="000000"/>
            </w:tcBorders>
            <w:shd w:fill="auto" w:val="clear"/>
            <w:tcMar>
              <w:top w:w="28" w:type="dxa"/>
            </w:tcMar>
          </w:tcPr>
          <w:p>
            <w:pPr>
              <w:pStyle w:val="TableContents"/>
              <w:spacing w:before="0" w:after="283"/>
              <w:jc w:val="center"/>
              <w:rPr/>
            </w:pPr>
            <w:r>
              <w:rPr/>
              <w:t> </w:t>
            </w:r>
          </w:p>
        </w:tc>
      </w:tr>
      <w:tr>
        <w:trPr/>
        <w:tc>
          <w:tcPr>
            <w:tcW w:w="3062" w:type="dxa"/>
            <w:tcBorders/>
            <w:shd w:fill="auto" w:val="clear"/>
          </w:tcPr>
          <w:p>
            <w:pPr>
              <w:pStyle w:val="TableContents"/>
              <w:spacing w:before="0" w:after="283"/>
              <w:jc w:val="center"/>
              <w:rPr/>
            </w:pPr>
            <w:r>
              <w:rPr/>
              <w:t xml:space="preserve">(State or Other Jurisdiction of Incorporation)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 xml:space="preserve">(Commission File Number) </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pPr>
            <w:r>
              <w:rPr/>
              <w:t>(IRS Employer Identification No.)</w:t>
            </w:r>
          </w:p>
        </w:tc>
      </w:tr>
    </w:tbl>
    <w:p>
      <w:pPr>
        <w:pStyle w:val="TextBody"/>
        <w:spacing w:before="240" w:after="283"/>
        <w:jc w:val="center"/>
        <w:rPr>
          <w:rFonts w:ascii="Times New Roman;Times;serif" w:hAnsi="Times New Roman;Times;serif"/>
          <w:b/>
          <w:sz w:val="17"/>
        </w:rPr>
      </w:pPr>
      <w:r>
        <w:rPr>
          <w:rFonts w:ascii="Times New Roman;Times;serif" w:hAnsi="Times New Roman;Times;serif"/>
          <w:b/>
          <w:sz w:val="17"/>
        </w:rPr>
        <w:t>1141-A Cummings Road, Santa Paula, California 93060</w:t>
      </w:r>
    </w:p>
    <w:p>
      <w:pPr>
        <w:pStyle w:val="TextBody"/>
        <w:spacing w:before="20" w:after="283"/>
        <w:jc w:val="center"/>
        <w:rPr>
          <w:bdr w:val="single" w:sz="2" w:space="1" w:color="000000"/>
        </w:rPr>
      </w:pPr>
      <w:r>
        <w:rPr>
          <w:bdr w:val="single" w:sz="2" w:space="1" w:color="000000"/>
        </w:rPr>
        <w:t> </w:t>
      </w:r>
    </w:p>
    <w:p>
      <w:pPr>
        <w:pStyle w:val="TextBody"/>
        <w:spacing w:before="0" w:after="0"/>
        <w:jc w:val="center"/>
        <w:rPr>
          <w:rFonts w:ascii="Times New Roman;Times;serif" w:hAnsi="Times New Roman;Times;serif"/>
          <w:sz w:val="17"/>
        </w:rPr>
      </w:pPr>
      <w:r>
        <w:rPr>
          <w:rFonts w:ascii="Times New Roman;Times;serif" w:hAnsi="Times New Roman;Times;serif"/>
          <w:sz w:val="17"/>
        </w:rPr>
        <w:t>(Address of Principal Executive Offices) (Zip Code)</w:t>
      </w:r>
    </w:p>
    <w:p>
      <w:pPr>
        <w:pStyle w:val="TextBody"/>
        <w:spacing w:before="240" w:after="283"/>
        <w:jc w:val="center"/>
        <w:rPr/>
      </w:pPr>
      <w:r>
        <w:rPr/>
        <w:t> </w:t>
      </w:r>
    </w:p>
    <w:p>
      <w:pPr>
        <w:pStyle w:val="TextBody"/>
        <w:spacing w:before="20" w:after="283"/>
        <w:jc w:val="center"/>
        <w:rPr>
          <w:bdr w:val="single" w:sz="2" w:space="1" w:color="000000"/>
        </w:rPr>
      </w:pPr>
      <w:r>
        <w:rPr>
          <w:bdr w:val="single" w:sz="2" w:space="1" w:color="000000"/>
        </w:rPr>
        <w:t> </w:t>
      </w:r>
    </w:p>
    <w:p>
      <w:pPr>
        <w:pStyle w:val="TextBody"/>
        <w:spacing w:before="0" w:after="0"/>
        <w:jc w:val="center"/>
        <w:rPr>
          <w:rFonts w:ascii="Times New Roman;Times;serif" w:hAnsi="Times New Roman;Times;serif"/>
          <w:sz w:val="17"/>
        </w:rPr>
      </w:pPr>
      <w:r>
        <w:rPr>
          <w:rFonts w:ascii="Times New Roman;Times;serif" w:hAnsi="Times New Roman;Times;serif"/>
          <w:sz w:val="17"/>
        </w:rPr>
        <w:t>(Former Name or Former Address, if Changed Since Last Report)</w:t>
      </w:r>
    </w:p>
    <w:p>
      <w:pPr>
        <w:pStyle w:val="TextBody"/>
        <w:spacing w:before="240" w:after="283"/>
        <w:jc w:val="center"/>
        <w:rPr>
          <w:rFonts w:ascii="Times New Roman;Times;serif" w:hAnsi="Times New Roman;Times;serif"/>
          <w:sz w:val="17"/>
        </w:rPr>
      </w:pPr>
      <w:r>
        <w:rPr>
          <w:rFonts w:ascii="Times New Roman;Times;serif" w:hAnsi="Times New Roman;Times;serif"/>
          <w:sz w:val="17"/>
        </w:rPr>
        <w:t xml:space="preserve">Registrants telephone number, including area code: </w:t>
      </w:r>
      <w:r>
        <w:rPr>
          <w:rFonts w:ascii="Times New Roman;Times;serif" w:hAnsi="Times New Roman;Times;serif"/>
          <w:b/>
          <w:sz w:val="17"/>
        </w:rPr>
        <w:t>(805) 525-1245</w:t>
      </w:r>
    </w:p>
    <w:p>
      <w:pPr>
        <w:pStyle w:val="TextBody"/>
        <w:spacing w:before="120" w:after="283"/>
        <w:jc w:val="left"/>
        <w:rPr/>
      </w:pPr>
      <w:r>
        <w:rPr/>
        <w:t>     </w:t>
      </w: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p>
      <w:pPr>
        <w:pStyle w:val="TextBody"/>
        <w:spacing w:before="120" w:after="283"/>
        <w:jc w:val="left"/>
        <w:rPr/>
      </w:pPr>
      <w:r>
        <w:rPr/>
        <w:t>     </w:t>
      </w:r>
      <w:r>
        <w:rPr>
          <w:rFonts w:ascii="Wingdings" w:hAnsi="Wingdings"/>
          <w:sz w:val="17"/>
        </w:rPr>
        <w:t>o</w:t>
      </w:r>
      <w:r>
        <w:rPr>
          <w:rFonts w:ascii="Times New Roman;Times;serif" w:hAnsi="Times New Roman;Times;serif"/>
          <w:sz w:val="17"/>
        </w:rPr>
        <w:t xml:space="preserve">     Written communications pursuant to Rule 425 under the Securities Act (17 CFR 230.425) </w:t>
      </w:r>
    </w:p>
    <w:p>
      <w:pPr>
        <w:pStyle w:val="TextBody"/>
        <w:spacing w:before="120" w:after="283"/>
        <w:jc w:val="left"/>
        <w:rPr/>
      </w:pPr>
      <w:r>
        <w:rPr/>
        <w:t>     </w:t>
      </w:r>
      <w:r>
        <w:rPr>
          <w:rFonts w:ascii="Wingdings" w:hAnsi="Wingdings"/>
          <w:sz w:val="17"/>
        </w:rPr>
        <w:t>o</w:t>
      </w:r>
      <w:r>
        <w:rPr>
          <w:rFonts w:ascii="Times New Roman;Times;serif" w:hAnsi="Times New Roman;Times;serif"/>
          <w:sz w:val="17"/>
        </w:rPr>
        <w:t xml:space="preserve">     Soliciting material pursuant to Rule 14a-12 under the Exchange Act (17 CFR 240.14a-12) </w:t>
      </w:r>
    </w:p>
    <w:p>
      <w:pPr>
        <w:pStyle w:val="TextBody"/>
        <w:spacing w:before="120" w:after="283"/>
        <w:jc w:val="left"/>
        <w:rPr/>
      </w:pPr>
      <w:r>
        <w:rPr/>
        <w:t>     </w:t>
      </w:r>
      <w:r>
        <w:rPr>
          <w:rFonts w:ascii="Wingdings" w:hAnsi="Wingdings"/>
          <w:sz w:val="17"/>
        </w:rPr>
        <w:t>o</w:t>
      </w:r>
      <w:r>
        <w:rPr>
          <w:rFonts w:ascii="Times New Roman;Times;serif" w:hAnsi="Times New Roman;Times;serif"/>
          <w:sz w:val="17"/>
        </w:rPr>
        <w:t xml:space="preserve">     Pre-commencement communications pursuant to Rule 14d-2(b) under the Exchange Act (17 CFR 240.14d-2(b)) </w:t>
      </w:r>
    </w:p>
    <w:p>
      <w:pPr>
        <w:pStyle w:val="TextBody"/>
        <w:spacing w:before="120" w:after="283"/>
        <w:jc w:val="left"/>
        <w:rPr/>
      </w:pPr>
      <w:r>
        <w:rPr/>
        <w:t>     </w:t>
      </w:r>
      <w:r>
        <w:rPr>
          <w:rFonts w:ascii="Wingdings" w:hAnsi="Wingdings"/>
          <w:sz w:val="17"/>
        </w:rPr>
        <w:t>o</w:t>
      </w:r>
      <w:r>
        <w:rPr>
          <w:rFonts w:ascii="Times New Roman;Times;serif" w:hAnsi="Times New Roman;Times;serif"/>
          <w:sz w:val="17"/>
        </w:rPr>
        <w:t xml:space="preserve">     Pre-commencement communications pursuant to Rule 13e-4(c) under the Exchange Act (17 CFR 240.13e-4(c))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2.02 Results of Operations and Financial Condition.</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pPr>
            <w:r>
              <w:rPr/>
              <w:t>(a)</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On September 5, 2007, we issued a press release containing our financial results for the quarter ended July 31, 2007. A copy of our press release is attached hereto as Exhibit 99.1 and is incorporated by reference.</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Item 9.01. Financial Statements and Exhibits.</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311"/>
        <w:gridCol w:w="102"/>
        <w:gridCol w:w="9792"/>
      </w:tblGrid>
      <w:tr>
        <w:trPr/>
        <w:tc>
          <w:tcPr>
            <w:tcW w:w="311" w:type="dxa"/>
            <w:tcBorders/>
            <w:shd w:fill="auto" w:val="clear"/>
          </w:tcPr>
          <w:p>
            <w:pPr>
              <w:pStyle w:val="TableContents"/>
              <w:spacing w:before="0" w:after="283"/>
              <w:jc w:val="left"/>
              <w:rPr/>
            </w:pPr>
            <w:r>
              <w:rPr/>
              <w:t>(b)</w:t>
            </w:r>
          </w:p>
        </w:tc>
        <w:tc>
          <w:tcPr>
            <w:tcW w:w="102" w:type="dxa"/>
            <w:tcBorders/>
            <w:shd w:fill="auto" w:val="clear"/>
          </w:tcPr>
          <w:p>
            <w:pPr>
              <w:pStyle w:val="TableContents"/>
              <w:spacing w:before="0" w:after="283"/>
              <w:rPr/>
            </w:pPr>
            <w:r>
              <w:rPr/>
              <w:t> </w:t>
            </w:r>
          </w:p>
        </w:tc>
        <w:tc>
          <w:tcPr>
            <w:tcW w:w="9792" w:type="dxa"/>
            <w:tcBorders/>
            <w:shd w:fill="auto" w:val="clear"/>
          </w:tcPr>
          <w:p>
            <w:pPr>
              <w:pStyle w:val="TableContents"/>
              <w:spacing w:before="0" w:after="283"/>
              <w:rPr/>
            </w:pPr>
            <w:r>
              <w:rPr/>
              <w:t>Exhibits</w:t>
            </w:r>
          </w:p>
        </w:tc>
      </w:tr>
    </w:tbl>
    <w:tbl>
      <w:tblPr>
        <w:tblW w:w="5000" w:type="pct"/>
        <w:jc w:val="left"/>
        <w:tblInd w:w="0" w:type="dxa"/>
        <w:tblCellMar>
          <w:top w:w="0" w:type="dxa"/>
          <w:left w:w="0" w:type="dxa"/>
          <w:bottom w:w="0" w:type="dxa"/>
          <w:right w:w="0" w:type="dxa"/>
        </w:tblCellMar>
      </w:tblPr>
      <w:tblGrid>
        <w:gridCol w:w="402"/>
        <w:gridCol w:w="450"/>
        <w:gridCol w:w="117"/>
        <w:gridCol w:w="9236"/>
      </w:tblGrid>
      <w:tr>
        <w:trPr/>
        <w:tc>
          <w:tcPr>
            <w:tcW w:w="402" w:type="dxa"/>
            <w:tcBorders/>
            <w:shd w:fill="auto" w:val="clear"/>
          </w:tcPr>
          <w:p>
            <w:pPr>
              <w:pStyle w:val="TableContents"/>
              <w:spacing w:before="0" w:after="283"/>
              <w:rPr/>
            </w:pPr>
            <w:r>
              <w:rPr/>
              <w:t> </w:t>
            </w:r>
          </w:p>
        </w:tc>
        <w:tc>
          <w:tcPr>
            <w:tcW w:w="450" w:type="dxa"/>
            <w:tcBorders/>
            <w:shd w:fill="auto" w:val="clear"/>
          </w:tcPr>
          <w:p>
            <w:pPr>
              <w:pStyle w:val="TableContents"/>
              <w:spacing w:before="0" w:after="283"/>
              <w:jc w:val="left"/>
              <w:rPr/>
            </w:pPr>
            <w:r>
              <w:rPr/>
              <w:t>99.1</w:t>
            </w:r>
          </w:p>
        </w:tc>
        <w:tc>
          <w:tcPr>
            <w:tcW w:w="117" w:type="dxa"/>
            <w:tcBorders/>
            <w:shd w:fill="auto" w:val="clear"/>
          </w:tcPr>
          <w:p>
            <w:pPr>
              <w:pStyle w:val="TableContents"/>
              <w:spacing w:before="0" w:after="283"/>
              <w:rPr/>
            </w:pPr>
            <w:r>
              <w:rPr/>
              <w:t> </w:t>
            </w:r>
          </w:p>
        </w:tc>
        <w:tc>
          <w:tcPr>
            <w:tcW w:w="9236" w:type="dxa"/>
            <w:tcBorders/>
            <w:shd w:fill="auto" w:val="clear"/>
          </w:tcPr>
          <w:p>
            <w:pPr>
              <w:pStyle w:val="TableContents"/>
              <w:spacing w:before="0" w:after="283"/>
              <w:rPr/>
            </w:pPr>
            <w:r>
              <w:rPr/>
              <w:t xml:space="preserve">Press release dated September 5, 2007 of the Registrant.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SIGNATURE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left"/>
        <w:tblInd w:w="0" w:type="dxa"/>
        <w:tblCellMar>
          <w:top w:w="0" w:type="dxa"/>
          <w:left w:w="0" w:type="dxa"/>
          <w:bottom w:w="0" w:type="dxa"/>
          <w:right w:w="0" w:type="dxa"/>
        </w:tblCellMar>
      </w:tblPr>
      <w:tblGrid>
        <w:gridCol w:w="4650"/>
        <w:gridCol w:w="670"/>
        <w:gridCol w:w="793"/>
        <w:gridCol w:w="2873"/>
        <w:gridCol w:w="1219"/>
      </w:tblGrid>
      <w:tr>
        <w:trPr/>
        <w:tc>
          <w:tcPr>
            <w:tcW w:w="4650" w:type="dxa"/>
            <w:tcBorders/>
            <w:shd w:fill="auto" w:val="clear"/>
            <w:vAlign w:val="center"/>
          </w:tcPr>
          <w:p>
            <w:pPr>
              <w:pStyle w:val="TableContents"/>
              <w:spacing w:before="0" w:after="283"/>
              <w:rPr/>
            </w:pPr>
            <w:r>
              <w:rPr/>
              <w:t> </w:t>
            </w:r>
          </w:p>
        </w:tc>
        <w:tc>
          <w:tcPr>
            <w:tcW w:w="670" w:type="dxa"/>
            <w:tcBorders/>
            <w:shd w:fill="auto" w:val="clear"/>
            <w:vAlign w:val="center"/>
          </w:tcPr>
          <w:p>
            <w:pPr>
              <w:pStyle w:val="TableContents"/>
              <w:spacing w:before="0" w:after="283"/>
              <w:rPr/>
            </w:pPr>
            <w:r>
              <w:rPr/>
              <w:t> </w:t>
            </w:r>
          </w:p>
        </w:tc>
        <w:tc>
          <w:tcPr>
            <w:tcW w:w="793" w:type="dxa"/>
            <w:tcBorders/>
            <w:shd w:fill="auto" w:val="clear"/>
            <w:vAlign w:val="center"/>
          </w:tcPr>
          <w:p>
            <w:pPr>
              <w:pStyle w:val="TableContents"/>
              <w:spacing w:before="0" w:after="283"/>
              <w:rPr/>
            </w:pPr>
            <w:r>
              <w:rPr/>
              <w:t> </w:t>
            </w:r>
          </w:p>
        </w:tc>
        <w:tc>
          <w:tcPr>
            <w:tcW w:w="2873" w:type="dxa"/>
            <w:tcBorders/>
            <w:shd w:fill="auto" w:val="clear"/>
            <w:vAlign w:val="center"/>
          </w:tcPr>
          <w:p>
            <w:pPr>
              <w:pStyle w:val="TableContents"/>
              <w:spacing w:before="0" w:after="283"/>
              <w:rPr/>
            </w:pPr>
            <w:r>
              <w:rPr/>
              <w:t> </w:t>
            </w:r>
          </w:p>
        </w:tc>
        <w:tc>
          <w:tcPr>
            <w:tcW w:w="1219" w:type="dxa"/>
            <w:tcBorders/>
            <w:shd w:fill="auto" w:val="clear"/>
            <w:vAlign w:val="center"/>
          </w:tcPr>
          <w:p>
            <w:pPr>
              <w:pStyle w:val="TableContents"/>
              <w:spacing w:before="0" w:after="283"/>
              <w:rPr/>
            </w:pPr>
            <w:r>
              <w:rPr/>
              <w:t> </w:t>
            </w:r>
          </w:p>
        </w:tc>
      </w:tr>
      <w:tr>
        <w:trPr/>
        <w:tc>
          <w:tcPr>
            <w:tcW w:w="4650" w:type="dxa"/>
            <w:tcBorders/>
            <w:shd w:fill="auto" w:val="clear"/>
          </w:tcPr>
          <w:p>
            <w:pPr>
              <w:pStyle w:val="TableContents"/>
              <w:spacing w:before="0" w:after="283"/>
              <w:jc w:val="left"/>
              <w:rPr/>
            </w:pPr>
            <w:r>
              <w:rPr/>
              <w:t> </w:t>
            </w:r>
          </w:p>
        </w:tc>
        <w:tc>
          <w:tcPr>
            <w:tcW w:w="4336" w:type="dxa"/>
            <w:gridSpan w:val="3"/>
            <w:tcBorders/>
            <w:shd w:fill="auto" w:val="clear"/>
            <w:vAlign w:val="center"/>
          </w:tcPr>
          <w:p>
            <w:pPr>
              <w:pStyle w:val="TableContents"/>
              <w:spacing w:before="0" w:after="283"/>
              <w:jc w:val="left"/>
              <w:rPr/>
            </w:pPr>
            <w:r>
              <w:rPr/>
              <w:t>Calavo Growers, Inc.</w:t>
              <w:br/>
              <w:br/>
              <w:t> </w:t>
            </w:r>
          </w:p>
        </w:tc>
        <w:tc>
          <w:tcPr>
            <w:tcW w:w="1219" w:type="dxa"/>
            <w:tcBorders/>
            <w:shd w:fill="auto" w:val="clear"/>
            <w:vAlign w:val="center"/>
          </w:tcPr>
          <w:p>
            <w:pPr>
              <w:pStyle w:val="TableContents"/>
              <w:spacing w:before="0" w:after="283"/>
              <w:rPr/>
            </w:pPr>
            <w:r>
              <w:rPr/>
              <w:t> </w:t>
            </w:r>
          </w:p>
        </w:tc>
      </w:tr>
      <w:tr>
        <w:trPr/>
        <w:tc>
          <w:tcPr>
            <w:tcW w:w="4650" w:type="dxa"/>
            <w:tcBorders/>
            <w:shd w:fill="auto" w:val="clear"/>
            <w:vAlign w:val="center"/>
          </w:tcPr>
          <w:p>
            <w:pPr>
              <w:pStyle w:val="TableContents"/>
              <w:spacing w:before="0" w:after="283"/>
              <w:jc w:val="left"/>
              <w:rPr/>
            </w:pPr>
            <w:r>
              <w:rPr/>
              <w:t>September 5, 2007 </w:t>
            </w:r>
          </w:p>
        </w:tc>
        <w:tc>
          <w:tcPr>
            <w:tcW w:w="670" w:type="dxa"/>
            <w:tcBorders/>
            <w:shd w:fill="auto" w:val="clear"/>
          </w:tcPr>
          <w:p>
            <w:pPr>
              <w:pStyle w:val="TableContents"/>
              <w:spacing w:before="0" w:after="283"/>
              <w:rPr/>
            </w:pPr>
            <w:r>
              <w:rPr/>
              <w:t>By:  </w:t>
            </w:r>
          </w:p>
        </w:tc>
        <w:tc>
          <w:tcPr>
            <w:tcW w:w="3666" w:type="dxa"/>
            <w:gridSpan w:val="2"/>
            <w:tcBorders>
              <w:bottom w:val="single" w:sz="2" w:space="0" w:color="000000"/>
            </w:tcBorders>
            <w:shd w:fill="auto" w:val="clear"/>
            <w:tcMar>
              <w:bottom w:w="28" w:type="dxa"/>
            </w:tcMar>
            <w:vAlign w:val="center"/>
          </w:tcPr>
          <w:p>
            <w:pPr>
              <w:pStyle w:val="TableContents"/>
              <w:spacing w:before="0" w:after="283"/>
              <w:jc w:val="left"/>
              <w:rPr/>
            </w:pPr>
            <w:r>
              <w:rPr/>
              <w:t>/s/ Lecil E. Cole  </w:t>
            </w:r>
          </w:p>
        </w:tc>
        <w:tc>
          <w:tcPr>
            <w:tcW w:w="1219" w:type="dxa"/>
            <w:tcBorders/>
            <w:shd w:fill="auto" w:val="clear"/>
            <w:vAlign w:val="center"/>
          </w:tcPr>
          <w:p>
            <w:pPr>
              <w:pStyle w:val="TableContents"/>
              <w:spacing w:before="0" w:after="283"/>
              <w:rPr/>
            </w:pPr>
            <w:r>
              <w:rPr/>
              <w:t> </w:t>
            </w:r>
          </w:p>
        </w:tc>
      </w:tr>
      <w:tr>
        <w:trPr/>
        <w:tc>
          <w:tcPr>
            <w:tcW w:w="4650" w:type="dxa"/>
            <w:tcBorders/>
            <w:shd w:fill="auto" w:val="clear"/>
            <w:vAlign w:val="center"/>
          </w:tcPr>
          <w:p>
            <w:pPr>
              <w:pStyle w:val="TableContents"/>
              <w:spacing w:before="0" w:after="283"/>
              <w:jc w:val="left"/>
              <w:rPr/>
            </w:pPr>
            <w:r>
              <w:rPr/>
              <w:t> </w:t>
            </w:r>
          </w:p>
        </w:tc>
        <w:tc>
          <w:tcPr>
            <w:tcW w:w="670" w:type="dxa"/>
            <w:tcBorders/>
            <w:shd w:fill="auto" w:val="clear"/>
            <w:vAlign w:val="center"/>
          </w:tcPr>
          <w:p>
            <w:pPr>
              <w:pStyle w:val="TableContents"/>
              <w:spacing w:before="0" w:after="283"/>
              <w:rPr/>
            </w:pPr>
            <w:r>
              <w:rPr/>
              <w:t> </w:t>
            </w:r>
          </w:p>
        </w:tc>
        <w:tc>
          <w:tcPr>
            <w:tcW w:w="3666" w:type="dxa"/>
            <w:gridSpan w:val="2"/>
            <w:tcBorders/>
            <w:shd w:fill="auto" w:val="clear"/>
            <w:vAlign w:val="center"/>
          </w:tcPr>
          <w:p>
            <w:pPr>
              <w:pStyle w:val="TableContents"/>
              <w:spacing w:before="0" w:after="283"/>
              <w:jc w:val="left"/>
              <w:rPr/>
            </w:pPr>
            <w:r>
              <w:rPr/>
              <w:t>Lecil E. Cole  </w:t>
            </w:r>
          </w:p>
        </w:tc>
        <w:tc>
          <w:tcPr>
            <w:tcW w:w="1219" w:type="dxa"/>
            <w:tcBorders/>
            <w:shd w:fill="auto" w:val="clear"/>
            <w:vAlign w:val="center"/>
          </w:tcPr>
          <w:p>
            <w:pPr>
              <w:pStyle w:val="TableContents"/>
              <w:spacing w:before="0" w:after="283"/>
              <w:rPr/>
            </w:pPr>
            <w:r>
              <w:rPr/>
              <w:t> </w:t>
            </w:r>
          </w:p>
        </w:tc>
      </w:tr>
      <w:tr>
        <w:trPr/>
        <w:tc>
          <w:tcPr>
            <w:tcW w:w="4650" w:type="dxa"/>
            <w:tcBorders/>
            <w:shd w:fill="auto" w:val="clear"/>
            <w:vAlign w:val="center"/>
          </w:tcPr>
          <w:p>
            <w:pPr>
              <w:pStyle w:val="TableContents"/>
              <w:spacing w:before="0" w:after="283"/>
              <w:jc w:val="left"/>
              <w:rPr/>
            </w:pPr>
            <w:r>
              <w:rPr/>
              <w:t> </w:t>
            </w:r>
          </w:p>
        </w:tc>
        <w:tc>
          <w:tcPr>
            <w:tcW w:w="670" w:type="dxa"/>
            <w:tcBorders/>
            <w:shd w:fill="auto" w:val="clear"/>
            <w:vAlign w:val="center"/>
          </w:tcPr>
          <w:p>
            <w:pPr>
              <w:pStyle w:val="TableContents"/>
              <w:spacing w:before="0" w:after="283"/>
              <w:rPr/>
            </w:pPr>
            <w:r>
              <w:rPr/>
              <w:t> </w:t>
            </w:r>
          </w:p>
        </w:tc>
        <w:tc>
          <w:tcPr>
            <w:tcW w:w="3666" w:type="dxa"/>
            <w:gridSpan w:val="2"/>
            <w:tcBorders/>
            <w:shd w:fill="auto" w:val="clear"/>
            <w:vAlign w:val="center"/>
          </w:tcPr>
          <w:p>
            <w:pPr>
              <w:pStyle w:val="TableContents"/>
              <w:spacing w:before="0" w:after="283"/>
              <w:jc w:val="left"/>
              <w:rPr/>
            </w:pPr>
            <w:r>
              <w:rPr/>
              <w:t xml:space="preserve">Chairman of the Board of Directors, </w:t>
              <w:br/>
              <w:t>Chief Executive Officer and President</w:t>
              <w:br/>
              <w:t>(Principal Executive Officer) </w:t>
            </w:r>
          </w:p>
        </w:tc>
        <w:tc>
          <w:tcPr>
            <w:tcW w:w="1219"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 </w:t>
      </w:r>
      <w:r>
        <w:br w:type="page"/>
      </w:r>
    </w:p>
    <w:p>
      <w:pPr>
        <w:pStyle w:val="Heading5"/>
        <w:jc w:val="left"/>
        <w:rPr/>
      </w:pPr>
      <w:bookmarkStart w:id="2" w:name="v33507exv99w1.htm"/>
      <w:bookmarkStart w:id="3" w:name="ksv33507exv99w1"/>
      <w:bookmarkEnd w:id="2"/>
      <w:bookmarkEnd w:id="3"/>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99.1</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Revised First DraftFor Client Review and Comment (Aug. 29, 2007)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For: Calavo Growers, Inc. (Nasdaq-GM: CVGW) </w:t>
      </w:r>
    </w:p>
    <w:tbl>
      <w:tblPr>
        <w:tblW w:w="5000" w:type="pct"/>
        <w:jc w:val="left"/>
        <w:tblInd w:w="0" w:type="dxa"/>
        <w:tblCellMar>
          <w:top w:w="0" w:type="dxa"/>
          <w:left w:w="0" w:type="dxa"/>
          <w:bottom w:w="0" w:type="dxa"/>
          <w:right w:w="0" w:type="dxa"/>
        </w:tblCellMar>
      </w:tblPr>
      <w:tblGrid>
        <w:gridCol w:w="1150"/>
        <w:gridCol w:w="132"/>
        <w:gridCol w:w="8923"/>
      </w:tblGrid>
      <w:tr>
        <w:trPr/>
        <w:tc>
          <w:tcPr>
            <w:tcW w:w="115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8923" w:type="dxa"/>
            <w:tcBorders/>
            <w:shd w:fill="auto" w:val="clear"/>
            <w:vAlign w:val="center"/>
          </w:tcPr>
          <w:p>
            <w:pPr>
              <w:pStyle w:val="TableContents"/>
              <w:spacing w:before="0" w:after="283"/>
              <w:rPr>
                <w:sz w:val="4"/>
                <w:szCs w:val="4"/>
              </w:rPr>
            </w:pPr>
            <w:r>
              <w:rPr>
                <w:sz w:val="4"/>
                <w:szCs w:val="4"/>
              </w:rPr>
            </w:r>
          </w:p>
        </w:tc>
      </w:tr>
      <w:tr>
        <w:trPr/>
        <w:tc>
          <w:tcPr>
            <w:tcW w:w="1150" w:type="dxa"/>
            <w:tcBorders/>
            <w:shd w:fill="auto" w:val="clear"/>
          </w:tcPr>
          <w:p>
            <w:pPr>
              <w:pStyle w:val="TableContents"/>
              <w:spacing w:before="0" w:after="283"/>
              <w:jc w:val="left"/>
              <w:rPr/>
            </w:pPr>
            <w:r>
              <w:rPr/>
              <w:t>Contact:     </w:t>
            </w:r>
          </w:p>
        </w:tc>
        <w:tc>
          <w:tcPr>
            <w:tcW w:w="132" w:type="dxa"/>
            <w:tcBorders/>
            <w:shd w:fill="auto" w:val="clear"/>
          </w:tcPr>
          <w:p>
            <w:pPr>
              <w:pStyle w:val="TableContents"/>
              <w:spacing w:before="0" w:after="283"/>
              <w:rPr/>
            </w:pPr>
            <w:r>
              <w:rPr/>
              <w:t> </w:t>
            </w:r>
          </w:p>
        </w:tc>
        <w:tc>
          <w:tcPr>
            <w:tcW w:w="8923" w:type="dxa"/>
            <w:tcBorders/>
            <w:shd w:fill="auto" w:val="clear"/>
          </w:tcPr>
          <w:p>
            <w:pPr>
              <w:pStyle w:val="TableContents"/>
              <w:spacing w:before="0" w:after="283"/>
              <w:rPr/>
            </w:pPr>
            <w:r>
              <w:rPr/>
              <w:t>Lee Cole</w:t>
              <w:br/>
              <w:t>Calavo Growers, Inc.</w:t>
              <w:br/>
              <w:t>805-525-1245</w:t>
              <w:br/>
              <w:t>or</w:t>
              <w:br/>
              <w:t>Jerry Freisleben</w:t>
              <w:br/>
              <w:t>Foley/Freisleben LLC</w:t>
              <w:br/>
              <w:t>213-955-0020</w:t>
            </w:r>
          </w:p>
        </w:tc>
      </w:tr>
    </w:tbl>
    <w:p>
      <w:pPr>
        <w:pStyle w:val="TextBody"/>
        <w:spacing w:before="360" w:after="283"/>
        <w:jc w:val="center"/>
        <w:rPr>
          <w:rFonts w:ascii="Times New Roman;Times;serif" w:hAnsi="Times New Roman;Times;serif"/>
          <w:sz w:val="20"/>
        </w:rPr>
      </w:pPr>
      <w:r>
        <w:rPr>
          <w:rFonts w:ascii="Times New Roman;Times;serif" w:hAnsi="Times New Roman;Times;serif"/>
          <w:b/>
          <w:sz w:val="20"/>
        </w:rPr>
        <w:t>CALAVO GROWERS, INC. REPORTS HIGHEST QUARTERLY</w:t>
        <w:br/>
        <w:t>REVENUES IN COMPANY HISTORY FOR</w:t>
        <w:br/>
        <w:t>THE THREE MONTHS ENDED JULY 31, 2007</w:t>
      </w:r>
      <w:r>
        <w:rPr>
          <w:rFonts w:ascii="Times New Roman;Times;serif" w:hAnsi="Times New Roman;Times;serif"/>
          <w:sz w:val="20"/>
        </w:rPr>
        <w:t xml:space="preserve"> </w:t>
      </w:r>
    </w:p>
    <w:p>
      <w:pPr>
        <w:pStyle w:val="TextBody"/>
        <w:spacing w:before="320" w:after="283"/>
        <w:jc w:val="center"/>
        <w:rPr>
          <w:bdr w:val="single" w:sz="2" w:space="1" w:color="000000"/>
        </w:rPr>
      </w:pPr>
      <w:r>
        <w:rPr>
          <w:bdr w:val="single" w:sz="2" w:space="1" w:color="000000"/>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Financial Highlights Include:</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202"/>
        <w:gridCol w:w="306"/>
        <w:gridCol w:w="101"/>
        <w:gridCol w:w="9596"/>
      </w:tblGrid>
      <w:tr>
        <w:trPr/>
        <w:tc>
          <w:tcPr>
            <w:tcW w:w="2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Record Third-Quarter Revenues Reach $91.3 Million, a 16% Increase From Prior Year and Are Best for Any Three-Month Period in Company History</w:t>
            </w:r>
          </w:p>
        </w:tc>
      </w:tr>
      <w:tr>
        <w:trPr/>
        <w:tc>
          <w:tcPr>
            <w:tcW w:w="202" w:type="dxa"/>
            <w:tcBorders/>
            <w:shd w:fill="auto" w:val="clear"/>
            <w:vAlign w:val="center"/>
          </w:tcPr>
          <w:p>
            <w:pPr>
              <w:pStyle w:val="TableContents"/>
              <w:spacing w:before="0" w:after="283"/>
              <w:rPr/>
            </w:pPr>
            <w:r>
              <w:rPr/>
              <w:t> </w:t>
            </w:r>
          </w:p>
        </w:tc>
        <w:tc>
          <w:tcPr>
            <w:tcW w:w="10003" w:type="dxa"/>
            <w:gridSpan w:val="3"/>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Company Records Continued Substantial Profits in Third Quarter</w:t>
            </w:r>
          </w:p>
        </w:tc>
      </w:tr>
      <w:tr>
        <w:trPr/>
        <w:tc>
          <w:tcPr>
            <w:tcW w:w="202" w:type="dxa"/>
            <w:tcBorders/>
            <w:shd w:fill="auto" w:val="clear"/>
            <w:vAlign w:val="center"/>
          </w:tcPr>
          <w:p>
            <w:pPr>
              <w:pStyle w:val="TableContents"/>
              <w:spacing w:before="0" w:after="283"/>
              <w:rPr/>
            </w:pPr>
            <w:r>
              <w:rPr/>
              <w:t> </w:t>
            </w:r>
          </w:p>
        </w:tc>
        <w:tc>
          <w:tcPr>
            <w:tcW w:w="10003" w:type="dxa"/>
            <w:gridSpan w:val="3"/>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Nine-Month Results Show Robust Strength across the Board with New Highs in Sales, Gross Margin, Operating Income, Net Income and Earnings Per Share</w:t>
            </w:r>
          </w:p>
        </w:tc>
      </w:tr>
      <w:tr>
        <w:trPr/>
        <w:tc>
          <w:tcPr>
            <w:tcW w:w="202" w:type="dxa"/>
            <w:tcBorders/>
            <w:shd w:fill="auto" w:val="clear"/>
            <w:vAlign w:val="center"/>
          </w:tcPr>
          <w:p>
            <w:pPr>
              <w:pStyle w:val="TableContents"/>
              <w:spacing w:before="0" w:after="283"/>
              <w:rPr/>
            </w:pPr>
            <w:r>
              <w:rPr/>
              <w:t> </w:t>
            </w:r>
          </w:p>
        </w:tc>
        <w:tc>
          <w:tcPr>
            <w:tcW w:w="10003" w:type="dxa"/>
            <w:gridSpan w:val="3"/>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Nine-Months Earnings Per Share Jump 39% from the Corresponding Period of Fiscal 2006</w:t>
            </w:r>
          </w:p>
        </w:tc>
      </w:tr>
      <w:tr>
        <w:trPr/>
        <w:tc>
          <w:tcPr>
            <w:tcW w:w="202" w:type="dxa"/>
            <w:tcBorders/>
            <w:shd w:fill="auto" w:val="clear"/>
            <w:vAlign w:val="center"/>
          </w:tcPr>
          <w:p>
            <w:pPr>
              <w:pStyle w:val="TableContents"/>
              <w:spacing w:before="0" w:after="283"/>
              <w:rPr/>
            </w:pPr>
            <w:r>
              <w:rPr/>
              <w:t> </w:t>
            </w:r>
          </w:p>
        </w:tc>
        <w:tc>
          <w:tcPr>
            <w:tcW w:w="10003" w:type="dxa"/>
            <w:gridSpan w:val="3"/>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Sales of Processed Products Advance 16% in the Most Recent Quarter</w:t>
            </w:r>
          </w:p>
        </w:tc>
      </w:tr>
      <w:tr>
        <w:trPr/>
        <w:tc>
          <w:tcPr>
            <w:tcW w:w="202" w:type="dxa"/>
            <w:tcBorders/>
            <w:shd w:fill="auto" w:val="clear"/>
            <w:vAlign w:val="center"/>
          </w:tcPr>
          <w:p>
            <w:pPr>
              <w:pStyle w:val="TableContents"/>
              <w:spacing w:before="0" w:after="283"/>
              <w:rPr/>
            </w:pPr>
            <w:r>
              <w:rPr/>
              <w:t> </w:t>
            </w:r>
          </w:p>
        </w:tc>
        <w:tc>
          <w:tcPr>
            <w:tcW w:w="10003" w:type="dxa"/>
            <w:gridSpan w:val="3"/>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Year-to-Date Revenues Climb to a Record $217.7 Million, an 11% increase from Fiscal 2006</w:t>
            </w:r>
          </w:p>
        </w:tc>
      </w:tr>
    </w:tbl>
    <w:p>
      <w:pPr>
        <w:pStyle w:val="TextBody"/>
        <w:spacing w:before="320" w:after="283"/>
        <w:jc w:val="center"/>
        <w:rPr>
          <w:bdr w:val="single" w:sz="2" w:space="1" w:color="000000"/>
        </w:rPr>
      </w:pPr>
      <w:r>
        <w:rPr>
          <w:bdr w:val="single" w:sz="2" w:space="1" w:color="000000"/>
        </w:rPr>
        <w:t>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SANTA PAULA, Calif. (Sept. 5, 2007)Calavo Growers, Inc. (Nasdaq-GM: CVGW) announced today that revenues for the third quarter ended July 31, 2007 reached the highest level for any three-month period in company history. Third quarter revenues totaled $91.3 million, up $12.4 million, or 16%, from $78.9 million in the corresponding quarter of fiscal 2006, fueled by double-digit sales percentage gains in both fresh and processed avocado operations. Net income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was $2.2 million, equal to $0.16 basic earnings per share in the three months ended July 31, 2007. The Company reported earnings of $2.9 million, or $0.20 basic and diluted earnings per share, in the like period of fiscal 2006. Earnings for the period, while substantial, trailed the year-earlier total due to the unusually high cost of Mexican avocados used in the processing operation. The high cost was primarily the result of shipping delays of Chilean avocados to the U.S. due to the freeze in Chile in July. The cost of Mexican avocados has since decreased significantly. </w:t>
      </w:r>
    </w:p>
    <w:p>
      <w:pPr>
        <w:pStyle w:val="TextBody"/>
        <w:spacing w:before="120" w:after="283"/>
        <w:jc w:val="left"/>
        <w:rPr/>
      </w:pPr>
      <w:r>
        <w:rPr/>
        <w:t>     </w:t>
      </w:r>
      <w:r>
        <w:rPr>
          <w:rFonts w:ascii="Times New Roman;Times;serif" w:hAnsi="Times New Roman;Times;serif"/>
          <w:sz w:val="17"/>
        </w:rPr>
        <w:t xml:space="preserve">The company, a global leader in the packing and marketing of fresh and processed avocados and other perishable food products, reported nine-month results that set new record highs across the board including sales, gross margin, operating income, net income and earnings per share. Net income for the nine months grew 38% on an 11% sales increase. </w:t>
      </w:r>
    </w:p>
    <w:p>
      <w:pPr>
        <w:pStyle w:val="TextBody"/>
        <w:spacing w:before="120" w:after="283"/>
        <w:jc w:val="left"/>
        <w:rPr/>
      </w:pPr>
      <w:r>
        <w:rPr/>
        <w:t>     </w:t>
      </w:r>
      <w:r>
        <w:rPr>
          <w:rFonts w:ascii="Times New Roman;Times;serif" w:hAnsi="Times New Roman;Times;serif"/>
          <w:sz w:val="17"/>
        </w:rPr>
        <w:t xml:space="preserve">Revenues for the first nine months of fiscal 2007 increased $20.8 million, or 11%, to $217.7 million from $196.9 million, from the corresponding period one year ago. Net income for the period climbed $1.7 million to $6.1 million from $4.4 million in the previous year, an advance of 38%. Year-to-date basic and diluted earnings per share advanced 39%, to $0.43, versus $0.31 per basic and diluted share in the initial nine months of fiscal 2006. </w:t>
      </w:r>
    </w:p>
    <w:p>
      <w:pPr>
        <w:pStyle w:val="TextBody"/>
        <w:spacing w:before="120" w:after="283"/>
        <w:jc w:val="left"/>
        <w:rPr/>
      </w:pPr>
      <w:r>
        <w:rPr/>
        <w:t>     </w:t>
      </w:r>
      <w:r>
        <w:rPr>
          <w:rFonts w:ascii="Times New Roman;Times;serif" w:hAnsi="Times New Roman;Times;serif"/>
          <w:sz w:val="17"/>
        </w:rPr>
        <w:t xml:space="preserve">Nine-month gross margin totaled $24.7 million, an increase of 13% from $21.9 million last year. Operating income for the period rose 41% to $10.5 million from $7.5 million. </w:t>
      </w:r>
    </w:p>
    <w:p>
      <w:pPr>
        <w:pStyle w:val="TextBody"/>
        <w:spacing w:before="120" w:after="283"/>
        <w:jc w:val="left"/>
        <w:rPr/>
      </w:pPr>
      <w:r>
        <w:rPr/>
        <w:t>     </w:t>
      </w:r>
      <w:r>
        <w:rPr>
          <w:rFonts w:ascii="Times New Roman;Times;serif" w:hAnsi="Times New Roman;Times;serif"/>
          <w:sz w:val="17"/>
        </w:rPr>
        <w:t xml:space="preserve">Lee E. Cole, chairman, president and CEO, commented: With our all-time best sales quarter, Calavo continues to demonstrate that we have created a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formidable engine for growth, propelled by multiple sales platforms to offset seasonality, adverse weather and other market conditions. I believe the third quarter would have produced record results had it not been for the effect on Processed Products earnings caused by the Chilean shipping delays noted earlier. </w:t>
      </w:r>
    </w:p>
    <w:p>
      <w:pPr>
        <w:pStyle w:val="TextBody"/>
        <w:spacing w:before="120" w:after="283"/>
        <w:jc w:val="left"/>
        <w:rPr/>
      </w:pPr>
      <w:r>
        <w:rPr/>
        <w:t>     </w:t>
      </w:r>
      <w:r>
        <w:rPr>
          <w:rFonts w:ascii="Times New Roman;Times;serif" w:hAnsi="Times New Roman;Times;serif"/>
          <w:sz w:val="17"/>
        </w:rPr>
        <w:t xml:space="preserve">Our fresh operations achieved sales growth of 16% in the quarter, driven by a highly favorable pricing environment for avocados. Drawing on international sources, we registered this increase despite a cyclically smaller California avocado crop, which was further impacted by the severe frosts of last January. Consumer demand for avocados, both fresh and processed, continues to expand briskly, reflecting growing awareness of their taste appeal, nutritional benefits and ability to enhance a vast array of recipes and menu items. </w:t>
      </w:r>
    </w:p>
    <w:p>
      <w:pPr>
        <w:pStyle w:val="TextBody"/>
        <w:spacing w:before="120" w:after="283"/>
        <w:jc w:val="left"/>
        <w:rPr/>
      </w:pPr>
      <w:r>
        <w:rPr/>
        <w:t>     </w:t>
      </w:r>
      <w:r>
        <w:rPr>
          <w:rFonts w:ascii="Times New Roman;Times;serif" w:hAnsi="Times New Roman;Times;serif"/>
          <w:sz w:val="17"/>
        </w:rPr>
        <w:t xml:space="preserve">As to the processed segment, quarterly sales growth of 16% primarily reflected enhanced interest by both retail and foodservice operators. Our second high-pressure machine is now operational and is assisting us in meeting customer demand. </w:t>
      </w:r>
    </w:p>
    <w:p>
      <w:pPr>
        <w:pStyle w:val="TextBody"/>
        <w:spacing w:before="120" w:after="283"/>
        <w:jc w:val="left"/>
        <w:rPr/>
      </w:pPr>
      <w:r>
        <w:rPr/>
        <w:t>     </w:t>
      </w:r>
      <w:r>
        <w:rPr>
          <w:rFonts w:ascii="Times New Roman;Times;serif" w:hAnsi="Times New Roman;Times;serif"/>
          <w:sz w:val="17"/>
        </w:rPr>
        <w:t xml:space="preserve">Our management team not only focuses on implementing our growth initiatives, but also is keenly aware of the vital importance of enhancing operating efficiencies and rigorously containing costs. This vigilance has certainly paid off for us this year, generating substantial bottom line benefits. </w:t>
      </w:r>
    </w:p>
    <w:p>
      <w:pPr>
        <w:pStyle w:val="TextBody"/>
        <w:spacing w:before="120" w:after="283"/>
        <w:jc w:val="left"/>
        <w:rPr/>
      </w:pPr>
      <w:r>
        <w:rPr/>
        <w:t>     </w:t>
      </w:r>
      <w:r>
        <w:rPr>
          <w:rFonts w:ascii="Times New Roman;Times;serif" w:hAnsi="Times New Roman;Times;serif"/>
          <w:sz w:val="17"/>
        </w:rPr>
        <w:t xml:space="preserve">Selling, general and administrative expenses for the quarter were $4.8 million, a decrease of $338,000, or 6.6%, from $5.1 million one year ago. As a percentage of total revenue, SG&amp;A was 5.3% in the most recent quarter, a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decrease of 120 basis points from 6.5%. For the year-to-date period, SG&amp;A has been reduced by $297,000 while supporting nearly $21 million in sales growth. </w:t>
      </w:r>
    </w:p>
    <w:p>
      <w:pPr>
        <w:pStyle w:val="TextBody"/>
        <w:spacing w:before="120" w:after="283"/>
        <w:jc w:val="left"/>
        <w:rPr/>
      </w:pPr>
      <w:r>
        <w:rPr/>
        <w:t>     </w:t>
      </w:r>
      <w:r>
        <w:rPr>
          <w:rFonts w:ascii="Times New Roman;Times;serif" w:hAnsi="Times New Roman;Times;serif"/>
          <w:sz w:val="17"/>
        </w:rPr>
        <w:t xml:space="preserve">Referencing the Companys strong financial condition, Cole stated that Calavos balance sheet is highly flexible and possesses considerable capacity for leverage. At July 31, 2007, total assets equaled $144.7 million up from $107.5 million at October 31, 2006. </w:t>
      </w:r>
    </w:p>
    <w:p>
      <w:pPr>
        <w:pStyle w:val="TextBody"/>
        <w:spacing w:before="120" w:after="283"/>
        <w:jc w:val="left"/>
        <w:rPr/>
      </w:pPr>
      <w:r>
        <w:rPr/>
        <w:t>     </w:t>
      </w:r>
      <w:r>
        <w:rPr>
          <w:rFonts w:ascii="Times New Roman;Times;serif" w:hAnsi="Times New Roman;Times;serif"/>
          <w:sz w:val="17"/>
        </w:rPr>
        <w:t xml:space="preserve">As recently announced, the Company has entered into a significant new agreement to introduce Calavo-brand tomatoes to the market. The new initiative, which will further enhance Calavos diversified fresh products business, could add $20-$25 million to revenues in fiscal 2008, according to company estimates. </w:t>
      </w:r>
    </w:p>
    <w:p>
      <w:pPr>
        <w:pStyle w:val="TextBody"/>
        <w:spacing w:before="120" w:after="283"/>
        <w:jc w:val="left"/>
        <w:rPr/>
      </w:pPr>
      <w:r>
        <w:rPr/>
        <w:t>     </w:t>
      </w:r>
      <w:r>
        <w:rPr>
          <w:rFonts w:ascii="Times New Roman;Times;serif" w:hAnsi="Times New Roman;Times;serif"/>
          <w:sz w:val="17"/>
        </w:rPr>
        <w:t xml:space="preserve">We are dedicated to profitable growth, emphasized Cole, as we strive to build a larger, stronger and more diversified company. The new product initiative referenced above capitalizes on our marketing expertise, favorable brand recognition, excellent distribution network and our substantial investments in building infrastructure. </w:t>
      </w:r>
    </w:p>
    <w:p>
      <w:pPr>
        <w:pStyle w:val="TextBody"/>
        <w:spacing w:before="120" w:after="283"/>
        <w:jc w:val="left"/>
        <w:rPr/>
      </w:pPr>
      <w:r>
        <w:rPr/>
        <w:t>     </w:t>
      </w:r>
      <w:r>
        <w:rPr>
          <w:rFonts w:ascii="Times New Roman;Times;serif" w:hAnsi="Times New Roman;Times;serif"/>
          <w:sz w:val="17"/>
        </w:rPr>
        <w:t xml:space="preserve">Cole indicated that this program offers a model for Calavos expansion into additional fresh commodity-produce categories with the potential to contribute meaningfully to financial results. </w:t>
      </w:r>
    </w:p>
    <w:p>
      <w:pPr>
        <w:pStyle w:val="TextBody"/>
        <w:spacing w:before="120" w:after="283"/>
        <w:jc w:val="left"/>
        <w:rPr/>
      </w:pPr>
      <w:r>
        <w:rPr/>
        <w:t>     </w:t>
      </w:r>
      <w:r>
        <w:rPr>
          <w:rFonts w:ascii="Times New Roman;Times;serif" w:hAnsi="Times New Roman;Times;serif"/>
          <w:sz w:val="17"/>
        </w:rPr>
        <w:t xml:space="preserve">Our management team is constantly reviewing growth opportunities that can fold in with our established marketing and distribution framework and meet rigorous financial criteria, he said. Similarly, we will continue to evaluate potential acquisitions, as well as expansion into new geographies through distribution agreements. We remain, however, conservative and disciplined in our approach.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Looking Ahead: Fourth Quarter and Longer-Term</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Having posted record results through the first nine months of fiscal 2007, Calavo Growers, Inc. is on target for the most successful year in company history, according to Cole. By all indications, the fiscal year ending October 31, 2007 could witness new financial records for our company. Perhaps of even greater significance, we believe that the company is on a positive course for even greater prosperity and success over the longer-term. </w:t>
      </w:r>
    </w:p>
    <w:p>
      <w:pPr>
        <w:pStyle w:val="TextBody"/>
        <w:spacing w:before="120" w:after="283"/>
        <w:jc w:val="left"/>
        <w:rPr/>
      </w:pPr>
      <w:r>
        <w:rPr/>
        <w:t>     </w:t>
      </w:r>
      <w:r>
        <w:rPr>
          <w:rFonts w:ascii="Times New Roman;Times;serif" w:hAnsi="Times New Roman;Times;serif"/>
          <w:sz w:val="17"/>
        </w:rPr>
        <w:t xml:space="preserve">We have put together a seasoned, aggressive and growth-oriented management team with the ability to implement our carefully-refined growth strategies. Calavos strong balance sheet, substantial liquidity and untapped borrowing capacity are exemplary and well able to support our ambitious agenda for growth. With our dominant position in the sourcing and marketing of fresh avocados, a rapidly expanding processed business and numerous available avenues for growth, we are well-positioned to pursue our primary objectives  drive profitable growth over the longer-term and thereby deliver increasing value to our shareholders.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About Calavo Growers, Inc.</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Calavo Growers, Inc. is the worldwide leader in the procurement and marketing of fresh avocados and other perishable foods, as well as the manufacturing and distribution of processed avocado products. Founded in 1924, Calavos expertise in marketing and distributing avocados, processed avocados, and other perishable products enables it to serve food distributors, produce wholesalers, supermarkets and restaurants on a global basis.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Safe Harbor Statement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This news release contains statements relating to future events and results of Calavo (including certain projections and business trends) that are forward-looking statements as defined in the Private Securities Litigation Reform Act of 1995. Actual results and events may differ from those projected as a result of certain risks and uncertainties. These risks and uncertainties include but are not limited to: increased competition, conducting substantial amounts of business internationally, pricing pressures on agricultural products, adverse weather and growing conditions confronting avocado growers, new governmental regulations, as well as other risks and uncertainties detailed from time to time in the companys Securities and Exchange Commission filings, including, without limitation, the companys Annual Report on Form 10-K for the year ended October 31, 2006. These forward-looking statements are made only as of the date hereof, and the company undertakes no obligation to update or revise the forward-looking statements, whether as a result of new information, future events or otherwise.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 # #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center"/>
        <w:rPr>
          <w:rFonts w:ascii="Times New Roman;Times;serif" w:hAnsi="Times New Roman;Times;serif"/>
          <w:b/>
          <w:sz w:val="17"/>
        </w:rPr>
      </w:pPr>
      <w:r>
        <w:rPr>
          <w:rFonts w:ascii="Times New Roman;Times;serif" w:hAnsi="Times New Roman;Times;serif"/>
          <w:b/>
          <w:sz w:val="17"/>
        </w:rPr>
        <w:t>CALAVO GROWERS, INC.</w:t>
        <w:br/>
        <w:t>CONSOLIDATED CONDENSED BALANCE SHEETS (UNAUDITED)</w:t>
        <w:br/>
        <w:t>(All amounts in thousands, except per share amounts)</w:t>
      </w:r>
    </w:p>
    <w:tbl>
      <w:tblPr>
        <w:tblW w:w="5000" w:type="pct"/>
        <w:jc w:val="center"/>
        <w:tblInd w:w="0" w:type="dxa"/>
        <w:tblCellMar>
          <w:top w:w="0" w:type="dxa"/>
          <w:left w:w="0" w:type="dxa"/>
          <w:bottom w:w="0" w:type="dxa"/>
          <w:right w:w="0" w:type="dxa"/>
        </w:tblCellMar>
      </w:tblPr>
      <w:tblGrid>
        <w:gridCol w:w="6801"/>
        <w:gridCol w:w="431"/>
        <w:gridCol w:w="167"/>
        <w:gridCol w:w="901"/>
        <w:gridCol w:w="116"/>
        <w:gridCol w:w="431"/>
        <w:gridCol w:w="192"/>
        <w:gridCol w:w="1044"/>
        <w:gridCol w:w="122"/>
      </w:tblGrid>
      <w:tr>
        <w:trPr/>
        <w:tc>
          <w:tcPr>
            <w:tcW w:w="6801"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44"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r>
      <w:tr>
        <w:trPr/>
        <w:tc>
          <w:tcPr>
            <w:tcW w:w="6801"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068" w:type="dxa"/>
            <w:gridSpan w:val="2"/>
            <w:tcBorders/>
            <w:shd w:fill="auto" w:val="clear"/>
            <w:vAlign w:val="bottom"/>
          </w:tcPr>
          <w:p>
            <w:pPr>
              <w:pStyle w:val="TableContents"/>
              <w:spacing w:before="0" w:after="283"/>
              <w:jc w:val="center"/>
              <w:rPr>
                <w:b/>
              </w:rPr>
            </w:pPr>
            <w:r>
              <w:rPr>
                <w:b/>
              </w:rPr>
              <w:t>July 31,</w:t>
            </w:r>
          </w:p>
        </w:tc>
        <w:tc>
          <w:tcPr>
            <w:tcW w:w="11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236" w:type="dxa"/>
            <w:gridSpan w:val="2"/>
            <w:tcBorders/>
            <w:shd w:fill="auto" w:val="clear"/>
            <w:vAlign w:val="bottom"/>
          </w:tcPr>
          <w:p>
            <w:pPr>
              <w:pStyle w:val="TableContents"/>
              <w:spacing w:before="0" w:after="283"/>
              <w:jc w:val="center"/>
              <w:rPr>
                <w:b/>
              </w:rPr>
            </w:pPr>
            <w:r>
              <w:rPr>
                <w:b/>
              </w:rPr>
              <w:t>October 31,</w:t>
            </w:r>
          </w:p>
        </w:tc>
        <w:tc>
          <w:tcPr>
            <w:tcW w:w="122" w:type="dxa"/>
            <w:tcBorders/>
            <w:shd w:fill="auto" w:val="clear"/>
            <w:vAlign w:val="bottom"/>
          </w:tcPr>
          <w:p>
            <w:pPr>
              <w:pStyle w:val="TableContents"/>
              <w:spacing w:before="0" w:after="283"/>
              <w:rPr/>
            </w:pPr>
            <w:r>
              <w:rPr/>
              <w:t> </w:t>
            </w:r>
          </w:p>
        </w:tc>
      </w:tr>
      <w:tr>
        <w:trPr/>
        <w:tc>
          <w:tcPr>
            <w:tcW w:w="6801"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06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1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23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22" w:type="dxa"/>
            <w:tcBorders/>
            <w:shd w:fill="auto" w:val="clear"/>
            <w:vAlign w:val="bottom"/>
          </w:tcPr>
          <w:p>
            <w:pPr>
              <w:pStyle w:val="TableContents"/>
              <w:spacing w:before="0" w:after="283"/>
              <w:rPr/>
            </w:pPr>
            <w:r>
              <w:rPr/>
              <w:t> </w:t>
            </w:r>
          </w:p>
        </w:tc>
      </w:tr>
      <w:tr>
        <w:trPr/>
        <w:tc>
          <w:tcPr>
            <w:tcW w:w="6801" w:type="dxa"/>
            <w:tcBorders/>
            <w:shd w:fill="CCEEFF" w:val="clear"/>
            <w:vAlign w:val="bottom"/>
          </w:tcPr>
          <w:p>
            <w:pPr>
              <w:pStyle w:val="TableContents"/>
              <w:spacing w:before="0" w:after="0"/>
              <w:ind w:left="225" w:right="0" w:hanging="225"/>
              <w:rPr>
                <w:b/>
              </w:rPr>
            </w:pPr>
            <w:r>
              <w:rPr>
                <w:b/>
              </w:rPr>
              <w:t>Assets</w:t>
            </w:r>
          </w:p>
        </w:tc>
        <w:tc>
          <w:tcPr>
            <w:tcW w:w="431"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01"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44"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r>
      <w:tr>
        <w:trPr/>
        <w:tc>
          <w:tcPr>
            <w:tcW w:w="6801" w:type="dxa"/>
            <w:tcBorders/>
            <w:shd w:fill="auto" w:val="clear"/>
            <w:vAlign w:val="bottom"/>
          </w:tcPr>
          <w:p>
            <w:pPr>
              <w:pStyle w:val="TableContents"/>
              <w:spacing w:before="0" w:after="0"/>
              <w:ind w:left="225" w:right="0" w:hanging="225"/>
              <w:rPr/>
            </w:pPr>
            <w:r>
              <w:rPr/>
              <w:t>Current assets:</w:t>
            </w:r>
          </w:p>
        </w:tc>
        <w:tc>
          <w:tcPr>
            <w:tcW w:w="431"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44"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r>
      <w:tr>
        <w:trPr/>
        <w:tc>
          <w:tcPr>
            <w:tcW w:w="6801" w:type="dxa"/>
            <w:tcBorders/>
            <w:shd w:fill="CCEEFF" w:val="clear"/>
            <w:vAlign w:val="bottom"/>
          </w:tcPr>
          <w:p>
            <w:pPr>
              <w:pStyle w:val="TableContents"/>
              <w:spacing w:before="0" w:after="0"/>
              <w:ind w:left="450" w:right="0" w:hanging="225"/>
              <w:rPr/>
            </w:pPr>
            <w:r>
              <w:rPr/>
              <w:t>Cash and cash equivalents</w:t>
            </w:r>
          </w:p>
        </w:tc>
        <w:tc>
          <w:tcPr>
            <w:tcW w:w="431"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901" w:type="dxa"/>
            <w:tcBorders/>
            <w:shd w:fill="CCEEFF" w:val="clear"/>
            <w:vAlign w:val="bottom"/>
          </w:tcPr>
          <w:p>
            <w:pPr>
              <w:pStyle w:val="TableContents"/>
              <w:spacing w:before="0" w:after="283"/>
              <w:jc w:val="right"/>
              <w:rPr/>
            </w:pPr>
            <w:r>
              <w:rPr/>
              <w:t>1,243</w:t>
            </w:r>
          </w:p>
        </w:tc>
        <w:tc>
          <w:tcPr>
            <w:tcW w:w="116"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jc w:val="left"/>
              <w:rPr/>
            </w:pPr>
            <w:r>
              <w:rPr/>
              <w:t>$</w:t>
            </w:r>
          </w:p>
        </w:tc>
        <w:tc>
          <w:tcPr>
            <w:tcW w:w="1044" w:type="dxa"/>
            <w:tcBorders/>
            <w:shd w:fill="CCEEFF" w:val="clear"/>
            <w:vAlign w:val="bottom"/>
          </w:tcPr>
          <w:p>
            <w:pPr>
              <w:pStyle w:val="TableContents"/>
              <w:spacing w:before="0" w:after="283"/>
              <w:jc w:val="right"/>
              <w:rPr/>
            </w:pPr>
            <w:r>
              <w:rPr/>
              <w:t>50</w:t>
            </w:r>
          </w:p>
        </w:tc>
        <w:tc>
          <w:tcPr>
            <w:tcW w:w="122" w:type="dxa"/>
            <w:tcBorders/>
            <w:shd w:fill="CCEEFF" w:val="clear"/>
            <w:vAlign w:val="bottom"/>
          </w:tcPr>
          <w:p>
            <w:pPr>
              <w:pStyle w:val="TableContents"/>
              <w:spacing w:before="0" w:after="283"/>
              <w:rPr/>
            </w:pPr>
            <w:r>
              <w:rPr/>
              <w:t> </w:t>
            </w:r>
          </w:p>
        </w:tc>
      </w:tr>
      <w:tr>
        <w:trPr/>
        <w:tc>
          <w:tcPr>
            <w:tcW w:w="6801" w:type="dxa"/>
            <w:tcBorders/>
            <w:shd w:fill="auto" w:val="clear"/>
            <w:vAlign w:val="bottom"/>
          </w:tcPr>
          <w:p>
            <w:pPr>
              <w:pStyle w:val="TableContents"/>
              <w:spacing w:before="0" w:after="0"/>
              <w:ind w:left="450" w:right="0" w:hanging="225"/>
              <w:rPr/>
            </w:pPr>
            <w:r>
              <w:rPr/>
              <w:t>Accounts receivable, net of allowances of $2,306 (2007) and $1,833 (2006)</w:t>
            </w:r>
          </w:p>
        </w:tc>
        <w:tc>
          <w:tcPr>
            <w:tcW w:w="431"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jc w:val="right"/>
              <w:rPr/>
            </w:pPr>
            <w:r>
              <w:rPr/>
              <w:t>33,300</w:t>
            </w:r>
          </w:p>
        </w:tc>
        <w:tc>
          <w:tcPr>
            <w:tcW w:w="11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44" w:type="dxa"/>
            <w:tcBorders/>
            <w:shd w:fill="auto" w:val="clear"/>
            <w:vAlign w:val="bottom"/>
          </w:tcPr>
          <w:p>
            <w:pPr>
              <w:pStyle w:val="TableContents"/>
              <w:spacing w:before="0" w:after="283"/>
              <w:jc w:val="right"/>
              <w:rPr/>
            </w:pPr>
            <w:r>
              <w:rPr/>
              <w:t>24,202</w:t>
            </w:r>
          </w:p>
        </w:tc>
        <w:tc>
          <w:tcPr>
            <w:tcW w:w="122" w:type="dxa"/>
            <w:tcBorders/>
            <w:shd w:fill="auto" w:val="clear"/>
            <w:vAlign w:val="bottom"/>
          </w:tcPr>
          <w:p>
            <w:pPr>
              <w:pStyle w:val="TableContents"/>
              <w:spacing w:before="0" w:after="283"/>
              <w:rPr/>
            </w:pPr>
            <w:r>
              <w:rPr/>
              <w:t> </w:t>
            </w:r>
          </w:p>
        </w:tc>
      </w:tr>
      <w:tr>
        <w:trPr/>
        <w:tc>
          <w:tcPr>
            <w:tcW w:w="6801" w:type="dxa"/>
            <w:tcBorders/>
            <w:shd w:fill="CCEEFF" w:val="clear"/>
            <w:vAlign w:val="bottom"/>
          </w:tcPr>
          <w:p>
            <w:pPr>
              <w:pStyle w:val="TableContents"/>
              <w:spacing w:before="0" w:after="0"/>
              <w:ind w:left="450" w:right="0" w:hanging="225"/>
              <w:rPr/>
            </w:pPr>
            <w:r>
              <w:rPr/>
              <w:t>Inventories, net</w:t>
            </w:r>
          </w:p>
        </w:tc>
        <w:tc>
          <w:tcPr>
            <w:tcW w:w="431"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01" w:type="dxa"/>
            <w:tcBorders/>
            <w:shd w:fill="CCEEFF" w:val="clear"/>
            <w:vAlign w:val="bottom"/>
          </w:tcPr>
          <w:p>
            <w:pPr>
              <w:pStyle w:val="TableContents"/>
              <w:spacing w:before="0" w:after="283"/>
              <w:jc w:val="right"/>
              <w:rPr/>
            </w:pPr>
            <w:r>
              <w:rPr/>
              <w:t>13,314</w:t>
            </w:r>
          </w:p>
        </w:tc>
        <w:tc>
          <w:tcPr>
            <w:tcW w:w="116"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44" w:type="dxa"/>
            <w:tcBorders/>
            <w:shd w:fill="CCEEFF" w:val="clear"/>
            <w:vAlign w:val="bottom"/>
          </w:tcPr>
          <w:p>
            <w:pPr>
              <w:pStyle w:val="TableContents"/>
              <w:spacing w:before="0" w:after="283"/>
              <w:jc w:val="right"/>
              <w:rPr/>
            </w:pPr>
            <w:r>
              <w:rPr/>
              <w:t>10,569</w:t>
            </w:r>
          </w:p>
        </w:tc>
        <w:tc>
          <w:tcPr>
            <w:tcW w:w="122" w:type="dxa"/>
            <w:tcBorders/>
            <w:shd w:fill="CCEEFF" w:val="clear"/>
            <w:vAlign w:val="bottom"/>
          </w:tcPr>
          <w:p>
            <w:pPr>
              <w:pStyle w:val="TableContents"/>
              <w:spacing w:before="0" w:after="283"/>
              <w:rPr/>
            </w:pPr>
            <w:r>
              <w:rPr/>
              <w:t> </w:t>
            </w:r>
          </w:p>
        </w:tc>
      </w:tr>
      <w:tr>
        <w:trPr/>
        <w:tc>
          <w:tcPr>
            <w:tcW w:w="6801" w:type="dxa"/>
            <w:tcBorders/>
            <w:shd w:fill="auto" w:val="clear"/>
            <w:vAlign w:val="bottom"/>
          </w:tcPr>
          <w:p>
            <w:pPr>
              <w:pStyle w:val="TableContents"/>
              <w:spacing w:before="0" w:after="0"/>
              <w:ind w:left="450" w:right="0" w:hanging="225"/>
              <w:rPr/>
            </w:pPr>
            <w:r>
              <w:rPr/>
              <w:t>Prepaid expenses and other current assets</w:t>
            </w:r>
          </w:p>
        </w:tc>
        <w:tc>
          <w:tcPr>
            <w:tcW w:w="431"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jc w:val="right"/>
              <w:rPr/>
            </w:pPr>
            <w:r>
              <w:rPr/>
              <w:t>6,923</w:t>
            </w:r>
          </w:p>
        </w:tc>
        <w:tc>
          <w:tcPr>
            <w:tcW w:w="11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44" w:type="dxa"/>
            <w:tcBorders/>
            <w:shd w:fill="auto" w:val="clear"/>
            <w:vAlign w:val="bottom"/>
          </w:tcPr>
          <w:p>
            <w:pPr>
              <w:pStyle w:val="TableContents"/>
              <w:spacing w:before="0" w:after="283"/>
              <w:jc w:val="right"/>
              <w:rPr/>
            </w:pPr>
            <w:r>
              <w:rPr/>
              <w:t>4,934</w:t>
            </w:r>
          </w:p>
        </w:tc>
        <w:tc>
          <w:tcPr>
            <w:tcW w:w="122" w:type="dxa"/>
            <w:tcBorders/>
            <w:shd w:fill="auto" w:val="clear"/>
            <w:vAlign w:val="bottom"/>
          </w:tcPr>
          <w:p>
            <w:pPr>
              <w:pStyle w:val="TableContents"/>
              <w:spacing w:before="0" w:after="283"/>
              <w:rPr/>
            </w:pPr>
            <w:r>
              <w:rPr/>
              <w:t> </w:t>
            </w:r>
          </w:p>
        </w:tc>
      </w:tr>
      <w:tr>
        <w:trPr/>
        <w:tc>
          <w:tcPr>
            <w:tcW w:w="6801" w:type="dxa"/>
            <w:tcBorders/>
            <w:shd w:fill="CCEEFF" w:val="clear"/>
            <w:vAlign w:val="bottom"/>
          </w:tcPr>
          <w:p>
            <w:pPr>
              <w:pStyle w:val="TableContents"/>
              <w:spacing w:before="0" w:after="0"/>
              <w:ind w:left="450" w:right="0" w:hanging="225"/>
              <w:rPr/>
            </w:pPr>
            <w:r>
              <w:rPr/>
              <w:t>Advances to suppliers</w:t>
            </w:r>
          </w:p>
        </w:tc>
        <w:tc>
          <w:tcPr>
            <w:tcW w:w="431"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01" w:type="dxa"/>
            <w:tcBorders/>
            <w:shd w:fill="CCEEFF" w:val="clear"/>
            <w:vAlign w:val="bottom"/>
          </w:tcPr>
          <w:p>
            <w:pPr>
              <w:pStyle w:val="TableContents"/>
              <w:spacing w:before="0" w:after="283"/>
              <w:jc w:val="right"/>
              <w:rPr/>
            </w:pPr>
            <w:r>
              <w:rPr/>
              <w:t>1,775</w:t>
            </w:r>
          </w:p>
        </w:tc>
        <w:tc>
          <w:tcPr>
            <w:tcW w:w="116"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44" w:type="dxa"/>
            <w:tcBorders/>
            <w:shd w:fill="CCEEFF" w:val="clear"/>
            <w:vAlign w:val="bottom"/>
          </w:tcPr>
          <w:p>
            <w:pPr>
              <w:pStyle w:val="TableContents"/>
              <w:spacing w:before="0" w:after="283"/>
              <w:jc w:val="right"/>
              <w:rPr/>
            </w:pPr>
            <w:r>
              <w:rPr/>
              <w:t>1,406</w:t>
            </w:r>
          </w:p>
        </w:tc>
        <w:tc>
          <w:tcPr>
            <w:tcW w:w="122" w:type="dxa"/>
            <w:tcBorders/>
            <w:shd w:fill="CCEEFF" w:val="clear"/>
            <w:vAlign w:val="bottom"/>
          </w:tcPr>
          <w:p>
            <w:pPr>
              <w:pStyle w:val="TableContents"/>
              <w:spacing w:before="0" w:after="283"/>
              <w:rPr/>
            </w:pPr>
            <w:r>
              <w:rPr/>
              <w:t> </w:t>
            </w:r>
          </w:p>
        </w:tc>
      </w:tr>
      <w:tr>
        <w:trPr/>
        <w:tc>
          <w:tcPr>
            <w:tcW w:w="6801" w:type="dxa"/>
            <w:tcBorders/>
            <w:shd w:fill="auto" w:val="clear"/>
            <w:vAlign w:val="bottom"/>
          </w:tcPr>
          <w:p>
            <w:pPr>
              <w:pStyle w:val="TableContents"/>
              <w:spacing w:before="0" w:after="0"/>
              <w:ind w:left="450" w:right="0" w:hanging="225"/>
              <w:rPr/>
            </w:pPr>
            <w:r>
              <w:rPr/>
              <w:t>Income tax receivable</w:t>
            </w:r>
          </w:p>
        </w:tc>
        <w:tc>
          <w:tcPr>
            <w:tcW w:w="431"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jc w:val="right"/>
              <w:rPr/>
            </w:pPr>
            <w:r>
              <w:rPr/>
              <w:t>582</w:t>
            </w:r>
          </w:p>
        </w:tc>
        <w:tc>
          <w:tcPr>
            <w:tcW w:w="11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44" w:type="dxa"/>
            <w:tcBorders/>
            <w:shd w:fill="auto" w:val="clear"/>
            <w:vAlign w:val="bottom"/>
          </w:tcPr>
          <w:p>
            <w:pPr>
              <w:pStyle w:val="TableContents"/>
              <w:spacing w:before="0" w:after="283"/>
              <w:jc w:val="right"/>
              <w:rPr/>
            </w:pPr>
            <w:r>
              <w:rPr/>
              <w:t>2,268</w:t>
            </w:r>
          </w:p>
        </w:tc>
        <w:tc>
          <w:tcPr>
            <w:tcW w:w="122" w:type="dxa"/>
            <w:tcBorders/>
            <w:shd w:fill="auto" w:val="clear"/>
            <w:vAlign w:val="bottom"/>
          </w:tcPr>
          <w:p>
            <w:pPr>
              <w:pStyle w:val="TableContents"/>
              <w:spacing w:before="0" w:after="283"/>
              <w:rPr/>
            </w:pPr>
            <w:r>
              <w:rPr/>
              <w:t> </w:t>
            </w:r>
          </w:p>
        </w:tc>
      </w:tr>
      <w:tr>
        <w:trPr/>
        <w:tc>
          <w:tcPr>
            <w:tcW w:w="6801" w:type="dxa"/>
            <w:tcBorders/>
            <w:shd w:fill="CCEEFF" w:val="clear"/>
            <w:vAlign w:val="bottom"/>
          </w:tcPr>
          <w:p>
            <w:pPr>
              <w:pStyle w:val="TableContents"/>
              <w:spacing w:before="0" w:after="0"/>
              <w:ind w:left="450" w:right="0" w:hanging="225"/>
              <w:rPr/>
            </w:pPr>
            <w:r>
              <w:rPr/>
              <w:t>Deferred income taxes</w:t>
            </w:r>
          </w:p>
        </w:tc>
        <w:tc>
          <w:tcPr>
            <w:tcW w:w="431"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01" w:type="dxa"/>
            <w:tcBorders/>
            <w:shd w:fill="CCEEFF" w:val="clear"/>
            <w:vAlign w:val="bottom"/>
          </w:tcPr>
          <w:p>
            <w:pPr>
              <w:pStyle w:val="TableContents"/>
              <w:spacing w:before="0" w:after="283"/>
              <w:jc w:val="right"/>
              <w:rPr/>
            </w:pPr>
            <w:r>
              <w:rPr/>
              <w:t>2,348</w:t>
            </w:r>
          </w:p>
        </w:tc>
        <w:tc>
          <w:tcPr>
            <w:tcW w:w="116"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44" w:type="dxa"/>
            <w:tcBorders/>
            <w:shd w:fill="CCEEFF" w:val="clear"/>
            <w:vAlign w:val="bottom"/>
          </w:tcPr>
          <w:p>
            <w:pPr>
              <w:pStyle w:val="TableContents"/>
              <w:spacing w:before="0" w:after="283"/>
              <w:jc w:val="right"/>
              <w:rPr/>
            </w:pPr>
            <w:r>
              <w:rPr/>
              <w:t>2,348</w:t>
            </w:r>
          </w:p>
        </w:tc>
        <w:tc>
          <w:tcPr>
            <w:tcW w:w="122" w:type="dxa"/>
            <w:tcBorders/>
            <w:shd w:fill="CCEEFF" w:val="clear"/>
            <w:vAlign w:val="bottom"/>
          </w:tcPr>
          <w:p>
            <w:pPr>
              <w:pStyle w:val="TableContents"/>
              <w:spacing w:before="0" w:after="283"/>
              <w:rPr/>
            </w:pPr>
            <w:r>
              <w:rPr/>
              <w:t> </w:t>
            </w:r>
          </w:p>
        </w:tc>
      </w:tr>
      <w:tr>
        <w:trPr/>
        <w:tc>
          <w:tcPr>
            <w:tcW w:w="6801" w:type="dxa"/>
            <w:tcBorders/>
            <w:shd w:fill="auto" w:val="clear"/>
            <w:vAlign w:val="center"/>
          </w:tcPr>
          <w:p>
            <w:pPr>
              <w:pStyle w:val="TableContents"/>
              <w:spacing w:before="0" w:after="0"/>
              <w:ind w:left="225" w:right="0" w:hanging="225"/>
              <w:rPr/>
            </w:pPr>
            <w:r>
              <w:rPr/>
              <w:t> </w:t>
            </w:r>
          </w:p>
        </w:tc>
        <w:tc>
          <w:tcPr>
            <w:tcW w:w="431" w:type="dxa"/>
            <w:tcBorders/>
            <w:shd w:fill="auto" w:val="clear"/>
            <w:vAlign w:val="center"/>
          </w:tcPr>
          <w:p>
            <w:pPr>
              <w:pStyle w:val="TableContents"/>
              <w:spacing w:before="0" w:after="283"/>
              <w:rPr/>
            </w:pPr>
            <w:r>
              <w:rPr/>
              <w:t> </w:t>
            </w:r>
          </w:p>
        </w:tc>
        <w:tc>
          <w:tcPr>
            <w:tcW w:w="106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431" w:type="dxa"/>
            <w:tcBorders/>
            <w:shd w:fill="auto" w:val="clear"/>
            <w:vAlign w:val="center"/>
          </w:tcPr>
          <w:p>
            <w:pPr>
              <w:pStyle w:val="TableContents"/>
              <w:spacing w:before="0" w:after="283"/>
              <w:rPr/>
            </w:pPr>
            <w:r>
              <w:rPr/>
              <w:t> </w:t>
            </w:r>
          </w:p>
        </w:tc>
        <w:tc>
          <w:tcPr>
            <w:tcW w:w="12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r>
      <w:tr>
        <w:trPr/>
        <w:tc>
          <w:tcPr>
            <w:tcW w:w="6801" w:type="dxa"/>
            <w:tcBorders/>
            <w:shd w:fill="auto" w:val="clear"/>
            <w:vAlign w:val="bottom"/>
          </w:tcPr>
          <w:p>
            <w:pPr>
              <w:pStyle w:val="TableContents"/>
              <w:spacing w:before="0" w:after="0"/>
              <w:ind w:left="675" w:right="0" w:hanging="225"/>
              <w:rPr/>
            </w:pPr>
            <w:r>
              <w:rPr/>
              <w:t>Total current assets</w:t>
            </w:r>
          </w:p>
        </w:tc>
        <w:tc>
          <w:tcPr>
            <w:tcW w:w="431"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jc w:val="right"/>
              <w:rPr/>
            </w:pPr>
            <w:r>
              <w:rPr/>
              <w:t>59,485</w:t>
            </w:r>
          </w:p>
        </w:tc>
        <w:tc>
          <w:tcPr>
            <w:tcW w:w="11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44" w:type="dxa"/>
            <w:tcBorders/>
            <w:shd w:fill="auto" w:val="clear"/>
            <w:vAlign w:val="bottom"/>
          </w:tcPr>
          <w:p>
            <w:pPr>
              <w:pStyle w:val="TableContents"/>
              <w:spacing w:before="0" w:after="283"/>
              <w:jc w:val="right"/>
              <w:rPr/>
            </w:pPr>
            <w:r>
              <w:rPr/>
              <w:t>45,777</w:t>
            </w:r>
          </w:p>
        </w:tc>
        <w:tc>
          <w:tcPr>
            <w:tcW w:w="122" w:type="dxa"/>
            <w:tcBorders/>
            <w:shd w:fill="auto" w:val="clear"/>
            <w:vAlign w:val="bottom"/>
          </w:tcPr>
          <w:p>
            <w:pPr>
              <w:pStyle w:val="TableContents"/>
              <w:spacing w:before="0" w:after="283"/>
              <w:rPr/>
            </w:pPr>
            <w:r>
              <w:rPr/>
              <w:t> </w:t>
            </w:r>
          </w:p>
        </w:tc>
      </w:tr>
      <w:tr>
        <w:trPr/>
        <w:tc>
          <w:tcPr>
            <w:tcW w:w="6801" w:type="dxa"/>
            <w:tcBorders/>
            <w:shd w:fill="CCEEFF" w:val="clear"/>
            <w:vAlign w:val="bottom"/>
          </w:tcPr>
          <w:p>
            <w:pPr>
              <w:pStyle w:val="TableContents"/>
              <w:spacing w:before="0" w:after="0"/>
              <w:ind w:left="225" w:right="0" w:hanging="225"/>
              <w:rPr/>
            </w:pPr>
            <w:r>
              <w:rPr/>
              <w:t>Property, plant, and equipment, net</w:t>
            </w:r>
          </w:p>
        </w:tc>
        <w:tc>
          <w:tcPr>
            <w:tcW w:w="431"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01" w:type="dxa"/>
            <w:tcBorders/>
            <w:shd w:fill="CCEEFF" w:val="clear"/>
            <w:vAlign w:val="bottom"/>
          </w:tcPr>
          <w:p>
            <w:pPr>
              <w:pStyle w:val="TableContents"/>
              <w:spacing w:before="0" w:after="283"/>
              <w:jc w:val="right"/>
              <w:rPr/>
            </w:pPr>
            <w:r>
              <w:rPr/>
              <w:t>20,997</w:t>
            </w:r>
          </w:p>
        </w:tc>
        <w:tc>
          <w:tcPr>
            <w:tcW w:w="116"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44" w:type="dxa"/>
            <w:tcBorders/>
            <w:shd w:fill="CCEEFF" w:val="clear"/>
            <w:vAlign w:val="bottom"/>
          </w:tcPr>
          <w:p>
            <w:pPr>
              <w:pStyle w:val="TableContents"/>
              <w:spacing w:before="0" w:after="283"/>
              <w:jc w:val="right"/>
              <w:rPr/>
            </w:pPr>
            <w:r>
              <w:rPr/>
              <w:t>19,908</w:t>
            </w:r>
          </w:p>
        </w:tc>
        <w:tc>
          <w:tcPr>
            <w:tcW w:w="122" w:type="dxa"/>
            <w:tcBorders/>
            <w:shd w:fill="CCEEFF" w:val="clear"/>
            <w:vAlign w:val="bottom"/>
          </w:tcPr>
          <w:p>
            <w:pPr>
              <w:pStyle w:val="TableContents"/>
              <w:spacing w:before="0" w:after="283"/>
              <w:rPr/>
            </w:pPr>
            <w:r>
              <w:rPr/>
              <w:t> </w:t>
            </w:r>
          </w:p>
        </w:tc>
      </w:tr>
      <w:tr>
        <w:trPr/>
        <w:tc>
          <w:tcPr>
            <w:tcW w:w="6801" w:type="dxa"/>
            <w:tcBorders/>
            <w:shd w:fill="auto" w:val="clear"/>
            <w:vAlign w:val="bottom"/>
          </w:tcPr>
          <w:p>
            <w:pPr>
              <w:pStyle w:val="TableContents"/>
              <w:spacing w:before="0" w:after="0"/>
              <w:ind w:left="225" w:right="0" w:hanging="225"/>
              <w:rPr/>
            </w:pPr>
            <w:r>
              <w:rPr/>
              <w:t>Investment in Limoneira</w:t>
            </w:r>
          </w:p>
        </w:tc>
        <w:tc>
          <w:tcPr>
            <w:tcW w:w="431"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jc w:val="right"/>
              <w:rPr/>
            </w:pPr>
            <w:r>
              <w:rPr/>
              <w:t>53,586</w:t>
            </w:r>
          </w:p>
        </w:tc>
        <w:tc>
          <w:tcPr>
            <w:tcW w:w="11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44" w:type="dxa"/>
            <w:tcBorders/>
            <w:shd w:fill="auto" w:val="clear"/>
            <w:vAlign w:val="bottom"/>
          </w:tcPr>
          <w:p>
            <w:pPr>
              <w:pStyle w:val="TableContents"/>
              <w:spacing w:before="0" w:after="283"/>
              <w:jc w:val="right"/>
              <w:rPr/>
            </w:pPr>
            <w:r>
              <w:rPr/>
              <w:t>33,879</w:t>
            </w:r>
          </w:p>
        </w:tc>
        <w:tc>
          <w:tcPr>
            <w:tcW w:w="122" w:type="dxa"/>
            <w:tcBorders/>
            <w:shd w:fill="auto" w:val="clear"/>
            <w:vAlign w:val="bottom"/>
          </w:tcPr>
          <w:p>
            <w:pPr>
              <w:pStyle w:val="TableContents"/>
              <w:spacing w:before="0" w:after="283"/>
              <w:rPr/>
            </w:pPr>
            <w:r>
              <w:rPr/>
              <w:t> </w:t>
            </w:r>
          </w:p>
        </w:tc>
      </w:tr>
      <w:tr>
        <w:trPr/>
        <w:tc>
          <w:tcPr>
            <w:tcW w:w="6801" w:type="dxa"/>
            <w:tcBorders/>
            <w:shd w:fill="CCEEFF" w:val="clear"/>
            <w:vAlign w:val="bottom"/>
          </w:tcPr>
          <w:p>
            <w:pPr>
              <w:pStyle w:val="TableContents"/>
              <w:spacing w:before="0" w:after="0"/>
              <w:ind w:left="225" w:right="0" w:hanging="225"/>
              <w:rPr/>
            </w:pPr>
            <w:r>
              <w:rPr/>
              <w:t>Investment in Maui Fresh, LLC</w:t>
            </w:r>
          </w:p>
        </w:tc>
        <w:tc>
          <w:tcPr>
            <w:tcW w:w="431"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01" w:type="dxa"/>
            <w:tcBorders/>
            <w:shd w:fill="CCEEFF" w:val="clear"/>
            <w:vAlign w:val="bottom"/>
          </w:tcPr>
          <w:p>
            <w:pPr>
              <w:pStyle w:val="TableContents"/>
              <w:spacing w:before="0" w:after="283"/>
              <w:jc w:val="right"/>
              <w:rPr/>
            </w:pPr>
            <w:r>
              <w:rPr/>
              <w:t>338</w:t>
            </w:r>
          </w:p>
        </w:tc>
        <w:tc>
          <w:tcPr>
            <w:tcW w:w="116"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44" w:type="dxa"/>
            <w:tcBorders/>
            <w:shd w:fill="CCEEFF" w:val="clear"/>
            <w:vAlign w:val="bottom"/>
          </w:tcPr>
          <w:p>
            <w:pPr>
              <w:pStyle w:val="TableContents"/>
              <w:spacing w:before="0" w:after="283"/>
              <w:jc w:val="right"/>
              <w:rPr/>
            </w:pPr>
            <w:r>
              <w:rPr/>
              <w:t>229</w:t>
            </w:r>
          </w:p>
        </w:tc>
        <w:tc>
          <w:tcPr>
            <w:tcW w:w="122" w:type="dxa"/>
            <w:tcBorders/>
            <w:shd w:fill="CCEEFF" w:val="clear"/>
            <w:vAlign w:val="bottom"/>
          </w:tcPr>
          <w:p>
            <w:pPr>
              <w:pStyle w:val="TableContents"/>
              <w:spacing w:before="0" w:after="283"/>
              <w:rPr/>
            </w:pPr>
            <w:r>
              <w:rPr/>
              <w:t> </w:t>
            </w:r>
          </w:p>
        </w:tc>
      </w:tr>
      <w:tr>
        <w:trPr/>
        <w:tc>
          <w:tcPr>
            <w:tcW w:w="6801" w:type="dxa"/>
            <w:tcBorders/>
            <w:shd w:fill="auto" w:val="clear"/>
            <w:vAlign w:val="bottom"/>
          </w:tcPr>
          <w:p>
            <w:pPr>
              <w:pStyle w:val="TableContents"/>
              <w:spacing w:before="0" w:after="0"/>
              <w:ind w:left="225" w:right="0" w:hanging="225"/>
              <w:rPr/>
            </w:pPr>
            <w:r>
              <w:rPr/>
              <w:t>Goodwill</w:t>
            </w:r>
          </w:p>
        </w:tc>
        <w:tc>
          <w:tcPr>
            <w:tcW w:w="431"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jc w:val="right"/>
              <w:rPr/>
            </w:pPr>
            <w:r>
              <w:rPr/>
              <w:t>3,591</w:t>
            </w:r>
          </w:p>
        </w:tc>
        <w:tc>
          <w:tcPr>
            <w:tcW w:w="11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44" w:type="dxa"/>
            <w:tcBorders/>
            <w:shd w:fill="auto" w:val="clear"/>
            <w:vAlign w:val="bottom"/>
          </w:tcPr>
          <w:p>
            <w:pPr>
              <w:pStyle w:val="TableContents"/>
              <w:spacing w:before="0" w:after="283"/>
              <w:jc w:val="right"/>
              <w:rPr/>
            </w:pPr>
            <w:r>
              <w:rPr/>
              <w:t>3,591</w:t>
            </w:r>
          </w:p>
        </w:tc>
        <w:tc>
          <w:tcPr>
            <w:tcW w:w="122" w:type="dxa"/>
            <w:tcBorders/>
            <w:shd w:fill="auto" w:val="clear"/>
            <w:vAlign w:val="bottom"/>
          </w:tcPr>
          <w:p>
            <w:pPr>
              <w:pStyle w:val="TableContents"/>
              <w:spacing w:before="0" w:after="283"/>
              <w:rPr/>
            </w:pPr>
            <w:r>
              <w:rPr/>
              <w:t> </w:t>
            </w:r>
          </w:p>
        </w:tc>
      </w:tr>
      <w:tr>
        <w:trPr/>
        <w:tc>
          <w:tcPr>
            <w:tcW w:w="6801" w:type="dxa"/>
            <w:tcBorders/>
            <w:shd w:fill="CCEEFF" w:val="clear"/>
            <w:vAlign w:val="bottom"/>
          </w:tcPr>
          <w:p>
            <w:pPr>
              <w:pStyle w:val="TableContents"/>
              <w:spacing w:before="0" w:after="0"/>
              <w:ind w:left="225" w:right="0" w:hanging="225"/>
              <w:rPr/>
            </w:pPr>
            <w:r>
              <w:rPr/>
              <w:t>Other long-term assets</w:t>
            </w:r>
          </w:p>
        </w:tc>
        <w:tc>
          <w:tcPr>
            <w:tcW w:w="431"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01" w:type="dxa"/>
            <w:tcBorders/>
            <w:shd w:fill="CCEEFF" w:val="clear"/>
            <w:vAlign w:val="bottom"/>
          </w:tcPr>
          <w:p>
            <w:pPr>
              <w:pStyle w:val="TableContents"/>
              <w:spacing w:before="0" w:after="283"/>
              <w:jc w:val="right"/>
              <w:rPr/>
            </w:pPr>
            <w:r>
              <w:rPr/>
              <w:t>6,659</w:t>
            </w:r>
          </w:p>
        </w:tc>
        <w:tc>
          <w:tcPr>
            <w:tcW w:w="116"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44" w:type="dxa"/>
            <w:tcBorders/>
            <w:shd w:fill="CCEEFF" w:val="clear"/>
            <w:vAlign w:val="bottom"/>
          </w:tcPr>
          <w:p>
            <w:pPr>
              <w:pStyle w:val="TableContents"/>
              <w:spacing w:before="0" w:after="283"/>
              <w:jc w:val="right"/>
              <w:rPr/>
            </w:pPr>
            <w:r>
              <w:rPr/>
              <w:t>4,110</w:t>
            </w:r>
          </w:p>
        </w:tc>
        <w:tc>
          <w:tcPr>
            <w:tcW w:w="122" w:type="dxa"/>
            <w:tcBorders/>
            <w:shd w:fill="CCEEFF" w:val="clear"/>
            <w:vAlign w:val="bottom"/>
          </w:tcPr>
          <w:p>
            <w:pPr>
              <w:pStyle w:val="TableContents"/>
              <w:spacing w:before="0" w:after="283"/>
              <w:rPr/>
            </w:pPr>
            <w:r>
              <w:rPr/>
              <w:t> </w:t>
            </w:r>
          </w:p>
        </w:tc>
      </w:tr>
      <w:tr>
        <w:trPr/>
        <w:tc>
          <w:tcPr>
            <w:tcW w:w="6801" w:type="dxa"/>
            <w:tcBorders/>
            <w:shd w:fill="auto" w:val="clear"/>
            <w:vAlign w:val="center"/>
          </w:tcPr>
          <w:p>
            <w:pPr>
              <w:pStyle w:val="TableContents"/>
              <w:spacing w:before="0" w:after="0"/>
              <w:ind w:left="225" w:right="0" w:hanging="225"/>
              <w:rPr/>
            </w:pPr>
            <w:r>
              <w:rPr/>
              <w:t> </w:t>
            </w:r>
          </w:p>
        </w:tc>
        <w:tc>
          <w:tcPr>
            <w:tcW w:w="431" w:type="dxa"/>
            <w:tcBorders/>
            <w:shd w:fill="auto" w:val="clear"/>
            <w:vAlign w:val="center"/>
          </w:tcPr>
          <w:p>
            <w:pPr>
              <w:pStyle w:val="TableContents"/>
              <w:spacing w:before="0" w:after="283"/>
              <w:rPr/>
            </w:pPr>
            <w:r>
              <w:rPr/>
              <w:t> </w:t>
            </w:r>
          </w:p>
        </w:tc>
        <w:tc>
          <w:tcPr>
            <w:tcW w:w="106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431" w:type="dxa"/>
            <w:tcBorders/>
            <w:shd w:fill="auto" w:val="clear"/>
            <w:vAlign w:val="center"/>
          </w:tcPr>
          <w:p>
            <w:pPr>
              <w:pStyle w:val="TableContents"/>
              <w:spacing w:before="0" w:after="283"/>
              <w:rPr/>
            </w:pPr>
            <w:r>
              <w:rPr/>
              <w:t> </w:t>
            </w:r>
          </w:p>
        </w:tc>
        <w:tc>
          <w:tcPr>
            <w:tcW w:w="12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r>
      <w:tr>
        <w:trPr/>
        <w:tc>
          <w:tcPr>
            <w:tcW w:w="6801" w:type="dxa"/>
            <w:tcBorders/>
            <w:shd w:fill="auto" w:val="clear"/>
            <w:vAlign w:val="bottom"/>
          </w:tcPr>
          <w:p>
            <w:pPr>
              <w:pStyle w:val="TableContents"/>
              <w:spacing w:before="0" w:after="0"/>
              <w:ind w:left="225" w:right="0" w:hanging="225"/>
              <w:rPr/>
            </w:pPr>
            <w:r>
              <w:rPr/>
              <w:t> </w:t>
            </w:r>
          </w:p>
        </w:tc>
        <w:tc>
          <w:tcPr>
            <w:tcW w:w="431"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w:t>
            </w:r>
          </w:p>
        </w:tc>
        <w:tc>
          <w:tcPr>
            <w:tcW w:w="901" w:type="dxa"/>
            <w:tcBorders/>
            <w:shd w:fill="auto" w:val="clear"/>
            <w:vAlign w:val="bottom"/>
          </w:tcPr>
          <w:p>
            <w:pPr>
              <w:pStyle w:val="TableContents"/>
              <w:spacing w:before="0" w:after="283"/>
              <w:jc w:val="right"/>
              <w:rPr/>
            </w:pPr>
            <w:r>
              <w:rPr/>
              <w:t>144,656</w:t>
            </w:r>
          </w:p>
        </w:tc>
        <w:tc>
          <w:tcPr>
            <w:tcW w:w="11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jc w:val="left"/>
              <w:rPr/>
            </w:pPr>
            <w:r>
              <w:rPr/>
              <w:t>$</w:t>
            </w:r>
          </w:p>
        </w:tc>
        <w:tc>
          <w:tcPr>
            <w:tcW w:w="1044" w:type="dxa"/>
            <w:tcBorders/>
            <w:shd w:fill="auto" w:val="clear"/>
            <w:vAlign w:val="bottom"/>
          </w:tcPr>
          <w:p>
            <w:pPr>
              <w:pStyle w:val="TableContents"/>
              <w:spacing w:before="0" w:after="283"/>
              <w:jc w:val="right"/>
              <w:rPr/>
            </w:pPr>
            <w:r>
              <w:rPr/>
              <w:t>107,494</w:t>
            </w:r>
          </w:p>
        </w:tc>
        <w:tc>
          <w:tcPr>
            <w:tcW w:w="122" w:type="dxa"/>
            <w:tcBorders/>
            <w:shd w:fill="auto" w:val="clear"/>
            <w:vAlign w:val="bottom"/>
          </w:tcPr>
          <w:p>
            <w:pPr>
              <w:pStyle w:val="TableContents"/>
              <w:spacing w:before="0" w:after="283"/>
              <w:rPr/>
            </w:pPr>
            <w:r>
              <w:rPr/>
              <w:t> </w:t>
            </w:r>
          </w:p>
        </w:tc>
      </w:tr>
      <w:tr>
        <w:trPr/>
        <w:tc>
          <w:tcPr>
            <w:tcW w:w="6801" w:type="dxa"/>
            <w:tcBorders/>
            <w:shd w:fill="auto" w:val="clear"/>
            <w:vAlign w:val="center"/>
          </w:tcPr>
          <w:p>
            <w:pPr>
              <w:pStyle w:val="TableContents"/>
              <w:spacing w:before="0" w:after="0"/>
              <w:ind w:left="225" w:right="0" w:hanging="225"/>
              <w:rPr/>
            </w:pPr>
            <w:r>
              <w:rPr/>
              <w:t> </w:t>
            </w:r>
          </w:p>
        </w:tc>
        <w:tc>
          <w:tcPr>
            <w:tcW w:w="431" w:type="dxa"/>
            <w:tcBorders/>
            <w:shd w:fill="auto" w:val="clear"/>
            <w:vAlign w:val="center"/>
          </w:tcPr>
          <w:p>
            <w:pPr>
              <w:pStyle w:val="TableContents"/>
              <w:spacing w:before="0" w:after="283"/>
              <w:rPr/>
            </w:pPr>
            <w:r>
              <w:rPr/>
              <w:t> </w:t>
            </w:r>
          </w:p>
        </w:tc>
        <w:tc>
          <w:tcPr>
            <w:tcW w:w="106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431" w:type="dxa"/>
            <w:tcBorders/>
            <w:shd w:fill="auto" w:val="clear"/>
            <w:vAlign w:val="center"/>
          </w:tcPr>
          <w:p>
            <w:pPr>
              <w:pStyle w:val="TableContents"/>
              <w:spacing w:before="0" w:after="283"/>
              <w:rPr/>
            </w:pPr>
            <w:r>
              <w:rPr/>
              <w:t> </w:t>
            </w:r>
          </w:p>
        </w:tc>
        <w:tc>
          <w:tcPr>
            <w:tcW w:w="12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r>
      <w:tr>
        <w:trPr/>
        <w:tc>
          <w:tcPr>
            <w:tcW w:w="6801" w:type="dxa"/>
            <w:tcBorders/>
            <w:shd w:fill="auto" w:val="clear"/>
            <w:vAlign w:val="bottom"/>
          </w:tcPr>
          <w:p>
            <w:pPr>
              <w:pStyle w:val="TableContents"/>
              <w:spacing w:before="0" w:after="0"/>
              <w:ind w:left="225" w:right="0" w:hanging="225"/>
              <w:rPr/>
            </w:pPr>
            <w:r>
              <w:rPr/>
              <w:t> </w:t>
            </w:r>
          </w:p>
        </w:tc>
        <w:tc>
          <w:tcPr>
            <w:tcW w:w="431"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44"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r>
      <w:tr>
        <w:trPr/>
        <w:tc>
          <w:tcPr>
            <w:tcW w:w="6801" w:type="dxa"/>
            <w:tcBorders/>
            <w:shd w:fill="CCEEFF" w:val="clear"/>
            <w:vAlign w:val="bottom"/>
          </w:tcPr>
          <w:p>
            <w:pPr>
              <w:pStyle w:val="TableContents"/>
              <w:spacing w:before="0" w:after="0"/>
              <w:ind w:left="225" w:right="0" w:hanging="225"/>
              <w:rPr>
                <w:b/>
              </w:rPr>
            </w:pPr>
            <w:r>
              <w:rPr>
                <w:b/>
              </w:rPr>
              <w:t>Liabilities and shareholders equity</w:t>
            </w:r>
          </w:p>
        </w:tc>
        <w:tc>
          <w:tcPr>
            <w:tcW w:w="431"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01"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44"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r>
      <w:tr>
        <w:trPr/>
        <w:tc>
          <w:tcPr>
            <w:tcW w:w="6801" w:type="dxa"/>
            <w:tcBorders/>
            <w:shd w:fill="auto" w:val="clear"/>
            <w:vAlign w:val="bottom"/>
          </w:tcPr>
          <w:p>
            <w:pPr>
              <w:pStyle w:val="TableContents"/>
              <w:spacing w:before="0" w:after="0"/>
              <w:ind w:left="225" w:right="0" w:hanging="225"/>
              <w:rPr/>
            </w:pPr>
            <w:r>
              <w:rPr/>
              <w:t>Current liabilities:</w:t>
            </w:r>
          </w:p>
        </w:tc>
        <w:tc>
          <w:tcPr>
            <w:tcW w:w="431"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44"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r>
      <w:tr>
        <w:trPr/>
        <w:tc>
          <w:tcPr>
            <w:tcW w:w="6801" w:type="dxa"/>
            <w:tcBorders/>
            <w:shd w:fill="CCEEFF" w:val="clear"/>
            <w:vAlign w:val="bottom"/>
          </w:tcPr>
          <w:p>
            <w:pPr>
              <w:pStyle w:val="TableContents"/>
              <w:spacing w:before="0" w:after="0"/>
              <w:ind w:left="450" w:right="0" w:hanging="225"/>
              <w:rPr/>
            </w:pPr>
            <w:r>
              <w:rPr/>
              <w:t>Payable to growers</w:t>
            </w:r>
          </w:p>
        </w:tc>
        <w:tc>
          <w:tcPr>
            <w:tcW w:w="431"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901" w:type="dxa"/>
            <w:tcBorders/>
            <w:shd w:fill="CCEEFF" w:val="clear"/>
            <w:vAlign w:val="bottom"/>
          </w:tcPr>
          <w:p>
            <w:pPr>
              <w:pStyle w:val="TableContents"/>
              <w:spacing w:before="0" w:after="283"/>
              <w:jc w:val="right"/>
              <w:rPr/>
            </w:pPr>
            <w:r>
              <w:rPr/>
              <w:t>12,718</w:t>
            </w:r>
          </w:p>
        </w:tc>
        <w:tc>
          <w:tcPr>
            <w:tcW w:w="116"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jc w:val="left"/>
              <w:rPr/>
            </w:pPr>
            <w:r>
              <w:rPr/>
              <w:t>$</w:t>
            </w:r>
          </w:p>
        </w:tc>
        <w:tc>
          <w:tcPr>
            <w:tcW w:w="1044" w:type="dxa"/>
            <w:tcBorders/>
            <w:shd w:fill="CCEEFF" w:val="clear"/>
            <w:vAlign w:val="bottom"/>
          </w:tcPr>
          <w:p>
            <w:pPr>
              <w:pStyle w:val="TableContents"/>
              <w:spacing w:before="0" w:after="283"/>
              <w:jc w:val="right"/>
              <w:rPr/>
            </w:pPr>
            <w:r>
              <w:rPr/>
              <w:t>6,334</w:t>
            </w:r>
          </w:p>
        </w:tc>
        <w:tc>
          <w:tcPr>
            <w:tcW w:w="122" w:type="dxa"/>
            <w:tcBorders/>
            <w:shd w:fill="CCEEFF" w:val="clear"/>
            <w:vAlign w:val="bottom"/>
          </w:tcPr>
          <w:p>
            <w:pPr>
              <w:pStyle w:val="TableContents"/>
              <w:spacing w:before="0" w:after="283"/>
              <w:rPr/>
            </w:pPr>
            <w:r>
              <w:rPr/>
              <w:t> </w:t>
            </w:r>
          </w:p>
        </w:tc>
      </w:tr>
      <w:tr>
        <w:trPr/>
        <w:tc>
          <w:tcPr>
            <w:tcW w:w="6801" w:type="dxa"/>
            <w:tcBorders/>
            <w:shd w:fill="auto" w:val="clear"/>
            <w:vAlign w:val="bottom"/>
          </w:tcPr>
          <w:p>
            <w:pPr>
              <w:pStyle w:val="TableContents"/>
              <w:spacing w:before="0" w:after="0"/>
              <w:ind w:left="450" w:right="0" w:hanging="225"/>
              <w:rPr/>
            </w:pPr>
            <w:r>
              <w:rPr/>
              <w:t>Trade accounts payable</w:t>
            </w:r>
          </w:p>
        </w:tc>
        <w:tc>
          <w:tcPr>
            <w:tcW w:w="431"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jc w:val="right"/>
              <w:rPr/>
            </w:pPr>
            <w:r>
              <w:rPr/>
              <w:t>3,083</w:t>
            </w:r>
          </w:p>
        </w:tc>
        <w:tc>
          <w:tcPr>
            <w:tcW w:w="11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44" w:type="dxa"/>
            <w:tcBorders/>
            <w:shd w:fill="auto" w:val="clear"/>
            <w:vAlign w:val="bottom"/>
          </w:tcPr>
          <w:p>
            <w:pPr>
              <w:pStyle w:val="TableContents"/>
              <w:spacing w:before="0" w:after="283"/>
              <w:jc w:val="right"/>
              <w:rPr/>
            </w:pPr>
            <w:r>
              <w:rPr/>
              <w:t>4,046</w:t>
            </w:r>
          </w:p>
        </w:tc>
        <w:tc>
          <w:tcPr>
            <w:tcW w:w="122" w:type="dxa"/>
            <w:tcBorders/>
            <w:shd w:fill="auto" w:val="clear"/>
            <w:vAlign w:val="bottom"/>
          </w:tcPr>
          <w:p>
            <w:pPr>
              <w:pStyle w:val="TableContents"/>
              <w:spacing w:before="0" w:after="283"/>
              <w:rPr/>
            </w:pPr>
            <w:r>
              <w:rPr/>
              <w:t> </w:t>
            </w:r>
          </w:p>
        </w:tc>
      </w:tr>
      <w:tr>
        <w:trPr/>
        <w:tc>
          <w:tcPr>
            <w:tcW w:w="6801" w:type="dxa"/>
            <w:tcBorders/>
            <w:shd w:fill="CCEEFF" w:val="clear"/>
            <w:vAlign w:val="bottom"/>
          </w:tcPr>
          <w:p>
            <w:pPr>
              <w:pStyle w:val="TableContents"/>
              <w:spacing w:before="0" w:after="0"/>
              <w:ind w:left="450" w:right="0" w:hanging="225"/>
              <w:rPr/>
            </w:pPr>
            <w:r>
              <w:rPr/>
              <w:t>Accrued expenses</w:t>
            </w:r>
          </w:p>
        </w:tc>
        <w:tc>
          <w:tcPr>
            <w:tcW w:w="431"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01" w:type="dxa"/>
            <w:tcBorders/>
            <w:shd w:fill="CCEEFF" w:val="clear"/>
            <w:vAlign w:val="bottom"/>
          </w:tcPr>
          <w:p>
            <w:pPr>
              <w:pStyle w:val="TableContents"/>
              <w:spacing w:before="0" w:after="283"/>
              <w:jc w:val="right"/>
              <w:rPr/>
            </w:pPr>
            <w:r>
              <w:rPr/>
              <w:t>12,420</w:t>
            </w:r>
          </w:p>
        </w:tc>
        <w:tc>
          <w:tcPr>
            <w:tcW w:w="116"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44" w:type="dxa"/>
            <w:tcBorders/>
            <w:shd w:fill="CCEEFF" w:val="clear"/>
            <w:vAlign w:val="bottom"/>
          </w:tcPr>
          <w:p>
            <w:pPr>
              <w:pStyle w:val="TableContents"/>
              <w:spacing w:before="0" w:after="283"/>
              <w:jc w:val="right"/>
              <w:rPr/>
            </w:pPr>
            <w:r>
              <w:rPr/>
              <w:t>13,689</w:t>
            </w:r>
          </w:p>
        </w:tc>
        <w:tc>
          <w:tcPr>
            <w:tcW w:w="122" w:type="dxa"/>
            <w:tcBorders/>
            <w:shd w:fill="CCEEFF" w:val="clear"/>
            <w:vAlign w:val="bottom"/>
          </w:tcPr>
          <w:p>
            <w:pPr>
              <w:pStyle w:val="TableContents"/>
              <w:spacing w:before="0" w:after="283"/>
              <w:rPr/>
            </w:pPr>
            <w:r>
              <w:rPr/>
              <w:t> </w:t>
            </w:r>
          </w:p>
        </w:tc>
      </w:tr>
      <w:tr>
        <w:trPr/>
        <w:tc>
          <w:tcPr>
            <w:tcW w:w="6801" w:type="dxa"/>
            <w:tcBorders/>
            <w:shd w:fill="auto" w:val="clear"/>
            <w:vAlign w:val="bottom"/>
          </w:tcPr>
          <w:p>
            <w:pPr>
              <w:pStyle w:val="TableContents"/>
              <w:spacing w:before="0" w:after="0"/>
              <w:ind w:left="450" w:right="0" w:hanging="225"/>
              <w:rPr/>
            </w:pPr>
            <w:r>
              <w:rPr/>
              <w:t>Short-term borrowings</w:t>
            </w:r>
          </w:p>
        </w:tc>
        <w:tc>
          <w:tcPr>
            <w:tcW w:w="431"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jc w:val="right"/>
              <w:rPr/>
            </w:pPr>
            <w:r>
              <w:rPr/>
              <w:t>10,330</w:t>
            </w:r>
          </w:p>
        </w:tc>
        <w:tc>
          <w:tcPr>
            <w:tcW w:w="11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44" w:type="dxa"/>
            <w:tcBorders/>
            <w:shd w:fill="auto" w:val="clear"/>
            <w:vAlign w:val="bottom"/>
          </w:tcPr>
          <w:p>
            <w:pPr>
              <w:pStyle w:val="TableContents"/>
              <w:spacing w:before="0" w:after="283"/>
              <w:jc w:val="right"/>
              <w:rPr/>
            </w:pPr>
            <w:r>
              <w:rPr/>
              <w:t>3,804</w:t>
            </w:r>
          </w:p>
        </w:tc>
        <w:tc>
          <w:tcPr>
            <w:tcW w:w="122" w:type="dxa"/>
            <w:tcBorders/>
            <w:shd w:fill="auto" w:val="clear"/>
            <w:vAlign w:val="bottom"/>
          </w:tcPr>
          <w:p>
            <w:pPr>
              <w:pStyle w:val="TableContents"/>
              <w:spacing w:before="0" w:after="283"/>
              <w:rPr/>
            </w:pPr>
            <w:r>
              <w:rPr/>
              <w:t> </w:t>
            </w:r>
          </w:p>
        </w:tc>
      </w:tr>
      <w:tr>
        <w:trPr/>
        <w:tc>
          <w:tcPr>
            <w:tcW w:w="6801" w:type="dxa"/>
            <w:tcBorders/>
            <w:shd w:fill="CCEEFF" w:val="clear"/>
            <w:vAlign w:val="bottom"/>
          </w:tcPr>
          <w:p>
            <w:pPr>
              <w:pStyle w:val="TableContents"/>
              <w:spacing w:before="0" w:after="0"/>
              <w:ind w:left="450" w:right="0" w:hanging="225"/>
              <w:rPr/>
            </w:pPr>
            <w:r>
              <w:rPr/>
              <w:t>Dividend payable</w:t>
            </w:r>
          </w:p>
        </w:tc>
        <w:tc>
          <w:tcPr>
            <w:tcW w:w="431"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01"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44" w:type="dxa"/>
            <w:tcBorders/>
            <w:shd w:fill="CCEEFF" w:val="clear"/>
            <w:vAlign w:val="bottom"/>
          </w:tcPr>
          <w:p>
            <w:pPr>
              <w:pStyle w:val="TableContents"/>
              <w:spacing w:before="0" w:after="283"/>
              <w:jc w:val="right"/>
              <w:rPr/>
            </w:pPr>
            <w:r>
              <w:rPr/>
              <w:t>4,573</w:t>
            </w:r>
          </w:p>
        </w:tc>
        <w:tc>
          <w:tcPr>
            <w:tcW w:w="122" w:type="dxa"/>
            <w:tcBorders/>
            <w:shd w:fill="CCEEFF" w:val="clear"/>
            <w:vAlign w:val="bottom"/>
          </w:tcPr>
          <w:p>
            <w:pPr>
              <w:pStyle w:val="TableContents"/>
              <w:spacing w:before="0" w:after="283"/>
              <w:rPr/>
            </w:pPr>
            <w:r>
              <w:rPr/>
              <w:t> </w:t>
            </w:r>
          </w:p>
        </w:tc>
      </w:tr>
      <w:tr>
        <w:trPr/>
        <w:tc>
          <w:tcPr>
            <w:tcW w:w="6801" w:type="dxa"/>
            <w:tcBorders/>
            <w:shd w:fill="auto" w:val="clear"/>
            <w:vAlign w:val="bottom"/>
          </w:tcPr>
          <w:p>
            <w:pPr>
              <w:pStyle w:val="TableContents"/>
              <w:spacing w:before="0" w:after="0"/>
              <w:ind w:left="450" w:right="0" w:hanging="225"/>
              <w:rPr/>
            </w:pPr>
            <w:r>
              <w:rPr/>
              <w:t>Current portion of long-term obligations</w:t>
            </w:r>
          </w:p>
        </w:tc>
        <w:tc>
          <w:tcPr>
            <w:tcW w:w="431"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jc w:val="right"/>
              <w:rPr/>
            </w:pPr>
            <w:r>
              <w:rPr/>
              <w:t>1,308</w:t>
            </w:r>
          </w:p>
        </w:tc>
        <w:tc>
          <w:tcPr>
            <w:tcW w:w="11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44" w:type="dxa"/>
            <w:tcBorders/>
            <w:shd w:fill="auto" w:val="clear"/>
            <w:vAlign w:val="bottom"/>
          </w:tcPr>
          <w:p>
            <w:pPr>
              <w:pStyle w:val="TableContents"/>
              <w:spacing w:before="0" w:after="283"/>
              <w:jc w:val="right"/>
              <w:rPr/>
            </w:pPr>
            <w:r>
              <w:rPr/>
              <w:t>1,308</w:t>
            </w:r>
          </w:p>
        </w:tc>
        <w:tc>
          <w:tcPr>
            <w:tcW w:w="122" w:type="dxa"/>
            <w:tcBorders/>
            <w:shd w:fill="auto" w:val="clear"/>
            <w:vAlign w:val="bottom"/>
          </w:tcPr>
          <w:p>
            <w:pPr>
              <w:pStyle w:val="TableContents"/>
              <w:spacing w:before="0" w:after="283"/>
              <w:rPr/>
            </w:pPr>
            <w:r>
              <w:rPr/>
              <w:t> </w:t>
            </w:r>
          </w:p>
        </w:tc>
      </w:tr>
      <w:tr>
        <w:trPr/>
        <w:tc>
          <w:tcPr>
            <w:tcW w:w="6801" w:type="dxa"/>
            <w:tcBorders/>
            <w:shd w:fill="auto" w:val="clear"/>
            <w:vAlign w:val="center"/>
          </w:tcPr>
          <w:p>
            <w:pPr>
              <w:pStyle w:val="TableContents"/>
              <w:spacing w:before="0" w:after="0"/>
              <w:ind w:left="225" w:right="0" w:hanging="225"/>
              <w:rPr/>
            </w:pPr>
            <w:r>
              <w:rPr/>
              <w:t> </w:t>
            </w:r>
          </w:p>
        </w:tc>
        <w:tc>
          <w:tcPr>
            <w:tcW w:w="431" w:type="dxa"/>
            <w:tcBorders/>
            <w:shd w:fill="auto" w:val="clear"/>
            <w:vAlign w:val="center"/>
          </w:tcPr>
          <w:p>
            <w:pPr>
              <w:pStyle w:val="TableContents"/>
              <w:spacing w:before="0" w:after="283"/>
              <w:rPr/>
            </w:pPr>
            <w:r>
              <w:rPr/>
              <w:t> </w:t>
            </w:r>
          </w:p>
        </w:tc>
        <w:tc>
          <w:tcPr>
            <w:tcW w:w="106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431" w:type="dxa"/>
            <w:tcBorders/>
            <w:shd w:fill="auto" w:val="clear"/>
            <w:vAlign w:val="center"/>
          </w:tcPr>
          <w:p>
            <w:pPr>
              <w:pStyle w:val="TableContents"/>
              <w:spacing w:before="0" w:after="283"/>
              <w:rPr/>
            </w:pPr>
            <w:r>
              <w:rPr/>
              <w:t> </w:t>
            </w:r>
          </w:p>
        </w:tc>
        <w:tc>
          <w:tcPr>
            <w:tcW w:w="12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r>
      <w:tr>
        <w:trPr/>
        <w:tc>
          <w:tcPr>
            <w:tcW w:w="6801" w:type="dxa"/>
            <w:tcBorders/>
            <w:shd w:fill="CCEEFF" w:val="clear"/>
            <w:vAlign w:val="bottom"/>
          </w:tcPr>
          <w:p>
            <w:pPr>
              <w:pStyle w:val="TableContents"/>
              <w:spacing w:before="0" w:after="0"/>
              <w:ind w:left="675" w:right="0" w:hanging="225"/>
              <w:rPr/>
            </w:pPr>
            <w:r>
              <w:rPr/>
              <w:t>Total current liabilities</w:t>
            </w:r>
          </w:p>
        </w:tc>
        <w:tc>
          <w:tcPr>
            <w:tcW w:w="431"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01" w:type="dxa"/>
            <w:tcBorders/>
            <w:shd w:fill="CCEEFF" w:val="clear"/>
            <w:vAlign w:val="bottom"/>
          </w:tcPr>
          <w:p>
            <w:pPr>
              <w:pStyle w:val="TableContents"/>
              <w:spacing w:before="0" w:after="283"/>
              <w:jc w:val="right"/>
              <w:rPr/>
            </w:pPr>
            <w:r>
              <w:rPr/>
              <w:t>39,859</w:t>
            </w:r>
          </w:p>
        </w:tc>
        <w:tc>
          <w:tcPr>
            <w:tcW w:w="116"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44" w:type="dxa"/>
            <w:tcBorders/>
            <w:shd w:fill="CCEEFF" w:val="clear"/>
            <w:vAlign w:val="bottom"/>
          </w:tcPr>
          <w:p>
            <w:pPr>
              <w:pStyle w:val="TableContents"/>
              <w:spacing w:before="0" w:after="283"/>
              <w:jc w:val="right"/>
              <w:rPr/>
            </w:pPr>
            <w:r>
              <w:rPr/>
              <w:t>33,754</w:t>
            </w:r>
          </w:p>
        </w:tc>
        <w:tc>
          <w:tcPr>
            <w:tcW w:w="122" w:type="dxa"/>
            <w:tcBorders/>
            <w:shd w:fill="CCEEFF" w:val="clear"/>
            <w:vAlign w:val="bottom"/>
          </w:tcPr>
          <w:p>
            <w:pPr>
              <w:pStyle w:val="TableContents"/>
              <w:spacing w:before="0" w:after="283"/>
              <w:rPr/>
            </w:pPr>
            <w:r>
              <w:rPr/>
              <w:t> </w:t>
            </w:r>
          </w:p>
        </w:tc>
      </w:tr>
      <w:tr>
        <w:trPr/>
        <w:tc>
          <w:tcPr>
            <w:tcW w:w="6801" w:type="dxa"/>
            <w:tcBorders/>
            <w:shd w:fill="auto" w:val="clear"/>
            <w:vAlign w:val="bottom"/>
          </w:tcPr>
          <w:p>
            <w:pPr>
              <w:pStyle w:val="TableContents"/>
              <w:spacing w:before="0" w:after="0"/>
              <w:ind w:left="225" w:right="0" w:hanging="225"/>
              <w:rPr/>
            </w:pPr>
            <w:r>
              <w:rPr/>
              <w:t>Long-term liabilities:</w:t>
            </w:r>
          </w:p>
        </w:tc>
        <w:tc>
          <w:tcPr>
            <w:tcW w:w="431"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44"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r>
      <w:tr>
        <w:trPr/>
        <w:tc>
          <w:tcPr>
            <w:tcW w:w="6801" w:type="dxa"/>
            <w:tcBorders/>
            <w:shd w:fill="CCEEFF" w:val="clear"/>
            <w:vAlign w:val="bottom"/>
          </w:tcPr>
          <w:p>
            <w:pPr>
              <w:pStyle w:val="TableContents"/>
              <w:spacing w:before="0" w:after="0"/>
              <w:ind w:left="450" w:right="0" w:hanging="225"/>
              <w:rPr/>
            </w:pPr>
            <w:r>
              <w:rPr/>
              <w:t>Long-term obligations, less current portion</w:t>
            </w:r>
          </w:p>
        </w:tc>
        <w:tc>
          <w:tcPr>
            <w:tcW w:w="431"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01" w:type="dxa"/>
            <w:tcBorders/>
            <w:shd w:fill="CCEEFF" w:val="clear"/>
            <w:vAlign w:val="bottom"/>
          </w:tcPr>
          <w:p>
            <w:pPr>
              <w:pStyle w:val="TableContents"/>
              <w:spacing w:before="0" w:after="283"/>
              <w:jc w:val="right"/>
              <w:rPr/>
            </w:pPr>
            <w:r>
              <w:rPr/>
              <w:t>13,106</w:t>
            </w:r>
          </w:p>
        </w:tc>
        <w:tc>
          <w:tcPr>
            <w:tcW w:w="116"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44" w:type="dxa"/>
            <w:tcBorders/>
            <w:shd w:fill="CCEEFF" w:val="clear"/>
            <w:vAlign w:val="bottom"/>
          </w:tcPr>
          <w:p>
            <w:pPr>
              <w:pStyle w:val="TableContents"/>
              <w:spacing w:before="0" w:after="283"/>
              <w:jc w:val="right"/>
              <w:rPr/>
            </w:pPr>
            <w:r>
              <w:rPr/>
              <w:t>10,406</w:t>
            </w:r>
          </w:p>
        </w:tc>
        <w:tc>
          <w:tcPr>
            <w:tcW w:w="122" w:type="dxa"/>
            <w:tcBorders/>
            <w:shd w:fill="CCEEFF" w:val="clear"/>
            <w:vAlign w:val="bottom"/>
          </w:tcPr>
          <w:p>
            <w:pPr>
              <w:pStyle w:val="TableContents"/>
              <w:spacing w:before="0" w:after="283"/>
              <w:rPr/>
            </w:pPr>
            <w:r>
              <w:rPr/>
              <w:t> </w:t>
            </w:r>
          </w:p>
        </w:tc>
      </w:tr>
      <w:tr>
        <w:trPr/>
        <w:tc>
          <w:tcPr>
            <w:tcW w:w="6801" w:type="dxa"/>
            <w:tcBorders/>
            <w:shd w:fill="auto" w:val="clear"/>
            <w:vAlign w:val="bottom"/>
          </w:tcPr>
          <w:p>
            <w:pPr>
              <w:pStyle w:val="TableContents"/>
              <w:spacing w:before="0" w:after="0"/>
              <w:ind w:left="450" w:right="0" w:hanging="225"/>
              <w:rPr/>
            </w:pPr>
            <w:r>
              <w:rPr/>
              <w:t>Deferred income taxes</w:t>
            </w:r>
          </w:p>
        </w:tc>
        <w:tc>
          <w:tcPr>
            <w:tcW w:w="431"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jc w:val="right"/>
              <w:rPr/>
            </w:pPr>
            <w:r>
              <w:rPr/>
              <w:t>11,857</w:t>
            </w:r>
          </w:p>
        </w:tc>
        <w:tc>
          <w:tcPr>
            <w:tcW w:w="11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44" w:type="dxa"/>
            <w:tcBorders/>
            <w:shd w:fill="auto" w:val="clear"/>
            <w:vAlign w:val="bottom"/>
          </w:tcPr>
          <w:p>
            <w:pPr>
              <w:pStyle w:val="TableContents"/>
              <w:spacing w:before="0" w:after="283"/>
              <w:jc w:val="right"/>
              <w:rPr/>
            </w:pPr>
            <w:r>
              <w:rPr/>
              <w:t>4,391</w:t>
            </w:r>
          </w:p>
        </w:tc>
        <w:tc>
          <w:tcPr>
            <w:tcW w:w="122" w:type="dxa"/>
            <w:tcBorders/>
            <w:shd w:fill="auto" w:val="clear"/>
            <w:vAlign w:val="bottom"/>
          </w:tcPr>
          <w:p>
            <w:pPr>
              <w:pStyle w:val="TableContents"/>
              <w:spacing w:before="0" w:after="283"/>
              <w:rPr/>
            </w:pPr>
            <w:r>
              <w:rPr/>
              <w:t> </w:t>
            </w:r>
          </w:p>
        </w:tc>
      </w:tr>
      <w:tr>
        <w:trPr/>
        <w:tc>
          <w:tcPr>
            <w:tcW w:w="6801" w:type="dxa"/>
            <w:tcBorders/>
            <w:shd w:fill="auto" w:val="clear"/>
            <w:vAlign w:val="center"/>
          </w:tcPr>
          <w:p>
            <w:pPr>
              <w:pStyle w:val="TableContents"/>
              <w:spacing w:before="0" w:after="0"/>
              <w:ind w:left="225" w:right="0" w:hanging="225"/>
              <w:rPr/>
            </w:pPr>
            <w:r>
              <w:rPr/>
              <w:t> </w:t>
            </w:r>
          </w:p>
        </w:tc>
        <w:tc>
          <w:tcPr>
            <w:tcW w:w="431" w:type="dxa"/>
            <w:tcBorders/>
            <w:shd w:fill="auto" w:val="clear"/>
            <w:vAlign w:val="center"/>
          </w:tcPr>
          <w:p>
            <w:pPr>
              <w:pStyle w:val="TableContents"/>
              <w:spacing w:before="0" w:after="283"/>
              <w:rPr/>
            </w:pPr>
            <w:r>
              <w:rPr/>
              <w:t> </w:t>
            </w:r>
          </w:p>
        </w:tc>
        <w:tc>
          <w:tcPr>
            <w:tcW w:w="106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431" w:type="dxa"/>
            <w:tcBorders/>
            <w:shd w:fill="auto" w:val="clear"/>
            <w:vAlign w:val="center"/>
          </w:tcPr>
          <w:p>
            <w:pPr>
              <w:pStyle w:val="TableContents"/>
              <w:spacing w:before="0" w:after="283"/>
              <w:rPr/>
            </w:pPr>
            <w:r>
              <w:rPr/>
              <w:t> </w:t>
            </w:r>
          </w:p>
        </w:tc>
        <w:tc>
          <w:tcPr>
            <w:tcW w:w="12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r>
      <w:tr>
        <w:trPr/>
        <w:tc>
          <w:tcPr>
            <w:tcW w:w="6801" w:type="dxa"/>
            <w:tcBorders/>
            <w:shd w:fill="CCEEFF" w:val="clear"/>
            <w:vAlign w:val="bottom"/>
          </w:tcPr>
          <w:p>
            <w:pPr>
              <w:pStyle w:val="TableContents"/>
              <w:spacing w:before="0" w:after="0"/>
              <w:ind w:left="675" w:right="0" w:hanging="225"/>
              <w:rPr/>
            </w:pPr>
            <w:r>
              <w:rPr/>
              <w:t>Total long-term liabilities</w:t>
            </w:r>
          </w:p>
        </w:tc>
        <w:tc>
          <w:tcPr>
            <w:tcW w:w="431"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01" w:type="dxa"/>
            <w:tcBorders/>
            <w:shd w:fill="CCEEFF" w:val="clear"/>
            <w:vAlign w:val="bottom"/>
          </w:tcPr>
          <w:p>
            <w:pPr>
              <w:pStyle w:val="TableContents"/>
              <w:spacing w:before="0" w:after="283"/>
              <w:jc w:val="right"/>
              <w:rPr/>
            </w:pPr>
            <w:r>
              <w:rPr/>
              <w:t>24,963</w:t>
            </w:r>
          </w:p>
        </w:tc>
        <w:tc>
          <w:tcPr>
            <w:tcW w:w="116"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44" w:type="dxa"/>
            <w:tcBorders/>
            <w:shd w:fill="CCEEFF" w:val="clear"/>
            <w:vAlign w:val="bottom"/>
          </w:tcPr>
          <w:p>
            <w:pPr>
              <w:pStyle w:val="TableContents"/>
              <w:spacing w:before="0" w:after="283"/>
              <w:jc w:val="right"/>
              <w:rPr/>
            </w:pPr>
            <w:r>
              <w:rPr/>
              <w:t>14,797</w:t>
            </w:r>
          </w:p>
        </w:tc>
        <w:tc>
          <w:tcPr>
            <w:tcW w:w="122" w:type="dxa"/>
            <w:tcBorders/>
            <w:shd w:fill="CCEEFF" w:val="clear"/>
            <w:vAlign w:val="bottom"/>
          </w:tcPr>
          <w:p>
            <w:pPr>
              <w:pStyle w:val="TableContents"/>
              <w:spacing w:before="0" w:after="283"/>
              <w:rPr/>
            </w:pPr>
            <w:r>
              <w:rPr/>
              <w:t> </w:t>
            </w:r>
          </w:p>
        </w:tc>
      </w:tr>
      <w:tr>
        <w:trPr/>
        <w:tc>
          <w:tcPr>
            <w:tcW w:w="6801" w:type="dxa"/>
            <w:tcBorders/>
            <w:shd w:fill="auto" w:val="clear"/>
            <w:vAlign w:val="bottom"/>
          </w:tcPr>
          <w:p>
            <w:pPr>
              <w:pStyle w:val="TableContents"/>
              <w:spacing w:before="0" w:after="0"/>
              <w:ind w:left="225" w:right="0" w:hanging="225"/>
              <w:rPr/>
            </w:pPr>
            <w:r>
              <w:rPr/>
              <w:t>Commitments and contingencies Total shareholders equity</w:t>
            </w:r>
          </w:p>
        </w:tc>
        <w:tc>
          <w:tcPr>
            <w:tcW w:w="431"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jc w:val="right"/>
              <w:rPr/>
            </w:pPr>
            <w:r>
              <w:rPr/>
              <w:t>79,834</w:t>
            </w:r>
          </w:p>
        </w:tc>
        <w:tc>
          <w:tcPr>
            <w:tcW w:w="11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44" w:type="dxa"/>
            <w:tcBorders/>
            <w:shd w:fill="auto" w:val="clear"/>
            <w:vAlign w:val="bottom"/>
          </w:tcPr>
          <w:p>
            <w:pPr>
              <w:pStyle w:val="TableContents"/>
              <w:spacing w:before="0" w:after="283"/>
              <w:jc w:val="right"/>
              <w:rPr/>
            </w:pPr>
            <w:r>
              <w:rPr/>
              <w:t>58,943</w:t>
            </w:r>
          </w:p>
        </w:tc>
        <w:tc>
          <w:tcPr>
            <w:tcW w:w="122" w:type="dxa"/>
            <w:tcBorders/>
            <w:shd w:fill="auto" w:val="clear"/>
            <w:vAlign w:val="bottom"/>
          </w:tcPr>
          <w:p>
            <w:pPr>
              <w:pStyle w:val="TableContents"/>
              <w:spacing w:before="0" w:after="283"/>
              <w:rPr/>
            </w:pPr>
            <w:r>
              <w:rPr/>
              <w:t> </w:t>
            </w:r>
          </w:p>
        </w:tc>
      </w:tr>
      <w:tr>
        <w:trPr/>
        <w:tc>
          <w:tcPr>
            <w:tcW w:w="6801" w:type="dxa"/>
            <w:tcBorders/>
            <w:shd w:fill="auto" w:val="clear"/>
            <w:vAlign w:val="center"/>
          </w:tcPr>
          <w:p>
            <w:pPr>
              <w:pStyle w:val="TableContents"/>
              <w:spacing w:before="0" w:after="0"/>
              <w:ind w:left="225" w:right="0" w:hanging="225"/>
              <w:rPr/>
            </w:pPr>
            <w:r>
              <w:rPr/>
              <w:t> </w:t>
            </w:r>
          </w:p>
        </w:tc>
        <w:tc>
          <w:tcPr>
            <w:tcW w:w="431" w:type="dxa"/>
            <w:tcBorders/>
            <w:shd w:fill="auto" w:val="clear"/>
            <w:vAlign w:val="center"/>
          </w:tcPr>
          <w:p>
            <w:pPr>
              <w:pStyle w:val="TableContents"/>
              <w:spacing w:before="0" w:after="283"/>
              <w:rPr/>
            </w:pPr>
            <w:r>
              <w:rPr/>
              <w:t> </w:t>
            </w:r>
          </w:p>
        </w:tc>
        <w:tc>
          <w:tcPr>
            <w:tcW w:w="106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431" w:type="dxa"/>
            <w:tcBorders/>
            <w:shd w:fill="auto" w:val="clear"/>
            <w:vAlign w:val="center"/>
          </w:tcPr>
          <w:p>
            <w:pPr>
              <w:pStyle w:val="TableContents"/>
              <w:spacing w:before="0" w:after="283"/>
              <w:rPr/>
            </w:pPr>
            <w:r>
              <w:rPr/>
              <w:t> </w:t>
            </w:r>
          </w:p>
        </w:tc>
        <w:tc>
          <w:tcPr>
            <w:tcW w:w="12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r>
      <w:tr>
        <w:trPr/>
        <w:tc>
          <w:tcPr>
            <w:tcW w:w="6801" w:type="dxa"/>
            <w:tcBorders/>
            <w:shd w:fill="CCEEFF" w:val="clear"/>
            <w:vAlign w:val="bottom"/>
          </w:tcPr>
          <w:p>
            <w:pPr>
              <w:pStyle w:val="TableContents"/>
              <w:spacing w:before="0" w:after="0"/>
              <w:ind w:left="225" w:right="0" w:hanging="225"/>
              <w:rPr/>
            </w:pPr>
            <w:r>
              <w:rPr/>
              <w:t> </w:t>
            </w:r>
          </w:p>
        </w:tc>
        <w:tc>
          <w:tcPr>
            <w:tcW w:w="431"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901" w:type="dxa"/>
            <w:tcBorders/>
            <w:shd w:fill="CCEEFF" w:val="clear"/>
            <w:vAlign w:val="bottom"/>
          </w:tcPr>
          <w:p>
            <w:pPr>
              <w:pStyle w:val="TableContents"/>
              <w:spacing w:before="0" w:after="283"/>
              <w:jc w:val="right"/>
              <w:rPr/>
            </w:pPr>
            <w:r>
              <w:rPr/>
              <w:t>144,656</w:t>
            </w:r>
          </w:p>
        </w:tc>
        <w:tc>
          <w:tcPr>
            <w:tcW w:w="116"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jc w:val="left"/>
              <w:rPr/>
            </w:pPr>
            <w:r>
              <w:rPr/>
              <w:t>$</w:t>
            </w:r>
          </w:p>
        </w:tc>
        <w:tc>
          <w:tcPr>
            <w:tcW w:w="1044" w:type="dxa"/>
            <w:tcBorders/>
            <w:shd w:fill="CCEEFF" w:val="clear"/>
            <w:vAlign w:val="bottom"/>
          </w:tcPr>
          <w:p>
            <w:pPr>
              <w:pStyle w:val="TableContents"/>
              <w:spacing w:before="0" w:after="283"/>
              <w:jc w:val="right"/>
              <w:rPr/>
            </w:pPr>
            <w:r>
              <w:rPr/>
              <w:t>107,494</w:t>
            </w:r>
          </w:p>
        </w:tc>
        <w:tc>
          <w:tcPr>
            <w:tcW w:w="122" w:type="dxa"/>
            <w:tcBorders/>
            <w:shd w:fill="CCEEFF" w:val="clear"/>
            <w:vAlign w:val="bottom"/>
          </w:tcPr>
          <w:p>
            <w:pPr>
              <w:pStyle w:val="TableContents"/>
              <w:spacing w:before="0" w:after="283"/>
              <w:rPr/>
            </w:pPr>
            <w:r>
              <w:rPr/>
              <w:t> </w:t>
            </w:r>
          </w:p>
        </w:tc>
      </w:tr>
      <w:tr>
        <w:trPr/>
        <w:tc>
          <w:tcPr>
            <w:tcW w:w="6801" w:type="dxa"/>
            <w:tcBorders/>
            <w:shd w:fill="auto" w:val="clear"/>
            <w:vAlign w:val="center"/>
          </w:tcPr>
          <w:p>
            <w:pPr>
              <w:pStyle w:val="TableContents"/>
              <w:spacing w:before="0" w:after="0"/>
              <w:ind w:left="225" w:right="0" w:hanging="225"/>
              <w:rPr/>
            </w:pPr>
            <w:r>
              <w:rPr/>
              <w:t> </w:t>
            </w:r>
          </w:p>
        </w:tc>
        <w:tc>
          <w:tcPr>
            <w:tcW w:w="431" w:type="dxa"/>
            <w:tcBorders/>
            <w:shd w:fill="auto" w:val="clear"/>
            <w:vAlign w:val="center"/>
          </w:tcPr>
          <w:p>
            <w:pPr>
              <w:pStyle w:val="TableContents"/>
              <w:spacing w:before="0" w:after="283"/>
              <w:rPr/>
            </w:pPr>
            <w:r>
              <w:rPr/>
              <w:t> </w:t>
            </w:r>
          </w:p>
        </w:tc>
        <w:tc>
          <w:tcPr>
            <w:tcW w:w="106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431" w:type="dxa"/>
            <w:tcBorders/>
            <w:shd w:fill="auto" w:val="clear"/>
            <w:vAlign w:val="center"/>
          </w:tcPr>
          <w:p>
            <w:pPr>
              <w:pStyle w:val="TableContents"/>
              <w:spacing w:before="0" w:after="283"/>
              <w:rPr/>
            </w:pPr>
            <w:r>
              <w:rPr/>
              <w:t> </w:t>
            </w:r>
          </w:p>
        </w:tc>
        <w:tc>
          <w:tcPr>
            <w:tcW w:w="12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center"/>
        <w:rPr>
          <w:rFonts w:ascii="Times New Roman;Times;serif" w:hAnsi="Times New Roman;Times;serif"/>
          <w:b/>
          <w:sz w:val="17"/>
        </w:rPr>
      </w:pPr>
      <w:r>
        <w:rPr>
          <w:rFonts w:ascii="Times New Roman;Times;serif" w:hAnsi="Times New Roman;Times;serif"/>
          <w:b/>
          <w:sz w:val="17"/>
        </w:rPr>
        <w:t>CALAVO GROWERS, INC.</w:t>
        <w:br/>
        <w:t>CONSOLIDATED CONDENSED STATEMENTS OF INCOME (UNAUDITED)</w:t>
        <w:br/>
        <w:t>(All amounts in thousands, except per share amounts)</w:t>
      </w:r>
    </w:p>
    <w:tbl>
      <w:tblPr>
        <w:tblW w:w="5000" w:type="pct"/>
        <w:jc w:val="center"/>
        <w:tblInd w:w="0" w:type="dxa"/>
        <w:tblCellMar>
          <w:top w:w="0" w:type="dxa"/>
          <w:left w:w="0" w:type="dxa"/>
          <w:bottom w:w="0" w:type="dxa"/>
          <w:right w:w="0" w:type="dxa"/>
        </w:tblCellMar>
      </w:tblPr>
      <w:tblGrid>
        <w:gridCol w:w="4249"/>
        <w:gridCol w:w="380"/>
        <w:gridCol w:w="166"/>
        <w:gridCol w:w="820"/>
        <w:gridCol w:w="135"/>
        <w:gridCol w:w="386"/>
        <w:gridCol w:w="166"/>
        <w:gridCol w:w="821"/>
        <w:gridCol w:w="125"/>
        <w:gridCol w:w="380"/>
        <w:gridCol w:w="151"/>
        <w:gridCol w:w="818"/>
        <w:gridCol w:w="124"/>
        <w:gridCol w:w="380"/>
        <w:gridCol w:w="151"/>
        <w:gridCol w:w="818"/>
        <w:gridCol w:w="135"/>
      </w:tblGrid>
      <w:tr>
        <w:trPr/>
        <w:tc>
          <w:tcPr>
            <w:tcW w:w="4249"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4249"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2494" w:type="dxa"/>
            <w:gridSpan w:val="6"/>
            <w:tcBorders/>
            <w:shd w:fill="auto" w:val="clear"/>
            <w:vAlign w:val="bottom"/>
          </w:tcPr>
          <w:p>
            <w:pPr>
              <w:pStyle w:val="TableContents"/>
              <w:spacing w:before="0" w:after="283"/>
              <w:jc w:val="center"/>
              <w:rPr>
                <w:b/>
              </w:rPr>
            </w:pPr>
            <w:r>
              <w:rPr>
                <w:b/>
              </w:rPr>
              <w:t>Three months ended</w:t>
            </w:r>
          </w:p>
        </w:tc>
        <w:tc>
          <w:tcPr>
            <w:tcW w:w="125"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2442" w:type="dxa"/>
            <w:gridSpan w:val="6"/>
            <w:tcBorders/>
            <w:shd w:fill="auto" w:val="clear"/>
            <w:vAlign w:val="bottom"/>
          </w:tcPr>
          <w:p>
            <w:pPr>
              <w:pStyle w:val="TableContents"/>
              <w:spacing w:before="0" w:after="283"/>
              <w:jc w:val="center"/>
              <w:rPr>
                <w:b/>
              </w:rPr>
            </w:pPr>
            <w:r>
              <w:rPr>
                <w:b/>
              </w:rPr>
              <w:t>Nine months ended</w:t>
            </w:r>
          </w:p>
        </w:tc>
        <w:tc>
          <w:tcPr>
            <w:tcW w:w="135" w:type="dxa"/>
            <w:tcBorders/>
            <w:shd w:fill="auto" w:val="clear"/>
            <w:vAlign w:val="bottom"/>
          </w:tcPr>
          <w:p>
            <w:pPr>
              <w:pStyle w:val="TableContents"/>
              <w:spacing w:before="0" w:after="283"/>
              <w:rPr/>
            </w:pPr>
            <w:r>
              <w:rPr/>
              <w:t> </w:t>
            </w:r>
          </w:p>
        </w:tc>
      </w:tr>
      <w:tr>
        <w:trPr/>
        <w:tc>
          <w:tcPr>
            <w:tcW w:w="4249"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2494"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July 31,</w:t>
            </w:r>
          </w:p>
        </w:tc>
        <w:tc>
          <w:tcPr>
            <w:tcW w:w="125"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2442"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July 31,</w:t>
            </w:r>
          </w:p>
        </w:tc>
        <w:tc>
          <w:tcPr>
            <w:tcW w:w="135" w:type="dxa"/>
            <w:tcBorders/>
            <w:shd w:fill="auto" w:val="clear"/>
            <w:vAlign w:val="bottom"/>
          </w:tcPr>
          <w:p>
            <w:pPr>
              <w:pStyle w:val="TableContents"/>
              <w:spacing w:before="0" w:after="283"/>
              <w:rPr/>
            </w:pPr>
            <w:r>
              <w:rPr/>
              <w:t> </w:t>
            </w:r>
          </w:p>
        </w:tc>
      </w:tr>
      <w:tr>
        <w:trPr/>
        <w:tc>
          <w:tcPr>
            <w:tcW w:w="4249"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98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35"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98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25"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96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24"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96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35" w:type="dxa"/>
            <w:tcBorders/>
            <w:shd w:fill="auto" w:val="clear"/>
            <w:vAlign w:val="bottom"/>
          </w:tcPr>
          <w:p>
            <w:pPr>
              <w:pStyle w:val="TableContents"/>
              <w:spacing w:before="0" w:after="283"/>
              <w:rPr/>
            </w:pPr>
            <w:r>
              <w:rPr/>
              <w:t> </w:t>
            </w:r>
          </w:p>
        </w:tc>
      </w:tr>
      <w:tr>
        <w:trPr/>
        <w:tc>
          <w:tcPr>
            <w:tcW w:w="4249" w:type="dxa"/>
            <w:tcBorders/>
            <w:shd w:fill="CCEEFF" w:val="clear"/>
            <w:vAlign w:val="bottom"/>
          </w:tcPr>
          <w:p>
            <w:pPr>
              <w:pStyle w:val="TableContents"/>
              <w:spacing w:before="0" w:after="0"/>
              <w:ind w:left="225" w:right="0" w:hanging="225"/>
              <w:rPr/>
            </w:pPr>
            <w:r>
              <w:rPr/>
              <w:t>Net sales</w:t>
            </w:r>
          </w:p>
        </w:tc>
        <w:tc>
          <w:tcPr>
            <w:tcW w:w="38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20" w:type="dxa"/>
            <w:tcBorders/>
            <w:shd w:fill="CCEEFF" w:val="clear"/>
            <w:vAlign w:val="bottom"/>
          </w:tcPr>
          <w:p>
            <w:pPr>
              <w:pStyle w:val="TableContents"/>
              <w:spacing w:before="0" w:after="283"/>
              <w:jc w:val="right"/>
              <w:rPr/>
            </w:pPr>
            <w:r>
              <w:rPr/>
              <w:t>91,307</w:t>
            </w:r>
          </w:p>
        </w:tc>
        <w:tc>
          <w:tcPr>
            <w:tcW w:w="135" w:type="dxa"/>
            <w:tcBorders/>
            <w:shd w:fill="CCEEFF" w:val="clear"/>
            <w:vAlign w:val="bottom"/>
          </w:tcPr>
          <w:p>
            <w:pPr>
              <w:pStyle w:val="TableContents"/>
              <w:spacing w:before="0" w:after="283"/>
              <w:rPr/>
            </w:pPr>
            <w:r>
              <w:rPr/>
              <w:t> </w:t>
            </w:r>
          </w:p>
        </w:tc>
        <w:tc>
          <w:tcPr>
            <w:tcW w:w="386"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21" w:type="dxa"/>
            <w:tcBorders/>
            <w:shd w:fill="CCEEFF" w:val="clear"/>
            <w:vAlign w:val="bottom"/>
          </w:tcPr>
          <w:p>
            <w:pPr>
              <w:pStyle w:val="TableContents"/>
              <w:spacing w:before="0" w:after="283"/>
              <w:jc w:val="right"/>
              <w:rPr/>
            </w:pPr>
            <w:r>
              <w:rPr/>
              <w:t>78,900</w:t>
            </w:r>
          </w:p>
        </w:tc>
        <w:tc>
          <w:tcPr>
            <w:tcW w:w="125"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18" w:type="dxa"/>
            <w:tcBorders/>
            <w:shd w:fill="CCEEFF" w:val="clear"/>
            <w:vAlign w:val="bottom"/>
          </w:tcPr>
          <w:p>
            <w:pPr>
              <w:pStyle w:val="TableContents"/>
              <w:spacing w:before="0" w:after="283"/>
              <w:jc w:val="right"/>
              <w:rPr/>
            </w:pPr>
            <w:r>
              <w:rPr/>
              <w:t>217,689</w:t>
            </w:r>
          </w:p>
        </w:tc>
        <w:tc>
          <w:tcPr>
            <w:tcW w:w="124"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18" w:type="dxa"/>
            <w:tcBorders/>
            <w:shd w:fill="CCEEFF" w:val="clear"/>
            <w:vAlign w:val="bottom"/>
          </w:tcPr>
          <w:p>
            <w:pPr>
              <w:pStyle w:val="TableContents"/>
              <w:spacing w:before="0" w:after="283"/>
              <w:jc w:val="right"/>
              <w:rPr/>
            </w:pPr>
            <w:r>
              <w:rPr/>
              <w:t>196,880</w:t>
            </w:r>
          </w:p>
        </w:tc>
        <w:tc>
          <w:tcPr>
            <w:tcW w:w="135" w:type="dxa"/>
            <w:tcBorders/>
            <w:shd w:fill="CCEEFF" w:val="clear"/>
            <w:vAlign w:val="bottom"/>
          </w:tcPr>
          <w:p>
            <w:pPr>
              <w:pStyle w:val="TableContents"/>
              <w:spacing w:before="0" w:after="283"/>
              <w:rPr/>
            </w:pPr>
            <w:r>
              <w:rPr/>
              <w:t> </w:t>
            </w:r>
          </w:p>
        </w:tc>
      </w:tr>
      <w:tr>
        <w:trPr/>
        <w:tc>
          <w:tcPr>
            <w:tcW w:w="4249" w:type="dxa"/>
            <w:tcBorders/>
            <w:shd w:fill="auto" w:val="clear"/>
            <w:vAlign w:val="bottom"/>
          </w:tcPr>
          <w:p>
            <w:pPr>
              <w:pStyle w:val="TableContents"/>
              <w:spacing w:before="0" w:after="0"/>
              <w:ind w:left="225" w:right="0" w:hanging="225"/>
              <w:rPr/>
            </w:pPr>
            <w:r>
              <w:rPr/>
              <w:t>Cost of sales</w:t>
            </w:r>
          </w:p>
        </w:tc>
        <w:tc>
          <w:tcPr>
            <w:tcW w:w="38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82,680</w:t>
            </w:r>
          </w:p>
        </w:tc>
        <w:tc>
          <w:tcPr>
            <w:tcW w:w="135"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1" w:type="dxa"/>
            <w:tcBorders/>
            <w:shd w:fill="auto" w:val="clear"/>
            <w:vAlign w:val="bottom"/>
          </w:tcPr>
          <w:p>
            <w:pPr>
              <w:pStyle w:val="TableContents"/>
              <w:spacing w:before="0" w:after="283"/>
              <w:jc w:val="right"/>
              <w:rPr/>
            </w:pPr>
            <w:r>
              <w:rPr/>
              <w:t>68,827</w:t>
            </w:r>
          </w:p>
        </w:tc>
        <w:tc>
          <w:tcPr>
            <w:tcW w:w="125"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jc w:val="right"/>
              <w:rPr/>
            </w:pPr>
            <w:r>
              <w:rPr/>
              <w:t>192,998</w:t>
            </w:r>
          </w:p>
        </w:tc>
        <w:tc>
          <w:tcPr>
            <w:tcW w:w="124"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jc w:val="right"/>
              <w:rPr/>
            </w:pPr>
            <w:r>
              <w:rPr/>
              <w:t>174,936</w:t>
            </w:r>
          </w:p>
        </w:tc>
        <w:tc>
          <w:tcPr>
            <w:tcW w:w="135" w:type="dxa"/>
            <w:tcBorders/>
            <w:shd w:fill="auto" w:val="clear"/>
            <w:vAlign w:val="bottom"/>
          </w:tcPr>
          <w:p>
            <w:pPr>
              <w:pStyle w:val="TableContents"/>
              <w:spacing w:before="0" w:after="283"/>
              <w:rPr/>
            </w:pPr>
            <w:r>
              <w:rPr/>
              <w:t> </w:t>
            </w:r>
          </w:p>
        </w:tc>
      </w:tr>
      <w:tr>
        <w:trPr/>
        <w:tc>
          <w:tcPr>
            <w:tcW w:w="4249" w:type="dxa"/>
            <w:tcBorders/>
            <w:shd w:fill="auto" w:val="clear"/>
            <w:vAlign w:val="center"/>
          </w:tcPr>
          <w:p>
            <w:pPr>
              <w:pStyle w:val="TableContents"/>
              <w:spacing w:before="0" w:after="0"/>
              <w:ind w:left="225" w:right="0" w:hanging="225"/>
              <w:rPr/>
            </w:pPr>
            <w:r>
              <w:rPr/>
              <w:t> </w:t>
            </w:r>
          </w:p>
        </w:tc>
        <w:tc>
          <w:tcPr>
            <w:tcW w:w="380" w:type="dxa"/>
            <w:tcBorders/>
            <w:shd w:fill="auto" w:val="clear"/>
            <w:vAlign w:val="center"/>
          </w:tcPr>
          <w:p>
            <w:pPr>
              <w:pStyle w:val="TableContents"/>
              <w:spacing w:before="0" w:after="283"/>
              <w:rPr/>
            </w:pPr>
            <w:r>
              <w:rPr/>
              <w:t> </w:t>
            </w:r>
          </w:p>
        </w:tc>
        <w:tc>
          <w:tcPr>
            <w:tcW w:w="98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86" w:type="dxa"/>
            <w:tcBorders/>
            <w:shd w:fill="auto" w:val="clear"/>
            <w:vAlign w:val="center"/>
          </w:tcPr>
          <w:p>
            <w:pPr>
              <w:pStyle w:val="TableContents"/>
              <w:spacing w:before="0" w:after="283"/>
              <w:rPr/>
            </w:pPr>
            <w:r>
              <w:rPr/>
              <w:t> </w:t>
            </w:r>
          </w:p>
        </w:tc>
        <w:tc>
          <w:tcPr>
            <w:tcW w:w="9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4249" w:type="dxa"/>
            <w:tcBorders/>
            <w:shd w:fill="CCEEFF" w:val="clear"/>
            <w:vAlign w:val="bottom"/>
          </w:tcPr>
          <w:p>
            <w:pPr>
              <w:pStyle w:val="TableContents"/>
              <w:spacing w:before="0" w:after="0"/>
              <w:ind w:left="225" w:right="0" w:hanging="225"/>
              <w:rPr/>
            </w:pPr>
            <w:r>
              <w:rPr/>
              <w:t>Gross margin</w:t>
            </w:r>
          </w:p>
        </w:tc>
        <w:tc>
          <w:tcPr>
            <w:tcW w:w="38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8,627</w:t>
            </w:r>
          </w:p>
        </w:tc>
        <w:tc>
          <w:tcPr>
            <w:tcW w:w="135" w:type="dxa"/>
            <w:tcBorders/>
            <w:shd w:fill="CCEEFF" w:val="clear"/>
            <w:vAlign w:val="bottom"/>
          </w:tcPr>
          <w:p>
            <w:pPr>
              <w:pStyle w:val="TableContents"/>
              <w:spacing w:before="0" w:after="283"/>
              <w:rPr/>
            </w:pPr>
            <w:r>
              <w:rPr/>
              <w:t> </w:t>
            </w:r>
          </w:p>
        </w:tc>
        <w:tc>
          <w:tcPr>
            <w:tcW w:w="386"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1" w:type="dxa"/>
            <w:tcBorders/>
            <w:shd w:fill="CCEEFF" w:val="clear"/>
            <w:vAlign w:val="bottom"/>
          </w:tcPr>
          <w:p>
            <w:pPr>
              <w:pStyle w:val="TableContents"/>
              <w:spacing w:before="0" w:after="283"/>
              <w:jc w:val="right"/>
              <w:rPr/>
            </w:pPr>
            <w:r>
              <w:rPr/>
              <w:t>10,073</w:t>
            </w:r>
          </w:p>
        </w:tc>
        <w:tc>
          <w:tcPr>
            <w:tcW w:w="125"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18" w:type="dxa"/>
            <w:tcBorders/>
            <w:shd w:fill="CCEEFF" w:val="clear"/>
            <w:vAlign w:val="bottom"/>
          </w:tcPr>
          <w:p>
            <w:pPr>
              <w:pStyle w:val="TableContents"/>
              <w:spacing w:before="0" w:after="283"/>
              <w:jc w:val="right"/>
              <w:rPr/>
            </w:pPr>
            <w:r>
              <w:rPr/>
              <w:t>24,691</w:t>
            </w:r>
          </w:p>
        </w:tc>
        <w:tc>
          <w:tcPr>
            <w:tcW w:w="124"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18" w:type="dxa"/>
            <w:tcBorders/>
            <w:shd w:fill="CCEEFF" w:val="clear"/>
            <w:vAlign w:val="bottom"/>
          </w:tcPr>
          <w:p>
            <w:pPr>
              <w:pStyle w:val="TableContents"/>
              <w:spacing w:before="0" w:after="283"/>
              <w:jc w:val="right"/>
              <w:rPr/>
            </w:pPr>
            <w:r>
              <w:rPr/>
              <w:t>21,944</w:t>
            </w:r>
          </w:p>
        </w:tc>
        <w:tc>
          <w:tcPr>
            <w:tcW w:w="135" w:type="dxa"/>
            <w:tcBorders/>
            <w:shd w:fill="CCEEFF" w:val="clear"/>
            <w:vAlign w:val="bottom"/>
          </w:tcPr>
          <w:p>
            <w:pPr>
              <w:pStyle w:val="TableContents"/>
              <w:spacing w:before="0" w:after="283"/>
              <w:rPr/>
            </w:pPr>
            <w:r>
              <w:rPr/>
              <w:t> </w:t>
            </w:r>
          </w:p>
        </w:tc>
      </w:tr>
      <w:tr>
        <w:trPr/>
        <w:tc>
          <w:tcPr>
            <w:tcW w:w="4249" w:type="dxa"/>
            <w:tcBorders/>
            <w:shd w:fill="auto" w:val="clear"/>
            <w:vAlign w:val="bottom"/>
          </w:tcPr>
          <w:p>
            <w:pPr>
              <w:pStyle w:val="TableContents"/>
              <w:spacing w:before="0" w:after="0"/>
              <w:ind w:left="225" w:right="0" w:hanging="225"/>
              <w:rPr/>
            </w:pPr>
            <w:r>
              <w:rPr/>
              <w:t>Selling, general and administrative</w:t>
            </w:r>
          </w:p>
        </w:tc>
        <w:tc>
          <w:tcPr>
            <w:tcW w:w="38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4,803</w:t>
            </w:r>
          </w:p>
        </w:tc>
        <w:tc>
          <w:tcPr>
            <w:tcW w:w="135"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1" w:type="dxa"/>
            <w:tcBorders/>
            <w:shd w:fill="auto" w:val="clear"/>
            <w:vAlign w:val="bottom"/>
          </w:tcPr>
          <w:p>
            <w:pPr>
              <w:pStyle w:val="TableContents"/>
              <w:spacing w:before="0" w:after="283"/>
              <w:jc w:val="right"/>
              <w:rPr/>
            </w:pPr>
            <w:r>
              <w:rPr/>
              <w:t>5,141</w:t>
            </w:r>
          </w:p>
        </w:tc>
        <w:tc>
          <w:tcPr>
            <w:tcW w:w="125"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jc w:val="right"/>
              <w:rPr/>
            </w:pPr>
            <w:r>
              <w:rPr/>
              <w:t>14,151</w:t>
            </w:r>
          </w:p>
        </w:tc>
        <w:tc>
          <w:tcPr>
            <w:tcW w:w="124"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jc w:val="right"/>
              <w:rPr/>
            </w:pPr>
            <w:r>
              <w:rPr/>
              <w:t>14,448</w:t>
            </w:r>
          </w:p>
        </w:tc>
        <w:tc>
          <w:tcPr>
            <w:tcW w:w="135" w:type="dxa"/>
            <w:tcBorders/>
            <w:shd w:fill="auto" w:val="clear"/>
            <w:vAlign w:val="bottom"/>
          </w:tcPr>
          <w:p>
            <w:pPr>
              <w:pStyle w:val="TableContents"/>
              <w:spacing w:before="0" w:after="283"/>
              <w:rPr/>
            </w:pPr>
            <w:r>
              <w:rPr/>
              <w:t> </w:t>
            </w:r>
          </w:p>
        </w:tc>
      </w:tr>
      <w:tr>
        <w:trPr/>
        <w:tc>
          <w:tcPr>
            <w:tcW w:w="4249" w:type="dxa"/>
            <w:tcBorders/>
            <w:shd w:fill="auto" w:val="clear"/>
            <w:vAlign w:val="center"/>
          </w:tcPr>
          <w:p>
            <w:pPr>
              <w:pStyle w:val="TableContents"/>
              <w:spacing w:before="0" w:after="0"/>
              <w:ind w:left="225" w:right="0" w:hanging="225"/>
              <w:rPr/>
            </w:pPr>
            <w:r>
              <w:rPr/>
              <w:t> </w:t>
            </w:r>
          </w:p>
        </w:tc>
        <w:tc>
          <w:tcPr>
            <w:tcW w:w="380" w:type="dxa"/>
            <w:tcBorders/>
            <w:shd w:fill="auto" w:val="clear"/>
            <w:vAlign w:val="center"/>
          </w:tcPr>
          <w:p>
            <w:pPr>
              <w:pStyle w:val="TableContents"/>
              <w:spacing w:before="0" w:after="283"/>
              <w:rPr/>
            </w:pPr>
            <w:r>
              <w:rPr/>
              <w:t> </w:t>
            </w:r>
          </w:p>
        </w:tc>
        <w:tc>
          <w:tcPr>
            <w:tcW w:w="98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86" w:type="dxa"/>
            <w:tcBorders/>
            <w:shd w:fill="auto" w:val="clear"/>
            <w:vAlign w:val="center"/>
          </w:tcPr>
          <w:p>
            <w:pPr>
              <w:pStyle w:val="TableContents"/>
              <w:spacing w:before="0" w:after="283"/>
              <w:rPr/>
            </w:pPr>
            <w:r>
              <w:rPr/>
              <w:t> </w:t>
            </w:r>
          </w:p>
        </w:tc>
        <w:tc>
          <w:tcPr>
            <w:tcW w:w="9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4249" w:type="dxa"/>
            <w:tcBorders/>
            <w:shd w:fill="CCEEFF" w:val="clear"/>
            <w:vAlign w:val="bottom"/>
          </w:tcPr>
          <w:p>
            <w:pPr>
              <w:pStyle w:val="TableContents"/>
              <w:spacing w:before="0" w:after="0"/>
              <w:ind w:left="225" w:right="0" w:hanging="225"/>
              <w:rPr/>
            </w:pPr>
            <w:r>
              <w:rPr/>
              <w:t>Operating income</w:t>
            </w:r>
          </w:p>
        </w:tc>
        <w:tc>
          <w:tcPr>
            <w:tcW w:w="38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3,824</w:t>
            </w:r>
          </w:p>
        </w:tc>
        <w:tc>
          <w:tcPr>
            <w:tcW w:w="135" w:type="dxa"/>
            <w:tcBorders/>
            <w:shd w:fill="CCEEFF" w:val="clear"/>
            <w:vAlign w:val="bottom"/>
          </w:tcPr>
          <w:p>
            <w:pPr>
              <w:pStyle w:val="TableContents"/>
              <w:spacing w:before="0" w:after="283"/>
              <w:rPr/>
            </w:pPr>
            <w:r>
              <w:rPr/>
              <w:t> </w:t>
            </w:r>
          </w:p>
        </w:tc>
        <w:tc>
          <w:tcPr>
            <w:tcW w:w="386"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1" w:type="dxa"/>
            <w:tcBorders/>
            <w:shd w:fill="CCEEFF" w:val="clear"/>
            <w:vAlign w:val="bottom"/>
          </w:tcPr>
          <w:p>
            <w:pPr>
              <w:pStyle w:val="TableContents"/>
              <w:spacing w:before="0" w:after="283"/>
              <w:jc w:val="right"/>
              <w:rPr/>
            </w:pPr>
            <w:r>
              <w:rPr/>
              <w:t>4,932</w:t>
            </w:r>
          </w:p>
        </w:tc>
        <w:tc>
          <w:tcPr>
            <w:tcW w:w="125"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18" w:type="dxa"/>
            <w:tcBorders/>
            <w:shd w:fill="CCEEFF" w:val="clear"/>
            <w:vAlign w:val="bottom"/>
          </w:tcPr>
          <w:p>
            <w:pPr>
              <w:pStyle w:val="TableContents"/>
              <w:spacing w:before="0" w:after="283"/>
              <w:jc w:val="right"/>
              <w:rPr/>
            </w:pPr>
            <w:r>
              <w:rPr/>
              <w:t>10,540</w:t>
            </w:r>
          </w:p>
        </w:tc>
        <w:tc>
          <w:tcPr>
            <w:tcW w:w="124"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18" w:type="dxa"/>
            <w:tcBorders/>
            <w:shd w:fill="CCEEFF" w:val="clear"/>
            <w:vAlign w:val="bottom"/>
          </w:tcPr>
          <w:p>
            <w:pPr>
              <w:pStyle w:val="TableContents"/>
              <w:spacing w:before="0" w:after="283"/>
              <w:jc w:val="right"/>
              <w:rPr/>
            </w:pPr>
            <w:r>
              <w:rPr/>
              <w:t>7,496</w:t>
            </w:r>
          </w:p>
        </w:tc>
        <w:tc>
          <w:tcPr>
            <w:tcW w:w="135" w:type="dxa"/>
            <w:tcBorders/>
            <w:shd w:fill="CCEEFF" w:val="clear"/>
            <w:vAlign w:val="bottom"/>
          </w:tcPr>
          <w:p>
            <w:pPr>
              <w:pStyle w:val="TableContents"/>
              <w:spacing w:before="0" w:after="283"/>
              <w:rPr/>
            </w:pPr>
            <w:r>
              <w:rPr/>
              <w:t> </w:t>
            </w:r>
          </w:p>
        </w:tc>
      </w:tr>
      <w:tr>
        <w:trPr/>
        <w:tc>
          <w:tcPr>
            <w:tcW w:w="4249" w:type="dxa"/>
            <w:tcBorders/>
            <w:shd w:fill="auto" w:val="clear"/>
            <w:vAlign w:val="bottom"/>
          </w:tcPr>
          <w:p>
            <w:pPr>
              <w:pStyle w:val="TableContents"/>
              <w:spacing w:before="0" w:after="0"/>
              <w:ind w:left="225" w:right="0" w:hanging="225"/>
              <w:rPr/>
            </w:pPr>
            <w:r>
              <w:rPr/>
              <w:t>Interest expense</w:t>
            </w:r>
          </w:p>
        </w:tc>
        <w:tc>
          <w:tcPr>
            <w:tcW w:w="38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820" w:type="dxa"/>
            <w:tcBorders/>
            <w:shd w:fill="auto" w:val="clear"/>
            <w:vAlign w:val="bottom"/>
          </w:tcPr>
          <w:p>
            <w:pPr>
              <w:pStyle w:val="TableContents"/>
              <w:spacing w:before="0" w:after="283"/>
              <w:jc w:val="right"/>
              <w:rPr/>
            </w:pPr>
            <w:r>
              <w:rPr/>
              <w:t>(315</w:t>
            </w:r>
          </w:p>
        </w:tc>
        <w:tc>
          <w:tcPr>
            <w:tcW w:w="135" w:type="dxa"/>
            <w:tcBorders/>
            <w:shd w:fill="auto" w:val="clear"/>
            <w:vAlign w:val="bottom"/>
          </w:tcPr>
          <w:p>
            <w:pPr>
              <w:pStyle w:val="TableContents"/>
              <w:spacing w:before="0" w:after="283"/>
              <w:rPr/>
            </w:pPr>
            <w:r>
              <w:rPr/>
              <w:t>)</w:t>
            </w:r>
          </w:p>
        </w:tc>
        <w:tc>
          <w:tcPr>
            <w:tcW w:w="386"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821" w:type="dxa"/>
            <w:tcBorders/>
            <w:shd w:fill="auto" w:val="clear"/>
            <w:vAlign w:val="bottom"/>
          </w:tcPr>
          <w:p>
            <w:pPr>
              <w:pStyle w:val="TableContents"/>
              <w:spacing w:before="0" w:after="283"/>
              <w:jc w:val="right"/>
              <w:rPr/>
            </w:pPr>
            <w:r>
              <w:rPr/>
              <w:t>(284</w:t>
            </w:r>
          </w:p>
        </w:tc>
        <w:tc>
          <w:tcPr>
            <w:tcW w:w="125" w:type="dxa"/>
            <w:tcBorders/>
            <w:shd w:fill="auto" w:val="clear"/>
            <w:vAlign w:val="bottom"/>
          </w:tcPr>
          <w:p>
            <w:pPr>
              <w:pStyle w:val="TableContents"/>
              <w:spacing w:before="0" w:after="283"/>
              <w:rPr/>
            </w:pPr>
            <w:r>
              <w:rPr/>
              <w:t>)</w:t>
            </w:r>
          </w:p>
        </w:tc>
        <w:tc>
          <w:tcPr>
            <w:tcW w:w="3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818" w:type="dxa"/>
            <w:tcBorders/>
            <w:shd w:fill="auto" w:val="clear"/>
            <w:vAlign w:val="bottom"/>
          </w:tcPr>
          <w:p>
            <w:pPr>
              <w:pStyle w:val="TableContents"/>
              <w:spacing w:before="0" w:after="283"/>
              <w:jc w:val="right"/>
              <w:rPr/>
            </w:pPr>
            <w:r>
              <w:rPr/>
              <w:t>(996</w:t>
            </w:r>
          </w:p>
        </w:tc>
        <w:tc>
          <w:tcPr>
            <w:tcW w:w="124" w:type="dxa"/>
            <w:tcBorders/>
            <w:shd w:fill="auto" w:val="clear"/>
            <w:vAlign w:val="bottom"/>
          </w:tcPr>
          <w:p>
            <w:pPr>
              <w:pStyle w:val="TableContents"/>
              <w:spacing w:before="0" w:after="283"/>
              <w:rPr/>
            </w:pPr>
            <w:r>
              <w:rPr/>
              <w:t>)</w:t>
            </w:r>
          </w:p>
        </w:tc>
        <w:tc>
          <w:tcPr>
            <w:tcW w:w="3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818" w:type="dxa"/>
            <w:tcBorders/>
            <w:shd w:fill="auto" w:val="clear"/>
            <w:vAlign w:val="bottom"/>
          </w:tcPr>
          <w:p>
            <w:pPr>
              <w:pStyle w:val="TableContents"/>
              <w:spacing w:before="0" w:after="283"/>
              <w:jc w:val="right"/>
              <w:rPr/>
            </w:pPr>
            <w:r>
              <w:rPr/>
              <w:t>(805</w:t>
            </w:r>
          </w:p>
        </w:tc>
        <w:tc>
          <w:tcPr>
            <w:tcW w:w="135" w:type="dxa"/>
            <w:tcBorders/>
            <w:shd w:fill="auto" w:val="clear"/>
            <w:vAlign w:val="bottom"/>
          </w:tcPr>
          <w:p>
            <w:pPr>
              <w:pStyle w:val="TableContents"/>
              <w:spacing w:before="0" w:after="283"/>
              <w:rPr/>
            </w:pPr>
            <w:r>
              <w:rPr/>
              <w:t>)</w:t>
            </w:r>
          </w:p>
        </w:tc>
      </w:tr>
      <w:tr>
        <w:trPr/>
        <w:tc>
          <w:tcPr>
            <w:tcW w:w="4249" w:type="dxa"/>
            <w:tcBorders/>
            <w:shd w:fill="CCEEFF" w:val="clear"/>
            <w:vAlign w:val="bottom"/>
          </w:tcPr>
          <w:p>
            <w:pPr>
              <w:pStyle w:val="TableContents"/>
              <w:spacing w:before="0" w:after="0"/>
              <w:ind w:left="225" w:right="0" w:hanging="225"/>
              <w:rPr/>
            </w:pPr>
            <w:r>
              <w:rPr/>
              <w:t>Other income, net</w:t>
            </w:r>
          </w:p>
        </w:tc>
        <w:tc>
          <w:tcPr>
            <w:tcW w:w="38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68</w:t>
            </w:r>
          </w:p>
        </w:tc>
        <w:tc>
          <w:tcPr>
            <w:tcW w:w="135" w:type="dxa"/>
            <w:tcBorders/>
            <w:shd w:fill="CCEEFF" w:val="clear"/>
            <w:vAlign w:val="bottom"/>
          </w:tcPr>
          <w:p>
            <w:pPr>
              <w:pStyle w:val="TableContents"/>
              <w:spacing w:before="0" w:after="283"/>
              <w:rPr/>
            </w:pPr>
            <w:r>
              <w:rPr/>
              <w:t> </w:t>
            </w:r>
          </w:p>
        </w:tc>
        <w:tc>
          <w:tcPr>
            <w:tcW w:w="386"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1" w:type="dxa"/>
            <w:tcBorders/>
            <w:shd w:fill="CCEEFF" w:val="clear"/>
            <w:vAlign w:val="bottom"/>
          </w:tcPr>
          <w:p>
            <w:pPr>
              <w:pStyle w:val="TableContents"/>
              <w:spacing w:before="0" w:after="283"/>
              <w:jc w:val="right"/>
              <w:rPr/>
            </w:pPr>
            <w:r>
              <w:rPr/>
              <w:t>148</w:t>
            </w:r>
          </w:p>
        </w:tc>
        <w:tc>
          <w:tcPr>
            <w:tcW w:w="125"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18" w:type="dxa"/>
            <w:tcBorders/>
            <w:shd w:fill="CCEEFF" w:val="clear"/>
            <w:vAlign w:val="bottom"/>
          </w:tcPr>
          <w:p>
            <w:pPr>
              <w:pStyle w:val="TableContents"/>
              <w:spacing w:before="0" w:after="283"/>
              <w:jc w:val="right"/>
              <w:rPr/>
            </w:pPr>
            <w:r>
              <w:rPr/>
              <w:t>456</w:t>
            </w:r>
          </w:p>
        </w:tc>
        <w:tc>
          <w:tcPr>
            <w:tcW w:w="124"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18" w:type="dxa"/>
            <w:tcBorders/>
            <w:shd w:fill="CCEEFF" w:val="clear"/>
            <w:vAlign w:val="bottom"/>
          </w:tcPr>
          <w:p>
            <w:pPr>
              <w:pStyle w:val="TableContents"/>
              <w:spacing w:before="0" w:after="283"/>
              <w:jc w:val="right"/>
              <w:rPr/>
            </w:pPr>
            <w:r>
              <w:rPr/>
              <w:t>604</w:t>
            </w:r>
          </w:p>
        </w:tc>
        <w:tc>
          <w:tcPr>
            <w:tcW w:w="135" w:type="dxa"/>
            <w:tcBorders/>
            <w:shd w:fill="CCEEFF" w:val="clear"/>
            <w:vAlign w:val="bottom"/>
          </w:tcPr>
          <w:p>
            <w:pPr>
              <w:pStyle w:val="TableContents"/>
              <w:spacing w:before="0" w:after="283"/>
              <w:rPr/>
            </w:pPr>
            <w:r>
              <w:rPr/>
              <w:t> </w:t>
            </w:r>
          </w:p>
        </w:tc>
      </w:tr>
      <w:tr>
        <w:trPr/>
        <w:tc>
          <w:tcPr>
            <w:tcW w:w="4249" w:type="dxa"/>
            <w:tcBorders/>
            <w:shd w:fill="auto" w:val="clear"/>
            <w:vAlign w:val="center"/>
          </w:tcPr>
          <w:p>
            <w:pPr>
              <w:pStyle w:val="TableContents"/>
              <w:spacing w:before="0" w:after="0"/>
              <w:ind w:left="225" w:right="0" w:hanging="225"/>
              <w:rPr/>
            </w:pPr>
            <w:r>
              <w:rPr/>
              <w:t> </w:t>
            </w:r>
          </w:p>
        </w:tc>
        <w:tc>
          <w:tcPr>
            <w:tcW w:w="380" w:type="dxa"/>
            <w:tcBorders/>
            <w:shd w:fill="auto" w:val="clear"/>
            <w:vAlign w:val="center"/>
          </w:tcPr>
          <w:p>
            <w:pPr>
              <w:pStyle w:val="TableContents"/>
              <w:spacing w:before="0" w:after="283"/>
              <w:rPr/>
            </w:pPr>
            <w:r>
              <w:rPr/>
              <w:t> </w:t>
            </w:r>
          </w:p>
        </w:tc>
        <w:tc>
          <w:tcPr>
            <w:tcW w:w="98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86" w:type="dxa"/>
            <w:tcBorders/>
            <w:shd w:fill="auto" w:val="clear"/>
            <w:vAlign w:val="center"/>
          </w:tcPr>
          <w:p>
            <w:pPr>
              <w:pStyle w:val="TableContents"/>
              <w:spacing w:before="0" w:after="283"/>
              <w:rPr/>
            </w:pPr>
            <w:r>
              <w:rPr/>
              <w:t> </w:t>
            </w:r>
          </w:p>
        </w:tc>
        <w:tc>
          <w:tcPr>
            <w:tcW w:w="9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4249" w:type="dxa"/>
            <w:tcBorders/>
            <w:shd w:fill="auto" w:val="clear"/>
            <w:vAlign w:val="bottom"/>
          </w:tcPr>
          <w:p>
            <w:pPr>
              <w:pStyle w:val="TableContents"/>
              <w:spacing w:before="0" w:after="0"/>
              <w:ind w:left="225" w:right="0" w:hanging="225"/>
              <w:rPr/>
            </w:pPr>
            <w:r>
              <w:rPr/>
              <w:t>Income before provision for income taxes</w:t>
            </w:r>
          </w:p>
        </w:tc>
        <w:tc>
          <w:tcPr>
            <w:tcW w:w="38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3,577</w:t>
            </w:r>
          </w:p>
        </w:tc>
        <w:tc>
          <w:tcPr>
            <w:tcW w:w="135"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1" w:type="dxa"/>
            <w:tcBorders/>
            <w:shd w:fill="auto" w:val="clear"/>
            <w:vAlign w:val="bottom"/>
          </w:tcPr>
          <w:p>
            <w:pPr>
              <w:pStyle w:val="TableContents"/>
              <w:spacing w:before="0" w:after="283"/>
              <w:jc w:val="right"/>
              <w:rPr/>
            </w:pPr>
            <w:r>
              <w:rPr/>
              <w:t>4,796</w:t>
            </w:r>
          </w:p>
        </w:tc>
        <w:tc>
          <w:tcPr>
            <w:tcW w:w="125"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jc w:val="right"/>
              <w:rPr/>
            </w:pPr>
            <w:r>
              <w:rPr/>
              <w:t>10,000</w:t>
            </w:r>
          </w:p>
        </w:tc>
        <w:tc>
          <w:tcPr>
            <w:tcW w:w="124"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jc w:val="right"/>
              <w:rPr/>
            </w:pPr>
            <w:r>
              <w:rPr/>
              <w:t>7,295</w:t>
            </w:r>
          </w:p>
        </w:tc>
        <w:tc>
          <w:tcPr>
            <w:tcW w:w="135" w:type="dxa"/>
            <w:tcBorders/>
            <w:shd w:fill="auto" w:val="clear"/>
            <w:vAlign w:val="bottom"/>
          </w:tcPr>
          <w:p>
            <w:pPr>
              <w:pStyle w:val="TableContents"/>
              <w:spacing w:before="0" w:after="283"/>
              <w:rPr/>
            </w:pPr>
            <w:r>
              <w:rPr/>
              <w:t> </w:t>
            </w:r>
          </w:p>
        </w:tc>
      </w:tr>
      <w:tr>
        <w:trPr/>
        <w:tc>
          <w:tcPr>
            <w:tcW w:w="4249" w:type="dxa"/>
            <w:tcBorders/>
            <w:shd w:fill="CCEEFF" w:val="clear"/>
            <w:vAlign w:val="bottom"/>
          </w:tcPr>
          <w:p>
            <w:pPr>
              <w:pStyle w:val="TableContents"/>
              <w:spacing w:before="0" w:after="0"/>
              <w:ind w:left="225" w:right="0" w:hanging="225"/>
              <w:rPr/>
            </w:pPr>
            <w:r>
              <w:rPr/>
              <w:t>Provision for income taxes</w:t>
            </w:r>
          </w:p>
        </w:tc>
        <w:tc>
          <w:tcPr>
            <w:tcW w:w="38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1,355</w:t>
            </w:r>
          </w:p>
        </w:tc>
        <w:tc>
          <w:tcPr>
            <w:tcW w:w="135" w:type="dxa"/>
            <w:tcBorders/>
            <w:shd w:fill="CCEEFF" w:val="clear"/>
            <w:vAlign w:val="bottom"/>
          </w:tcPr>
          <w:p>
            <w:pPr>
              <w:pStyle w:val="TableContents"/>
              <w:spacing w:before="0" w:after="283"/>
              <w:rPr/>
            </w:pPr>
            <w:r>
              <w:rPr/>
              <w:t> </w:t>
            </w:r>
          </w:p>
        </w:tc>
        <w:tc>
          <w:tcPr>
            <w:tcW w:w="386"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1" w:type="dxa"/>
            <w:tcBorders/>
            <w:shd w:fill="CCEEFF" w:val="clear"/>
            <w:vAlign w:val="bottom"/>
          </w:tcPr>
          <w:p>
            <w:pPr>
              <w:pStyle w:val="TableContents"/>
              <w:spacing w:before="0" w:after="283"/>
              <w:jc w:val="right"/>
              <w:rPr/>
            </w:pPr>
            <w:r>
              <w:rPr/>
              <w:t>1,870</w:t>
            </w:r>
          </w:p>
        </w:tc>
        <w:tc>
          <w:tcPr>
            <w:tcW w:w="125"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18" w:type="dxa"/>
            <w:tcBorders/>
            <w:shd w:fill="CCEEFF" w:val="clear"/>
            <w:vAlign w:val="bottom"/>
          </w:tcPr>
          <w:p>
            <w:pPr>
              <w:pStyle w:val="TableContents"/>
              <w:spacing w:before="0" w:after="283"/>
              <w:jc w:val="right"/>
              <w:rPr/>
            </w:pPr>
            <w:r>
              <w:rPr/>
              <w:t>3,860</w:t>
            </w:r>
          </w:p>
        </w:tc>
        <w:tc>
          <w:tcPr>
            <w:tcW w:w="124"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18" w:type="dxa"/>
            <w:tcBorders/>
            <w:shd w:fill="CCEEFF" w:val="clear"/>
            <w:vAlign w:val="bottom"/>
          </w:tcPr>
          <w:p>
            <w:pPr>
              <w:pStyle w:val="TableContents"/>
              <w:spacing w:before="0" w:after="283"/>
              <w:jc w:val="right"/>
              <w:rPr/>
            </w:pPr>
            <w:r>
              <w:rPr/>
              <w:t>2,845</w:t>
            </w:r>
          </w:p>
        </w:tc>
        <w:tc>
          <w:tcPr>
            <w:tcW w:w="135" w:type="dxa"/>
            <w:tcBorders/>
            <w:shd w:fill="CCEEFF" w:val="clear"/>
            <w:vAlign w:val="bottom"/>
          </w:tcPr>
          <w:p>
            <w:pPr>
              <w:pStyle w:val="TableContents"/>
              <w:spacing w:before="0" w:after="283"/>
              <w:rPr/>
            </w:pPr>
            <w:r>
              <w:rPr/>
              <w:t> </w:t>
            </w:r>
          </w:p>
        </w:tc>
      </w:tr>
      <w:tr>
        <w:trPr/>
        <w:tc>
          <w:tcPr>
            <w:tcW w:w="4249" w:type="dxa"/>
            <w:tcBorders/>
            <w:shd w:fill="auto" w:val="clear"/>
            <w:vAlign w:val="center"/>
          </w:tcPr>
          <w:p>
            <w:pPr>
              <w:pStyle w:val="TableContents"/>
              <w:spacing w:before="0" w:after="0"/>
              <w:ind w:left="225" w:right="0" w:hanging="225"/>
              <w:rPr/>
            </w:pPr>
            <w:r>
              <w:rPr/>
              <w:t> </w:t>
            </w:r>
          </w:p>
        </w:tc>
        <w:tc>
          <w:tcPr>
            <w:tcW w:w="380" w:type="dxa"/>
            <w:tcBorders/>
            <w:shd w:fill="auto" w:val="clear"/>
            <w:vAlign w:val="center"/>
          </w:tcPr>
          <w:p>
            <w:pPr>
              <w:pStyle w:val="TableContents"/>
              <w:spacing w:before="0" w:after="283"/>
              <w:rPr/>
            </w:pPr>
            <w:r>
              <w:rPr/>
              <w:t> </w:t>
            </w:r>
          </w:p>
        </w:tc>
        <w:tc>
          <w:tcPr>
            <w:tcW w:w="98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86" w:type="dxa"/>
            <w:tcBorders/>
            <w:shd w:fill="auto" w:val="clear"/>
            <w:vAlign w:val="center"/>
          </w:tcPr>
          <w:p>
            <w:pPr>
              <w:pStyle w:val="TableContents"/>
              <w:spacing w:before="0" w:after="283"/>
              <w:rPr/>
            </w:pPr>
            <w:r>
              <w:rPr/>
              <w:t> </w:t>
            </w:r>
          </w:p>
        </w:tc>
        <w:tc>
          <w:tcPr>
            <w:tcW w:w="9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4249" w:type="dxa"/>
            <w:tcBorders/>
            <w:shd w:fill="auto" w:val="clear"/>
            <w:vAlign w:val="bottom"/>
          </w:tcPr>
          <w:p>
            <w:pPr>
              <w:pStyle w:val="TableContents"/>
              <w:spacing w:before="0" w:after="0"/>
              <w:ind w:left="225" w:right="0" w:hanging="225"/>
              <w:rPr/>
            </w:pPr>
            <w:r>
              <w:rPr/>
              <w:t>Net income</w:t>
            </w:r>
          </w:p>
        </w:tc>
        <w:tc>
          <w:tcPr>
            <w:tcW w:w="38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820" w:type="dxa"/>
            <w:tcBorders/>
            <w:shd w:fill="auto" w:val="clear"/>
            <w:vAlign w:val="bottom"/>
          </w:tcPr>
          <w:p>
            <w:pPr>
              <w:pStyle w:val="TableContents"/>
              <w:spacing w:before="0" w:after="283"/>
              <w:jc w:val="right"/>
              <w:rPr/>
            </w:pPr>
            <w:r>
              <w:rPr/>
              <w:t>2,222</w:t>
            </w:r>
          </w:p>
        </w:tc>
        <w:tc>
          <w:tcPr>
            <w:tcW w:w="135"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821" w:type="dxa"/>
            <w:tcBorders/>
            <w:shd w:fill="auto" w:val="clear"/>
            <w:vAlign w:val="bottom"/>
          </w:tcPr>
          <w:p>
            <w:pPr>
              <w:pStyle w:val="TableContents"/>
              <w:spacing w:before="0" w:after="283"/>
              <w:jc w:val="right"/>
              <w:rPr/>
            </w:pPr>
            <w:r>
              <w:rPr/>
              <w:t>2,926</w:t>
            </w:r>
          </w:p>
        </w:tc>
        <w:tc>
          <w:tcPr>
            <w:tcW w:w="125"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18" w:type="dxa"/>
            <w:tcBorders/>
            <w:shd w:fill="auto" w:val="clear"/>
            <w:vAlign w:val="bottom"/>
          </w:tcPr>
          <w:p>
            <w:pPr>
              <w:pStyle w:val="TableContents"/>
              <w:spacing w:before="0" w:after="283"/>
              <w:jc w:val="right"/>
              <w:rPr/>
            </w:pPr>
            <w:r>
              <w:rPr/>
              <w:t>6,140</w:t>
            </w:r>
          </w:p>
        </w:tc>
        <w:tc>
          <w:tcPr>
            <w:tcW w:w="124"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18" w:type="dxa"/>
            <w:tcBorders/>
            <w:shd w:fill="auto" w:val="clear"/>
            <w:vAlign w:val="bottom"/>
          </w:tcPr>
          <w:p>
            <w:pPr>
              <w:pStyle w:val="TableContents"/>
              <w:spacing w:before="0" w:after="283"/>
              <w:jc w:val="right"/>
              <w:rPr/>
            </w:pPr>
            <w:r>
              <w:rPr/>
              <w:t>4,450</w:t>
            </w:r>
          </w:p>
        </w:tc>
        <w:tc>
          <w:tcPr>
            <w:tcW w:w="135" w:type="dxa"/>
            <w:tcBorders/>
            <w:shd w:fill="auto" w:val="clear"/>
            <w:vAlign w:val="bottom"/>
          </w:tcPr>
          <w:p>
            <w:pPr>
              <w:pStyle w:val="TableContents"/>
              <w:spacing w:before="0" w:after="283"/>
              <w:rPr/>
            </w:pPr>
            <w:r>
              <w:rPr/>
              <w:t> </w:t>
            </w:r>
          </w:p>
        </w:tc>
      </w:tr>
      <w:tr>
        <w:trPr/>
        <w:tc>
          <w:tcPr>
            <w:tcW w:w="4249" w:type="dxa"/>
            <w:tcBorders/>
            <w:shd w:fill="auto" w:val="clear"/>
            <w:vAlign w:val="center"/>
          </w:tcPr>
          <w:p>
            <w:pPr>
              <w:pStyle w:val="TableContents"/>
              <w:spacing w:before="0" w:after="0"/>
              <w:ind w:left="225" w:right="0" w:hanging="225"/>
              <w:rPr/>
            </w:pPr>
            <w:r>
              <w:rPr/>
              <w:t> </w:t>
            </w:r>
          </w:p>
        </w:tc>
        <w:tc>
          <w:tcPr>
            <w:tcW w:w="380" w:type="dxa"/>
            <w:tcBorders/>
            <w:shd w:fill="auto" w:val="clear"/>
            <w:vAlign w:val="center"/>
          </w:tcPr>
          <w:p>
            <w:pPr>
              <w:pStyle w:val="TableContents"/>
              <w:spacing w:before="0" w:after="283"/>
              <w:rPr/>
            </w:pPr>
            <w:r>
              <w:rPr/>
              <w:t> </w:t>
            </w:r>
          </w:p>
        </w:tc>
        <w:tc>
          <w:tcPr>
            <w:tcW w:w="98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86" w:type="dxa"/>
            <w:tcBorders/>
            <w:shd w:fill="auto" w:val="clear"/>
            <w:vAlign w:val="center"/>
          </w:tcPr>
          <w:p>
            <w:pPr>
              <w:pStyle w:val="TableContents"/>
              <w:spacing w:before="0" w:after="283"/>
              <w:rPr/>
            </w:pPr>
            <w:r>
              <w:rPr/>
              <w:t> </w:t>
            </w:r>
          </w:p>
        </w:tc>
        <w:tc>
          <w:tcPr>
            <w:tcW w:w="98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4249" w:type="dxa"/>
            <w:tcBorders/>
            <w:shd w:fill="CCEEFF" w:val="clear"/>
            <w:vAlign w:val="bottom"/>
          </w:tcPr>
          <w:p>
            <w:pPr>
              <w:pStyle w:val="TableContents"/>
              <w:spacing w:before="0" w:after="0"/>
              <w:ind w:left="225" w:right="0" w:hanging="225"/>
              <w:rPr/>
            </w:pPr>
            <w:r>
              <w:rPr/>
              <w:t>Net income per share:</w:t>
            </w:r>
          </w:p>
        </w:tc>
        <w:tc>
          <w:tcPr>
            <w:tcW w:w="38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386"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18"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18"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r>
      <w:tr>
        <w:trPr/>
        <w:tc>
          <w:tcPr>
            <w:tcW w:w="4249" w:type="dxa"/>
            <w:tcBorders/>
            <w:shd w:fill="auto" w:val="clear"/>
            <w:vAlign w:val="bottom"/>
          </w:tcPr>
          <w:p>
            <w:pPr>
              <w:pStyle w:val="TableContents"/>
              <w:spacing w:before="0" w:after="0"/>
              <w:ind w:left="450" w:right="0" w:hanging="225"/>
              <w:rPr/>
            </w:pPr>
            <w:r>
              <w:rPr/>
              <w:t>Basic</w:t>
            </w:r>
          </w:p>
        </w:tc>
        <w:tc>
          <w:tcPr>
            <w:tcW w:w="38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820" w:type="dxa"/>
            <w:tcBorders/>
            <w:shd w:fill="auto" w:val="clear"/>
            <w:vAlign w:val="bottom"/>
          </w:tcPr>
          <w:p>
            <w:pPr>
              <w:pStyle w:val="TableContents"/>
              <w:spacing w:before="0" w:after="283"/>
              <w:jc w:val="right"/>
              <w:rPr/>
            </w:pPr>
            <w:r>
              <w:rPr/>
              <w:t>0.16</w:t>
            </w:r>
          </w:p>
        </w:tc>
        <w:tc>
          <w:tcPr>
            <w:tcW w:w="135"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821" w:type="dxa"/>
            <w:tcBorders/>
            <w:shd w:fill="auto" w:val="clear"/>
            <w:vAlign w:val="bottom"/>
          </w:tcPr>
          <w:p>
            <w:pPr>
              <w:pStyle w:val="TableContents"/>
              <w:spacing w:before="0" w:after="283"/>
              <w:jc w:val="right"/>
              <w:rPr/>
            </w:pPr>
            <w:r>
              <w:rPr/>
              <w:t>0.20</w:t>
            </w:r>
          </w:p>
        </w:tc>
        <w:tc>
          <w:tcPr>
            <w:tcW w:w="125"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18" w:type="dxa"/>
            <w:tcBorders/>
            <w:shd w:fill="auto" w:val="clear"/>
            <w:vAlign w:val="bottom"/>
          </w:tcPr>
          <w:p>
            <w:pPr>
              <w:pStyle w:val="TableContents"/>
              <w:spacing w:before="0" w:after="283"/>
              <w:jc w:val="right"/>
              <w:rPr/>
            </w:pPr>
            <w:r>
              <w:rPr/>
              <w:t>0.43</w:t>
            </w:r>
          </w:p>
        </w:tc>
        <w:tc>
          <w:tcPr>
            <w:tcW w:w="124"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18" w:type="dxa"/>
            <w:tcBorders/>
            <w:shd w:fill="auto" w:val="clear"/>
            <w:vAlign w:val="bottom"/>
          </w:tcPr>
          <w:p>
            <w:pPr>
              <w:pStyle w:val="TableContents"/>
              <w:spacing w:before="0" w:after="283"/>
              <w:jc w:val="right"/>
              <w:rPr/>
            </w:pPr>
            <w:r>
              <w:rPr/>
              <w:t>0.31</w:t>
            </w:r>
          </w:p>
        </w:tc>
        <w:tc>
          <w:tcPr>
            <w:tcW w:w="135" w:type="dxa"/>
            <w:tcBorders/>
            <w:shd w:fill="auto" w:val="clear"/>
            <w:vAlign w:val="bottom"/>
          </w:tcPr>
          <w:p>
            <w:pPr>
              <w:pStyle w:val="TableContents"/>
              <w:spacing w:before="0" w:after="283"/>
              <w:rPr/>
            </w:pPr>
            <w:r>
              <w:rPr/>
              <w:t> </w:t>
            </w:r>
          </w:p>
        </w:tc>
      </w:tr>
      <w:tr>
        <w:trPr/>
        <w:tc>
          <w:tcPr>
            <w:tcW w:w="4249" w:type="dxa"/>
            <w:tcBorders/>
            <w:shd w:fill="auto" w:val="clear"/>
            <w:vAlign w:val="center"/>
          </w:tcPr>
          <w:p>
            <w:pPr>
              <w:pStyle w:val="TableContents"/>
              <w:spacing w:before="0" w:after="0"/>
              <w:ind w:left="225" w:right="0" w:hanging="225"/>
              <w:rPr/>
            </w:pPr>
            <w:r>
              <w:rPr/>
              <w:t> </w:t>
            </w:r>
          </w:p>
        </w:tc>
        <w:tc>
          <w:tcPr>
            <w:tcW w:w="380" w:type="dxa"/>
            <w:tcBorders/>
            <w:shd w:fill="auto" w:val="clear"/>
            <w:vAlign w:val="center"/>
          </w:tcPr>
          <w:p>
            <w:pPr>
              <w:pStyle w:val="TableContents"/>
              <w:spacing w:before="0" w:after="283"/>
              <w:rPr/>
            </w:pPr>
            <w:r>
              <w:rPr/>
              <w:t> </w:t>
            </w:r>
          </w:p>
        </w:tc>
        <w:tc>
          <w:tcPr>
            <w:tcW w:w="98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86" w:type="dxa"/>
            <w:tcBorders/>
            <w:shd w:fill="auto" w:val="clear"/>
            <w:vAlign w:val="center"/>
          </w:tcPr>
          <w:p>
            <w:pPr>
              <w:pStyle w:val="TableContents"/>
              <w:spacing w:before="0" w:after="283"/>
              <w:rPr/>
            </w:pPr>
            <w:r>
              <w:rPr/>
              <w:t> </w:t>
            </w:r>
          </w:p>
        </w:tc>
        <w:tc>
          <w:tcPr>
            <w:tcW w:w="98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4249" w:type="dxa"/>
            <w:tcBorders/>
            <w:shd w:fill="CCEEFF" w:val="clear"/>
            <w:vAlign w:val="bottom"/>
          </w:tcPr>
          <w:p>
            <w:pPr>
              <w:pStyle w:val="TableContents"/>
              <w:spacing w:before="0" w:after="0"/>
              <w:ind w:left="450" w:right="0" w:hanging="225"/>
              <w:rPr/>
            </w:pPr>
            <w:r>
              <w:rPr/>
              <w:t>Diluted</w:t>
            </w:r>
          </w:p>
        </w:tc>
        <w:tc>
          <w:tcPr>
            <w:tcW w:w="38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20" w:type="dxa"/>
            <w:tcBorders/>
            <w:shd w:fill="CCEEFF" w:val="clear"/>
            <w:vAlign w:val="bottom"/>
          </w:tcPr>
          <w:p>
            <w:pPr>
              <w:pStyle w:val="TableContents"/>
              <w:spacing w:before="0" w:after="283"/>
              <w:jc w:val="right"/>
              <w:rPr/>
            </w:pPr>
            <w:r>
              <w:rPr/>
              <w:t>0.15</w:t>
            </w:r>
          </w:p>
        </w:tc>
        <w:tc>
          <w:tcPr>
            <w:tcW w:w="135" w:type="dxa"/>
            <w:tcBorders/>
            <w:shd w:fill="CCEEFF" w:val="clear"/>
            <w:vAlign w:val="bottom"/>
          </w:tcPr>
          <w:p>
            <w:pPr>
              <w:pStyle w:val="TableContents"/>
              <w:spacing w:before="0" w:after="283"/>
              <w:rPr/>
            </w:pPr>
            <w:r>
              <w:rPr/>
              <w:t> </w:t>
            </w:r>
          </w:p>
        </w:tc>
        <w:tc>
          <w:tcPr>
            <w:tcW w:w="386"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21" w:type="dxa"/>
            <w:tcBorders/>
            <w:shd w:fill="CCEEFF" w:val="clear"/>
            <w:vAlign w:val="bottom"/>
          </w:tcPr>
          <w:p>
            <w:pPr>
              <w:pStyle w:val="TableContents"/>
              <w:spacing w:before="0" w:after="283"/>
              <w:jc w:val="right"/>
              <w:rPr/>
            </w:pPr>
            <w:r>
              <w:rPr/>
              <w:t>0.20</w:t>
            </w:r>
          </w:p>
        </w:tc>
        <w:tc>
          <w:tcPr>
            <w:tcW w:w="125"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18" w:type="dxa"/>
            <w:tcBorders/>
            <w:shd w:fill="CCEEFF" w:val="clear"/>
            <w:vAlign w:val="bottom"/>
          </w:tcPr>
          <w:p>
            <w:pPr>
              <w:pStyle w:val="TableContents"/>
              <w:spacing w:before="0" w:after="283"/>
              <w:jc w:val="right"/>
              <w:rPr/>
            </w:pPr>
            <w:r>
              <w:rPr/>
              <w:t>0.43</w:t>
            </w:r>
          </w:p>
        </w:tc>
        <w:tc>
          <w:tcPr>
            <w:tcW w:w="124"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18" w:type="dxa"/>
            <w:tcBorders/>
            <w:shd w:fill="CCEEFF" w:val="clear"/>
            <w:vAlign w:val="bottom"/>
          </w:tcPr>
          <w:p>
            <w:pPr>
              <w:pStyle w:val="TableContents"/>
              <w:spacing w:before="0" w:after="283"/>
              <w:jc w:val="right"/>
              <w:rPr/>
            </w:pPr>
            <w:r>
              <w:rPr/>
              <w:t>0.31</w:t>
            </w:r>
          </w:p>
        </w:tc>
        <w:tc>
          <w:tcPr>
            <w:tcW w:w="135" w:type="dxa"/>
            <w:tcBorders/>
            <w:shd w:fill="CCEEFF" w:val="clear"/>
            <w:vAlign w:val="bottom"/>
          </w:tcPr>
          <w:p>
            <w:pPr>
              <w:pStyle w:val="TableContents"/>
              <w:spacing w:before="0" w:after="283"/>
              <w:rPr/>
            </w:pPr>
            <w:r>
              <w:rPr/>
              <w:t> </w:t>
            </w:r>
          </w:p>
        </w:tc>
      </w:tr>
      <w:tr>
        <w:trPr/>
        <w:tc>
          <w:tcPr>
            <w:tcW w:w="4249" w:type="dxa"/>
            <w:tcBorders/>
            <w:shd w:fill="auto" w:val="clear"/>
            <w:vAlign w:val="center"/>
          </w:tcPr>
          <w:p>
            <w:pPr>
              <w:pStyle w:val="TableContents"/>
              <w:spacing w:before="0" w:after="0"/>
              <w:ind w:left="225" w:right="0" w:hanging="225"/>
              <w:rPr/>
            </w:pPr>
            <w:r>
              <w:rPr/>
              <w:t> </w:t>
            </w:r>
          </w:p>
        </w:tc>
        <w:tc>
          <w:tcPr>
            <w:tcW w:w="380" w:type="dxa"/>
            <w:tcBorders/>
            <w:shd w:fill="auto" w:val="clear"/>
            <w:vAlign w:val="center"/>
          </w:tcPr>
          <w:p>
            <w:pPr>
              <w:pStyle w:val="TableContents"/>
              <w:spacing w:before="0" w:after="283"/>
              <w:rPr/>
            </w:pPr>
            <w:r>
              <w:rPr/>
              <w:t> </w:t>
            </w:r>
          </w:p>
        </w:tc>
        <w:tc>
          <w:tcPr>
            <w:tcW w:w="98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86" w:type="dxa"/>
            <w:tcBorders/>
            <w:shd w:fill="auto" w:val="clear"/>
            <w:vAlign w:val="center"/>
          </w:tcPr>
          <w:p>
            <w:pPr>
              <w:pStyle w:val="TableContents"/>
              <w:spacing w:before="0" w:after="283"/>
              <w:rPr/>
            </w:pPr>
            <w:r>
              <w:rPr/>
              <w:t> </w:t>
            </w:r>
          </w:p>
        </w:tc>
        <w:tc>
          <w:tcPr>
            <w:tcW w:w="98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4249" w:type="dxa"/>
            <w:tcBorders/>
            <w:shd w:fill="auto" w:val="clear"/>
            <w:vAlign w:val="bottom"/>
          </w:tcPr>
          <w:p>
            <w:pPr>
              <w:pStyle w:val="TableContents"/>
              <w:spacing w:before="0" w:after="0"/>
              <w:ind w:left="225" w:right="0" w:hanging="225"/>
              <w:rPr/>
            </w:pPr>
            <w:r>
              <w:rPr/>
              <w:t>Number of shares used in per share computation:</w:t>
            </w:r>
          </w:p>
        </w:tc>
        <w:tc>
          <w:tcPr>
            <w:tcW w:w="38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4249" w:type="dxa"/>
            <w:tcBorders/>
            <w:shd w:fill="CCEEFF" w:val="clear"/>
            <w:vAlign w:val="bottom"/>
          </w:tcPr>
          <w:p>
            <w:pPr>
              <w:pStyle w:val="TableContents"/>
              <w:spacing w:before="0" w:after="0"/>
              <w:ind w:left="450" w:right="0" w:hanging="225"/>
              <w:rPr/>
            </w:pPr>
            <w:r>
              <w:rPr/>
              <w:t>Basic</w:t>
            </w:r>
          </w:p>
        </w:tc>
        <w:tc>
          <w:tcPr>
            <w:tcW w:w="38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14,300</w:t>
            </w:r>
          </w:p>
        </w:tc>
        <w:tc>
          <w:tcPr>
            <w:tcW w:w="135" w:type="dxa"/>
            <w:tcBorders/>
            <w:shd w:fill="CCEEFF" w:val="clear"/>
            <w:vAlign w:val="bottom"/>
          </w:tcPr>
          <w:p>
            <w:pPr>
              <w:pStyle w:val="TableContents"/>
              <w:spacing w:before="0" w:after="283"/>
              <w:rPr/>
            </w:pPr>
            <w:r>
              <w:rPr/>
              <w:t> </w:t>
            </w:r>
          </w:p>
        </w:tc>
        <w:tc>
          <w:tcPr>
            <w:tcW w:w="386"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1" w:type="dxa"/>
            <w:tcBorders/>
            <w:shd w:fill="CCEEFF" w:val="clear"/>
            <w:vAlign w:val="bottom"/>
          </w:tcPr>
          <w:p>
            <w:pPr>
              <w:pStyle w:val="TableContents"/>
              <w:spacing w:before="0" w:after="283"/>
              <w:jc w:val="right"/>
              <w:rPr/>
            </w:pPr>
            <w:r>
              <w:rPr/>
              <w:t>14,292</w:t>
            </w:r>
          </w:p>
        </w:tc>
        <w:tc>
          <w:tcPr>
            <w:tcW w:w="125"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18" w:type="dxa"/>
            <w:tcBorders/>
            <w:shd w:fill="CCEEFF" w:val="clear"/>
            <w:vAlign w:val="bottom"/>
          </w:tcPr>
          <w:p>
            <w:pPr>
              <w:pStyle w:val="TableContents"/>
              <w:spacing w:before="0" w:after="283"/>
              <w:jc w:val="right"/>
              <w:rPr/>
            </w:pPr>
            <w:r>
              <w:rPr/>
              <w:t>14,296</w:t>
            </w:r>
          </w:p>
        </w:tc>
        <w:tc>
          <w:tcPr>
            <w:tcW w:w="124"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18" w:type="dxa"/>
            <w:tcBorders/>
            <w:shd w:fill="CCEEFF" w:val="clear"/>
            <w:vAlign w:val="bottom"/>
          </w:tcPr>
          <w:p>
            <w:pPr>
              <w:pStyle w:val="TableContents"/>
              <w:spacing w:before="0" w:after="283"/>
              <w:jc w:val="right"/>
              <w:rPr/>
            </w:pPr>
            <w:r>
              <w:rPr/>
              <w:t>14,308</w:t>
            </w:r>
          </w:p>
        </w:tc>
        <w:tc>
          <w:tcPr>
            <w:tcW w:w="135" w:type="dxa"/>
            <w:tcBorders/>
            <w:shd w:fill="CCEEFF" w:val="clear"/>
            <w:vAlign w:val="bottom"/>
          </w:tcPr>
          <w:p>
            <w:pPr>
              <w:pStyle w:val="TableContents"/>
              <w:spacing w:before="0" w:after="283"/>
              <w:rPr/>
            </w:pPr>
            <w:r>
              <w:rPr/>
              <w:t> </w:t>
            </w:r>
          </w:p>
        </w:tc>
      </w:tr>
      <w:tr>
        <w:trPr/>
        <w:tc>
          <w:tcPr>
            <w:tcW w:w="4249" w:type="dxa"/>
            <w:tcBorders/>
            <w:shd w:fill="auto" w:val="clear"/>
            <w:vAlign w:val="center"/>
          </w:tcPr>
          <w:p>
            <w:pPr>
              <w:pStyle w:val="TableContents"/>
              <w:spacing w:before="0" w:after="0"/>
              <w:ind w:left="225" w:right="0" w:hanging="225"/>
              <w:rPr/>
            </w:pPr>
            <w:r>
              <w:rPr/>
              <w:t> </w:t>
            </w:r>
          </w:p>
        </w:tc>
        <w:tc>
          <w:tcPr>
            <w:tcW w:w="380" w:type="dxa"/>
            <w:tcBorders/>
            <w:shd w:fill="auto" w:val="clear"/>
            <w:vAlign w:val="center"/>
          </w:tcPr>
          <w:p>
            <w:pPr>
              <w:pStyle w:val="TableContents"/>
              <w:spacing w:before="0" w:after="283"/>
              <w:rPr/>
            </w:pPr>
            <w:r>
              <w:rPr/>
              <w:t> </w:t>
            </w:r>
          </w:p>
        </w:tc>
        <w:tc>
          <w:tcPr>
            <w:tcW w:w="98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86" w:type="dxa"/>
            <w:tcBorders/>
            <w:shd w:fill="auto" w:val="clear"/>
            <w:vAlign w:val="center"/>
          </w:tcPr>
          <w:p>
            <w:pPr>
              <w:pStyle w:val="TableContents"/>
              <w:spacing w:before="0" w:after="283"/>
              <w:rPr/>
            </w:pPr>
            <w:r>
              <w:rPr/>
              <w:t> </w:t>
            </w:r>
          </w:p>
        </w:tc>
        <w:tc>
          <w:tcPr>
            <w:tcW w:w="98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4249" w:type="dxa"/>
            <w:tcBorders/>
            <w:shd w:fill="auto" w:val="clear"/>
            <w:vAlign w:val="bottom"/>
          </w:tcPr>
          <w:p>
            <w:pPr>
              <w:pStyle w:val="TableContents"/>
              <w:spacing w:before="0" w:after="0"/>
              <w:ind w:left="450" w:right="0" w:hanging="225"/>
              <w:rPr/>
            </w:pPr>
            <w:r>
              <w:rPr/>
              <w:t>Diluted</w:t>
            </w:r>
          </w:p>
        </w:tc>
        <w:tc>
          <w:tcPr>
            <w:tcW w:w="38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14,452</w:t>
            </w:r>
          </w:p>
        </w:tc>
        <w:tc>
          <w:tcPr>
            <w:tcW w:w="135"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1" w:type="dxa"/>
            <w:tcBorders/>
            <w:shd w:fill="auto" w:val="clear"/>
            <w:vAlign w:val="bottom"/>
          </w:tcPr>
          <w:p>
            <w:pPr>
              <w:pStyle w:val="TableContents"/>
              <w:spacing w:before="0" w:after="283"/>
              <w:jc w:val="right"/>
              <w:rPr/>
            </w:pPr>
            <w:r>
              <w:rPr/>
              <w:t>14,351</w:t>
            </w:r>
          </w:p>
        </w:tc>
        <w:tc>
          <w:tcPr>
            <w:tcW w:w="125"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jc w:val="right"/>
              <w:rPr/>
            </w:pPr>
            <w:r>
              <w:rPr/>
              <w:t>14,407</w:t>
            </w:r>
          </w:p>
        </w:tc>
        <w:tc>
          <w:tcPr>
            <w:tcW w:w="124"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jc w:val="right"/>
              <w:rPr/>
            </w:pPr>
            <w:r>
              <w:rPr/>
              <w:t>14,365</w:t>
            </w:r>
          </w:p>
        </w:tc>
        <w:tc>
          <w:tcPr>
            <w:tcW w:w="135" w:type="dxa"/>
            <w:tcBorders/>
            <w:shd w:fill="auto" w:val="clear"/>
            <w:vAlign w:val="bottom"/>
          </w:tcPr>
          <w:p>
            <w:pPr>
              <w:pStyle w:val="TableContents"/>
              <w:spacing w:before="0" w:after="283"/>
              <w:rPr/>
            </w:pPr>
            <w:r>
              <w:rPr/>
              <w:t> </w:t>
            </w:r>
          </w:p>
        </w:tc>
      </w:tr>
      <w:tr>
        <w:trPr/>
        <w:tc>
          <w:tcPr>
            <w:tcW w:w="4249" w:type="dxa"/>
            <w:tcBorders/>
            <w:shd w:fill="auto" w:val="clear"/>
            <w:vAlign w:val="center"/>
          </w:tcPr>
          <w:p>
            <w:pPr>
              <w:pStyle w:val="TableContents"/>
              <w:spacing w:before="0" w:after="0"/>
              <w:ind w:left="225" w:right="0" w:hanging="225"/>
              <w:rPr/>
            </w:pPr>
            <w:r>
              <w:rPr/>
              <w:t> </w:t>
            </w:r>
          </w:p>
        </w:tc>
        <w:tc>
          <w:tcPr>
            <w:tcW w:w="380" w:type="dxa"/>
            <w:tcBorders/>
            <w:shd w:fill="auto" w:val="clear"/>
            <w:vAlign w:val="center"/>
          </w:tcPr>
          <w:p>
            <w:pPr>
              <w:pStyle w:val="TableContents"/>
              <w:spacing w:before="0" w:after="283"/>
              <w:rPr/>
            </w:pPr>
            <w:r>
              <w:rPr/>
              <w:t> </w:t>
            </w:r>
          </w:p>
        </w:tc>
        <w:tc>
          <w:tcPr>
            <w:tcW w:w="98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86" w:type="dxa"/>
            <w:tcBorders/>
            <w:shd w:fill="auto" w:val="clear"/>
            <w:vAlign w:val="center"/>
          </w:tcPr>
          <w:p>
            <w:pPr>
              <w:pStyle w:val="TableContents"/>
              <w:spacing w:before="0" w:after="283"/>
              <w:rPr/>
            </w:pPr>
            <w:r>
              <w:rPr/>
              <w:t> </w:t>
            </w:r>
          </w:p>
        </w:tc>
        <w:tc>
          <w:tcPr>
            <w:tcW w:w="98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bl>
    <w:p>
      <w:pPr>
        <w:pStyle w:val="TextBody"/>
        <w:spacing w:before="0" w:after="0"/>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2050</Words>
  <CharactersWithSpaces>13903</CharactersWithSpaces>
  <Paragraphs>959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exv99w1</dc:title>
</cp:coreProperties>
</file>