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price reported in Column 4 is a weighted average price. The shares were sold in multiple transactions at prices ranging from $70.18 to $70.21,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10/31/2017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2020-01-16T05:12:10Z</dcterms:created>
  <dcterms:modified xsi:type="dcterms:W3CDTF">2020-01-16T05:12:10Z</dcterms:modified>
</cp:coreProperties>
</file>