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8-K</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EXCHANGE ACT OF 1934</w:t>
      </w:r>
    </w:p>
    <w:p>
      <w:pPr>
        <w:spacing w:after="0" w:line="16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26, 2023</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CALAVO GROWERS,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93"/>
              </w:rPr>
              <w:t>California</w:t>
            </w:r>
          </w:p>
        </w:tc>
        <w:tc>
          <w:tcPr>
            <w:tcW w:w="284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000-33385</w:t>
            </w:r>
          </w:p>
        </w:tc>
        <w:tc>
          <w:tcPr>
            <w:tcW w:w="312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1"/>
              </w:rPr>
              <w:t>33-0945304</w:t>
            </w:r>
          </w:p>
        </w:tc>
      </w:tr>
      <w:tr>
        <w:trPr>
          <w:trHeight w:val="195"/>
        </w:trPr>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(State or other</w:t>
            </w:r>
          </w:p>
        </w:tc>
        <w:tc>
          <w:tcPr>
            <w:tcW w:w="160" w:type="dxa"/>
            <w:vAlign w:val="bottom"/>
          </w:tcPr>
          <w:p>
            <w:pPr>
              <w:spacing w:after="0"/>
              <w:rPr>
                <w:sz w:val="16"/>
                <w:szCs w:val="16"/>
                <w:color w:val="auto"/>
              </w:rPr>
            </w:pPr>
          </w:p>
        </w:tc>
        <w:tc>
          <w:tcPr>
            <w:tcW w:w="2680" w:type="dxa"/>
            <w:vAlign w:val="bottom"/>
            <w:tcBorders>
              <w:top w:val="single" w:sz="8" w:color="auto"/>
            </w:tcBorders>
            <w:gridSpan w:val="3"/>
          </w:tcPr>
          <w:p>
            <w:pPr>
              <w:jc w:val="center"/>
              <w:spacing w:after="0" w:line="195" w:lineRule="exact"/>
              <w:rPr>
                <w:sz w:val="20"/>
                <w:szCs w:val="20"/>
                <w:color w:val="auto"/>
              </w:rPr>
            </w:pPr>
            <w:r>
              <w:rPr>
                <w:rFonts w:ascii="Arial" w:cs="Arial" w:eastAsia="Arial" w:hAnsi="Arial"/>
                <w:sz w:val="18"/>
                <w:szCs w:val="18"/>
                <w:color w:val="auto"/>
                <w:w w:val="93"/>
              </w:rPr>
              <w:t>(Commission File Number)</w:t>
            </w:r>
          </w:p>
        </w:tc>
        <w:tc>
          <w:tcPr>
            <w:tcW w:w="16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2960" w:type="dxa"/>
            <w:vAlign w:val="bottom"/>
          </w:tcPr>
          <w:p>
            <w:pPr>
              <w:jc w:val="center"/>
              <w:spacing w:after="0"/>
              <w:rPr>
                <w:sz w:val="20"/>
                <w:szCs w:val="20"/>
                <w:color w:val="auto"/>
              </w:rPr>
            </w:pPr>
            <w:r>
              <w:rPr>
                <w:rFonts w:ascii="Arial" w:cs="Arial" w:eastAsia="Arial" w:hAnsi="Arial"/>
                <w:sz w:val="18"/>
                <w:szCs w:val="18"/>
                <w:color w:val="auto"/>
                <w:w w:val="95"/>
              </w:rPr>
              <w:t>jurisdiction of incorporation)</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9"/>
        </w:trPr>
        <w:tc>
          <w:tcPr>
            <w:tcW w:w="5800" w:type="dxa"/>
            <w:vAlign w:val="bottom"/>
            <w:gridSpan w:val="5"/>
          </w:tcPr>
          <w:p>
            <w:pPr>
              <w:jc w:val="center"/>
              <w:ind w:right="1420"/>
              <w:spacing w:after="0"/>
              <w:rPr>
                <w:sz w:val="20"/>
                <w:szCs w:val="20"/>
                <w:color w:val="auto"/>
              </w:rPr>
            </w:pPr>
            <w:r>
              <w:rPr>
                <w:rFonts w:ascii="Arial" w:cs="Arial" w:eastAsia="Arial" w:hAnsi="Arial"/>
                <w:sz w:val="18"/>
                <w:szCs w:val="18"/>
                <w:b w:val="1"/>
                <w:bCs w:val="1"/>
                <w:color w:val="auto"/>
                <w:w w:val="91"/>
              </w:rPr>
              <w:t>1141-A Cummings Road, Santa Paula, California</w:t>
            </w:r>
          </w:p>
        </w:tc>
        <w:tc>
          <w:tcPr>
            <w:tcW w:w="3120" w:type="dxa"/>
            <w:vAlign w:val="bottom"/>
            <w:gridSpan w:val="2"/>
          </w:tcPr>
          <w:p>
            <w:pPr>
              <w:jc w:val="right"/>
              <w:ind w:right="1870"/>
              <w:spacing w:after="0"/>
              <w:rPr>
                <w:sz w:val="20"/>
                <w:szCs w:val="20"/>
                <w:color w:val="auto"/>
              </w:rPr>
            </w:pPr>
            <w:r>
              <w:rPr>
                <w:rFonts w:ascii="Arial" w:cs="Arial" w:eastAsia="Arial" w:hAnsi="Arial"/>
                <w:sz w:val="18"/>
                <w:szCs w:val="18"/>
                <w:b w:val="1"/>
                <w:bCs w:val="1"/>
                <w:color w:val="auto"/>
              </w:rPr>
              <w:t>93060</w:t>
            </w:r>
          </w:p>
        </w:tc>
      </w:tr>
      <w:tr>
        <w:trPr>
          <w:trHeight w:val="224"/>
        </w:trPr>
        <w:tc>
          <w:tcPr>
            <w:tcW w:w="43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tcPr>
          <w:p>
            <w:pPr>
              <w:jc w:val="center"/>
              <w:ind w:right="131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ind w:left="20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185"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70"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4"/>
          <w:szCs w:val="24"/>
          <w:color w:val="auto"/>
        </w:rPr>
      </w:pPr>
    </w:p>
    <w:p>
      <w:pPr>
        <w:ind w:left="520" w:hanging="24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520" w:hanging="24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520" w:hanging="244"/>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209" w:lineRule="exact"/>
        <w:rPr>
          <w:rFonts w:ascii="MS PGothic" w:cs="MS PGothic" w:eastAsia="MS PGothic" w:hAnsi="MS PGothic"/>
          <w:sz w:val="17"/>
          <w:szCs w:val="17"/>
          <w:color w:val="auto"/>
        </w:rPr>
      </w:pPr>
    </w:p>
    <w:p>
      <w:pPr>
        <w:ind w:left="60" w:right="459" w:firstLine="216"/>
        <w:spacing w:after="0" w:line="481" w:lineRule="auto"/>
        <w:tabs>
          <w:tab w:leader="none" w:pos="53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4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120" w:type="dxa"/>
            <w:vAlign w:val="bottom"/>
          </w:tcPr>
          <w:p>
            <w:pPr>
              <w:spacing w:after="0"/>
              <w:rPr>
                <w:sz w:val="20"/>
                <w:szCs w:val="20"/>
                <w:color w:val="auto"/>
              </w:rPr>
            </w:pPr>
          </w:p>
        </w:tc>
        <w:tc>
          <w:tcPr>
            <w:tcW w:w="3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3300" w:type="dxa"/>
            <w:vAlign w:val="bottom"/>
          </w:tcPr>
          <w:p>
            <w:pPr>
              <w:jc w:val="center"/>
              <w:spacing w:after="0"/>
              <w:rPr>
                <w:sz w:val="20"/>
                <w:szCs w:val="20"/>
                <w:color w:val="auto"/>
              </w:rPr>
            </w:pPr>
            <w:r>
              <w:rPr>
                <w:rFonts w:ascii="Arial" w:cs="Arial" w:eastAsia="Arial" w:hAnsi="Arial"/>
                <w:sz w:val="18"/>
                <w:szCs w:val="18"/>
                <w:color w:val="auto"/>
                <w:w w:val="90"/>
              </w:rPr>
              <w:t>Common Stock</w:t>
            </w:r>
          </w:p>
        </w:tc>
        <w:tc>
          <w:tcPr>
            <w:tcW w:w="140" w:type="dxa"/>
            <w:vAlign w:val="bottom"/>
          </w:tcPr>
          <w:p>
            <w:pPr>
              <w:spacing w:after="0"/>
              <w:rPr>
                <w:sz w:val="19"/>
                <w:szCs w:val="19"/>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9"/>
              </w:rPr>
              <w:t>CVGW</w:t>
            </w:r>
          </w:p>
        </w:tc>
        <w:tc>
          <w:tcPr>
            <w:tcW w:w="12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Nasdaq Global Select Market</w:t>
            </w:r>
          </w:p>
        </w:tc>
      </w:tr>
    </w:tbl>
    <w:p>
      <w:pPr>
        <w:spacing w:after="0" w:line="187" w:lineRule="exact"/>
        <w:rPr>
          <w:sz w:val="24"/>
          <w:szCs w:val="24"/>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8" w:lineRule="exact"/>
        <w:rPr>
          <w:sz w:val="24"/>
          <w:szCs w:val="24"/>
          <w:color w:val="auto"/>
        </w:rPr>
      </w:pPr>
    </w:p>
    <w:p>
      <w:pPr>
        <w:ind w:left="67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66" w:lineRule="exact"/>
        <w:rPr>
          <w:sz w:val="24"/>
          <w:szCs w:val="24"/>
          <w:color w:val="auto"/>
        </w:rPr>
      </w:pPr>
    </w:p>
    <w:p>
      <w:pPr>
        <w:ind w:left="60" w:right="159" w:firstLine="648"/>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532130</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120650</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154940</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62"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information provided in Item 2.03 below is incorporated herein by reference, as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29"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connection with entry into the Credit Agreement described below under “Item 2.03. Creation of a Direct Financial Obligation or an Obligation under an Off-Balance Sheet Arrangement of a Registrant,” Calavo Growers, Inc. (the “Company”), repaid in full all outstanding indebtedness under its existing credit agreement, dated June 14, 2016 (as amended or otherwise modified prior to the date hereof, the “Existing Credit Facility”).</w:t>
      </w:r>
    </w:p>
    <w:p>
      <w:pPr>
        <w:spacing w:after="0" w:line="183" w:lineRule="exact"/>
        <w:rPr>
          <w:sz w:val="20"/>
          <w:szCs w:val="20"/>
          <w:color w:val="auto"/>
        </w:rPr>
      </w:pPr>
    </w:p>
    <w:p>
      <w:pPr>
        <w:jc w:val="both"/>
        <w:ind w:left="60" w:right="59"/>
        <w:spacing w:after="0" w:line="282" w:lineRule="auto"/>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6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On June 26, 2023 (the “Closing Date”), the Company and certain subsidiaries of the Company (collectively, the “Borrower”) entered into a credit agreement (the “Credit Agreement”) by and among, the Borrower, certain subsidiaries of the Company as guarantors, and Wells Fargo Bank, National Association, as agent and lender (“Agent”). The Credit Agreement provides for a revolving credit facility of up to $90.0 million (the “Revolving Loans”), along with an undrawn capex credit facility of up to $10.0 million (the “CapEx Loans”, and together with the Revolving Loans, the “New Credit Facility”).</w:t>
      </w:r>
    </w:p>
    <w:p>
      <w:pPr>
        <w:spacing w:after="0" w:line="192"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 initial proceeds of the Revolving Loans were used to repay all outstanding amounts under the Company’s Existing Credit Facility and to pay related transaction fees and expenses, and following the Closing Date will be used for working capital and other general corporate purposes. For a period of one year following the Closing Date, the Borrower may utilize the proceeds of the CapEx Loans to pay a certain percentage of the costs of certain equipment purchased by the Borrower.</w:t>
      </w:r>
    </w:p>
    <w:p>
      <w:pPr>
        <w:spacing w:after="0" w:line="188"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Borrowings of the Revolving Loans under the Credit Agreement are asset based and will be subject to a borrowing base calculation that includes a certain percentage of eligible accounts receivable, inventory and equipment of the Borrower, less any reserves implemented by Agent in its permitted discretion; provided that the equipment based portion of such borrowing base calculation will reduce monthly following the Closing Date.</w:t>
      </w:r>
    </w:p>
    <w:p>
      <w:pPr>
        <w:spacing w:after="0" w:line="187"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Borrowings under the Credit Agreement bear interest at a rate per annum equal to an applicable margin, plus, at the Borrower's option, either a base rate or a secured overnight financing rate (“SOFR”) term rate (which includes a spread adjustment of 0.10% and is subject to a floor of 0.00%). The applicable margin is (i) for Revolving Loans, 0.50% for base rate borrowings and 1.50% for SOFR term rate borrowings, and (ii) for CapEx Loans, 1.00% for base rate borrowings and 2.00% for SOFR term rate borrowings. The New Credit Facility matures on June 26, 2028 (the “Maturity Date”).</w:t>
      </w:r>
    </w:p>
    <w:p>
      <w:pPr>
        <w:spacing w:after="0" w:line="161"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Borrower may voluntarily prepay loans under the New Credit Facility, in whole or in part, without premium or penalty. Subject to the terms and conditions set forth in the Credit Agreement, the Borrower may be required to make certain mandatory prepayments prior to the Maturity Date.</w:t>
      </w:r>
    </w:p>
    <w:p>
      <w:pPr>
        <w:spacing w:after="0" w:line="184"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Credit Agreement contains negative covenants that, among other things, limit the Borrower's ability to: incur indebtedness; grant liens on its assets; enter into certain investments; consummate fundamental change transactions; engage in mergers or acquisitions or dispose of assets; enter into certain transactions with affiliates; make changes to its fiscal year; enter into certain restrictive agreements; and make certain restricted payments (including for dividends). Each of these limitations are subject to various conditions. The Credit Agreement also contains a springing fixed charge coverage ratio financial covenant that is tested if the amount of the Revolving Loans available for the Borrower to borrow under the New Credit Facility is less than 10% of the total revolving credit facility.</w:t>
      </w:r>
    </w:p>
    <w:p>
      <w:pPr>
        <w:spacing w:after="0" w:line="177"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Credit Agreement also contains certain affirmative covenants and customary events of default provisions, including, subject to thresholds and grace periods, among others, payment default, covenant default, cross default to other material indebtedness, and judgment default.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both"/>
        <w:ind w:left="60" w:right="59" w:firstLine="648"/>
        <w:spacing w:after="0" w:line="263" w:lineRule="auto"/>
        <w:rPr>
          <w:sz w:val="20"/>
          <w:szCs w:val="20"/>
          <w:color w:val="auto"/>
        </w:rPr>
      </w:pPr>
      <w:r>
        <w:rPr>
          <w:rFonts w:ascii="Arial" w:cs="Arial" w:eastAsia="Arial" w:hAnsi="Arial"/>
          <w:sz w:val="18"/>
          <w:szCs w:val="18"/>
          <w:color w:val="auto"/>
        </w:rPr>
        <w:t>The obligations of the Borrower under Credit Agreement are guaranteed by certain of the Company’s subsidiaries and secured by a pledge of all the assets of the Borrower and the guarantors, including all of the outstanding equity interests of each of the Company’s subsidiaries, subject to certain exceptions.</w:t>
      </w:r>
    </w:p>
    <w:p>
      <w:pPr>
        <w:spacing w:after="0" w:line="18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foregoing description of the terms of the Credit Agreement does not purport to be complete and is subject to, and qualified in its entirety by, the full text of the Credit Agreement, a copy of which is filed as Exhibit 10.1 and incorporated herein by reference.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information described above under “Item 2.03. Creation of a Direct Financial Obligation or an Obligation under an Off-Balance Sheet Arrangement of a Registrant” with respect to the limitation on the Company’s ability to declare dividends is hereby incorporated by reference into this Item 3.03.</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40" w:type="dxa"/>
            <w:vAlign w:val="bottom"/>
          </w:tcPr>
          <w:p>
            <w:pPr>
              <w:ind w:left="20"/>
              <w:spacing w:after="0"/>
              <w:rPr>
                <w:sz w:val="20"/>
                <w:szCs w:val="20"/>
                <w:color w:val="auto"/>
              </w:rPr>
            </w:pPr>
            <w:r>
              <w:rPr>
                <w:rFonts w:ascii="Arial" w:cs="Arial" w:eastAsia="Arial" w:hAnsi="Arial"/>
                <w:sz w:val="18"/>
                <w:szCs w:val="18"/>
                <w:color w:val="auto"/>
              </w:rPr>
              <w:t>(d) Exhibits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420" w:type="dxa"/>
            <w:vAlign w:val="bottom"/>
          </w:tcPr>
          <w:p>
            <w:pPr>
              <w:spacing w:after="0"/>
              <w:rPr>
                <w:sz w:val="20"/>
                <w:szCs w:val="20"/>
                <w:color w:val="auto"/>
              </w:rPr>
            </w:pPr>
          </w:p>
        </w:tc>
      </w:tr>
      <w:tr>
        <w:trPr>
          <w:trHeight w:val="432"/>
        </w:trPr>
        <w:tc>
          <w:tcPr>
            <w:tcW w:w="1340" w:type="dxa"/>
            <w:vAlign w:val="bottom"/>
          </w:tcPr>
          <w:p>
            <w:pPr>
              <w:ind w:left="20"/>
              <w:spacing w:after="0"/>
              <w:rPr>
                <w:sz w:val="20"/>
                <w:szCs w:val="20"/>
                <w:color w:val="auto"/>
              </w:rPr>
            </w:pPr>
            <w:r>
              <w:rPr>
                <w:rFonts w:ascii="Arial" w:cs="Arial" w:eastAsia="Arial" w:hAnsi="Arial"/>
                <w:sz w:val="18"/>
                <w:szCs w:val="18"/>
                <w:color w:val="auto"/>
              </w:rPr>
              <w:t>Exhibit Number</w:t>
            </w:r>
          </w:p>
        </w:tc>
        <w:tc>
          <w:tcPr>
            <w:tcW w:w="180" w:type="dxa"/>
            <w:vAlign w:val="bottom"/>
          </w:tcPr>
          <w:p>
            <w:pPr>
              <w:spacing w:after="0"/>
              <w:rPr>
                <w:sz w:val="24"/>
                <w:szCs w:val="24"/>
                <w:color w:val="auto"/>
              </w:rPr>
            </w:pPr>
          </w:p>
        </w:tc>
        <w:tc>
          <w:tcPr>
            <w:tcW w:w="7400" w:type="dxa"/>
            <w:vAlign w:val="bottom"/>
            <w:gridSpan w:val="3"/>
          </w:tcPr>
          <w:p>
            <w:pPr>
              <w:spacing w:after="0"/>
              <w:rPr>
                <w:sz w:val="20"/>
                <w:szCs w:val="20"/>
                <w:color w:val="auto"/>
              </w:rPr>
            </w:pPr>
            <w:r>
              <w:rPr>
                <w:rFonts w:ascii="Arial" w:cs="Arial" w:eastAsia="Arial" w:hAnsi="Arial"/>
                <w:sz w:val="18"/>
                <w:szCs w:val="18"/>
                <w:color w:val="auto"/>
              </w:rPr>
              <w:t>Description</w:t>
            </w:r>
          </w:p>
        </w:tc>
      </w:tr>
      <w:tr>
        <w:trPr>
          <w:trHeight w:val="169"/>
        </w:trPr>
        <w:tc>
          <w:tcPr>
            <w:tcW w:w="134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10.1</w:t>
            </w:r>
          </w:p>
        </w:tc>
        <w:tc>
          <w:tcPr>
            <w:tcW w:w="18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960" w:type="dxa"/>
            <w:vAlign w:val="bottom"/>
            <w:tcBorders>
              <w:top w:val="single" w:sz="8" w:color="auto"/>
              <w:bottom w:val="single" w:sz="8" w:color="0000EE"/>
            </w:tcBorders>
          </w:tcPr>
          <w:p>
            <w:pPr>
              <w:spacing w:after="0" w:line="169" w:lineRule="exact"/>
              <w:rPr>
                <w:sz w:val="20"/>
                <w:szCs w:val="20"/>
                <w:color w:val="auto"/>
              </w:rPr>
            </w:pPr>
            <w:r>
              <w:rPr>
                <w:rFonts w:ascii="Arial" w:cs="Arial" w:eastAsia="Arial" w:hAnsi="Arial"/>
                <w:sz w:val="18"/>
                <w:szCs w:val="18"/>
                <w:color w:val="0000EE"/>
                <w:w w:val="89"/>
              </w:rPr>
              <w:t>Credit Agreement of the Borrower dated June 26, 2023</w:t>
            </w:r>
          </w:p>
        </w:tc>
        <w:tc>
          <w:tcPr>
            <w:tcW w:w="3420" w:type="dxa"/>
            <w:vAlign w:val="bottom"/>
            <w:tcBorders>
              <w:top w:val="single" w:sz="8" w:color="auto"/>
            </w:tcBorders>
          </w:tcPr>
          <w:p>
            <w:pPr>
              <w:spacing w:after="0"/>
              <w:rPr>
                <w:sz w:val="14"/>
                <w:szCs w:val="14"/>
                <w:color w:val="auto"/>
              </w:rPr>
            </w:pPr>
          </w:p>
        </w:tc>
      </w:tr>
    </w:tbl>
    <w:p>
      <w:pPr>
        <w:spacing w:after="0" w:line="13" w:lineRule="exact"/>
        <w:rPr>
          <w:sz w:val="20"/>
          <w:szCs w:val="20"/>
          <w:color w:val="auto"/>
        </w:rPr>
      </w:pPr>
    </w:p>
    <w:p>
      <w:pPr>
        <w:ind w:left="1560" w:hanging="1510"/>
        <w:spacing w:after="0"/>
        <w:tabs>
          <w:tab w:leader="none" w:pos="15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2023</w:t>
      </w:r>
    </w:p>
    <w:p>
      <w:pPr>
        <w:spacing w:after="0" w:line="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  /s/ Shawn Munsell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5715</wp:posOffset>
            </wp:positionV>
            <wp:extent cx="25971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ind w:left="4480"/>
        <w:spacing w:after="0"/>
        <w:rPr>
          <w:sz w:val="20"/>
          <w:szCs w:val="20"/>
          <w:color w:val="auto"/>
        </w:rPr>
      </w:pPr>
      <w:r>
        <w:rPr>
          <w:rFonts w:ascii="Arial" w:cs="Arial" w:eastAsia="Arial" w:hAnsi="Arial"/>
          <w:sz w:val="18"/>
          <w:szCs w:val="18"/>
          <w:color w:val="auto"/>
        </w:rPr>
        <w:t>Name:  Shawn Munsell</w:t>
      </w:r>
    </w:p>
    <w:p>
      <w:pPr>
        <w:spacing w:after="0" w:line="23" w:lineRule="exact"/>
        <w:rPr>
          <w:sz w:val="20"/>
          <w:szCs w:val="20"/>
          <w:color w:val="auto"/>
        </w:rPr>
      </w:pPr>
    </w:p>
    <w:p>
      <w:pPr>
        <w:ind w:left="4480"/>
        <w:spacing w:after="0"/>
        <w:tabs>
          <w:tab w:leader="none" w:pos="5080" w:val="left"/>
        </w:tabs>
        <w:rPr>
          <w:sz w:val="20"/>
          <w:szCs w:val="20"/>
          <w:color w:val="auto"/>
        </w:rPr>
      </w:pPr>
      <w:r>
        <w:rPr>
          <w:rFonts w:ascii="Arial" w:cs="Arial" w:eastAsia="Arial" w:hAnsi="Arial"/>
          <w:sz w:val="18"/>
          <w:szCs w:val="18"/>
          <w:color w:val="auto"/>
        </w:rPr>
        <w:t>Title:</w:t>
        <w:tab/>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160020</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177165</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939"/>
        <w:spacing w:after="0"/>
        <w:rPr>
          <w:sz w:val="20"/>
          <w:szCs w:val="20"/>
          <w:color w:val="auto"/>
        </w:rPr>
      </w:pPr>
      <w:r>
        <w:rPr>
          <w:rFonts w:ascii="Arial" w:cs="Arial" w:eastAsia="Arial" w:hAnsi="Arial"/>
          <w:sz w:val="20"/>
          <w:szCs w:val="20"/>
          <w:b w:val="1"/>
          <w:bCs w:val="1"/>
          <w:color w:val="auto"/>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-130810</wp:posOffset>
            </wp:positionV>
            <wp:extent cx="617220" cy="6172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220" cy="617220"/>
                    </a:xfrm>
                    <a:prstGeom prst="rect">
                      <a:avLst/>
                    </a:prstGeom>
                    <a:noFill/>
                  </pic:spPr>
                </pic:pic>
              </a:graphicData>
            </a:graphic>
          </wp:anchor>
        </w:drawing>
      </w:r>
    </w:p>
    <w:p>
      <w:pPr>
        <w:spacing w:after="0" w:line="128" w:lineRule="exact"/>
        <w:rPr>
          <w:sz w:val="20"/>
          <w:szCs w:val="20"/>
          <w:color w:val="auto"/>
        </w:rPr>
      </w:pPr>
    </w:p>
    <w:p>
      <w:pPr>
        <w:jc w:val="center"/>
        <w:ind w:right="-939"/>
        <w:spacing w:after="0"/>
        <w:rPr>
          <w:sz w:val="20"/>
          <w:szCs w:val="20"/>
          <w:color w:val="auto"/>
        </w:rPr>
      </w:pPr>
      <w:r>
        <w:rPr>
          <w:rFonts w:ascii="Arial" w:cs="Arial" w:eastAsia="Arial" w:hAnsi="Arial"/>
          <w:sz w:val="20"/>
          <w:szCs w:val="20"/>
          <w:b w:val="1"/>
          <w:bCs w:val="1"/>
          <w:color w:val="auto"/>
        </w:rPr>
        <w:t>by and among</w:t>
      </w:r>
    </w:p>
    <w:p>
      <w:pPr>
        <w:spacing w:after="0" w:line="148" w:lineRule="exact"/>
        <w:rPr>
          <w:sz w:val="20"/>
          <w:szCs w:val="20"/>
          <w:color w:val="auto"/>
        </w:rPr>
      </w:pPr>
    </w:p>
    <w:p>
      <w:pPr>
        <w:jc w:val="center"/>
        <w:ind w:right="-939"/>
        <w:spacing w:after="0"/>
        <w:rPr>
          <w:sz w:val="20"/>
          <w:szCs w:val="20"/>
          <w:color w:val="auto"/>
        </w:rPr>
      </w:pPr>
      <w:r>
        <w:rPr>
          <w:rFonts w:ascii="Arial" w:cs="Arial" w:eastAsia="Arial" w:hAnsi="Arial"/>
          <w:sz w:val="19"/>
          <w:szCs w:val="19"/>
          <w:b w:val="1"/>
          <w:bCs w:val="1"/>
          <w:color w:val="auto"/>
        </w:rPr>
        <w:t>WELLS FARGO BANK, NATIONAL ASSOCIATION,</w:t>
      </w:r>
    </w:p>
    <w:p>
      <w:pPr>
        <w:spacing w:after="0" w:line="146" w:lineRule="exact"/>
        <w:rPr>
          <w:sz w:val="20"/>
          <w:szCs w:val="20"/>
          <w:color w:val="auto"/>
        </w:rPr>
      </w:pPr>
    </w:p>
    <w:p>
      <w:pPr>
        <w:jc w:val="center"/>
        <w:ind w:right="-939"/>
        <w:spacing w:after="0"/>
        <w:rPr>
          <w:sz w:val="20"/>
          <w:szCs w:val="20"/>
          <w:color w:val="auto"/>
        </w:rPr>
      </w:pPr>
      <w:r>
        <w:rPr>
          <w:rFonts w:ascii="Arial" w:cs="Arial" w:eastAsia="Arial" w:hAnsi="Arial"/>
          <w:sz w:val="20"/>
          <w:szCs w:val="20"/>
          <w:b w:val="1"/>
          <w:bCs w:val="1"/>
          <w:color w:val="auto"/>
        </w:rPr>
        <w:t>as Agent,</w:t>
      </w:r>
    </w:p>
    <w:p>
      <w:pPr>
        <w:spacing w:after="0" w:line="148" w:lineRule="exact"/>
        <w:rPr>
          <w:sz w:val="20"/>
          <w:szCs w:val="20"/>
          <w:color w:val="auto"/>
        </w:rPr>
      </w:pPr>
    </w:p>
    <w:p>
      <w:pPr>
        <w:jc w:val="center"/>
        <w:ind w:right="-939"/>
        <w:spacing w:after="0"/>
        <w:rPr>
          <w:sz w:val="20"/>
          <w:szCs w:val="20"/>
          <w:color w:val="auto"/>
        </w:rPr>
      </w:pPr>
      <w:r>
        <w:rPr>
          <w:rFonts w:ascii="Arial" w:cs="Arial" w:eastAsia="Arial" w:hAnsi="Arial"/>
          <w:sz w:val="20"/>
          <w:szCs w:val="20"/>
          <w:b w:val="1"/>
          <w:bCs w:val="1"/>
          <w:color w:val="auto"/>
        </w:rPr>
        <w:t>THE LENDERS THAT ARE PARTIES HERETO</w:t>
      </w:r>
    </w:p>
    <w:p>
      <w:pPr>
        <w:spacing w:after="0" w:line="148" w:lineRule="exact"/>
        <w:rPr>
          <w:sz w:val="20"/>
          <w:szCs w:val="20"/>
          <w:color w:val="auto"/>
        </w:rPr>
      </w:pPr>
    </w:p>
    <w:p>
      <w:pPr>
        <w:jc w:val="center"/>
        <w:ind w:right="-939"/>
        <w:spacing w:after="0"/>
        <w:rPr>
          <w:sz w:val="20"/>
          <w:szCs w:val="20"/>
          <w:color w:val="auto"/>
        </w:rPr>
      </w:pPr>
      <w:r>
        <w:rPr>
          <w:rFonts w:ascii="Arial" w:cs="Arial" w:eastAsia="Arial" w:hAnsi="Arial"/>
          <w:sz w:val="20"/>
          <w:szCs w:val="20"/>
          <w:b w:val="1"/>
          <w:bCs w:val="1"/>
          <w:color w:val="auto"/>
        </w:rPr>
        <w:t>as the Lenders,</w:t>
      </w:r>
    </w:p>
    <w:p>
      <w:pPr>
        <w:spacing w:after="0" w:line="135" w:lineRule="exact"/>
        <w:rPr>
          <w:sz w:val="20"/>
          <w:szCs w:val="20"/>
          <w:color w:val="auto"/>
        </w:rPr>
      </w:pPr>
    </w:p>
    <w:p>
      <w:pPr>
        <w:jc w:val="center"/>
        <w:ind w:right="-939"/>
        <w:spacing w:after="0"/>
        <w:rPr>
          <w:sz w:val="20"/>
          <w:szCs w:val="20"/>
          <w:color w:val="auto"/>
        </w:rPr>
      </w:pPr>
      <w:r>
        <w:rPr>
          <w:rFonts w:ascii="Arial" w:cs="Arial" w:eastAsia="Arial" w:hAnsi="Arial"/>
          <w:sz w:val="20"/>
          <w:szCs w:val="20"/>
          <w:b w:val="1"/>
          <w:bCs w:val="1"/>
          <w:color w:val="auto"/>
        </w:rPr>
        <w:t>and</w:t>
      </w:r>
    </w:p>
    <w:p>
      <w:pPr>
        <w:spacing w:after="0" w:line="148" w:lineRule="exact"/>
        <w:rPr>
          <w:sz w:val="20"/>
          <w:szCs w:val="20"/>
          <w:color w:val="auto"/>
        </w:rPr>
      </w:pPr>
    </w:p>
    <w:p>
      <w:pPr>
        <w:jc w:val="center"/>
        <w:ind w:right="-939"/>
        <w:spacing w:after="0"/>
        <w:rPr>
          <w:sz w:val="20"/>
          <w:szCs w:val="20"/>
          <w:color w:val="auto"/>
        </w:rPr>
      </w:pPr>
      <w:r>
        <w:rPr>
          <w:rFonts w:ascii="Arial" w:cs="Arial" w:eastAsia="Arial" w:hAnsi="Arial"/>
          <w:sz w:val="20"/>
          <w:szCs w:val="20"/>
          <w:b w:val="1"/>
          <w:bCs w:val="1"/>
          <w:color w:val="auto"/>
        </w:rPr>
        <w:t>CALAVO GROWERS, INC.,</w:t>
      </w:r>
    </w:p>
    <w:p>
      <w:pPr>
        <w:spacing w:after="0" w:line="148" w:lineRule="exact"/>
        <w:rPr>
          <w:sz w:val="20"/>
          <w:szCs w:val="20"/>
          <w:color w:val="auto"/>
        </w:rPr>
      </w:pPr>
    </w:p>
    <w:p>
      <w:pPr>
        <w:jc w:val="center"/>
        <w:ind w:right="-939"/>
        <w:spacing w:after="0"/>
        <w:rPr>
          <w:sz w:val="20"/>
          <w:szCs w:val="20"/>
          <w:color w:val="auto"/>
        </w:rPr>
      </w:pPr>
      <w:r>
        <w:rPr>
          <w:rFonts w:ascii="Arial" w:cs="Arial" w:eastAsia="Arial" w:hAnsi="Arial"/>
          <w:sz w:val="20"/>
          <w:szCs w:val="20"/>
          <w:b w:val="1"/>
          <w:bCs w:val="1"/>
          <w:color w:val="auto"/>
        </w:rPr>
        <w:t>RENAISSANCE FOOD GROUP, LLC,</w:t>
      </w:r>
    </w:p>
    <w:p>
      <w:pPr>
        <w:spacing w:after="0" w:line="135" w:lineRule="exact"/>
        <w:rPr>
          <w:sz w:val="20"/>
          <w:szCs w:val="20"/>
          <w:color w:val="auto"/>
        </w:rPr>
      </w:pPr>
    </w:p>
    <w:p>
      <w:pPr>
        <w:jc w:val="center"/>
        <w:ind w:right="-939"/>
        <w:spacing w:after="0"/>
        <w:rPr>
          <w:sz w:val="20"/>
          <w:szCs w:val="20"/>
          <w:color w:val="auto"/>
        </w:rPr>
      </w:pPr>
      <w:r>
        <w:rPr>
          <w:rFonts w:ascii="Arial" w:cs="Arial" w:eastAsia="Arial" w:hAnsi="Arial"/>
          <w:sz w:val="20"/>
          <w:szCs w:val="20"/>
          <w:b w:val="1"/>
          <w:bCs w:val="1"/>
          <w:color w:val="auto"/>
        </w:rPr>
        <w:t>GH FOODS CA, LLC,</w:t>
      </w:r>
    </w:p>
    <w:p>
      <w:pPr>
        <w:spacing w:after="0" w:line="148" w:lineRule="exact"/>
        <w:rPr>
          <w:sz w:val="20"/>
          <w:szCs w:val="20"/>
          <w:color w:val="auto"/>
        </w:rPr>
      </w:pPr>
    </w:p>
    <w:p>
      <w:pPr>
        <w:jc w:val="center"/>
        <w:ind w:right="-939"/>
        <w:spacing w:after="0"/>
        <w:rPr>
          <w:sz w:val="20"/>
          <w:szCs w:val="20"/>
          <w:color w:val="auto"/>
        </w:rPr>
      </w:pPr>
      <w:r>
        <w:rPr>
          <w:rFonts w:ascii="Arial" w:cs="Arial" w:eastAsia="Arial" w:hAnsi="Arial"/>
          <w:sz w:val="20"/>
          <w:szCs w:val="20"/>
          <w:b w:val="1"/>
          <w:bCs w:val="1"/>
          <w:color w:val="auto"/>
        </w:rPr>
        <w:t>GHSW, LLC,</w:t>
      </w:r>
    </w:p>
    <w:p>
      <w:pPr>
        <w:spacing w:after="0" w:line="148" w:lineRule="exact"/>
        <w:rPr>
          <w:sz w:val="20"/>
          <w:szCs w:val="20"/>
          <w:color w:val="auto"/>
        </w:rPr>
      </w:pPr>
    </w:p>
    <w:p>
      <w:pPr>
        <w:jc w:val="center"/>
        <w:ind w:right="-939"/>
        <w:spacing w:after="0"/>
        <w:rPr>
          <w:sz w:val="20"/>
          <w:szCs w:val="20"/>
          <w:color w:val="auto"/>
        </w:rPr>
      </w:pPr>
      <w:r>
        <w:rPr>
          <w:rFonts w:ascii="Arial" w:cs="Arial" w:eastAsia="Arial" w:hAnsi="Arial"/>
          <w:sz w:val="20"/>
          <w:szCs w:val="20"/>
          <w:b w:val="1"/>
          <w:bCs w:val="1"/>
          <w:color w:val="auto"/>
        </w:rPr>
        <w:t>GHGA, LLC,</w:t>
      </w:r>
    </w:p>
    <w:p>
      <w:pPr>
        <w:spacing w:after="0" w:line="135" w:lineRule="exact"/>
        <w:rPr>
          <w:sz w:val="20"/>
          <w:szCs w:val="20"/>
          <w:color w:val="auto"/>
        </w:rPr>
      </w:pPr>
    </w:p>
    <w:p>
      <w:pPr>
        <w:jc w:val="center"/>
        <w:ind w:right="-939"/>
        <w:spacing w:after="0"/>
        <w:rPr>
          <w:sz w:val="20"/>
          <w:szCs w:val="20"/>
          <w:color w:val="auto"/>
        </w:rPr>
      </w:pPr>
      <w:r>
        <w:rPr>
          <w:rFonts w:ascii="Arial" w:cs="Arial" w:eastAsia="Arial" w:hAnsi="Arial"/>
          <w:sz w:val="20"/>
          <w:szCs w:val="20"/>
          <w:b w:val="1"/>
          <w:bCs w:val="1"/>
          <w:color w:val="auto"/>
        </w:rPr>
        <w:t>GHNW, LLC,</w:t>
      </w:r>
    </w:p>
    <w:p>
      <w:pPr>
        <w:spacing w:after="0" w:line="148" w:lineRule="exact"/>
        <w:rPr>
          <w:sz w:val="20"/>
          <w:szCs w:val="20"/>
          <w:color w:val="auto"/>
        </w:rPr>
      </w:pPr>
    </w:p>
    <w:p>
      <w:pPr>
        <w:jc w:val="center"/>
        <w:ind w:right="-939"/>
        <w:spacing w:after="0"/>
        <w:rPr>
          <w:sz w:val="20"/>
          <w:szCs w:val="20"/>
          <w:color w:val="auto"/>
        </w:rPr>
      </w:pPr>
      <w:r>
        <w:rPr>
          <w:rFonts w:ascii="Arial" w:cs="Arial" w:eastAsia="Arial" w:hAnsi="Arial"/>
          <w:sz w:val="20"/>
          <w:szCs w:val="20"/>
          <w:b w:val="1"/>
          <w:bCs w:val="1"/>
          <w:color w:val="auto"/>
        </w:rPr>
        <w:t>and</w:t>
      </w:r>
    </w:p>
    <w:p>
      <w:pPr>
        <w:spacing w:after="0" w:line="148" w:lineRule="exact"/>
        <w:rPr>
          <w:sz w:val="20"/>
          <w:szCs w:val="20"/>
          <w:color w:val="auto"/>
        </w:rPr>
      </w:pPr>
    </w:p>
    <w:p>
      <w:pPr>
        <w:jc w:val="center"/>
        <w:ind w:right="-939"/>
        <w:spacing w:after="0"/>
        <w:rPr>
          <w:sz w:val="20"/>
          <w:szCs w:val="20"/>
          <w:color w:val="auto"/>
        </w:rPr>
      </w:pPr>
      <w:r>
        <w:rPr>
          <w:rFonts w:ascii="Arial" w:cs="Arial" w:eastAsia="Arial" w:hAnsi="Arial"/>
          <w:sz w:val="20"/>
          <w:szCs w:val="20"/>
          <w:b w:val="1"/>
          <w:bCs w:val="1"/>
          <w:color w:val="auto"/>
        </w:rPr>
        <w:t>HAWAIIAN SWEET, INC.</w:t>
      </w:r>
    </w:p>
    <w:p>
      <w:pPr>
        <w:spacing w:after="0" w:line="135" w:lineRule="exact"/>
        <w:rPr>
          <w:sz w:val="20"/>
          <w:szCs w:val="20"/>
          <w:color w:val="auto"/>
        </w:rPr>
      </w:pPr>
    </w:p>
    <w:p>
      <w:pPr>
        <w:jc w:val="center"/>
        <w:ind w:right="-939"/>
        <w:spacing w:after="0"/>
        <w:rPr>
          <w:sz w:val="20"/>
          <w:szCs w:val="20"/>
          <w:color w:val="auto"/>
        </w:rPr>
      </w:pPr>
      <w:r>
        <w:rPr>
          <w:rFonts w:ascii="Arial" w:cs="Arial" w:eastAsia="Arial" w:hAnsi="Arial"/>
          <w:sz w:val="20"/>
          <w:szCs w:val="20"/>
          <w:b w:val="1"/>
          <w:bCs w:val="1"/>
          <w:color w:val="auto"/>
        </w:rPr>
        <w:t>as Borrowers</w:t>
      </w:r>
    </w:p>
    <w:p>
      <w:pPr>
        <w:spacing w:after="0" w:line="148" w:lineRule="exact"/>
        <w:rPr>
          <w:sz w:val="20"/>
          <w:szCs w:val="20"/>
          <w:color w:val="auto"/>
        </w:rPr>
      </w:pPr>
    </w:p>
    <w:p>
      <w:pPr>
        <w:jc w:val="center"/>
        <w:ind w:right="-939"/>
        <w:spacing w:after="0"/>
        <w:rPr>
          <w:sz w:val="20"/>
          <w:szCs w:val="20"/>
          <w:color w:val="auto"/>
        </w:rPr>
      </w:pPr>
      <w:r>
        <w:rPr>
          <w:rFonts w:ascii="Arial" w:cs="Arial" w:eastAsia="Arial" w:hAnsi="Arial"/>
          <w:sz w:val="20"/>
          <w:szCs w:val="20"/>
          <w:b w:val="1"/>
          <w:bCs w:val="1"/>
          <w:color w:val="auto"/>
        </w:rPr>
        <w:t>Dated as of June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811530</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305435</wp:posOffset>
            </wp:positionV>
            <wp:extent cx="62922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322580</wp:posOffset>
            </wp:positionV>
            <wp:extent cx="6292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9460"/>
          </w:cols>
          <w:pgMar w:left="1440" w:top="657" w:right="9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5"/>
        </w:trPr>
        <w:tc>
          <w:tcPr>
            <w:tcW w:w="460" w:type="dxa"/>
            <w:vAlign w:val="bottom"/>
          </w:tcPr>
          <w:p>
            <w:pPr>
              <w:spacing w:after="0"/>
              <w:rPr>
                <w:sz w:val="22"/>
                <w:szCs w:val="22"/>
                <w:color w:val="auto"/>
              </w:rPr>
            </w:pPr>
          </w:p>
        </w:tc>
        <w:tc>
          <w:tcPr>
            <w:tcW w:w="9060" w:type="dxa"/>
            <w:vAlign w:val="bottom"/>
          </w:tcPr>
          <w:p>
            <w:pPr>
              <w:ind w:left="3440"/>
              <w:spacing w:after="0"/>
              <w:rPr>
                <w:sz w:val="20"/>
                <w:szCs w:val="20"/>
                <w:color w:val="auto"/>
              </w:rPr>
            </w:pPr>
            <w:r>
              <w:rPr>
                <w:rFonts w:ascii="Arial" w:cs="Arial" w:eastAsia="Arial" w:hAnsi="Arial"/>
                <w:sz w:val="20"/>
                <w:szCs w:val="20"/>
                <w:b w:val="1"/>
                <w:bCs w:val="1"/>
                <w:color w:val="auto"/>
              </w:rPr>
              <w:t>TABLE OF CONTENTS</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8"/>
        </w:trPr>
        <w:tc>
          <w:tcPr>
            <w:tcW w:w="460" w:type="dxa"/>
            <w:vAlign w:val="bottom"/>
            <w:vMerge w:val="restart"/>
          </w:tcPr>
          <w:p>
            <w:pPr>
              <w:spacing w:after="0"/>
              <w:rPr>
                <w:sz w:val="20"/>
                <w:szCs w:val="20"/>
                <w:color w:val="auto"/>
              </w:rPr>
            </w:pPr>
            <w:r>
              <w:rPr>
                <w:rFonts w:ascii="Arial" w:cs="Arial" w:eastAsia="Arial" w:hAnsi="Arial"/>
                <w:sz w:val="18"/>
                <w:szCs w:val="18"/>
                <w:color w:val="auto"/>
              </w:rPr>
              <w:t>1.</w:t>
            </w:r>
          </w:p>
        </w:tc>
        <w:tc>
          <w:tcPr>
            <w:tcW w:w="9060" w:type="dxa"/>
            <w:vAlign w:val="bottom"/>
            <w:vMerge w:val="restart"/>
          </w:tcPr>
          <w:p>
            <w:pPr>
              <w:ind w:left="140"/>
              <w:spacing w:after="0"/>
              <w:rPr>
                <w:sz w:val="20"/>
                <w:szCs w:val="20"/>
                <w:color w:val="auto"/>
              </w:rPr>
            </w:pPr>
            <w:r>
              <w:rPr>
                <w:rFonts w:ascii="Arial" w:cs="Arial" w:eastAsia="Arial" w:hAnsi="Arial"/>
                <w:sz w:val="18"/>
                <w:szCs w:val="18"/>
                <w:color w:val="auto"/>
              </w:rPr>
              <w:t>DEFINITIONS AND CONSTRUCTION</w:t>
            </w:r>
          </w:p>
        </w:tc>
        <w:tc>
          <w:tcPr>
            <w:tcW w:w="42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95"/>
        </w:trPr>
        <w:tc>
          <w:tcPr>
            <w:tcW w:w="460" w:type="dxa"/>
            <w:vAlign w:val="bottom"/>
            <w:vMerge w:val="continue"/>
          </w:tcPr>
          <w:p>
            <w:pPr>
              <w:spacing w:after="0"/>
              <w:rPr>
                <w:sz w:val="16"/>
                <w:szCs w:val="16"/>
                <w:color w:val="auto"/>
              </w:rPr>
            </w:pPr>
          </w:p>
        </w:tc>
        <w:tc>
          <w:tcPr>
            <w:tcW w:w="9060" w:type="dxa"/>
            <w:vAlign w:val="bottom"/>
            <w:vMerge w:val="continue"/>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1.1</w:t>
            </w:r>
          </w:p>
        </w:tc>
        <w:tc>
          <w:tcPr>
            <w:tcW w:w="9060" w:type="dxa"/>
            <w:vAlign w:val="bottom"/>
          </w:tcPr>
          <w:p>
            <w:pPr>
              <w:ind w:left="400"/>
              <w:spacing w:after="0"/>
              <w:rPr>
                <w:sz w:val="20"/>
                <w:szCs w:val="20"/>
                <w:color w:val="auto"/>
              </w:rPr>
            </w:pPr>
            <w:r>
              <w:rPr>
                <w:rFonts w:ascii="Arial" w:cs="Arial" w:eastAsia="Arial" w:hAnsi="Arial"/>
                <w:sz w:val="18"/>
                <w:szCs w:val="18"/>
                <w:color w:val="auto"/>
              </w:rPr>
              <w:t>Definitions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1.2</w:t>
            </w:r>
          </w:p>
        </w:tc>
        <w:tc>
          <w:tcPr>
            <w:tcW w:w="9060" w:type="dxa"/>
            <w:vAlign w:val="bottom"/>
          </w:tcPr>
          <w:p>
            <w:pPr>
              <w:ind w:left="400"/>
              <w:spacing w:after="0"/>
              <w:rPr>
                <w:sz w:val="20"/>
                <w:szCs w:val="20"/>
                <w:color w:val="auto"/>
              </w:rPr>
            </w:pPr>
            <w:r>
              <w:rPr>
                <w:rFonts w:ascii="Arial" w:cs="Arial" w:eastAsia="Arial" w:hAnsi="Arial"/>
                <w:sz w:val="18"/>
                <w:szCs w:val="18"/>
                <w:color w:val="auto"/>
              </w:rPr>
              <w:t>Accounting Terms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1.3</w:t>
            </w:r>
          </w:p>
        </w:tc>
        <w:tc>
          <w:tcPr>
            <w:tcW w:w="9060" w:type="dxa"/>
            <w:vAlign w:val="bottom"/>
          </w:tcPr>
          <w:p>
            <w:pPr>
              <w:ind w:left="400"/>
              <w:spacing w:after="0"/>
              <w:rPr>
                <w:sz w:val="20"/>
                <w:szCs w:val="20"/>
                <w:color w:val="auto"/>
              </w:rPr>
            </w:pPr>
            <w:r>
              <w:rPr>
                <w:rFonts w:ascii="Arial" w:cs="Arial" w:eastAsia="Arial" w:hAnsi="Arial"/>
                <w:sz w:val="18"/>
                <w:szCs w:val="18"/>
                <w:color w:val="auto"/>
              </w:rPr>
              <w:t>Code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1.4</w:t>
            </w:r>
          </w:p>
        </w:tc>
        <w:tc>
          <w:tcPr>
            <w:tcW w:w="9060" w:type="dxa"/>
            <w:vAlign w:val="bottom"/>
          </w:tcPr>
          <w:p>
            <w:pPr>
              <w:ind w:left="400"/>
              <w:spacing w:after="0"/>
              <w:rPr>
                <w:sz w:val="20"/>
                <w:szCs w:val="20"/>
                <w:color w:val="auto"/>
              </w:rPr>
            </w:pPr>
            <w:r>
              <w:rPr>
                <w:rFonts w:ascii="Arial" w:cs="Arial" w:eastAsia="Arial" w:hAnsi="Arial"/>
                <w:sz w:val="18"/>
                <w:szCs w:val="18"/>
                <w:color w:val="auto"/>
              </w:rPr>
              <w:t>Construction</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1.5</w:t>
            </w:r>
          </w:p>
        </w:tc>
        <w:tc>
          <w:tcPr>
            <w:tcW w:w="9060" w:type="dxa"/>
            <w:vAlign w:val="bottom"/>
          </w:tcPr>
          <w:p>
            <w:pPr>
              <w:ind w:left="400"/>
              <w:spacing w:after="0"/>
              <w:rPr>
                <w:sz w:val="20"/>
                <w:szCs w:val="20"/>
                <w:color w:val="auto"/>
              </w:rPr>
            </w:pPr>
            <w:r>
              <w:rPr>
                <w:rFonts w:ascii="Arial" w:cs="Arial" w:eastAsia="Arial" w:hAnsi="Arial"/>
                <w:sz w:val="18"/>
                <w:szCs w:val="18"/>
                <w:color w:val="auto"/>
              </w:rPr>
              <w:t>Time References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1.6</w:t>
            </w:r>
          </w:p>
        </w:tc>
        <w:tc>
          <w:tcPr>
            <w:tcW w:w="9060" w:type="dxa"/>
            <w:vAlign w:val="bottom"/>
          </w:tcPr>
          <w:p>
            <w:pPr>
              <w:ind w:left="400"/>
              <w:spacing w:after="0"/>
              <w:rPr>
                <w:sz w:val="20"/>
                <w:szCs w:val="20"/>
                <w:color w:val="auto"/>
              </w:rPr>
            </w:pPr>
            <w:r>
              <w:rPr>
                <w:rFonts w:ascii="Arial" w:cs="Arial" w:eastAsia="Arial" w:hAnsi="Arial"/>
                <w:sz w:val="18"/>
                <w:szCs w:val="18"/>
                <w:color w:val="auto"/>
              </w:rPr>
              <w:t>Schedules and Exhibits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1.7</w:t>
            </w:r>
          </w:p>
        </w:tc>
        <w:tc>
          <w:tcPr>
            <w:tcW w:w="9060" w:type="dxa"/>
            <w:vAlign w:val="bottom"/>
          </w:tcPr>
          <w:p>
            <w:pPr>
              <w:ind w:left="400"/>
              <w:spacing w:after="0"/>
              <w:rPr>
                <w:sz w:val="20"/>
                <w:szCs w:val="20"/>
                <w:color w:val="auto"/>
              </w:rPr>
            </w:pPr>
            <w:r>
              <w:rPr>
                <w:rFonts w:ascii="Arial" w:cs="Arial" w:eastAsia="Arial" w:hAnsi="Arial"/>
                <w:sz w:val="18"/>
                <w:szCs w:val="18"/>
                <w:color w:val="auto"/>
              </w:rPr>
              <w:t>Divisions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1.8</w:t>
            </w:r>
          </w:p>
        </w:tc>
        <w:tc>
          <w:tcPr>
            <w:tcW w:w="9060" w:type="dxa"/>
            <w:vAlign w:val="bottom"/>
          </w:tcPr>
          <w:p>
            <w:pPr>
              <w:ind w:left="400"/>
              <w:spacing w:after="0"/>
              <w:rPr>
                <w:sz w:val="20"/>
                <w:szCs w:val="20"/>
                <w:color w:val="auto"/>
              </w:rPr>
            </w:pPr>
            <w:r>
              <w:rPr>
                <w:rFonts w:ascii="Arial" w:cs="Arial" w:eastAsia="Arial" w:hAnsi="Arial"/>
                <w:sz w:val="18"/>
                <w:szCs w:val="18"/>
                <w:color w:val="auto"/>
              </w:rPr>
              <w:t>Rates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1.9</w:t>
            </w:r>
          </w:p>
        </w:tc>
        <w:tc>
          <w:tcPr>
            <w:tcW w:w="9060" w:type="dxa"/>
            <w:vAlign w:val="bottom"/>
          </w:tcPr>
          <w:p>
            <w:pPr>
              <w:ind w:left="400"/>
              <w:spacing w:after="0"/>
              <w:rPr>
                <w:sz w:val="20"/>
                <w:szCs w:val="20"/>
                <w:color w:val="auto"/>
              </w:rPr>
            </w:pPr>
            <w:r>
              <w:rPr>
                <w:rFonts w:ascii="Arial" w:cs="Arial" w:eastAsia="Arial" w:hAnsi="Arial"/>
                <w:sz w:val="18"/>
                <w:szCs w:val="18"/>
                <w:color w:val="auto"/>
              </w:rPr>
              <w:t>Conversion of Foreign Currencies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w:t>
            </w:r>
          </w:p>
        </w:tc>
        <w:tc>
          <w:tcPr>
            <w:tcW w:w="9060" w:type="dxa"/>
            <w:vAlign w:val="bottom"/>
          </w:tcPr>
          <w:p>
            <w:pPr>
              <w:ind w:left="140"/>
              <w:spacing w:after="0"/>
              <w:rPr>
                <w:sz w:val="20"/>
                <w:szCs w:val="20"/>
                <w:color w:val="auto"/>
              </w:rPr>
            </w:pPr>
            <w:r>
              <w:rPr>
                <w:rFonts w:ascii="Arial" w:cs="Arial" w:eastAsia="Arial" w:hAnsi="Arial"/>
                <w:sz w:val="18"/>
                <w:szCs w:val="18"/>
                <w:color w:val="auto"/>
              </w:rPr>
              <w:t>LOANS AND TERMS OF PAYMENT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2.1</w:t>
            </w:r>
          </w:p>
        </w:tc>
        <w:tc>
          <w:tcPr>
            <w:tcW w:w="9060" w:type="dxa"/>
            <w:vAlign w:val="bottom"/>
          </w:tcPr>
          <w:p>
            <w:pPr>
              <w:ind w:left="400"/>
              <w:spacing w:after="0"/>
              <w:rPr>
                <w:sz w:val="20"/>
                <w:szCs w:val="20"/>
                <w:color w:val="auto"/>
              </w:rPr>
            </w:pPr>
            <w:r>
              <w:rPr>
                <w:rFonts w:ascii="Arial" w:cs="Arial" w:eastAsia="Arial" w:hAnsi="Arial"/>
                <w:sz w:val="18"/>
                <w:szCs w:val="18"/>
                <w:color w:val="auto"/>
              </w:rPr>
              <w:t>Revolving Loans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2.2</w:t>
            </w:r>
          </w:p>
        </w:tc>
        <w:tc>
          <w:tcPr>
            <w:tcW w:w="9060" w:type="dxa"/>
            <w:vAlign w:val="bottom"/>
          </w:tcPr>
          <w:p>
            <w:pPr>
              <w:ind w:left="400"/>
              <w:spacing w:after="0"/>
              <w:rPr>
                <w:sz w:val="20"/>
                <w:szCs w:val="20"/>
                <w:color w:val="auto"/>
              </w:rPr>
            </w:pPr>
            <w:r>
              <w:rPr>
                <w:rFonts w:ascii="Arial" w:cs="Arial" w:eastAsia="Arial" w:hAnsi="Arial"/>
                <w:sz w:val="18"/>
                <w:szCs w:val="18"/>
                <w:color w:val="auto"/>
              </w:rPr>
              <w:t>Capex Advances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2.3</w:t>
            </w:r>
          </w:p>
        </w:tc>
        <w:tc>
          <w:tcPr>
            <w:tcW w:w="9060" w:type="dxa"/>
            <w:vAlign w:val="bottom"/>
          </w:tcPr>
          <w:p>
            <w:pPr>
              <w:ind w:left="400"/>
              <w:spacing w:after="0"/>
              <w:rPr>
                <w:sz w:val="20"/>
                <w:szCs w:val="20"/>
                <w:color w:val="auto"/>
              </w:rPr>
            </w:pPr>
            <w:r>
              <w:rPr>
                <w:rFonts w:ascii="Arial" w:cs="Arial" w:eastAsia="Arial" w:hAnsi="Arial"/>
                <w:sz w:val="18"/>
                <w:szCs w:val="18"/>
                <w:color w:val="auto"/>
              </w:rPr>
              <w:t>Borrowing Procedures and Settlements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2.4</w:t>
            </w:r>
          </w:p>
        </w:tc>
        <w:tc>
          <w:tcPr>
            <w:tcW w:w="9060" w:type="dxa"/>
            <w:vAlign w:val="bottom"/>
          </w:tcPr>
          <w:p>
            <w:pPr>
              <w:ind w:left="400"/>
              <w:spacing w:after="0"/>
              <w:rPr>
                <w:sz w:val="20"/>
                <w:szCs w:val="20"/>
                <w:color w:val="auto"/>
              </w:rPr>
            </w:pPr>
            <w:r>
              <w:rPr>
                <w:rFonts w:ascii="Arial" w:cs="Arial" w:eastAsia="Arial" w:hAnsi="Arial"/>
                <w:sz w:val="18"/>
                <w:szCs w:val="18"/>
                <w:color w:val="auto"/>
              </w:rPr>
              <w:t>Payments; Reductions of Commitments; Prepayments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2.5</w:t>
            </w:r>
          </w:p>
        </w:tc>
        <w:tc>
          <w:tcPr>
            <w:tcW w:w="9060" w:type="dxa"/>
            <w:vAlign w:val="bottom"/>
          </w:tcPr>
          <w:p>
            <w:pPr>
              <w:ind w:left="400"/>
              <w:spacing w:after="0"/>
              <w:rPr>
                <w:sz w:val="20"/>
                <w:szCs w:val="20"/>
                <w:color w:val="auto"/>
              </w:rPr>
            </w:pPr>
            <w:r>
              <w:rPr>
                <w:rFonts w:ascii="Arial" w:cs="Arial" w:eastAsia="Arial" w:hAnsi="Arial"/>
                <w:sz w:val="18"/>
                <w:szCs w:val="18"/>
                <w:color w:val="auto"/>
              </w:rPr>
              <w:t>Promise to Pay; Promissory Notes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2.6</w:t>
            </w:r>
          </w:p>
        </w:tc>
        <w:tc>
          <w:tcPr>
            <w:tcW w:w="9060" w:type="dxa"/>
            <w:vAlign w:val="bottom"/>
          </w:tcPr>
          <w:p>
            <w:pPr>
              <w:ind w:left="400"/>
              <w:spacing w:after="0"/>
              <w:rPr>
                <w:sz w:val="20"/>
                <w:szCs w:val="20"/>
                <w:color w:val="auto"/>
              </w:rPr>
            </w:pPr>
            <w:r>
              <w:rPr>
                <w:rFonts w:ascii="Arial" w:cs="Arial" w:eastAsia="Arial" w:hAnsi="Arial"/>
                <w:sz w:val="18"/>
                <w:szCs w:val="18"/>
                <w:color w:val="auto"/>
              </w:rPr>
              <w:t>Interest Rates and Letter of Credit Fee: Rates, Payments, and Calculations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2.7</w:t>
            </w:r>
          </w:p>
        </w:tc>
        <w:tc>
          <w:tcPr>
            <w:tcW w:w="9060" w:type="dxa"/>
            <w:vAlign w:val="bottom"/>
          </w:tcPr>
          <w:p>
            <w:pPr>
              <w:ind w:left="400"/>
              <w:spacing w:after="0"/>
              <w:rPr>
                <w:sz w:val="20"/>
                <w:szCs w:val="20"/>
                <w:color w:val="auto"/>
              </w:rPr>
            </w:pPr>
            <w:r>
              <w:rPr>
                <w:rFonts w:ascii="Arial" w:cs="Arial" w:eastAsia="Arial" w:hAnsi="Arial"/>
                <w:sz w:val="18"/>
                <w:szCs w:val="18"/>
                <w:color w:val="auto"/>
              </w:rPr>
              <w:t>Crediting Payments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2.8</w:t>
            </w:r>
          </w:p>
        </w:tc>
        <w:tc>
          <w:tcPr>
            <w:tcW w:w="9060" w:type="dxa"/>
            <w:vAlign w:val="bottom"/>
          </w:tcPr>
          <w:p>
            <w:pPr>
              <w:ind w:left="400"/>
              <w:spacing w:after="0"/>
              <w:rPr>
                <w:sz w:val="20"/>
                <w:szCs w:val="20"/>
                <w:color w:val="auto"/>
              </w:rPr>
            </w:pPr>
            <w:r>
              <w:rPr>
                <w:rFonts w:ascii="Arial" w:cs="Arial" w:eastAsia="Arial" w:hAnsi="Arial"/>
                <w:sz w:val="18"/>
                <w:szCs w:val="18"/>
                <w:color w:val="auto"/>
              </w:rPr>
              <w:t>Designated Account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2.9</w:t>
            </w:r>
          </w:p>
        </w:tc>
        <w:tc>
          <w:tcPr>
            <w:tcW w:w="9060" w:type="dxa"/>
            <w:vAlign w:val="bottom"/>
          </w:tcPr>
          <w:p>
            <w:pPr>
              <w:ind w:left="400"/>
              <w:spacing w:after="0"/>
              <w:rPr>
                <w:sz w:val="20"/>
                <w:szCs w:val="20"/>
                <w:color w:val="auto"/>
              </w:rPr>
            </w:pPr>
            <w:r>
              <w:rPr>
                <w:rFonts w:ascii="Arial" w:cs="Arial" w:eastAsia="Arial" w:hAnsi="Arial"/>
                <w:sz w:val="18"/>
                <w:szCs w:val="18"/>
                <w:color w:val="auto"/>
              </w:rPr>
              <w:t>Maintenance of Loan Account; Statements of Obligations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2.10</w:t>
            </w:r>
          </w:p>
        </w:tc>
        <w:tc>
          <w:tcPr>
            <w:tcW w:w="9060" w:type="dxa"/>
            <w:vAlign w:val="bottom"/>
          </w:tcPr>
          <w:p>
            <w:pPr>
              <w:ind w:left="400"/>
              <w:spacing w:after="0"/>
              <w:rPr>
                <w:sz w:val="20"/>
                <w:szCs w:val="20"/>
                <w:color w:val="auto"/>
              </w:rPr>
            </w:pPr>
            <w:r>
              <w:rPr>
                <w:rFonts w:ascii="Arial" w:cs="Arial" w:eastAsia="Arial" w:hAnsi="Arial"/>
                <w:sz w:val="18"/>
                <w:szCs w:val="18"/>
                <w:color w:val="auto"/>
              </w:rPr>
              <w:t>Fees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2.11</w:t>
            </w:r>
          </w:p>
        </w:tc>
        <w:tc>
          <w:tcPr>
            <w:tcW w:w="9060" w:type="dxa"/>
            <w:vAlign w:val="bottom"/>
          </w:tcPr>
          <w:p>
            <w:pPr>
              <w:ind w:left="400"/>
              <w:spacing w:after="0"/>
              <w:rPr>
                <w:sz w:val="20"/>
                <w:szCs w:val="20"/>
                <w:color w:val="auto"/>
              </w:rPr>
            </w:pPr>
            <w:r>
              <w:rPr>
                <w:rFonts w:ascii="Arial" w:cs="Arial" w:eastAsia="Arial" w:hAnsi="Arial"/>
                <w:sz w:val="18"/>
                <w:szCs w:val="18"/>
                <w:color w:val="auto"/>
              </w:rPr>
              <w:t>Letters of Credit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2.12</w:t>
            </w:r>
          </w:p>
        </w:tc>
        <w:tc>
          <w:tcPr>
            <w:tcW w:w="9060" w:type="dxa"/>
            <w:vAlign w:val="bottom"/>
          </w:tcPr>
          <w:p>
            <w:pPr>
              <w:ind w:left="400"/>
              <w:spacing w:after="0"/>
              <w:rPr>
                <w:sz w:val="20"/>
                <w:szCs w:val="20"/>
                <w:color w:val="auto"/>
              </w:rPr>
            </w:pPr>
            <w:r>
              <w:rPr>
                <w:rFonts w:ascii="Arial" w:cs="Arial" w:eastAsia="Arial" w:hAnsi="Arial"/>
                <w:sz w:val="18"/>
                <w:szCs w:val="18"/>
                <w:color w:val="auto"/>
              </w:rPr>
              <w:t>SOFR Option</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2.13</w:t>
            </w:r>
          </w:p>
        </w:tc>
        <w:tc>
          <w:tcPr>
            <w:tcW w:w="9060" w:type="dxa"/>
            <w:vAlign w:val="bottom"/>
          </w:tcPr>
          <w:p>
            <w:pPr>
              <w:ind w:left="400"/>
              <w:spacing w:after="0"/>
              <w:rPr>
                <w:sz w:val="20"/>
                <w:szCs w:val="20"/>
                <w:color w:val="auto"/>
              </w:rPr>
            </w:pPr>
            <w:r>
              <w:rPr>
                <w:rFonts w:ascii="Arial" w:cs="Arial" w:eastAsia="Arial" w:hAnsi="Arial"/>
                <w:sz w:val="18"/>
                <w:szCs w:val="18"/>
                <w:color w:val="auto"/>
              </w:rPr>
              <w:t>Capital Requirements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2.14</w:t>
            </w:r>
          </w:p>
        </w:tc>
        <w:tc>
          <w:tcPr>
            <w:tcW w:w="9060" w:type="dxa"/>
            <w:vAlign w:val="bottom"/>
          </w:tcPr>
          <w:p>
            <w:pPr>
              <w:ind w:left="400"/>
              <w:spacing w:after="0"/>
              <w:rPr>
                <w:sz w:val="20"/>
                <w:szCs w:val="20"/>
                <w:color w:val="auto"/>
              </w:rPr>
            </w:pPr>
            <w:r>
              <w:rPr>
                <w:rFonts w:ascii="Arial" w:cs="Arial" w:eastAsia="Arial" w:hAnsi="Arial"/>
                <w:sz w:val="18"/>
                <w:szCs w:val="18"/>
                <w:color w:val="auto"/>
              </w:rPr>
              <w:t>Incremental Facilities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2.15</w:t>
            </w:r>
          </w:p>
        </w:tc>
        <w:tc>
          <w:tcPr>
            <w:tcW w:w="9060" w:type="dxa"/>
            <w:vAlign w:val="bottom"/>
          </w:tcPr>
          <w:p>
            <w:pPr>
              <w:ind w:left="400"/>
              <w:spacing w:after="0"/>
              <w:rPr>
                <w:sz w:val="20"/>
                <w:szCs w:val="20"/>
                <w:color w:val="auto"/>
              </w:rPr>
            </w:pPr>
            <w:r>
              <w:rPr>
                <w:rFonts w:ascii="Arial" w:cs="Arial" w:eastAsia="Arial" w:hAnsi="Arial"/>
                <w:sz w:val="18"/>
                <w:szCs w:val="18"/>
                <w:color w:val="auto"/>
              </w:rPr>
              <w:t>Joint and Several Liability of Borrowers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3.</w:t>
            </w:r>
          </w:p>
        </w:tc>
        <w:tc>
          <w:tcPr>
            <w:tcW w:w="9060" w:type="dxa"/>
            <w:vAlign w:val="bottom"/>
          </w:tcPr>
          <w:p>
            <w:pPr>
              <w:ind w:left="140"/>
              <w:spacing w:after="0"/>
              <w:rPr>
                <w:sz w:val="20"/>
                <w:szCs w:val="20"/>
                <w:color w:val="auto"/>
              </w:rPr>
            </w:pPr>
            <w:r>
              <w:rPr>
                <w:rFonts w:ascii="Arial" w:cs="Arial" w:eastAsia="Arial" w:hAnsi="Arial"/>
                <w:sz w:val="18"/>
                <w:szCs w:val="18"/>
                <w:color w:val="auto"/>
              </w:rPr>
              <w:t>CONDITIONS; TERM OF AGREEMENT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3.1</w:t>
            </w:r>
          </w:p>
        </w:tc>
        <w:tc>
          <w:tcPr>
            <w:tcW w:w="9060" w:type="dxa"/>
            <w:vAlign w:val="bottom"/>
          </w:tcPr>
          <w:p>
            <w:pPr>
              <w:ind w:left="400"/>
              <w:spacing w:after="0"/>
              <w:rPr>
                <w:sz w:val="20"/>
                <w:szCs w:val="20"/>
                <w:color w:val="auto"/>
              </w:rPr>
            </w:pPr>
            <w:r>
              <w:rPr>
                <w:rFonts w:ascii="Arial" w:cs="Arial" w:eastAsia="Arial" w:hAnsi="Arial"/>
                <w:sz w:val="18"/>
                <w:szCs w:val="18"/>
                <w:color w:val="auto"/>
              </w:rPr>
              <w:t>Conditions Precedent to the Initial Extension of Credit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3.2</w:t>
            </w:r>
          </w:p>
        </w:tc>
        <w:tc>
          <w:tcPr>
            <w:tcW w:w="9060" w:type="dxa"/>
            <w:vAlign w:val="bottom"/>
          </w:tcPr>
          <w:p>
            <w:pPr>
              <w:ind w:left="400"/>
              <w:spacing w:after="0"/>
              <w:rPr>
                <w:sz w:val="20"/>
                <w:szCs w:val="20"/>
                <w:color w:val="auto"/>
              </w:rPr>
            </w:pPr>
            <w:r>
              <w:rPr>
                <w:rFonts w:ascii="Arial" w:cs="Arial" w:eastAsia="Arial" w:hAnsi="Arial"/>
                <w:sz w:val="18"/>
                <w:szCs w:val="18"/>
                <w:color w:val="auto"/>
              </w:rPr>
              <w:t>Conditions Precedent to all Extensions of Credit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3.3</w:t>
            </w:r>
          </w:p>
        </w:tc>
        <w:tc>
          <w:tcPr>
            <w:tcW w:w="9060" w:type="dxa"/>
            <w:vAlign w:val="bottom"/>
          </w:tcPr>
          <w:p>
            <w:pPr>
              <w:ind w:left="400"/>
              <w:spacing w:after="0"/>
              <w:rPr>
                <w:sz w:val="20"/>
                <w:szCs w:val="20"/>
                <w:color w:val="auto"/>
              </w:rPr>
            </w:pPr>
            <w:r>
              <w:rPr>
                <w:rFonts w:ascii="Arial" w:cs="Arial" w:eastAsia="Arial" w:hAnsi="Arial"/>
                <w:sz w:val="18"/>
                <w:szCs w:val="18"/>
                <w:color w:val="auto"/>
              </w:rPr>
              <w:t>Maturity</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3.4</w:t>
            </w:r>
          </w:p>
        </w:tc>
        <w:tc>
          <w:tcPr>
            <w:tcW w:w="9060" w:type="dxa"/>
            <w:vAlign w:val="bottom"/>
          </w:tcPr>
          <w:p>
            <w:pPr>
              <w:ind w:left="400"/>
              <w:spacing w:after="0"/>
              <w:rPr>
                <w:sz w:val="20"/>
                <w:szCs w:val="20"/>
                <w:color w:val="auto"/>
              </w:rPr>
            </w:pPr>
            <w:r>
              <w:rPr>
                <w:rFonts w:ascii="Arial" w:cs="Arial" w:eastAsia="Arial" w:hAnsi="Arial"/>
                <w:sz w:val="18"/>
                <w:szCs w:val="18"/>
                <w:color w:val="auto"/>
              </w:rPr>
              <w:t>Effect of Maturity</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3.5</w:t>
            </w:r>
          </w:p>
        </w:tc>
        <w:tc>
          <w:tcPr>
            <w:tcW w:w="9060" w:type="dxa"/>
            <w:vAlign w:val="bottom"/>
          </w:tcPr>
          <w:p>
            <w:pPr>
              <w:ind w:left="400"/>
              <w:spacing w:after="0"/>
              <w:rPr>
                <w:sz w:val="20"/>
                <w:szCs w:val="20"/>
                <w:color w:val="auto"/>
              </w:rPr>
            </w:pPr>
            <w:r>
              <w:rPr>
                <w:rFonts w:ascii="Arial" w:cs="Arial" w:eastAsia="Arial" w:hAnsi="Arial"/>
                <w:sz w:val="18"/>
                <w:szCs w:val="18"/>
                <w:color w:val="auto"/>
              </w:rPr>
              <w:t>Early Termination by Borrowers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3.6</w:t>
            </w:r>
          </w:p>
        </w:tc>
        <w:tc>
          <w:tcPr>
            <w:tcW w:w="9060" w:type="dxa"/>
            <w:vAlign w:val="bottom"/>
          </w:tcPr>
          <w:p>
            <w:pPr>
              <w:ind w:left="400"/>
              <w:spacing w:after="0"/>
              <w:rPr>
                <w:sz w:val="20"/>
                <w:szCs w:val="20"/>
                <w:color w:val="auto"/>
              </w:rPr>
            </w:pPr>
            <w:r>
              <w:rPr>
                <w:rFonts w:ascii="Arial" w:cs="Arial" w:eastAsia="Arial" w:hAnsi="Arial"/>
                <w:sz w:val="18"/>
                <w:szCs w:val="18"/>
                <w:color w:val="auto"/>
              </w:rPr>
              <w:t>Conditions Subsequent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vMerge w:val="restart"/>
          </w:tcPr>
          <w:p>
            <w:pPr>
              <w:spacing w:after="0"/>
              <w:rPr>
                <w:sz w:val="20"/>
                <w:szCs w:val="20"/>
                <w:color w:val="auto"/>
              </w:rPr>
            </w:pPr>
            <w:r>
              <w:rPr>
                <w:rFonts w:ascii="Arial" w:cs="Arial" w:eastAsia="Arial" w:hAnsi="Arial"/>
                <w:sz w:val="18"/>
                <w:szCs w:val="18"/>
                <w:color w:val="auto"/>
              </w:rPr>
              <w:t>4.</w:t>
            </w:r>
          </w:p>
        </w:tc>
        <w:tc>
          <w:tcPr>
            <w:tcW w:w="9060" w:type="dxa"/>
            <w:vAlign w:val="bottom"/>
            <w:vMerge w:val="restart"/>
          </w:tcPr>
          <w:p>
            <w:pPr>
              <w:ind w:left="140"/>
              <w:spacing w:after="0"/>
              <w:rPr>
                <w:sz w:val="20"/>
                <w:szCs w:val="20"/>
                <w:color w:val="auto"/>
              </w:rPr>
            </w:pPr>
            <w:r>
              <w:rPr>
                <w:rFonts w:ascii="Arial" w:cs="Arial" w:eastAsia="Arial" w:hAnsi="Arial"/>
                <w:sz w:val="18"/>
                <w:szCs w:val="18"/>
                <w:color w:val="auto"/>
              </w:rPr>
              <w:t>REPRESENTATIONS AND WARRANTIES</w:t>
            </w:r>
          </w:p>
        </w:tc>
        <w:tc>
          <w:tcPr>
            <w:tcW w:w="42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95"/>
        </w:trPr>
        <w:tc>
          <w:tcPr>
            <w:tcW w:w="460" w:type="dxa"/>
            <w:vAlign w:val="bottom"/>
            <w:vMerge w:val="continue"/>
          </w:tcPr>
          <w:p>
            <w:pPr>
              <w:spacing w:after="0"/>
              <w:rPr>
                <w:sz w:val="16"/>
                <w:szCs w:val="16"/>
                <w:color w:val="auto"/>
              </w:rPr>
            </w:pPr>
          </w:p>
        </w:tc>
        <w:tc>
          <w:tcPr>
            <w:tcW w:w="9060" w:type="dxa"/>
            <w:vAlign w:val="bottom"/>
            <w:vMerge w:val="continue"/>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4.1</w:t>
            </w:r>
          </w:p>
        </w:tc>
        <w:tc>
          <w:tcPr>
            <w:tcW w:w="9060" w:type="dxa"/>
            <w:vAlign w:val="bottom"/>
          </w:tcPr>
          <w:p>
            <w:pPr>
              <w:ind w:left="400"/>
              <w:spacing w:after="0"/>
              <w:rPr>
                <w:sz w:val="20"/>
                <w:szCs w:val="20"/>
                <w:color w:val="auto"/>
              </w:rPr>
            </w:pPr>
            <w:r>
              <w:rPr>
                <w:rFonts w:ascii="Arial" w:cs="Arial" w:eastAsia="Arial" w:hAnsi="Arial"/>
                <w:sz w:val="18"/>
                <w:szCs w:val="18"/>
                <w:color w:val="auto"/>
              </w:rPr>
              <w:t>Due Organization and Qualification; Subsidiaries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4.2</w:t>
            </w:r>
          </w:p>
        </w:tc>
        <w:tc>
          <w:tcPr>
            <w:tcW w:w="9060" w:type="dxa"/>
            <w:vAlign w:val="bottom"/>
          </w:tcPr>
          <w:p>
            <w:pPr>
              <w:ind w:left="400"/>
              <w:spacing w:after="0"/>
              <w:rPr>
                <w:sz w:val="20"/>
                <w:szCs w:val="20"/>
                <w:color w:val="auto"/>
              </w:rPr>
            </w:pPr>
            <w:r>
              <w:rPr>
                <w:rFonts w:ascii="Arial" w:cs="Arial" w:eastAsia="Arial" w:hAnsi="Arial"/>
                <w:sz w:val="18"/>
                <w:szCs w:val="18"/>
                <w:color w:val="auto"/>
              </w:rPr>
              <w:t>Due Authorization; No Conflict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4.3</w:t>
            </w:r>
          </w:p>
        </w:tc>
        <w:tc>
          <w:tcPr>
            <w:tcW w:w="9060" w:type="dxa"/>
            <w:vAlign w:val="bottom"/>
          </w:tcPr>
          <w:p>
            <w:pPr>
              <w:ind w:left="400"/>
              <w:spacing w:after="0"/>
              <w:rPr>
                <w:sz w:val="20"/>
                <w:szCs w:val="20"/>
                <w:color w:val="auto"/>
              </w:rPr>
            </w:pPr>
            <w:r>
              <w:rPr>
                <w:rFonts w:ascii="Arial" w:cs="Arial" w:eastAsia="Arial" w:hAnsi="Arial"/>
                <w:sz w:val="18"/>
                <w:szCs w:val="18"/>
                <w:color w:val="auto"/>
              </w:rPr>
              <w:t>Governmental Consents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4.4</w:t>
            </w:r>
          </w:p>
        </w:tc>
        <w:tc>
          <w:tcPr>
            <w:tcW w:w="9060" w:type="dxa"/>
            <w:vAlign w:val="bottom"/>
          </w:tcPr>
          <w:p>
            <w:pPr>
              <w:ind w:left="400"/>
              <w:spacing w:after="0"/>
              <w:rPr>
                <w:sz w:val="20"/>
                <w:szCs w:val="20"/>
                <w:color w:val="auto"/>
              </w:rPr>
            </w:pPr>
            <w:r>
              <w:rPr>
                <w:rFonts w:ascii="Arial" w:cs="Arial" w:eastAsia="Arial" w:hAnsi="Arial"/>
                <w:sz w:val="18"/>
                <w:szCs w:val="18"/>
                <w:color w:val="auto"/>
              </w:rPr>
              <w:t>Binding Obligations; Perfected Liens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4.5</w:t>
            </w:r>
          </w:p>
        </w:tc>
        <w:tc>
          <w:tcPr>
            <w:tcW w:w="9060" w:type="dxa"/>
            <w:vAlign w:val="bottom"/>
          </w:tcPr>
          <w:p>
            <w:pPr>
              <w:ind w:left="400"/>
              <w:spacing w:after="0"/>
              <w:rPr>
                <w:sz w:val="20"/>
                <w:szCs w:val="20"/>
                <w:color w:val="auto"/>
              </w:rPr>
            </w:pPr>
            <w:r>
              <w:rPr>
                <w:rFonts w:ascii="Arial" w:cs="Arial" w:eastAsia="Arial" w:hAnsi="Arial"/>
                <w:sz w:val="18"/>
                <w:szCs w:val="18"/>
                <w:color w:val="auto"/>
              </w:rPr>
              <w:t>Title to Assets; No Encumbrances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4.6</w:t>
            </w:r>
          </w:p>
        </w:tc>
        <w:tc>
          <w:tcPr>
            <w:tcW w:w="9060" w:type="dxa"/>
            <w:vAlign w:val="bottom"/>
          </w:tcPr>
          <w:p>
            <w:pPr>
              <w:ind w:left="400"/>
              <w:spacing w:after="0"/>
              <w:rPr>
                <w:sz w:val="20"/>
                <w:szCs w:val="20"/>
                <w:color w:val="auto"/>
              </w:rPr>
            </w:pPr>
            <w:r>
              <w:rPr>
                <w:rFonts w:ascii="Arial" w:cs="Arial" w:eastAsia="Arial" w:hAnsi="Arial"/>
                <w:sz w:val="18"/>
                <w:szCs w:val="18"/>
                <w:color w:val="auto"/>
              </w:rPr>
              <w:t>Litigation</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4.7</w:t>
            </w:r>
          </w:p>
        </w:tc>
        <w:tc>
          <w:tcPr>
            <w:tcW w:w="9060" w:type="dxa"/>
            <w:vAlign w:val="bottom"/>
          </w:tcPr>
          <w:p>
            <w:pPr>
              <w:ind w:left="400"/>
              <w:spacing w:after="0"/>
              <w:rPr>
                <w:sz w:val="20"/>
                <w:szCs w:val="20"/>
                <w:color w:val="auto"/>
              </w:rPr>
            </w:pPr>
            <w:r>
              <w:rPr>
                <w:rFonts w:ascii="Arial" w:cs="Arial" w:eastAsia="Arial" w:hAnsi="Arial"/>
                <w:sz w:val="18"/>
                <w:szCs w:val="18"/>
                <w:color w:val="auto"/>
              </w:rPr>
              <w:t>Compliance with Laws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4.8</w:t>
            </w:r>
          </w:p>
        </w:tc>
        <w:tc>
          <w:tcPr>
            <w:tcW w:w="9060" w:type="dxa"/>
            <w:vAlign w:val="bottom"/>
          </w:tcPr>
          <w:p>
            <w:pPr>
              <w:ind w:left="400"/>
              <w:spacing w:after="0"/>
              <w:rPr>
                <w:sz w:val="20"/>
                <w:szCs w:val="20"/>
                <w:color w:val="auto"/>
              </w:rPr>
            </w:pPr>
            <w:r>
              <w:rPr>
                <w:rFonts w:ascii="Arial" w:cs="Arial" w:eastAsia="Arial" w:hAnsi="Arial"/>
                <w:sz w:val="18"/>
                <w:szCs w:val="18"/>
                <w:color w:val="auto"/>
              </w:rPr>
              <w:t>No Material Adverse Effect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4.9</w:t>
            </w:r>
          </w:p>
        </w:tc>
        <w:tc>
          <w:tcPr>
            <w:tcW w:w="9060" w:type="dxa"/>
            <w:vAlign w:val="bottom"/>
          </w:tcPr>
          <w:p>
            <w:pPr>
              <w:ind w:left="400"/>
              <w:spacing w:after="0"/>
              <w:rPr>
                <w:sz w:val="20"/>
                <w:szCs w:val="20"/>
                <w:color w:val="auto"/>
              </w:rPr>
            </w:pPr>
            <w:r>
              <w:rPr>
                <w:rFonts w:ascii="Arial" w:cs="Arial" w:eastAsia="Arial" w:hAnsi="Arial"/>
                <w:sz w:val="18"/>
                <w:szCs w:val="18"/>
                <w:color w:val="auto"/>
              </w:rPr>
              <w:t>Solvency</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4.10</w:t>
            </w:r>
          </w:p>
        </w:tc>
        <w:tc>
          <w:tcPr>
            <w:tcW w:w="9060" w:type="dxa"/>
            <w:vAlign w:val="bottom"/>
          </w:tcPr>
          <w:p>
            <w:pPr>
              <w:ind w:left="400"/>
              <w:spacing w:after="0"/>
              <w:rPr>
                <w:sz w:val="20"/>
                <w:szCs w:val="20"/>
                <w:color w:val="auto"/>
              </w:rPr>
            </w:pPr>
            <w:r>
              <w:rPr>
                <w:rFonts w:ascii="Arial" w:cs="Arial" w:eastAsia="Arial" w:hAnsi="Arial"/>
                <w:sz w:val="18"/>
                <w:szCs w:val="18"/>
                <w:color w:val="auto"/>
              </w:rPr>
              <w:t>Employee Benefits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4.11</w:t>
            </w:r>
          </w:p>
        </w:tc>
        <w:tc>
          <w:tcPr>
            <w:tcW w:w="9060" w:type="dxa"/>
            <w:vAlign w:val="bottom"/>
          </w:tcPr>
          <w:p>
            <w:pPr>
              <w:ind w:left="400"/>
              <w:spacing w:after="0"/>
              <w:rPr>
                <w:sz w:val="20"/>
                <w:szCs w:val="20"/>
                <w:color w:val="auto"/>
              </w:rPr>
            </w:pPr>
            <w:r>
              <w:rPr>
                <w:rFonts w:ascii="Arial" w:cs="Arial" w:eastAsia="Arial" w:hAnsi="Arial"/>
                <w:sz w:val="18"/>
                <w:szCs w:val="18"/>
                <w:color w:val="auto"/>
              </w:rPr>
              <w:t>Environmental Condition</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4.12</w:t>
            </w:r>
          </w:p>
        </w:tc>
        <w:tc>
          <w:tcPr>
            <w:tcW w:w="9060" w:type="dxa"/>
            <w:vAlign w:val="bottom"/>
          </w:tcPr>
          <w:p>
            <w:pPr>
              <w:ind w:left="400"/>
              <w:spacing w:after="0"/>
              <w:rPr>
                <w:sz w:val="20"/>
                <w:szCs w:val="20"/>
                <w:color w:val="auto"/>
              </w:rPr>
            </w:pPr>
            <w:r>
              <w:rPr>
                <w:rFonts w:ascii="Arial" w:cs="Arial" w:eastAsia="Arial" w:hAnsi="Arial"/>
                <w:sz w:val="18"/>
                <w:szCs w:val="18"/>
                <w:color w:val="auto"/>
              </w:rPr>
              <w:t>Complete Disclosure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4.13</w:t>
            </w:r>
          </w:p>
        </w:tc>
        <w:tc>
          <w:tcPr>
            <w:tcW w:w="9060" w:type="dxa"/>
            <w:vAlign w:val="bottom"/>
          </w:tcPr>
          <w:p>
            <w:pPr>
              <w:ind w:left="400"/>
              <w:spacing w:after="0"/>
              <w:rPr>
                <w:sz w:val="20"/>
                <w:szCs w:val="20"/>
                <w:color w:val="auto"/>
              </w:rPr>
            </w:pPr>
            <w:r>
              <w:rPr>
                <w:rFonts w:ascii="Arial" w:cs="Arial" w:eastAsia="Arial" w:hAnsi="Arial"/>
                <w:sz w:val="18"/>
                <w:szCs w:val="18"/>
                <w:color w:val="auto"/>
              </w:rPr>
              <w:t>Patriot Act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4.14</w:t>
            </w:r>
          </w:p>
        </w:tc>
        <w:tc>
          <w:tcPr>
            <w:tcW w:w="9060" w:type="dxa"/>
            <w:vAlign w:val="bottom"/>
          </w:tcPr>
          <w:p>
            <w:pPr>
              <w:ind w:left="400"/>
              <w:spacing w:after="0"/>
              <w:rPr>
                <w:sz w:val="20"/>
                <w:szCs w:val="20"/>
                <w:color w:val="auto"/>
              </w:rPr>
            </w:pPr>
            <w:r>
              <w:rPr>
                <w:rFonts w:ascii="Arial" w:cs="Arial" w:eastAsia="Arial" w:hAnsi="Arial"/>
                <w:sz w:val="18"/>
                <w:szCs w:val="18"/>
                <w:color w:val="auto"/>
              </w:rPr>
              <w:t>Reserved</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4.15</w:t>
            </w:r>
          </w:p>
        </w:tc>
        <w:tc>
          <w:tcPr>
            <w:tcW w:w="9060" w:type="dxa"/>
            <w:vAlign w:val="bottom"/>
          </w:tcPr>
          <w:p>
            <w:pPr>
              <w:ind w:left="400"/>
              <w:spacing w:after="0"/>
              <w:rPr>
                <w:sz w:val="20"/>
                <w:szCs w:val="20"/>
                <w:color w:val="auto"/>
              </w:rPr>
            </w:pPr>
            <w:r>
              <w:rPr>
                <w:rFonts w:ascii="Arial" w:cs="Arial" w:eastAsia="Arial" w:hAnsi="Arial"/>
                <w:sz w:val="18"/>
                <w:szCs w:val="18"/>
                <w:color w:val="auto"/>
              </w:rPr>
              <w:t>Payment of Taxes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4.16</w:t>
            </w:r>
          </w:p>
        </w:tc>
        <w:tc>
          <w:tcPr>
            <w:tcW w:w="9060" w:type="dxa"/>
            <w:vAlign w:val="bottom"/>
          </w:tcPr>
          <w:p>
            <w:pPr>
              <w:ind w:left="400"/>
              <w:spacing w:after="0"/>
              <w:rPr>
                <w:sz w:val="20"/>
                <w:szCs w:val="20"/>
                <w:color w:val="auto"/>
              </w:rPr>
            </w:pPr>
            <w:r>
              <w:rPr>
                <w:rFonts w:ascii="Arial" w:cs="Arial" w:eastAsia="Arial" w:hAnsi="Arial"/>
                <w:sz w:val="18"/>
                <w:szCs w:val="18"/>
                <w:color w:val="auto"/>
              </w:rPr>
              <w:t>Margin Stock</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4.17</w:t>
            </w:r>
          </w:p>
        </w:tc>
        <w:tc>
          <w:tcPr>
            <w:tcW w:w="9060" w:type="dxa"/>
            <w:vAlign w:val="bottom"/>
          </w:tcPr>
          <w:p>
            <w:pPr>
              <w:ind w:left="400"/>
              <w:spacing w:after="0"/>
              <w:rPr>
                <w:sz w:val="20"/>
                <w:szCs w:val="20"/>
                <w:color w:val="auto"/>
              </w:rPr>
            </w:pPr>
            <w:r>
              <w:rPr>
                <w:rFonts w:ascii="Arial" w:cs="Arial" w:eastAsia="Arial" w:hAnsi="Arial"/>
                <w:sz w:val="18"/>
                <w:szCs w:val="18"/>
                <w:color w:val="auto"/>
              </w:rPr>
              <w:t>Governmental Regulation</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4.18</w:t>
            </w:r>
          </w:p>
        </w:tc>
        <w:tc>
          <w:tcPr>
            <w:tcW w:w="9060" w:type="dxa"/>
            <w:vAlign w:val="bottom"/>
          </w:tcPr>
          <w:p>
            <w:pPr>
              <w:ind w:left="400"/>
              <w:spacing w:after="0"/>
              <w:rPr>
                <w:sz w:val="20"/>
                <w:szCs w:val="20"/>
                <w:color w:val="auto"/>
              </w:rPr>
            </w:pPr>
            <w:r>
              <w:rPr>
                <w:rFonts w:ascii="Arial" w:cs="Arial" w:eastAsia="Arial" w:hAnsi="Arial"/>
                <w:sz w:val="18"/>
                <w:szCs w:val="18"/>
                <w:color w:val="auto"/>
              </w:rPr>
              <w:t>OFAC; Sanctions; Anti-Corruption Laws; Anti-Money Laundering Laws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4.19</w:t>
            </w:r>
          </w:p>
        </w:tc>
        <w:tc>
          <w:tcPr>
            <w:tcW w:w="9060" w:type="dxa"/>
            <w:vAlign w:val="bottom"/>
          </w:tcPr>
          <w:p>
            <w:pPr>
              <w:ind w:left="400"/>
              <w:spacing w:after="0"/>
              <w:rPr>
                <w:sz w:val="20"/>
                <w:szCs w:val="20"/>
                <w:color w:val="auto"/>
              </w:rPr>
            </w:pPr>
            <w:r>
              <w:rPr>
                <w:rFonts w:ascii="Arial" w:cs="Arial" w:eastAsia="Arial" w:hAnsi="Arial"/>
                <w:sz w:val="18"/>
                <w:szCs w:val="18"/>
                <w:color w:val="auto"/>
              </w:rPr>
              <w:t>Employee and Labor Matters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4.20</w:t>
            </w:r>
          </w:p>
        </w:tc>
        <w:tc>
          <w:tcPr>
            <w:tcW w:w="9060" w:type="dxa"/>
            <w:vAlign w:val="bottom"/>
          </w:tcPr>
          <w:p>
            <w:pPr>
              <w:ind w:left="400"/>
              <w:spacing w:after="0"/>
              <w:rPr>
                <w:sz w:val="20"/>
                <w:szCs w:val="20"/>
                <w:color w:val="auto"/>
              </w:rPr>
            </w:pPr>
            <w:r>
              <w:rPr>
                <w:rFonts w:ascii="Arial" w:cs="Arial" w:eastAsia="Arial" w:hAnsi="Arial"/>
                <w:sz w:val="18"/>
                <w:szCs w:val="18"/>
                <w:color w:val="auto"/>
              </w:rPr>
              <w:t>[Reserved]</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4.21</w:t>
            </w:r>
          </w:p>
        </w:tc>
        <w:tc>
          <w:tcPr>
            <w:tcW w:w="9060" w:type="dxa"/>
            <w:vAlign w:val="bottom"/>
          </w:tcPr>
          <w:p>
            <w:pPr>
              <w:ind w:left="400"/>
              <w:spacing w:after="0"/>
              <w:rPr>
                <w:sz w:val="20"/>
                <w:szCs w:val="20"/>
                <w:color w:val="auto"/>
              </w:rPr>
            </w:pPr>
            <w:r>
              <w:rPr>
                <w:rFonts w:ascii="Arial" w:cs="Arial" w:eastAsia="Arial" w:hAnsi="Arial"/>
                <w:sz w:val="18"/>
                <w:szCs w:val="18"/>
                <w:color w:val="auto"/>
              </w:rPr>
              <w:t>Leases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4.22</w:t>
            </w:r>
          </w:p>
        </w:tc>
        <w:tc>
          <w:tcPr>
            <w:tcW w:w="9060" w:type="dxa"/>
            <w:vAlign w:val="bottom"/>
          </w:tcPr>
          <w:p>
            <w:pPr>
              <w:ind w:left="400"/>
              <w:spacing w:after="0"/>
              <w:rPr>
                <w:sz w:val="20"/>
                <w:szCs w:val="20"/>
                <w:color w:val="auto"/>
              </w:rPr>
            </w:pPr>
            <w:r>
              <w:rPr>
                <w:rFonts w:ascii="Arial" w:cs="Arial" w:eastAsia="Arial" w:hAnsi="Arial"/>
                <w:sz w:val="18"/>
                <w:szCs w:val="18"/>
                <w:color w:val="auto"/>
              </w:rPr>
              <w:t>Eligible Accounts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4.23</w:t>
            </w:r>
          </w:p>
        </w:tc>
        <w:tc>
          <w:tcPr>
            <w:tcW w:w="9060" w:type="dxa"/>
            <w:vAlign w:val="bottom"/>
          </w:tcPr>
          <w:p>
            <w:pPr>
              <w:ind w:left="400"/>
              <w:spacing w:after="0"/>
              <w:rPr>
                <w:sz w:val="20"/>
                <w:szCs w:val="20"/>
                <w:color w:val="auto"/>
              </w:rPr>
            </w:pPr>
            <w:r>
              <w:rPr>
                <w:rFonts w:ascii="Arial" w:cs="Arial" w:eastAsia="Arial" w:hAnsi="Arial"/>
                <w:sz w:val="18"/>
                <w:szCs w:val="18"/>
                <w:color w:val="auto"/>
              </w:rPr>
              <w:t>Eligible Inventory</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4.24</w:t>
            </w:r>
          </w:p>
        </w:tc>
        <w:tc>
          <w:tcPr>
            <w:tcW w:w="9060" w:type="dxa"/>
            <w:vAlign w:val="bottom"/>
          </w:tcPr>
          <w:p>
            <w:pPr>
              <w:ind w:left="400"/>
              <w:spacing w:after="0"/>
              <w:rPr>
                <w:sz w:val="20"/>
                <w:szCs w:val="20"/>
                <w:color w:val="auto"/>
              </w:rPr>
            </w:pPr>
            <w:r>
              <w:rPr>
                <w:rFonts w:ascii="Arial" w:cs="Arial" w:eastAsia="Arial" w:hAnsi="Arial"/>
                <w:sz w:val="18"/>
                <w:szCs w:val="18"/>
                <w:color w:val="auto"/>
              </w:rPr>
              <w:t>Eligible M&amp;E and Eligible New Equipment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4.25</w:t>
            </w:r>
          </w:p>
        </w:tc>
        <w:tc>
          <w:tcPr>
            <w:tcW w:w="9060" w:type="dxa"/>
            <w:vAlign w:val="bottom"/>
          </w:tcPr>
          <w:p>
            <w:pPr>
              <w:ind w:left="400"/>
              <w:spacing w:after="0"/>
              <w:rPr>
                <w:sz w:val="20"/>
                <w:szCs w:val="20"/>
                <w:color w:val="auto"/>
              </w:rPr>
            </w:pPr>
            <w:r>
              <w:rPr>
                <w:rFonts w:ascii="Arial" w:cs="Arial" w:eastAsia="Arial" w:hAnsi="Arial"/>
                <w:sz w:val="18"/>
                <w:szCs w:val="18"/>
                <w:color w:val="auto"/>
              </w:rPr>
              <w:t>Location of Inventory and M&amp;E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4.26</w:t>
            </w:r>
          </w:p>
        </w:tc>
        <w:tc>
          <w:tcPr>
            <w:tcW w:w="9060" w:type="dxa"/>
            <w:vAlign w:val="bottom"/>
          </w:tcPr>
          <w:p>
            <w:pPr>
              <w:ind w:left="400"/>
              <w:spacing w:after="0"/>
              <w:rPr>
                <w:sz w:val="20"/>
                <w:szCs w:val="20"/>
                <w:color w:val="auto"/>
              </w:rPr>
            </w:pPr>
            <w:r>
              <w:rPr>
                <w:rFonts w:ascii="Arial" w:cs="Arial" w:eastAsia="Arial" w:hAnsi="Arial"/>
                <w:sz w:val="18"/>
                <w:szCs w:val="18"/>
                <w:color w:val="auto"/>
              </w:rPr>
              <w:t>Inventory Records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4.27</w:t>
            </w:r>
          </w:p>
        </w:tc>
        <w:tc>
          <w:tcPr>
            <w:tcW w:w="9060" w:type="dxa"/>
            <w:vAlign w:val="bottom"/>
          </w:tcPr>
          <w:p>
            <w:pPr>
              <w:ind w:left="400"/>
              <w:spacing w:after="0"/>
              <w:rPr>
                <w:sz w:val="20"/>
                <w:szCs w:val="20"/>
                <w:color w:val="auto"/>
              </w:rPr>
            </w:pPr>
            <w:r>
              <w:rPr>
                <w:rFonts w:ascii="Arial" w:cs="Arial" w:eastAsia="Arial" w:hAnsi="Arial"/>
                <w:sz w:val="18"/>
                <w:szCs w:val="18"/>
                <w:color w:val="auto"/>
              </w:rPr>
              <w:t>[Reserved]</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4.28</w:t>
            </w:r>
          </w:p>
        </w:tc>
        <w:tc>
          <w:tcPr>
            <w:tcW w:w="9060" w:type="dxa"/>
            <w:vAlign w:val="bottom"/>
          </w:tcPr>
          <w:p>
            <w:pPr>
              <w:ind w:left="400"/>
              <w:spacing w:after="0"/>
              <w:rPr>
                <w:sz w:val="20"/>
                <w:szCs w:val="20"/>
                <w:color w:val="auto"/>
              </w:rPr>
            </w:pPr>
            <w:r>
              <w:rPr>
                <w:rFonts w:ascii="Arial" w:cs="Arial" w:eastAsia="Arial" w:hAnsi="Arial"/>
                <w:sz w:val="18"/>
                <w:szCs w:val="18"/>
                <w:color w:val="auto"/>
              </w:rPr>
              <w:t>[Reserved]</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4.29</w:t>
            </w:r>
          </w:p>
        </w:tc>
        <w:tc>
          <w:tcPr>
            <w:tcW w:w="9060" w:type="dxa"/>
            <w:vAlign w:val="bottom"/>
          </w:tcPr>
          <w:p>
            <w:pPr>
              <w:ind w:left="400"/>
              <w:spacing w:after="0"/>
              <w:rPr>
                <w:sz w:val="20"/>
                <w:szCs w:val="20"/>
                <w:color w:val="auto"/>
              </w:rPr>
            </w:pPr>
            <w:r>
              <w:rPr>
                <w:rFonts w:ascii="Arial" w:cs="Arial" w:eastAsia="Arial" w:hAnsi="Arial"/>
                <w:sz w:val="18"/>
                <w:szCs w:val="18"/>
                <w:color w:val="auto"/>
              </w:rPr>
              <w:t>Hedge Agreements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5.</w:t>
            </w:r>
          </w:p>
        </w:tc>
        <w:tc>
          <w:tcPr>
            <w:tcW w:w="9060" w:type="dxa"/>
            <w:vAlign w:val="bottom"/>
          </w:tcPr>
          <w:p>
            <w:pPr>
              <w:ind w:left="140"/>
              <w:spacing w:after="0"/>
              <w:rPr>
                <w:sz w:val="20"/>
                <w:szCs w:val="20"/>
                <w:color w:val="auto"/>
              </w:rPr>
            </w:pPr>
            <w:r>
              <w:rPr>
                <w:rFonts w:ascii="Arial" w:cs="Arial" w:eastAsia="Arial" w:hAnsi="Arial"/>
                <w:sz w:val="18"/>
                <w:szCs w:val="18"/>
                <w:color w:val="auto"/>
              </w:rPr>
              <w:t>AFFIRMATIVE COVENANTS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vMerge w:val="restart"/>
          </w:tcPr>
          <w:p>
            <w:pPr>
              <w:spacing w:after="0"/>
              <w:rPr>
                <w:sz w:val="20"/>
                <w:szCs w:val="20"/>
                <w:color w:val="auto"/>
              </w:rPr>
            </w:pPr>
            <w:r>
              <w:rPr>
                <w:rFonts w:ascii="Arial" w:cs="Arial" w:eastAsia="Arial" w:hAnsi="Arial"/>
                <w:sz w:val="18"/>
                <w:szCs w:val="18"/>
                <w:color w:val="auto"/>
              </w:rPr>
              <w:t>5.1</w:t>
            </w:r>
          </w:p>
        </w:tc>
        <w:tc>
          <w:tcPr>
            <w:tcW w:w="9060" w:type="dxa"/>
            <w:vAlign w:val="bottom"/>
            <w:vMerge w:val="restart"/>
          </w:tcPr>
          <w:p>
            <w:pPr>
              <w:ind w:left="400"/>
              <w:spacing w:after="0"/>
              <w:rPr>
                <w:sz w:val="20"/>
                <w:szCs w:val="20"/>
                <w:color w:val="auto"/>
              </w:rPr>
            </w:pPr>
            <w:r>
              <w:rPr>
                <w:rFonts w:ascii="Arial" w:cs="Arial" w:eastAsia="Arial" w:hAnsi="Arial"/>
                <w:sz w:val="18"/>
                <w:szCs w:val="18"/>
                <w:color w:val="auto"/>
              </w:rPr>
              <w:t>Financial Statements, Reports, Certificates</w:t>
            </w:r>
          </w:p>
        </w:tc>
        <w:tc>
          <w:tcPr>
            <w:tcW w:w="42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95"/>
        </w:trPr>
        <w:tc>
          <w:tcPr>
            <w:tcW w:w="460" w:type="dxa"/>
            <w:vAlign w:val="bottom"/>
            <w:vMerge w:val="continue"/>
          </w:tcPr>
          <w:p>
            <w:pPr>
              <w:spacing w:after="0"/>
              <w:rPr>
                <w:sz w:val="16"/>
                <w:szCs w:val="16"/>
                <w:color w:val="auto"/>
              </w:rPr>
            </w:pPr>
          </w:p>
        </w:tc>
        <w:tc>
          <w:tcPr>
            <w:tcW w:w="9060" w:type="dxa"/>
            <w:vAlign w:val="bottom"/>
            <w:vMerge w:val="continue"/>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96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5.2</w:t>
            </w:r>
          </w:p>
        </w:tc>
        <w:tc>
          <w:tcPr>
            <w:tcW w:w="9060" w:type="dxa"/>
            <w:vAlign w:val="bottom"/>
          </w:tcPr>
          <w:p>
            <w:pPr>
              <w:ind w:left="400"/>
              <w:spacing w:after="0"/>
              <w:rPr>
                <w:sz w:val="20"/>
                <w:szCs w:val="20"/>
                <w:color w:val="auto"/>
              </w:rPr>
            </w:pPr>
            <w:r>
              <w:rPr>
                <w:rFonts w:ascii="Arial" w:cs="Arial" w:eastAsia="Arial" w:hAnsi="Arial"/>
                <w:sz w:val="18"/>
                <w:szCs w:val="18"/>
                <w:color w:val="auto"/>
              </w:rPr>
              <w:t>Reporting</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5.3</w:t>
            </w:r>
          </w:p>
        </w:tc>
        <w:tc>
          <w:tcPr>
            <w:tcW w:w="9060" w:type="dxa"/>
            <w:vAlign w:val="bottom"/>
          </w:tcPr>
          <w:p>
            <w:pPr>
              <w:ind w:left="400"/>
              <w:spacing w:after="0"/>
              <w:rPr>
                <w:sz w:val="20"/>
                <w:szCs w:val="20"/>
                <w:color w:val="auto"/>
              </w:rPr>
            </w:pPr>
            <w:r>
              <w:rPr>
                <w:rFonts w:ascii="Arial" w:cs="Arial" w:eastAsia="Arial" w:hAnsi="Arial"/>
                <w:sz w:val="18"/>
                <w:szCs w:val="18"/>
                <w:color w:val="auto"/>
              </w:rPr>
              <w:t>Existence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5.4</w:t>
            </w:r>
          </w:p>
        </w:tc>
        <w:tc>
          <w:tcPr>
            <w:tcW w:w="9060" w:type="dxa"/>
            <w:vAlign w:val="bottom"/>
          </w:tcPr>
          <w:p>
            <w:pPr>
              <w:ind w:left="400"/>
              <w:spacing w:after="0"/>
              <w:rPr>
                <w:sz w:val="20"/>
                <w:szCs w:val="20"/>
                <w:color w:val="auto"/>
              </w:rPr>
            </w:pPr>
            <w:r>
              <w:rPr>
                <w:rFonts w:ascii="Arial" w:cs="Arial" w:eastAsia="Arial" w:hAnsi="Arial"/>
                <w:sz w:val="18"/>
                <w:szCs w:val="18"/>
                <w:color w:val="auto"/>
              </w:rPr>
              <w:t>Maintenance of Properties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5.5</w:t>
            </w:r>
          </w:p>
        </w:tc>
        <w:tc>
          <w:tcPr>
            <w:tcW w:w="9060" w:type="dxa"/>
            <w:vAlign w:val="bottom"/>
          </w:tcPr>
          <w:p>
            <w:pPr>
              <w:ind w:left="400"/>
              <w:spacing w:after="0"/>
              <w:rPr>
                <w:sz w:val="20"/>
                <w:szCs w:val="20"/>
                <w:color w:val="auto"/>
              </w:rPr>
            </w:pPr>
            <w:r>
              <w:rPr>
                <w:rFonts w:ascii="Arial" w:cs="Arial" w:eastAsia="Arial" w:hAnsi="Arial"/>
                <w:sz w:val="18"/>
                <w:szCs w:val="18"/>
                <w:color w:val="auto"/>
              </w:rPr>
              <w:t>Taxes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5.6</w:t>
            </w:r>
          </w:p>
        </w:tc>
        <w:tc>
          <w:tcPr>
            <w:tcW w:w="9060" w:type="dxa"/>
            <w:vAlign w:val="bottom"/>
          </w:tcPr>
          <w:p>
            <w:pPr>
              <w:ind w:left="400"/>
              <w:spacing w:after="0"/>
              <w:rPr>
                <w:sz w:val="20"/>
                <w:szCs w:val="20"/>
                <w:color w:val="auto"/>
              </w:rPr>
            </w:pPr>
            <w:r>
              <w:rPr>
                <w:rFonts w:ascii="Arial" w:cs="Arial" w:eastAsia="Arial" w:hAnsi="Arial"/>
                <w:sz w:val="18"/>
                <w:szCs w:val="18"/>
                <w:color w:val="auto"/>
              </w:rPr>
              <w:t>Insurance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5.7</w:t>
            </w:r>
          </w:p>
        </w:tc>
        <w:tc>
          <w:tcPr>
            <w:tcW w:w="9060" w:type="dxa"/>
            <w:vAlign w:val="bottom"/>
          </w:tcPr>
          <w:p>
            <w:pPr>
              <w:ind w:left="400"/>
              <w:spacing w:after="0"/>
              <w:rPr>
                <w:sz w:val="20"/>
                <w:szCs w:val="20"/>
                <w:color w:val="auto"/>
              </w:rPr>
            </w:pPr>
            <w:r>
              <w:rPr>
                <w:rFonts w:ascii="Arial" w:cs="Arial" w:eastAsia="Arial" w:hAnsi="Arial"/>
                <w:sz w:val="18"/>
                <w:szCs w:val="18"/>
                <w:color w:val="auto"/>
              </w:rPr>
              <w:t>Inspection</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5.8</w:t>
            </w:r>
          </w:p>
        </w:tc>
        <w:tc>
          <w:tcPr>
            <w:tcW w:w="9060" w:type="dxa"/>
            <w:vAlign w:val="bottom"/>
          </w:tcPr>
          <w:p>
            <w:pPr>
              <w:ind w:left="400"/>
              <w:spacing w:after="0"/>
              <w:rPr>
                <w:sz w:val="20"/>
                <w:szCs w:val="20"/>
                <w:color w:val="auto"/>
              </w:rPr>
            </w:pPr>
            <w:r>
              <w:rPr>
                <w:rFonts w:ascii="Arial" w:cs="Arial" w:eastAsia="Arial" w:hAnsi="Arial"/>
                <w:sz w:val="18"/>
                <w:szCs w:val="18"/>
                <w:color w:val="auto"/>
              </w:rPr>
              <w:t>Compliance with Laws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5.9</w:t>
            </w:r>
          </w:p>
        </w:tc>
        <w:tc>
          <w:tcPr>
            <w:tcW w:w="9060" w:type="dxa"/>
            <w:vAlign w:val="bottom"/>
          </w:tcPr>
          <w:p>
            <w:pPr>
              <w:ind w:left="400"/>
              <w:spacing w:after="0"/>
              <w:rPr>
                <w:sz w:val="20"/>
                <w:szCs w:val="20"/>
                <w:color w:val="auto"/>
              </w:rPr>
            </w:pPr>
            <w:r>
              <w:rPr>
                <w:rFonts w:ascii="Arial" w:cs="Arial" w:eastAsia="Arial" w:hAnsi="Arial"/>
                <w:sz w:val="18"/>
                <w:szCs w:val="18"/>
                <w:color w:val="auto"/>
              </w:rPr>
              <w:t>Environmental</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5.10</w:t>
            </w:r>
          </w:p>
        </w:tc>
        <w:tc>
          <w:tcPr>
            <w:tcW w:w="9060" w:type="dxa"/>
            <w:vAlign w:val="bottom"/>
          </w:tcPr>
          <w:p>
            <w:pPr>
              <w:ind w:left="400"/>
              <w:spacing w:after="0"/>
              <w:rPr>
                <w:sz w:val="20"/>
                <w:szCs w:val="20"/>
                <w:color w:val="auto"/>
              </w:rPr>
            </w:pPr>
            <w:r>
              <w:rPr>
                <w:rFonts w:ascii="Arial" w:cs="Arial" w:eastAsia="Arial" w:hAnsi="Arial"/>
                <w:sz w:val="18"/>
                <w:szCs w:val="18"/>
                <w:color w:val="auto"/>
              </w:rPr>
              <w:t>Disclosure Updates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5.11</w:t>
            </w:r>
          </w:p>
        </w:tc>
        <w:tc>
          <w:tcPr>
            <w:tcW w:w="9060" w:type="dxa"/>
            <w:vAlign w:val="bottom"/>
          </w:tcPr>
          <w:p>
            <w:pPr>
              <w:ind w:left="400"/>
              <w:spacing w:after="0"/>
              <w:rPr>
                <w:sz w:val="20"/>
                <w:szCs w:val="20"/>
                <w:color w:val="auto"/>
              </w:rPr>
            </w:pPr>
            <w:r>
              <w:rPr>
                <w:rFonts w:ascii="Arial" w:cs="Arial" w:eastAsia="Arial" w:hAnsi="Arial"/>
                <w:sz w:val="18"/>
                <w:szCs w:val="18"/>
                <w:color w:val="auto"/>
              </w:rPr>
              <w:t>Formation of Subsidiaries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5.12</w:t>
            </w:r>
          </w:p>
        </w:tc>
        <w:tc>
          <w:tcPr>
            <w:tcW w:w="9060" w:type="dxa"/>
            <w:vAlign w:val="bottom"/>
          </w:tcPr>
          <w:p>
            <w:pPr>
              <w:ind w:left="400"/>
              <w:spacing w:after="0"/>
              <w:rPr>
                <w:sz w:val="20"/>
                <w:szCs w:val="20"/>
                <w:color w:val="auto"/>
              </w:rPr>
            </w:pPr>
            <w:r>
              <w:rPr>
                <w:rFonts w:ascii="Arial" w:cs="Arial" w:eastAsia="Arial" w:hAnsi="Arial"/>
                <w:sz w:val="18"/>
                <w:szCs w:val="18"/>
                <w:color w:val="auto"/>
              </w:rPr>
              <w:t>Further Assurances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5.13</w:t>
            </w:r>
          </w:p>
        </w:tc>
        <w:tc>
          <w:tcPr>
            <w:tcW w:w="9060" w:type="dxa"/>
            <w:vAlign w:val="bottom"/>
          </w:tcPr>
          <w:p>
            <w:pPr>
              <w:ind w:left="400"/>
              <w:spacing w:after="0"/>
              <w:rPr>
                <w:sz w:val="20"/>
                <w:szCs w:val="20"/>
                <w:color w:val="auto"/>
              </w:rPr>
            </w:pPr>
            <w:r>
              <w:rPr>
                <w:rFonts w:ascii="Arial" w:cs="Arial" w:eastAsia="Arial" w:hAnsi="Arial"/>
                <w:sz w:val="18"/>
                <w:szCs w:val="18"/>
                <w:color w:val="auto"/>
              </w:rPr>
              <w:t>Lender Meetings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5.14</w:t>
            </w:r>
          </w:p>
        </w:tc>
        <w:tc>
          <w:tcPr>
            <w:tcW w:w="9060" w:type="dxa"/>
            <w:vAlign w:val="bottom"/>
          </w:tcPr>
          <w:p>
            <w:pPr>
              <w:ind w:left="400"/>
              <w:spacing w:after="0"/>
              <w:rPr>
                <w:sz w:val="20"/>
                <w:szCs w:val="20"/>
                <w:color w:val="auto"/>
              </w:rPr>
            </w:pPr>
            <w:r>
              <w:rPr>
                <w:rFonts w:ascii="Arial" w:cs="Arial" w:eastAsia="Arial" w:hAnsi="Arial"/>
                <w:sz w:val="18"/>
                <w:szCs w:val="18"/>
                <w:color w:val="auto"/>
              </w:rPr>
              <w:t>Location of Inventory and M&amp;E; Chief Executive Office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5.15</w:t>
            </w:r>
          </w:p>
        </w:tc>
        <w:tc>
          <w:tcPr>
            <w:tcW w:w="9060" w:type="dxa"/>
            <w:vAlign w:val="bottom"/>
          </w:tcPr>
          <w:p>
            <w:pPr>
              <w:ind w:left="400"/>
              <w:spacing w:after="0"/>
              <w:rPr>
                <w:sz w:val="20"/>
                <w:szCs w:val="20"/>
                <w:color w:val="auto"/>
              </w:rPr>
            </w:pPr>
            <w:r>
              <w:rPr>
                <w:rFonts w:ascii="Arial" w:cs="Arial" w:eastAsia="Arial" w:hAnsi="Arial"/>
                <w:sz w:val="18"/>
                <w:szCs w:val="18"/>
                <w:color w:val="auto"/>
              </w:rPr>
              <w:t>OFAC; Sanctions; Anti-Corruption Laws; Anti-Money Laundering Laws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6.</w:t>
            </w:r>
          </w:p>
        </w:tc>
        <w:tc>
          <w:tcPr>
            <w:tcW w:w="9060" w:type="dxa"/>
            <w:vAlign w:val="bottom"/>
          </w:tcPr>
          <w:p>
            <w:pPr>
              <w:ind w:left="140"/>
              <w:spacing w:after="0"/>
              <w:rPr>
                <w:sz w:val="20"/>
                <w:szCs w:val="20"/>
                <w:color w:val="auto"/>
              </w:rPr>
            </w:pPr>
            <w:r>
              <w:rPr>
                <w:rFonts w:ascii="Arial" w:cs="Arial" w:eastAsia="Arial" w:hAnsi="Arial"/>
                <w:sz w:val="18"/>
                <w:szCs w:val="18"/>
                <w:color w:val="auto"/>
              </w:rPr>
              <w:t>NEGATIVE COVENANTS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6.1</w:t>
            </w:r>
          </w:p>
        </w:tc>
        <w:tc>
          <w:tcPr>
            <w:tcW w:w="9060" w:type="dxa"/>
            <w:vAlign w:val="bottom"/>
          </w:tcPr>
          <w:p>
            <w:pPr>
              <w:ind w:left="400"/>
              <w:spacing w:after="0"/>
              <w:rPr>
                <w:sz w:val="20"/>
                <w:szCs w:val="20"/>
                <w:color w:val="auto"/>
              </w:rPr>
            </w:pPr>
            <w:r>
              <w:rPr>
                <w:rFonts w:ascii="Arial" w:cs="Arial" w:eastAsia="Arial" w:hAnsi="Arial"/>
                <w:sz w:val="18"/>
                <w:szCs w:val="18"/>
                <w:color w:val="auto"/>
              </w:rPr>
              <w:t>Indebtedness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6.2</w:t>
            </w:r>
          </w:p>
        </w:tc>
        <w:tc>
          <w:tcPr>
            <w:tcW w:w="9060" w:type="dxa"/>
            <w:vAlign w:val="bottom"/>
          </w:tcPr>
          <w:p>
            <w:pPr>
              <w:ind w:left="400"/>
              <w:spacing w:after="0"/>
              <w:rPr>
                <w:sz w:val="20"/>
                <w:szCs w:val="20"/>
                <w:color w:val="auto"/>
              </w:rPr>
            </w:pPr>
            <w:r>
              <w:rPr>
                <w:rFonts w:ascii="Arial" w:cs="Arial" w:eastAsia="Arial" w:hAnsi="Arial"/>
                <w:sz w:val="18"/>
                <w:szCs w:val="18"/>
                <w:color w:val="auto"/>
              </w:rPr>
              <w:t>Liens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6.3</w:t>
            </w:r>
          </w:p>
        </w:tc>
        <w:tc>
          <w:tcPr>
            <w:tcW w:w="9060" w:type="dxa"/>
            <w:vAlign w:val="bottom"/>
          </w:tcPr>
          <w:p>
            <w:pPr>
              <w:ind w:left="400"/>
              <w:spacing w:after="0"/>
              <w:rPr>
                <w:sz w:val="20"/>
                <w:szCs w:val="20"/>
                <w:color w:val="auto"/>
              </w:rPr>
            </w:pPr>
            <w:r>
              <w:rPr>
                <w:rFonts w:ascii="Arial" w:cs="Arial" w:eastAsia="Arial" w:hAnsi="Arial"/>
                <w:sz w:val="18"/>
                <w:szCs w:val="18"/>
                <w:color w:val="auto"/>
              </w:rPr>
              <w:t>Restrictions on Fundamental Changes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6.4</w:t>
            </w:r>
          </w:p>
        </w:tc>
        <w:tc>
          <w:tcPr>
            <w:tcW w:w="9060" w:type="dxa"/>
            <w:vAlign w:val="bottom"/>
          </w:tcPr>
          <w:p>
            <w:pPr>
              <w:ind w:left="400"/>
              <w:spacing w:after="0"/>
              <w:rPr>
                <w:sz w:val="20"/>
                <w:szCs w:val="20"/>
                <w:color w:val="auto"/>
              </w:rPr>
            </w:pPr>
            <w:r>
              <w:rPr>
                <w:rFonts w:ascii="Arial" w:cs="Arial" w:eastAsia="Arial" w:hAnsi="Arial"/>
                <w:sz w:val="18"/>
                <w:szCs w:val="18"/>
                <w:color w:val="auto"/>
              </w:rPr>
              <w:t>Disposal of Assets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6.5</w:t>
            </w:r>
          </w:p>
        </w:tc>
        <w:tc>
          <w:tcPr>
            <w:tcW w:w="9060" w:type="dxa"/>
            <w:vAlign w:val="bottom"/>
          </w:tcPr>
          <w:p>
            <w:pPr>
              <w:ind w:left="400"/>
              <w:spacing w:after="0"/>
              <w:rPr>
                <w:sz w:val="20"/>
                <w:szCs w:val="20"/>
                <w:color w:val="auto"/>
              </w:rPr>
            </w:pPr>
            <w:r>
              <w:rPr>
                <w:rFonts w:ascii="Arial" w:cs="Arial" w:eastAsia="Arial" w:hAnsi="Arial"/>
                <w:sz w:val="18"/>
                <w:szCs w:val="18"/>
                <w:color w:val="auto"/>
              </w:rPr>
              <w:t>Nature of Business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6.6</w:t>
            </w:r>
          </w:p>
        </w:tc>
        <w:tc>
          <w:tcPr>
            <w:tcW w:w="9060" w:type="dxa"/>
            <w:vAlign w:val="bottom"/>
          </w:tcPr>
          <w:p>
            <w:pPr>
              <w:ind w:left="400"/>
              <w:spacing w:after="0"/>
              <w:rPr>
                <w:sz w:val="20"/>
                <w:szCs w:val="20"/>
                <w:color w:val="auto"/>
              </w:rPr>
            </w:pPr>
            <w:r>
              <w:rPr>
                <w:rFonts w:ascii="Arial" w:cs="Arial" w:eastAsia="Arial" w:hAnsi="Arial"/>
                <w:sz w:val="18"/>
                <w:szCs w:val="18"/>
                <w:color w:val="auto"/>
              </w:rPr>
              <w:t>Prepayments and Amendments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6.7</w:t>
            </w:r>
          </w:p>
        </w:tc>
        <w:tc>
          <w:tcPr>
            <w:tcW w:w="9060" w:type="dxa"/>
            <w:vAlign w:val="bottom"/>
          </w:tcPr>
          <w:p>
            <w:pPr>
              <w:ind w:left="400"/>
              <w:spacing w:after="0"/>
              <w:rPr>
                <w:sz w:val="20"/>
                <w:szCs w:val="20"/>
                <w:color w:val="auto"/>
              </w:rPr>
            </w:pPr>
            <w:r>
              <w:rPr>
                <w:rFonts w:ascii="Arial" w:cs="Arial" w:eastAsia="Arial" w:hAnsi="Arial"/>
                <w:sz w:val="18"/>
                <w:szCs w:val="18"/>
                <w:color w:val="auto"/>
              </w:rPr>
              <w:t>Restricted Payments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6.8</w:t>
            </w:r>
          </w:p>
        </w:tc>
        <w:tc>
          <w:tcPr>
            <w:tcW w:w="9060" w:type="dxa"/>
            <w:vAlign w:val="bottom"/>
          </w:tcPr>
          <w:p>
            <w:pPr>
              <w:ind w:left="400"/>
              <w:spacing w:after="0"/>
              <w:rPr>
                <w:sz w:val="20"/>
                <w:szCs w:val="20"/>
                <w:color w:val="auto"/>
              </w:rPr>
            </w:pPr>
            <w:r>
              <w:rPr>
                <w:rFonts w:ascii="Arial" w:cs="Arial" w:eastAsia="Arial" w:hAnsi="Arial"/>
                <w:sz w:val="18"/>
                <w:szCs w:val="18"/>
                <w:color w:val="auto"/>
              </w:rPr>
              <w:t>Accounting Methods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6.9</w:t>
            </w:r>
          </w:p>
        </w:tc>
        <w:tc>
          <w:tcPr>
            <w:tcW w:w="9060" w:type="dxa"/>
            <w:vAlign w:val="bottom"/>
          </w:tcPr>
          <w:p>
            <w:pPr>
              <w:ind w:left="400"/>
              <w:spacing w:after="0"/>
              <w:rPr>
                <w:sz w:val="20"/>
                <w:szCs w:val="20"/>
                <w:color w:val="auto"/>
              </w:rPr>
            </w:pPr>
            <w:r>
              <w:rPr>
                <w:rFonts w:ascii="Arial" w:cs="Arial" w:eastAsia="Arial" w:hAnsi="Arial"/>
                <w:sz w:val="18"/>
                <w:szCs w:val="18"/>
                <w:color w:val="auto"/>
              </w:rPr>
              <w:t>Investments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6.10</w:t>
            </w:r>
          </w:p>
        </w:tc>
        <w:tc>
          <w:tcPr>
            <w:tcW w:w="9060" w:type="dxa"/>
            <w:vAlign w:val="bottom"/>
          </w:tcPr>
          <w:p>
            <w:pPr>
              <w:ind w:left="400"/>
              <w:spacing w:after="0"/>
              <w:rPr>
                <w:sz w:val="20"/>
                <w:szCs w:val="20"/>
                <w:color w:val="auto"/>
              </w:rPr>
            </w:pPr>
            <w:r>
              <w:rPr>
                <w:rFonts w:ascii="Arial" w:cs="Arial" w:eastAsia="Arial" w:hAnsi="Arial"/>
                <w:sz w:val="18"/>
                <w:szCs w:val="18"/>
                <w:color w:val="auto"/>
              </w:rPr>
              <w:t>Transactions with Affiliates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6.11</w:t>
            </w:r>
          </w:p>
        </w:tc>
        <w:tc>
          <w:tcPr>
            <w:tcW w:w="9060" w:type="dxa"/>
            <w:vAlign w:val="bottom"/>
          </w:tcPr>
          <w:p>
            <w:pPr>
              <w:ind w:left="400"/>
              <w:spacing w:after="0"/>
              <w:rPr>
                <w:sz w:val="20"/>
                <w:szCs w:val="20"/>
                <w:color w:val="auto"/>
              </w:rPr>
            </w:pPr>
            <w:r>
              <w:rPr>
                <w:rFonts w:ascii="Arial" w:cs="Arial" w:eastAsia="Arial" w:hAnsi="Arial"/>
                <w:sz w:val="18"/>
                <w:szCs w:val="18"/>
                <w:color w:val="auto"/>
              </w:rPr>
              <w:t>Use of Proceeds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6.12</w:t>
            </w:r>
          </w:p>
        </w:tc>
        <w:tc>
          <w:tcPr>
            <w:tcW w:w="9060" w:type="dxa"/>
            <w:vAlign w:val="bottom"/>
          </w:tcPr>
          <w:p>
            <w:pPr>
              <w:ind w:left="400"/>
              <w:spacing w:after="0"/>
              <w:rPr>
                <w:sz w:val="20"/>
                <w:szCs w:val="20"/>
                <w:color w:val="auto"/>
              </w:rPr>
            </w:pPr>
            <w:r>
              <w:rPr>
                <w:rFonts w:ascii="Arial" w:cs="Arial" w:eastAsia="Arial" w:hAnsi="Arial"/>
                <w:sz w:val="18"/>
                <w:szCs w:val="18"/>
                <w:color w:val="auto"/>
              </w:rPr>
              <w:t>Limitation on Issuance of Equity Interests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6.13</w:t>
            </w:r>
          </w:p>
        </w:tc>
        <w:tc>
          <w:tcPr>
            <w:tcW w:w="9060" w:type="dxa"/>
            <w:vAlign w:val="bottom"/>
          </w:tcPr>
          <w:p>
            <w:pPr>
              <w:ind w:left="400"/>
              <w:spacing w:after="0"/>
              <w:rPr>
                <w:sz w:val="20"/>
                <w:szCs w:val="20"/>
                <w:color w:val="auto"/>
              </w:rPr>
            </w:pPr>
            <w:r>
              <w:rPr>
                <w:rFonts w:ascii="Arial" w:cs="Arial" w:eastAsia="Arial" w:hAnsi="Arial"/>
                <w:sz w:val="18"/>
                <w:szCs w:val="18"/>
                <w:color w:val="auto"/>
              </w:rPr>
              <w:t>Inventory or M&amp;E with Bailees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7.</w:t>
            </w:r>
          </w:p>
        </w:tc>
        <w:tc>
          <w:tcPr>
            <w:tcW w:w="9060" w:type="dxa"/>
            <w:vAlign w:val="bottom"/>
          </w:tcPr>
          <w:p>
            <w:pPr>
              <w:ind w:left="140"/>
              <w:spacing w:after="0"/>
              <w:rPr>
                <w:sz w:val="20"/>
                <w:szCs w:val="20"/>
                <w:color w:val="auto"/>
              </w:rPr>
            </w:pPr>
            <w:r>
              <w:rPr>
                <w:rFonts w:ascii="Arial" w:cs="Arial" w:eastAsia="Arial" w:hAnsi="Arial"/>
                <w:sz w:val="18"/>
                <w:szCs w:val="18"/>
                <w:color w:val="auto"/>
              </w:rPr>
              <w:t>FINANCIAL COVENANT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8.</w:t>
            </w:r>
          </w:p>
        </w:tc>
        <w:tc>
          <w:tcPr>
            <w:tcW w:w="9060" w:type="dxa"/>
            <w:vAlign w:val="bottom"/>
          </w:tcPr>
          <w:p>
            <w:pPr>
              <w:ind w:left="140"/>
              <w:spacing w:after="0"/>
              <w:rPr>
                <w:sz w:val="20"/>
                <w:szCs w:val="20"/>
                <w:color w:val="auto"/>
              </w:rPr>
            </w:pPr>
            <w:r>
              <w:rPr>
                <w:rFonts w:ascii="Arial" w:cs="Arial" w:eastAsia="Arial" w:hAnsi="Arial"/>
                <w:sz w:val="18"/>
                <w:szCs w:val="18"/>
                <w:color w:val="auto"/>
              </w:rPr>
              <w:t>EVENTS OF DEFAULT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5"/>
        </w:trPr>
        <w:tc>
          <w:tcPr>
            <w:tcW w:w="460" w:type="dxa"/>
            <w:vAlign w:val="bottom"/>
          </w:tcPr>
          <w:p>
            <w:pPr>
              <w:spacing w:after="0"/>
              <w:rPr>
                <w:sz w:val="22"/>
                <w:szCs w:val="22"/>
                <w:color w:val="auto"/>
              </w:rPr>
            </w:pPr>
          </w:p>
        </w:tc>
        <w:tc>
          <w:tcPr>
            <w:tcW w:w="9060" w:type="dxa"/>
            <w:vAlign w:val="bottom"/>
          </w:tcPr>
          <w:p>
            <w:pPr>
              <w:ind w:left="3440"/>
              <w:spacing w:after="0"/>
              <w:rPr>
                <w:sz w:val="20"/>
                <w:szCs w:val="20"/>
                <w:color w:val="auto"/>
              </w:rPr>
            </w:pPr>
            <w:r>
              <w:rPr>
                <w:rFonts w:ascii="Arial" w:cs="Arial" w:eastAsia="Arial" w:hAnsi="Arial"/>
                <w:sz w:val="20"/>
                <w:szCs w:val="20"/>
                <w:b w:val="1"/>
                <w:bCs w:val="1"/>
                <w:color w:val="auto"/>
              </w:rPr>
              <w:t>TABLE OF CONTENTS</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460" w:type="dxa"/>
            <w:vAlign w:val="bottom"/>
          </w:tcPr>
          <w:p>
            <w:pPr>
              <w:spacing w:after="0"/>
              <w:rPr>
                <w:sz w:val="24"/>
                <w:szCs w:val="24"/>
                <w:color w:val="auto"/>
              </w:rPr>
            </w:pPr>
          </w:p>
        </w:tc>
        <w:tc>
          <w:tcPr>
            <w:tcW w:w="9060" w:type="dxa"/>
            <w:vAlign w:val="bottom"/>
          </w:tcPr>
          <w:p>
            <w:pPr>
              <w:ind w:left="4040"/>
              <w:spacing w:after="0"/>
              <w:rPr>
                <w:sz w:val="20"/>
                <w:szCs w:val="20"/>
                <w:color w:val="auto"/>
              </w:rPr>
            </w:pPr>
            <w:r>
              <w:rPr>
                <w:rFonts w:ascii="Arial" w:cs="Arial" w:eastAsia="Arial" w:hAnsi="Arial"/>
                <w:sz w:val="20"/>
                <w:szCs w:val="20"/>
                <w:color w:val="auto"/>
              </w:rPr>
              <w:t>(continued)</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460" w:type="dxa"/>
            <w:vAlign w:val="bottom"/>
            <w:vMerge w:val="restart"/>
          </w:tcPr>
          <w:p>
            <w:pPr>
              <w:spacing w:after="0"/>
              <w:rPr>
                <w:sz w:val="20"/>
                <w:szCs w:val="20"/>
                <w:color w:val="auto"/>
              </w:rPr>
            </w:pPr>
            <w:r>
              <w:rPr>
                <w:rFonts w:ascii="Arial" w:cs="Arial" w:eastAsia="Arial" w:hAnsi="Arial"/>
                <w:sz w:val="18"/>
                <w:szCs w:val="18"/>
                <w:color w:val="auto"/>
              </w:rPr>
              <w:t>8.1</w:t>
            </w:r>
          </w:p>
        </w:tc>
        <w:tc>
          <w:tcPr>
            <w:tcW w:w="9060" w:type="dxa"/>
            <w:vAlign w:val="bottom"/>
            <w:vMerge w:val="restart"/>
          </w:tcPr>
          <w:p>
            <w:pPr>
              <w:ind w:left="400"/>
              <w:spacing w:after="0"/>
              <w:rPr>
                <w:sz w:val="20"/>
                <w:szCs w:val="20"/>
                <w:color w:val="auto"/>
              </w:rPr>
            </w:pPr>
            <w:r>
              <w:rPr>
                <w:rFonts w:ascii="Arial" w:cs="Arial" w:eastAsia="Arial" w:hAnsi="Arial"/>
                <w:sz w:val="18"/>
                <w:szCs w:val="18"/>
                <w:color w:val="auto"/>
              </w:rPr>
              <w:t>Payments</w:t>
            </w:r>
          </w:p>
        </w:tc>
        <w:tc>
          <w:tcPr>
            <w:tcW w:w="42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95"/>
        </w:trPr>
        <w:tc>
          <w:tcPr>
            <w:tcW w:w="460" w:type="dxa"/>
            <w:vAlign w:val="bottom"/>
            <w:vMerge w:val="continue"/>
          </w:tcPr>
          <w:p>
            <w:pPr>
              <w:spacing w:after="0"/>
              <w:rPr>
                <w:sz w:val="16"/>
                <w:szCs w:val="16"/>
                <w:color w:val="auto"/>
              </w:rPr>
            </w:pPr>
          </w:p>
        </w:tc>
        <w:tc>
          <w:tcPr>
            <w:tcW w:w="9060" w:type="dxa"/>
            <w:vAlign w:val="bottom"/>
            <w:vMerge w:val="continue"/>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8.2</w:t>
            </w:r>
          </w:p>
        </w:tc>
        <w:tc>
          <w:tcPr>
            <w:tcW w:w="9060" w:type="dxa"/>
            <w:vAlign w:val="bottom"/>
          </w:tcPr>
          <w:p>
            <w:pPr>
              <w:ind w:left="400"/>
              <w:spacing w:after="0"/>
              <w:rPr>
                <w:sz w:val="20"/>
                <w:szCs w:val="20"/>
                <w:color w:val="auto"/>
              </w:rPr>
            </w:pPr>
            <w:r>
              <w:rPr>
                <w:rFonts w:ascii="Arial" w:cs="Arial" w:eastAsia="Arial" w:hAnsi="Arial"/>
                <w:sz w:val="18"/>
                <w:szCs w:val="18"/>
                <w:color w:val="auto"/>
              </w:rPr>
              <w:t>Covenants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8.3</w:t>
            </w:r>
          </w:p>
        </w:tc>
        <w:tc>
          <w:tcPr>
            <w:tcW w:w="9060" w:type="dxa"/>
            <w:vAlign w:val="bottom"/>
          </w:tcPr>
          <w:p>
            <w:pPr>
              <w:ind w:left="400"/>
              <w:spacing w:after="0"/>
              <w:rPr>
                <w:sz w:val="20"/>
                <w:szCs w:val="20"/>
                <w:color w:val="auto"/>
              </w:rPr>
            </w:pPr>
            <w:r>
              <w:rPr>
                <w:rFonts w:ascii="Arial" w:cs="Arial" w:eastAsia="Arial" w:hAnsi="Arial"/>
                <w:sz w:val="18"/>
                <w:szCs w:val="18"/>
                <w:color w:val="auto"/>
              </w:rPr>
              <w:t>Judgments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8.4</w:t>
            </w:r>
          </w:p>
        </w:tc>
        <w:tc>
          <w:tcPr>
            <w:tcW w:w="9060" w:type="dxa"/>
            <w:vAlign w:val="bottom"/>
          </w:tcPr>
          <w:p>
            <w:pPr>
              <w:ind w:left="400"/>
              <w:spacing w:after="0"/>
              <w:rPr>
                <w:sz w:val="20"/>
                <w:szCs w:val="20"/>
                <w:color w:val="auto"/>
              </w:rPr>
            </w:pPr>
            <w:r>
              <w:rPr>
                <w:rFonts w:ascii="Arial" w:cs="Arial" w:eastAsia="Arial" w:hAnsi="Arial"/>
                <w:sz w:val="18"/>
                <w:szCs w:val="18"/>
                <w:color w:val="auto"/>
              </w:rPr>
              <w:t>Voluntary Bankruptcy, etc</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8.5</w:t>
            </w:r>
          </w:p>
        </w:tc>
        <w:tc>
          <w:tcPr>
            <w:tcW w:w="9060" w:type="dxa"/>
            <w:vAlign w:val="bottom"/>
          </w:tcPr>
          <w:p>
            <w:pPr>
              <w:ind w:left="400"/>
              <w:spacing w:after="0"/>
              <w:rPr>
                <w:sz w:val="20"/>
                <w:szCs w:val="20"/>
                <w:color w:val="auto"/>
              </w:rPr>
            </w:pPr>
            <w:r>
              <w:rPr>
                <w:rFonts w:ascii="Arial" w:cs="Arial" w:eastAsia="Arial" w:hAnsi="Arial"/>
                <w:sz w:val="18"/>
                <w:szCs w:val="18"/>
                <w:color w:val="auto"/>
              </w:rPr>
              <w:t>Involuntary Bankruptcy, etc</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8.6</w:t>
            </w:r>
          </w:p>
        </w:tc>
        <w:tc>
          <w:tcPr>
            <w:tcW w:w="9060" w:type="dxa"/>
            <w:vAlign w:val="bottom"/>
          </w:tcPr>
          <w:p>
            <w:pPr>
              <w:ind w:left="400"/>
              <w:spacing w:after="0"/>
              <w:rPr>
                <w:sz w:val="20"/>
                <w:szCs w:val="20"/>
                <w:color w:val="auto"/>
              </w:rPr>
            </w:pPr>
            <w:r>
              <w:rPr>
                <w:rFonts w:ascii="Arial" w:cs="Arial" w:eastAsia="Arial" w:hAnsi="Arial"/>
                <w:sz w:val="18"/>
                <w:szCs w:val="18"/>
                <w:color w:val="auto"/>
              </w:rPr>
              <w:t>Default Under Other Agreements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8.7</w:t>
            </w:r>
          </w:p>
        </w:tc>
        <w:tc>
          <w:tcPr>
            <w:tcW w:w="9060" w:type="dxa"/>
            <w:vAlign w:val="bottom"/>
          </w:tcPr>
          <w:p>
            <w:pPr>
              <w:ind w:left="400"/>
              <w:spacing w:after="0"/>
              <w:rPr>
                <w:sz w:val="20"/>
                <w:szCs w:val="20"/>
                <w:color w:val="auto"/>
              </w:rPr>
            </w:pPr>
            <w:r>
              <w:rPr>
                <w:rFonts w:ascii="Arial" w:cs="Arial" w:eastAsia="Arial" w:hAnsi="Arial"/>
                <w:sz w:val="18"/>
                <w:szCs w:val="18"/>
                <w:color w:val="auto"/>
              </w:rPr>
              <w:t>Representations, etc</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8.8</w:t>
            </w:r>
          </w:p>
        </w:tc>
        <w:tc>
          <w:tcPr>
            <w:tcW w:w="9060" w:type="dxa"/>
            <w:vAlign w:val="bottom"/>
          </w:tcPr>
          <w:p>
            <w:pPr>
              <w:ind w:left="400"/>
              <w:spacing w:after="0"/>
              <w:rPr>
                <w:sz w:val="20"/>
                <w:szCs w:val="20"/>
                <w:color w:val="auto"/>
              </w:rPr>
            </w:pPr>
            <w:r>
              <w:rPr>
                <w:rFonts w:ascii="Arial" w:cs="Arial" w:eastAsia="Arial" w:hAnsi="Arial"/>
                <w:sz w:val="18"/>
                <w:szCs w:val="18"/>
                <w:color w:val="auto"/>
              </w:rPr>
              <w:t>Guaranty</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8.9</w:t>
            </w:r>
          </w:p>
        </w:tc>
        <w:tc>
          <w:tcPr>
            <w:tcW w:w="9060" w:type="dxa"/>
            <w:vAlign w:val="bottom"/>
          </w:tcPr>
          <w:p>
            <w:pPr>
              <w:ind w:left="400"/>
              <w:spacing w:after="0"/>
              <w:rPr>
                <w:sz w:val="20"/>
                <w:szCs w:val="20"/>
                <w:color w:val="auto"/>
              </w:rPr>
            </w:pPr>
            <w:r>
              <w:rPr>
                <w:rFonts w:ascii="Arial" w:cs="Arial" w:eastAsia="Arial" w:hAnsi="Arial"/>
                <w:sz w:val="18"/>
                <w:szCs w:val="18"/>
                <w:color w:val="auto"/>
              </w:rPr>
              <w:t>Security Documents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8.10</w:t>
            </w:r>
          </w:p>
        </w:tc>
        <w:tc>
          <w:tcPr>
            <w:tcW w:w="9060" w:type="dxa"/>
            <w:vAlign w:val="bottom"/>
          </w:tcPr>
          <w:p>
            <w:pPr>
              <w:ind w:left="400"/>
              <w:spacing w:after="0"/>
              <w:rPr>
                <w:sz w:val="20"/>
                <w:szCs w:val="20"/>
                <w:color w:val="auto"/>
              </w:rPr>
            </w:pPr>
            <w:r>
              <w:rPr>
                <w:rFonts w:ascii="Arial" w:cs="Arial" w:eastAsia="Arial" w:hAnsi="Arial"/>
                <w:sz w:val="18"/>
                <w:szCs w:val="18"/>
                <w:color w:val="auto"/>
              </w:rPr>
              <w:t>Loan Documents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8.11</w:t>
            </w:r>
          </w:p>
        </w:tc>
        <w:tc>
          <w:tcPr>
            <w:tcW w:w="9060" w:type="dxa"/>
            <w:vAlign w:val="bottom"/>
          </w:tcPr>
          <w:p>
            <w:pPr>
              <w:ind w:left="400"/>
              <w:spacing w:after="0"/>
              <w:rPr>
                <w:sz w:val="20"/>
                <w:szCs w:val="20"/>
                <w:color w:val="auto"/>
              </w:rPr>
            </w:pPr>
            <w:r>
              <w:rPr>
                <w:rFonts w:ascii="Arial" w:cs="Arial" w:eastAsia="Arial" w:hAnsi="Arial"/>
                <w:sz w:val="18"/>
                <w:szCs w:val="18"/>
                <w:color w:val="auto"/>
              </w:rPr>
              <w:t>Change of Control</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9.</w:t>
            </w:r>
          </w:p>
        </w:tc>
        <w:tc>
          <w:tcPr>
            <w:tcW w:w="9060" w:type="dxa"/>
            <w:vAlign w:val="bottom"/>
          </w:tcPr>
          <w:p>
            <w:pPr>
              <w:ind w:left="140"/>
              <w:spacing w:after="0"/>
              <w:rPr>
                <w:sz w:val="20"/>
                <w:szCs w:val="20"/>
                <w:color w:val="auto"/>
              </w:rPr>
            </w:pPr>
            <w:r>
              <w:rPr>
                <w:rFonts w:ascii="Arial" w:cs="Arial" w:eastAsia="Arial" w:hAnsi="Arial"/>
                <w:sz w:val="18"/>
                <w:szCs w:val="18"/>
                <w:color w:val="auto"/>
              </w:rPr>
              <w:t>RIGHTS AND REMEDIES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9.1</w:t>
            </w:r>
          </w:p>
        </w:tc>
        <w:tc>
          <w:tcPr>
            <w:tcW w:w="9060" w:type="dxa"/>
            <w:vAlign w:val="bottom"/>
          </w:tcPr>
          <w:p>
            <w:pPr>
              <w:ind w:left="400"/>
              <w:spacing w:after="0"/>
              <w:rPr>
                <w:sz w:val="20"/>
                <w:szCs w:val="20"/>
                <w:color w:val="auto"/>
              </w:rPr>
            </w:pPr>
            <w:r>
              <w:rPr>
                <w:rFonts w:ascii="Arial" w:cs="Arial" w:eastAsia="Arial" w:hAnsi="Arial"/>
                <w:sz w:val="18"/>
                <w:szCs w:val="18"/>
                <w:color w:val="auto"/>
              </w:rPr>
              <w:t>Rights and Remedies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9.2</w:t>
            </w:r>
          </w:p>
        </w:tc>
        <w:tc>
          <w:tcPr>
            <w:tcW w:w="9060" w:type="dxa"/>
            <w:vAlign w:val="bottom"/>
          </w:tcPr>
          <w:p>
            <w:pPr>
              <w:ind w:left="400"/>
              <w:spacing w:after="0"/>
              <w:rPr>
                <w:sz w:val="20"/>
                <w:szCs w:val="20"/>
                <w:color w:val="auto"/>
              </w:rPr>
            </w:pPr>
            <w:r>
              <w:rPr>
                <w:rFonts w:ascii="Arial" w:cs="Arial" w:eastAsia="Arial" w:hAnsi="Arial"/>
                <w:sz w:val="18"/>
                <w:szCs w:val="18"/>
                <w:color w:val="auto"/>
              </w:rPr>
              <w:t>Remedies Cumulative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10.</w:t>
            </w:r>
          </w:p>
        </w:tc>
        <w:tc>
          <w:tcPr>
            <w:tcW w:w="9060" w:type="dxa"/>
            <w:vAlign w:val="bottom"/>
          </w:tcPr>
          <w:p>
            <w:pPr>
              <w:ind w:left="140"/>
              <w:spacing w:after="0"/>
              <w:rPr>
                <w:sz w:val="20"/>
                <w:szCs w:val="20"/>
                <w:color w:val="auto"/>
              </w:rPr>
            </w:pPr>
            <w:r>
              <w:rPr>
                <w:rFonts w:ascii="Arial" w:cs="Arial" w:eastAsia="Arial" w:hAnsi="Arial"/>
                <w:sz w:val="18"/>
                <w:szCs w:val="18"/>
                <w:color w:val="auto"/>
              </w:rPr>
              <w:t>WAIVERS; INDEMNIFICATION</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9060" w:type="dxa"/>
            <w:vAlign w:val="bottom"/>
          </w:tcPr>
          <w:p>
            <w:pPr>
              <w:ind w:left="400"/>
              <w:spacing w:after="0"/>
              <w:rPr>
                <w:sz w:val="20"/>
                <w:szCs w:val="20"/>
                <w:color w:val="auto"/>
              </w:rPr>
            </w:pPr>
            <w:r>
              <w:rPr>
                <w:rFonts w:ascii="Arial" w:cs="Arial" w:eastAsia="Arial" w:hAnsi="Arial"/>
                <w:sz w:val="18"/>
                <w:szCs w:val="18"/>
                <w:color w:val="auto"/>
              </w:rPr>
              <w:t>Demand; Protest; etc</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9060" w:type="dxa"/>
            <w:vAlign w:val="bottom"/>
          </w:tcPr>
          <w:p>
            <w:pPr>
              <w:ind w:left="400"/>
              <w:spacing w:after="0"/>
              <w:rPr>
                <w:sz w:val="20"/>
                <w:szCs w:val="20"/>
                <w:color w:val="auto"/>
              </w:rPr>
            </w:pPr>
            <w:r>
              <w:rPr>
                <w:rFonts w:ascii="Arial" w:cs="Arial" w:eastAsia="Arial" w:hAnsi="Arial"/>
                <w:sz w:val="18"/>
                <w:szCs w:val="18"/>
                <w:color w:val="auto"/>
              </w:rPr>
              <w:t>The Lender Group’s Liability for Collateral</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10.3</w:t>
            </w:r>
          </w:p>
        </w:tc>
        <w:tc>
          <w:tcPr>
            <w:tcW w:w="9060" w:type="dxa"/>
            <w:vAlign w:val="bottom"/>
          </w:tcPr>
          <w:p>
            <w:pPr>
              <w:ind w:left="400"/>
              <w:spacing w:after="0"/>
              <w:rPr>
                <w:sz w:val="20"/>
                <w:szCs w:val="20"/>
                <w:color w:val="auto"/>
              </w:rPr>
            </w:pPr>
            <w:r>
              <w:rPr>
                <w:rFonts w:ascii="Arial" w:cs="Arial" w:eastAsia="Arial" w:hAnsi="Arial"/>
                <w:sz w:val="18"/>
                <w:szCs w:val="18"/>
                <w:color w:val="auto"/>
              </w:rPr>
              <w:t>Indemnification</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11.</w:t>
            </w:r>
          </w:p>
        </w:tc>
        <w:tc>
          <w:tcPr>
            <w:tcW w:w="9060" w:type="dxa"/>
            <w:vAlign w:val="bottom"/>
          </w:tcPr>
          <w:p>
            <w:pPr>
              <w:ind w:left="140"/>
              <w:spacing w:after="0"/>
              <w:rPr>
                <w:sz w:val="20"/>
                <w:szCs w:val="20"/>
                <w:color w:val="auto"/>
              </w:rPr>
            </w:pPr>
            <w:r>
              <w:rPr>
                <w:rFonts w:ascii="Arial" w:cs="Arial" w:eastAsia="Arial" w:hAnsi="Arial"/>
                <w:sz w:val="18"/>
                <w:szCs w:val="18"/>
                <w:color w:val="auto"/>
              </w:rPr>
              <w:t>NOTICES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12.</w:t>
            </w:r>
          </w:p>
        </w:tc>
        <w:tc>
          <w:tcPr>
            <w:tcW w:w="9060" w:type="dxa"/>
            <w:vAlign w:val="bottom"/>
          </w:tcPr>
          <w:p>
            <w:pPr>
              <w:ind w:left="140"/>
              <w:spacing w:after="0"/>
              <w:rPr>
                <w:sz w:val="20"/>
                <w:szCs w:val="20"/>
                <w:color w:val="auto"/>
              </w:rPr>
            </w:pPr>
            <w:r>
              <w:rPr>
                <w:rFonts w:ascii="Arial" w:cs="Arial" w:eastAsia="Arial" w:hAnsi="Arial"/>
                <w:sz w:val="18"/>
                <w:szCs w:val="18"/>
                <w:color w:val="auto"/>
              </w:rPr>
              <w:t>CHOICE OF LAW AND VENUE; JURY TRIAL WAIVER; JUDICIAL REFERENCE PROVISION</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13.</w:t>
            </w:r>
          </w:p>
        </w:tc>
        <w:tc>
          <w:tcPr>
            <w:tcW w:w="9060" w:type="dxa"/>
            <w:vAlign w:val="bottom"/>
          </w:tcPr>
          <w:p>
            <w:pPr>
              <w:ind w:left="140"/>
              <w:spacing w:after="0"/>
              <w:rPr>
                <w:sz w:val="20"/>
                <w:szCs w:val="20"/>
                <w:color w:val="auto"/>
              </w:rPr>
            </w:pPr>
            <w:r>
              <w:rPr>
                <w:rFonts w:ascii="Arial" w:cs="Arial" w:eastAsia="Arial" w:hAnsi="Arial"/>
                <w:sz w:val="18"/>
                <w:szCs w:val="18"/>
                <w:color w:val="auto"/>
              </w:rPr>
              <w:t>ASSIGNMENTS AND PARTICIPATIONS; SUCCESSORS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13.1</w:t>
            </w:r>
          </w:p>
        </w:tc>
        <w:tc>
          <w:tcPr>
            <w:tcW w:w="9060" w:type="dxa"/>
            <w:vAlign w:val="bottom"/>
          </w:tcPr>
          <w:p>
            <w:pPr>
              <w:ind w:left="400"/>
              <w:spacing w:after="0"/>
              <w:rPr>
                <w:sz w:val="20"/>
                <w:szCs w:val="20"/>
                <w:color w:val="auto"/>
              </w:rPr>
            </w:pPr>
            <w:r>
              <w:rPr>
                <w:rFonts w:ascii="Arial" w:cs="Arial" w:eastAsia="Arial" w:hAnsi="Arial"/>
                <w:sz w:val="18"/>
                <w:szCs w:val="18"/>
                <w:color w:val="auto"/>
              </w:rPr>
              <w:t>Assignments and Participations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13.2</w:t>
            </w:r>
          </w:p>
        </w:tc>
        <w:tc>
          <w:tcPr>
            <w:tcW w:w="9060" w:type="dxa"/>
            <w:vAlign w:val="bottom"/>
          </w:tcPr>
          <w:p>
            <w:pPr>
              <w:ind w:left="400"/>
              <w:spacing w:after="0"/>
              <w:rPr>
                <w:sz w:val="20"/>
                <w:szCs w:val="20"/>
                <w:color w:val="auto"/>
              </w:rPr>
            </w:pPr>
            <w:r>
              <w:rPr>
                <w:rFonts w:ascii="Arial" w:cs="Arial" w:eastAsia="Arial" w:hAnsi="Arial"/>
                <w:sz w:val="18"/>
                <w:szCs w:val="18"/>
                <w:color w:val="auto"/>
              </w:rPr>
              <w:t>Successors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14.</w:t>
            </w:r>
          </w:p>
        </w:tc>
        <w:tc>
          <w:tcPr>
            <w:tcW w:w="9060" w:type="dxa"/>
            <w:vAlign w:val="bottom"/>
          </w:tcPr>
          <w:p>
            <w:pPr>
              <w:ind w:left="140"/>
              <w:spacing w:after="0"/>
              <w:rPr>
                <w:sz w:val="20"/>
                <w:szCs w:val="20"/>
                <w:color w:val="auto"/>
              </w:rPr>
            </w:pPr>
            <w:r>
              <w:rPr>
                <w:rFonts w:ascii="Arial" w:cs="Arial" w:eastAsia="Arial" w:hAnsi="Arial"/>
                <w:sz w:val="18"/>
                <w:szCs w:val="18"/>
                <w:color w:val="auto"/>
              </w:rPr>
              <w:t>AMENDMENTS; WAIVERS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14.1</w:t>
            </w:r>
          </w:p>
        </w:tc>
        <w:tc>
          <w:tcPr>
            <w:tcW w:w="9060" w:type="dxa"/>
            <w:vAlign w:val="bottom"/>
          </w:tcPr>
          <w:p>
            <w:pPr>
              <w:ind w:left="400"/>
              <w:spacing w:after="0"/>
              <w:rPr>
                <w:sz w:val="20"/>
                <w:szCs w:val="20"/>
                <w:color w:val="auto"/>
              </w:rPr>
            </w:pPr>
            <w:r>
              <w:rPr>
                <w:rFonts w:ascii="Arial" w:cs="Arial" w:eastAsia="Arial" w:hAnsi="Arial"/>
                <w:sz w:val="18"/>
                <w:szCs w:val="18"/>
                <w:color w:val="auto"/>
              </w:rPr>
              <w:t>Amendments and Waivers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14.2</w:t>
            </w:r>
          </w:p>
        </w:tc>
        <w:tc>
          <w:tcPr>
            <w:tcW w:w="9060" w:type="dxa"/>
            <w:vAlign w:val="bottom"/>
          </w:tcPr>
          <w:p>
            <w:pPr>
              <w:ind w:left="400"/>
              <w:spacing w:after="0"/>
              <w:rPr>
                <w:sz w:val="20"/>
                <w:szCs w:val="20"/>
                <w:color w:val="auto"/>
              </w:rPr>
            </w:pPr>
            <w:r>
              <w:rPr>
                <w:rFonts w:ascii="Arial" w:cs="Arial" w:eastAsia="Arial" w:hAnsi="Arial"/>
                <w:sz w:val="18"/>
                <w:szCs w:val="18"/>
                <w:color w:val="auto"/>
              </w:rPr>
              <w:t>Replacement of Certain Lenders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14.3</w:t>
            </w:r>
          </w:p>
        </w:tc>
        <w:tc>
          <w:tcPr>
            <w:tcW w:w="9060" w:type="dxa"/>
            <w:vAlign w:val="bottom"/>
          </w:tcPr>
          <w:p>
            <w:pPr>
              <w:ind w:left="400"/>
              <w:spacing w:after="0"/>
              <w:rPr>
                <w:sz w:val="20"/>
                <w:szCs w:val="20"/>
                <w:color w:val="auto"/>
              </w:rPr>
            </w:pPr>
            <w:r>
              <w:rPr>
                <w:rFonts w:ascii="Arial" w:cs="Arial" w:eastAsia="Arial" w:hAnsi="Arial"/>
                <w:sz w:val="18"/>
                <w:szCs w:val="18"/>
                <w:color w:val="auto"/>
              </w:rPr>
              <w:t>No Waivers; Cumulative Remedies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15.</w:t>
            </w:r>
          </w:p>
        </w:tc>
        <w:tc>
          <w:tcPr>
            <w:tcW w:w="9060" w:type="dxa"/>
            <w:vAlign w:val="bottom"/>
          </w:tcPr>
          <w:p>
            <w:pPr>
              <w:ind w:left="140"/>
              <w:spacing w:after="0"/>
              <w:rPr>
                <w:sz w:val="20"/>
                <w:szCs w:val="20"/>
                <w:color w:val="auto"/>
              </w:rPr>
            </w:pPr>
            <w:r>
              <w:rPr>
                <w:rFonts w:ascii="Arial" w:cs="Arial" w:eastAsia="Arial" w:hAnsi="Arial"/>
                <w:sz w:val="18"/>
                <w:szCs w:val="18"/>
                <w:color w:val="auto"/>
              </w:rPr>
              <w:t>AGENT; THE LENDER GROUP</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15.1</w:t>
            </w:r>
          </w:p>
        </w:tc>
        <w:tc>
          <w:tcPr>
            <w:tcW w:w="9060" w:type="dxa"/>
            <w:vAlign w:val="bottom"/>
          </w:tcPr>
          <w:p>
            <w:pPr>
              <w:ind w:left="400"/>
              <w:spacing w:after="0"/>
              <w:rPr>
                <w:sz w:val="20"/>
                <w:szCs w:val="20"/>
                <w:color w:val="auto"/>
              </w:rPr>
            </w:pPr>
            <w:r>
              <w:rPr>
                <w:rFonts w:ascii="Arial" w:cs="Arial" w:eastAsia="Arial" w:hAnsi="Arial"/>
                <w:sz w:val="18"/>
                <w:szCs w:val="18"/>
                <w:color w:val="auto"/>
              </w:rPr>
              <w:t>Appointment and Authorization of Agent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15.2</w:t>
            </w:r>
          </w:p>
        </w:tc>
        <w:tc>
          <w:tcPr>
            <w:tcW w:w="9060" w:type="dxa"/>
            <w:vAlign w:val="bottom"/>
          </w:tcPr>
          <w:p>
            <w:pPr>
              <w:ind w:left="400"/>
              <w:spacing w:after="0"/>
              <w:rPr>
                <w:sz w:val="20"/>
                <w:szCs w:val="20"/>
                <w:color w:val="auto"/>
              </w:rPr>
            </w:pPr>
            <w:r>
              <w:rPr>
                <w:rFonts w:ascii="Arial" w:cs="Arial" w:eastAsia="Arial" w:hAnsi="Arial"/>
                <w:sz w:val="18"/>
                <w:szCs w:val="18"/>
                <w:color w:val="auto"/>
              </w:rPr>
              <w:t>Delegation of Duties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15.3</w:t>
            </w:r>
          </w:p>
        </w:tc>
        <w:tc>
          <w:tcPr>
            <w:tcW w:w="9060" w:type="dxa"/>
            <w:vAlign w:val="bottom"/>
          </w:tcPr>
          <w:p>
            <w:pPr>
              <w:ind w:left="400"/>
              <w:spacing w:after="0"/>
              <w:rPr>
                <w:sz w:val="20"/>
                <w:szCs w:val="20"/>
                <w:color w:val="auto"/>
              </w:rPr>
            </w:pPr>
            <w:r>
              <w:rPr>
                <w:rFonts w:ascii="Arial" w:cs="Arial" w:eastAsia="Arial" w:hAnsi="Arial"/>
                <w:sz w:val="18"/>
                <w:szCs w:val="18"/>
                <w:color w:val="auto"/>
              </w:rPr>
              <w:t>Liability of Agent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5"/>
        </w:trPr>
        <w:tc>
          <w:tcPr>
            <w:tcW w:w="500" w:type="dxa"/>
            <w:vAlign w:val="bottom"/>
          </w:tcPr>
          <w:p>
            <w:pPr>
              <w:spacing w:after="0"/>
              <w:rPr>
                <w:sz w:val="22"/>
                <w:szCs w:val="22"/>
                <w:color w:val="auto"/>
              </w:rPr>
            </w:pPr>
          </w:p>
        </w:tc>
        <w:tc>
          <w:tcPr>
            <w:tcW w:w="9020" w:type="dxa"/>
            <w:vAlign w:val="bottom"/>
          </w:tcPr>
          <w:p>
            <w:pPr>
              <w:ind w:left="3400"/>
              <w:spacing w:after="0"/>
              <w:rPr>
                <w:sz w:val="20"/>
                <w:szCs w:val="20"/>
                <w:color w:val="auto"/>
              </w:rPr>
            </w:pPr>
            <w:r>
              <w:rPr>
                <w:rFonts w:ascii="Arial" w:cs="Arial" w:eastAsia="Arial" w:hAnsi="Arial"/>
                <w:sz w:val="20"/>
                <w:szCs w:val="20"/>
                <w:b w:val="1"/>
                <w:bCs w:val="1"/>
                <w:color w:val="auto"/>
              </w:rPr>
              <w:t>TABLE OF CONTENTS</w:t>
            </w: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6"/>
        </w:trPr>
        <w:tc>
          <w:tcPr>
            <w:tcW w:w="500" w:type="dxa"/>
            <w:vAlign w:val="bottom"/>
          </w:tcPr>
          <w:p>
            <w:pPr>
              <w:spacing w:after="0"/>
              <w:rPr>
                <w:sz w:val="24"/>
                <w:szCs w:val="24"/>
                <w:color w:val="auto"/>
              </w:rPr>
            </w:pPr>
          </w:p>
        </w:tc>
        <w:tc>
          <w:tcPr>
            <w:tcW w:w="9020" w:type="dxa"/>
            <w:vAlign w:val="bottom"/>
          </w:tcPr>
          <w:p>
            <w:pPr>
              <w:ind w:left="4000"/>
              <w:spacing w:after="0"/>
              <w:rPr>
                <w:sz w:val="20"/>
                <w:szCs w:val="20"/>
                <w:color w:val="auto"/>
              </w:rPr>
            </w:pPr>
            <w:r>
              <w:rPr>
                <w:rFonts w:ascii="Arial" w:cs="Arial" w:eastAsia="Arial" w:hAnsi="Arial"/>
                <w:sz w:val="20"/>
                <w:szCs w:val="20"/>
                <w:color w:val="auto"/>
              </w:rPr>
              <w:t>(continued)</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500" w:type="dxa"/>
            <w:vAlign w:val="bottom"/>
            <w:vMerge w:val="restart"/>
          </w:tcPr>
          <w:p>
            <w:pPr>
              <w:spacing w:after="0"/>
              <w:rPr>
                <w:sz w:val="20"/>
                <w:szCs w:val="20"/>
                <w:color w:val="auto"/>
              </w:rPr>
            </w:pPr>
            <w:r>
              <w:rPr>
                <w:rFonts w:ascii="Arial" w:cs="Arial" w:eastAsia="Arial" w:hAnsi="Arial"/>
                <w:sz w:val="18"/>
                <w:szCs w:val="18"/>
                <w:color w:val="auto"/>
              </w:rPr>
              <w:t>15.4</w:t>
            </w:r>
          </w:p>
        </w:tc>
        <w:tc>
          <w:tcPr>
            <w:tcW w:w="9020" w:type="dxa"/>
            <w:vAlign w:val="bottom"/>
            <w:vMerge w:val="restart"/>
          </w:tcPr>
          <w:p>
            <w:pPr>
              <w:ind w:left="360"/>
              <w:spacing w:after="0"/>
              <w:rPr>
                <w:sz w:val="20"/>
                <w:szCs w:val="20"/>
                <w:color w:val="auto"/>
              </w:rPr>
            </w:pPr>
            <w:r>
              <w:rPr>
                <w:rFonts w:ascii="Arial" w:cs="Arial" w:eastAsia="Arial" w:hAnsi="Arial"/>
                <w:sz w:val="18"/>
                <w:szCs w:val="18"/>
                <w:color w:val="auto"/>
              </w:rPr>
              <w:t>Reliance by Agent</w:t>
            </w:r>
          </w:p>
        </w:tc>
        <w:tc>
          <w:tcPr>
            <w:tcW w:w="42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95"/>
        </w:trPr>
        <w:tc>
          <w:tcPr>
            <w:tcW w:w="500" w:type="dxa"/>
            <w:vAlign w:val="bottom"/>
            <w:vMerge w:val="continue"/>
          </w:tcPr>
          <w:p>
            <w:pPr>
              <w:spacing w:after="0"/>
              <w:rPr>
                <w:sz w:val="16"/>
                <w:szCs w:val="16"/>
                <w:color w:val="auto"/>
              </w:rPr>
            </w:pPr>
          </w:p>
        </w:tc>
        <w:tc>
          <w:tcPr>
            <w:tcW w:w="9020" w:type="dxa"/>
            <w:vAlign w:val="bottom"/>
            <w:vMerge w:val="continue"/>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15.5</w:t>
            </w:r>
          </w:p>
        </w:tc>
        <w:tc>
          <w:tcPr>
            <w:tcW w:w="9020" w:type="dxa"/>
            <w:vAlign w:val="bottom"/>
          </w:tcPr>
          <w:p>
            <w:pPr>
              <w:ind w:left="360"/>
              <w:spacing w:after="0"/>
              <w:rPr>
                <w:sz w:val="20"/>
                <w:szCs w:val="20"/>
                <w:color w:val="auto"/>
              </w:rPr>
            </w:pPr>
            <w:r>
              <w:rPr>
                <w:rFonts w:ascii="Arial" w:cs="Arial" w:eastAsia="Arial" w:hAnsi="Arial"/>
                <w:sz w:val="18"/>
                <w:szCs w:val="18"/>
                <w:color w:val="auto"/>
              </w:rPr>
              <w:t>Notice of Default or Event of Default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15.6</w:t>
            </w:r>
          </w:p>
        </w:tc>
        <w:tc>
          <w:tcPr>
            <w:tcW w:w="9020" w:type="dxa"/>
            <w:vAlign w:val="bottom"/>
          </w:tcPr>
          <w:p>
            <w:pPr>
              <w:ind w:left="360"/>
              <w:spacing w:after="0"/>
              <w:rPr>
                <w:sz w:val="20"/>
                <w:szCs w:val="20"/>
                <w:color w:val="auto"/>
              </w:rPr>
            </w:pPr>
            <w:r>
              <w:rPr>
                <w:rFonts w:ascii="Arial" w:cs="Arial" w:eastAsia="Arial" w:hAnsi="Arial"/>
                <w:sz w:val="18"/>
                <w:szCs w:val="18"/>
                <w:color w:val="auto"/>
              </w:rPr>
              <w:t>Credit Decision</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15.7</w:t>
            </w:r>
          </w:p>
        </w:tc>
        <w:tc>
          <w:tcPr>
            <w:tcW w:w="9020" w:type="dxa"/>
            <w:vAlign w:val="bottom"/>
          </w:tcPr>
          <w:p>
            <w:pPr>
              <w:ind w:left="360"/>
              <w:spacing w:after="0"/>
              <w:rPr>
                <w:sz w:val="20"/>
                <w:szCs w:val="20"/>
                <w:color w:val="auto"/>
              </w:rPr>
            </w:pPr>
            <w:r>
              <w:rPr>
                <w:rFonts w:ascii="Arial" w:cs="Arial" w:eastAsia="Arial" w:hAnsi="Arial"/>
                <w:sz w:val="18"/>
                <w:szCs w:val="18"/>
                <w:color w:val="auto"/>
              </w:rPr>
              <w:t>Costs and Expenses; Indemnification</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15.8</w:t>
            </w:r>
          </w:p>
        </w:tc>
        <w:tc>
          <w:tcPr>
            <w:tcW w:w="9020" w:type="dxa"/>
            <w:vAlign w:val="bottom"/>
          </w:tcPr>
          <w:p>
            <w:pPr>
              <w:ind w:left="360"/>
              <w:spacing w:after="0"/>
              <w:rPr>
                <w:sz w:val="20"/>
                <w:szCs w:val="20"/>
                <w:color w:val="auto"/>
              </w:rPr>
            </w:pPr>
            <w:r>
              <w:rPr>
                <w:rFonts w:ascii="Arial" w:cs="Arial" w:eastAsia="Arial" w:hAnsi="Arial"/>
                <w:sz w:val="18"/>
                <w:szCs w:val="18"/>
                <w:color w:val="auto"/>
              </w:rPr>
              <w:t>Agent in Individual Capacity</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15.9</w:t>
            </w:r>
          </w:p>
        </w:tc>
        <w:tc>
          <w:tcPr>
            <w:tcW w:w="9020" w:type="dxa"/>
            <w:vAlign w:val="bottom"/>
          </w:tcPr>
          <w:p>
            <w:pPr>
              <w:ind w:left="360"/>
              <w:spacing w:after="0"/>
              <w:rPr>
                <w:sz w:val="20"/>
                <w:szCs w:val="20"/>
                <w:color w:val="auto"/>
              </w:rPr>
            </w:pPr>
            <w:r>
              <w:rPr>
                <w:rFonts w:ascii="Arial" w:cs="Arial" w:eastAsia="Arial" w:hAnsi="Arial"/>
                <w:sz w:val="18"/>
                <w:szCs w:val="18"/>
                <w:color w:val="auto"/>
              </w:rPr>
              <w:t>Successor Agent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15.10</w:t>
            </w:r>
          </w:p>
        </w:tc>
        <w:tc>
          <w:tcPr>
            <w:tcW w:w="9020" w:type="dxa"/>
            <w:vAlign w:val="bottom"/>
          </w:tcPr>
          <w:p>
            <w:pPr>
              <w:ind w:left="360"/>
              <w:spacing w:after="0"/>
              <w:rPr>
                <w:sz w:val="20"/>
                <w:szCs w:val="20"/>
                <w:color w:val="auto"/>
              </w:rPr>
            </w:pPr>
            <w:r>
              <w:rPr>
                <w:rFonts w:ascii="Arial" w:cs="Arial" w:eastAsia="Arial" w:hAnsi="Arial"/>
                <w:sz w:val="18"/>
                <w:szCs w:val="18"/>
                <w:color w:val="auto"/>
              </w:rPr>
              <w:t>Lender in Individual Capacity</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15.11</w:t>
            </w:r>
          </w:p>
        </w:tc>
        <w:tc>
          <w:tcPr>
            <w:tcW w:w="9020" w:type="dxa"/>
            <w:vAlign w:val="bottom"/>
          </w:tcPr>
          <w:p>
            <w:pPr>
              <w:ind w:left="360"/>
              <w:spacing w:after="0"/>
              <w:rPr>
                <w:sz w:val="20"/>
                <w:szCs w:val="20"/>
                <w:color w:val="auto"/>
              </w:rPr>
            </w:pPr>
            <w:r>
              <w:rPr>
                <w:rFonts w:ascii="Arial" w:cs="Arial" w:eastAsia="Arial" w:hAnsi="Arial"/>
                <w:sz w:val="18"/>
                <w:szCs w:val="18"/>
                <w:color w:val="auto"/>
              </w:rPr>
              <w:t>Collateral Matters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15.12</w:t>
            </w:r>
          </w:p>
        </w:tc>
        <w:tc>
          <w:tcPr>
            <w:tcW w:w="9020" w:type="dxa"/>
            <w:vAlign w:val="bottom"/>
          </w:tcPr>
          <w:p>
            <w:pPr>
              <w:ind w:left="360"/>
              <w:spacing w:after="0"/>
              <w:rPr>
                <w:sz w:val="20"/>
                <w:szCs w:val="20"/>
                <w:color w:val="auto"/>
              </w:rPr>
            </w:pPr>
            <w:r>
              <w:rPr>
                <w:rFonts w:ascii="Arial" w:cs="Arial" w:eastAsia="Arial" w:hAnsi="Arial"/>
                <w:sz w:val="18"/>
                <w:szCs w:val="18"/>
                <w:color w:val="auto"/>
              </w:rPr>
              <w:t>Restrictions on Actions by Lenders; Sharing of Payments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15.13</w:t>
            </w:r>
          </w:p>
        </w:tc>
        <w:tc>
          <w:tcPr>
            <w:tcW w:w="9020" w:type="dxa"/>
            <w:vAlign w:val="bottom"/>
          </w:tcPr>
          <w:p>
            <w:pPr>
              <w:ind w:left="360"/>
              <w:spacing w:after="0"/>
              <w:rPr>
                <w:sz w:val="20"/>
                <w:szCs w:val="20"/>
                <w:color w:val="auto"/>
              </w:rPr>
            </w:pPr>
            <w:r>
              <w:rPr>
                <w:rFonts w:ascii="Arial" w:cs="Arial" w:eastAsia="Arial" w:hAnsi="Arial"/>
                <w:sz w:val="18"/>
                <w:szCs w:val="18"/>
                <w:color w:val="auto"/>
              </w:rPr>
              <w:t>Agency for Perfection</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15.14</w:t>
            </w:r>
          </w:p>
        </w:tc>
        <w:tc>
          <w:tcPr>
            <w:tcW w:w="9020" w:type="dxa"/>
            <w:vAlign w:val="bottom"/>
          </w:tcPr>
          <w:p>
            <w:pPr>
              <w:ind w:left="360"/>
              <w:spacing w:after="0"/>
              <w:rPr>
                <w:sz w:val="20"/>
                <w:szCs w:val="20"/>
                <w:color w:val="auto"/>
              </w:rPr>
            </w:pPr>
            <w:r>
              <w:rPr>
                <w:rFonts w:ascii="Arial" w:cs="Arial" w:eastAsia="Arial" w:hAnsi="Arial"/>
                <w:sz w:val="18"/>
                <w:szCs w:val="18"/>
                <w:color w:val="auto"/>
              </w:rPr>
              <w:t>Payments by Agent to the Lenders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15.15</w:t>
            </w:r>
          </w:p>
        </w:tc>
        <w:tc>
          <w:tcPr>
            <w:tcW w:w="9020" w:type="dxa"/>
            <w:vAlign w:val="bottom"/>
          </w:tcPr>
          <w:p>
            <w:pPr>
              <w:ind w:left="360"/>
              <w:spacing w:after="0"/>
              <w:rPr>
                <w:sz w:val="20"/>
                <w:szCs w:val="20"/>
                <w:color w:val="auto"/>
              </w:rPr>
            </w:pPr>
            <w:r>
              <w:rPr>
                <w:rFonts w:ascii="Arial" w:cs="Arial" w:eastAsia="Arial" w:hAnsi="Arial"/>
                <w:sz w:val="18"/>
                <w:szCs w:val="18"/>
                <w:color w:val="auto"/>
              </w:rPr>
              <w:t>Concerning the Collateral and Related Loan Documents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15.16</w:t>
            </w:r>
          </w:p>
        </w:tc>
        <w:tc>
          <w:tcPr>
            <w:tcW w:w="9020" w:type="dxa"/>
            <w:vAlign w:val="bottom"/>
          </w:tcPr>
          <w:p>
            <w:pPr>
              <w:ind w:left="360"/>
              <w:spacing w:after="0"/>
              <w:rPr>
                <w:sz w:val="20"/>
                <w:szCs w:val="20"/>
                <w:color w:val="auto"/>
              </w:rPr>
            </w:pPr>
            <w:r>
              <w:rPr>
                <w:rFonts w:ascii="Arial" w:cs="Arial" w:eastAsia="Arial" w:hAnsi="Arial"/>
                <w:sz w:val="18"/>
                <w:szCs w:val="18"/>
                <w:color w:val="auto"/>
              </w:rPr>
              <w:t>Field Examination Reports; Confidentiality; Disclaimers by Lenders; Other Reports and Information</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15.17</w:t>
            </w:r>
          </w:p>
        </w:tc>
        <w:tc>
          <w:tcPr>
            <w:tcW w:w="9020" w:type="dxa"/>
            <w:vAlign w:val="bottom"/>
          </w:tcPr>
          <w:p>
            <w:pPr>
              <w:ind w:left="360"/>
              <w:spacing w:after="0"/>
              <w:rPr>
                <w:sz w:val="20"/>
                <w:szCs w:val="20"/>
                <w:color w:val="auto"/>
              </w:rPr>
            </w:pPr>
            <w:r>
              <w:rPr>
                <w:rFonts w:ascii="Arial" w:cs="Arial" w:eastAsia="Arial" w:hAnsi="Arial"/>
                <w:sz w:val="18"/>
                <w:szCs w:val="18"/>
                <w:color w:val="auto"/>
              </w:rPr>
              <w:t>Several Obligations; No Liability</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16.</w:t>
            </w:r>
          </w:p>
        </w:tc>
        <w:tc>
          <w:tcPr>
            <w:tcW w:w="9020" w:type="dxa"/>
            <w:vAlign w:val="bottom"/>
          </w:tcPr>
          <w:p>
            <w:pPr>
              <w:ind w:left="100"/>
              <w:spacing w:after="0"/>
              <w:rPr>
                <w:sz w:val="20"/>
                <w:szCs w:val="20"/>
                <w:color w:val="auto"/>
              </w:rPr>
            </w:pPr>
            <w:r>
              <w:rPr>
                <w:rFonts w:ascii="Arial" w:cs="Arial" w:eastAsia="Arial" w:hAnsi="Arial"/>
                <w:sz w:val="18"/>
                <w:szCs w:val="18"/>
                <w:color w:val="auto"/>
              </w:rPr>
              <w:t>WITHHOLDING TAXES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16.1</w:t>
            </w:r>
          </w:p>
        </w:tc>
        <w:tc>
          <w:tcPr>
            <w:tcW w:w="9020" w:type="dxa"/>
            <w:vAlign w:val="bottom"/>
          </w:tcPr>
          <w:p>
            <w:pPr>
              <w:ind w:left="360"/>
              <w:spacing w:after="0"/>
              <w:rPr>
                <w:sz w:val="20"/>
                <w:szCs w:val="20"/>
                <w:color w:val="auto"/>
              </w:rPr>
            </w:pPr>
            <w:r>
              <w:rPr>
                <w:rFonts w:ascii="Arial" w:cs="Arial" w:eastAsia="Arial" w:hAnsi="Arial"/>
                <w:sz w:val="18"/>
                <w:szCs w:val="18"/>
                <w:color w:val="auto"/>
              </w:rPr>
              <w:t>Payments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16.2</w:t>
            </w:r>
          </w:p>
        </w:tc>
        <w:tc>
          <w:tcPr>
            <w:tcW w:w="9020" w:type="dxa"/>
            <w:vAlign w:val="bottom"/>
          </w:tcPr>
          <w:p>
            <w:pPr>
              <w:ind w:left="360"/>
              <w:spacing w:after="0"/>
              <w:rPr>
                <w:sz w:val="20"/>
                <w:szCs w:val="20"/>
                <w:color w:val="auto"/>
              </w:rPr>
            </w:pPr>
            <w:r>
              <w:rPr>
                <w:rFonts w:ascii="Arial" w:cs="Arial" w:eastAsia="Arial" w:hAnsi="Arial"/>
                <w:sz w:val="18"/>
                <w:szCs w:val="18"/>
                <w:color w:val="auto"/>
              </w:rPr>
              <w:t>Exemptions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16.3</w:t>
            </w:r>
          </w:p>
        </w:tc>
        <w:tc>
          <w:tcPr>
            <w:tcW w:w="9020" w:type="dxa"/>
            <w:vAlign w:val="bottom"/>
          </w:tcPr>
          <w:p>
            <w:pPr>
              <w:ind w:left="360"/>
              <w:spacing w:after="0"/>
              <w:rPr>
                <w:sz w:val="20"/>
                <w:szCs w:val="20"/>
                <w:color w:val="auto"/>
              </w:rPr>
            </w:pPr>
            <w:r>
              <w:rPr>
                <w:rFonts w:ascii="Arial" w:cs="Arial" w:eastAsia="Arial" w:hAnsi="Arial"/>
                <w:sz w:val="18"/>
                <w:szCs w:val="18"/>
                <w:color w:val="auto"/>
              </w:rPr>
              <w:t>Reductions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16.4</w:t>
            </w:r>
          </w:p>
        </w:tc>
        <w:tc>
          <w:tcPr>
            <w:tcW w:w="9020" w:type="dxa"/>
            <w:vAlign w:val="bottom"/>
          </w:tcPr>
          <w:p>
            <w:pPr>
              <w:ind w:left="360"/>
              <w:spacing w:after="0"/>
              <w:rPr>
                <w:sz w:val="20"/>
                <w:szCs w:val="20"/>
                <w:color w:val="auto"/>
              </w:rPr>
            </w:pPr>
            <w:r>
              <w:rPr>
                <w:rFonts w:ascii="Arial" w:cs="Arial" w:eastAsia="Arial" w:hAnsi="Arial"/>
                <w:sz w:val="18"/>
                <w:szCs w:val="18"/>
                <w:color w:val="auto"/>
              </w:rPr>
              <w:t>Refunds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17.</w:t>
            </w:r>
          </w:p>
        </w:tc>
        <w:tc>
          <w:tcPr>
            <w:tcW w:w="9020" w:type="dxa"/>
            <w:vAlign w:val="bottom"/>
          </w:tcPr>
          <w:p>
            <w:pPr>
              <w:ind w:left="100"/>
              <w:spacing w:after="0"/>
              <w:rPr>
                <w:sz w:val="20"/>
                <w:szCs w:val="20"/>
                <w:color w:val="auto"/>
              </w:rPr>
            </w:pPr>
            <w:r>
              <w:rPr>
                <w:rFonts w:ascii="Arial" w:cs="Arial" w:eastAsia="Arial" w:hAnsi="Arial"/>
                <w:sz w:val="18"/>
                <w:szCs w:val="18"/>
                <w:color w:val="auto"/>
              </w:rPr>
              <w:t>GENERAL PROVISIONS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17.1</w:t>
            </w:r>
          </w:p>
        </w:tc>
        <w:tc>
          <w:tcPr>
            <w:tcW w:w="9020" w:type="dxa"/>
            <w:vAlign w:val="bottom"/>
          </w:tcPr>
          <w:p>
            <w:pPr>
              <w:ind w:left="360"/>
              <w:spacing w:after="0"/>
              <w:rPr>
                <w:sz w:val="20"/>
                <w:szCs w:val="20"/>
                <w:color w:val="auto"/>
              </w:rPr>
            </w:pPr>
            <w:r>
              <w:rPr>
                <w:rFonts w:ascii="Arial" w:cs="Arial" w:eastAsia="Arial" w:hAnsi="Arial"/>
                <w:sz w:val="18"/>
                <w:szCs w:val="18"/>
                <w:color w:val="auto"/>
              </w:rPr>
              <w:t>Effectiveness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17.2</w:t>
            </w:r>
          </w:p>
        </w:tc>
        <w:tc>
          <w:tcPr>
            <w:tcW w:w="9020" w:type="dxa"/>
            <w:vAlign w:val="bottom"/>
          </w:tcPr>
          <w:p>
            <w:pPr>
              <w:ind w:left="360"/>
              <w:spacing w:after="0"/>
              <w:rPr>
                <w:sz w:val="20"/>
                <w:szCs w:val="20"/>
                <w:color w:val="auto"/>
              </w:rPr>
            </w:pPr>
            <w:r>
              <w:rPr>
                <w:rFonts w:ascii="Arial" w:cs="Arial" w:eastAsia="Arial" w:hAnsi="Arial"/>
                <w:sz w:val="18"/>
                <w:szCs w:val="18"/>
                <w:color w:val="auto"/>
              </w:rPr>
              <w:t>Section Headings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17.3</w:t>
            </w:r>
          </w:p>
        </w:tc>
        <w:tc>
          <w:tcPr>
            <w:tcW w:w="9020" w:type="dxa"/>
            <w:vAlign w:val="bottom"/>
          </w:tcPr>
          <w:p>
            <w:pPr>
              <w:ind w:left="360"/>
              <w:spacing w:after="0"/>
              <w:rPr>
                <w:sz w:val="20"/>
                <w:szCs w:val="20"/>
                <w:color w:val="auto"/>
              </w:rPr>
            </w:pPr>
            <w:r>
              <w:rPr>
                <w:rFonts w:ascii="Arial" w:cs="Arial" w:eastAsia="Arial" w:hAnsi="Arial"/>
                <w:sz w:val="18"/>
                <w:szCs w:val="18"/>
                <w:color w:val="auto"/>
              </w:rPr>
              <w:t>Interpretation</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17.4</w:t>
            </w:r>
          </w:p>
        </w:tc>
        <w:tc>
          <w:tcPr>
            <w:tcW w:w="9020" w:type="dxa"/>
            <w:vAlign w:val="bottom"/>
          </w:tcPr>
          <w:p>
            <w:pPr>
              <w:ind w:left="360"/>
              <w:spacing w:after="0"/>
              <w:rPr>
                <w:sz w:val="20"/>
                <w:szCs w:val="20"/>
                <w:color w:val="auto"/>
              </w:rPr>
            </w:pPr>
            <w:r>
              <w:rPr>
                <w:rFonts w:ascii="Arial" w:cs="Arial" w:eastAsia="Arial" w:hAnsi="Arial"/>
                <w:sz w:val="18"/>
                <w:szCs w:val="18"/>
                <w:color w:val="auto"/>
              </w:rPr>
              <w:t>Severability of Provisions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17.5</w:t>
            </w:r>
          </w:p>
        </w:tc>
        <w:tc>
          <w:tcPr>
            <w:tcW w:w="9020" w:type="dxa"/>
            <w:vAlign w:val="bottom"/>
          </w:tcPr>
          <w:p>
            <w:pPr>
              <w:ind w:left="360"/>
              <w:spacing w:after="0"/>
              <w:rPr>
                <w:sz w:val="20"/>
                <w:szCs w:val="20"/>
                <w:color w:val="auto"/>
              </w:rPr>
            </w:pPr>
            <w:r>
              <w:rPr>
                <w:rFonts w:ascii="Arial" w:cs="Arial" w:eastAsia="Arial" w:hAnsi="Arial"/>
                <w:sz w:val="18"/>
                <w:szCs w:val="18"/>
                <w:color w:val="auto"/>
              </w:rPr>
              <w:t>Bank Product Providers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17.6</w:t>
            </w:r>
          </w:p>
        </w:tc>
        <w:tc>
          <w:tcPr>
            <w:tcW w:w="9020" w:type="dxa"/>
            <w:vAlign w:val="bottom"/>
          </w:tcPr>
          <w:p>
            <w:pPr>
              <w:ind w:left="360"/>
              <w:spacing w:after="0"/>
              <w:rPr>
                <w:sz w:val="20"/>
                <w:szCs w:val="20"/>
                <w:color w:val="auto"/>
              </w:rPr>
            </w:pPr>
            <w:r>
              <w:rPr>
                <w:rFonts w:ascii="Arial" w:cs="Arial" w:eastAsia="Arial" w:hAnsi="Arial"/>
                <w:sz w:val="18"/>
                <w:szCs w:val="18"/>
                <w:color w:val="auto"/>
              </w:rPr>
              <w:t>Debtor-Creditor Relationship</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17.7</w:t>
            </w:r>
          </w:p>
        </w:tc>
        <w:tc>
          <w:tcPr>
            <w:tcW w:w="9020" w:type="dxa"/>
            <w:vAlign w:val="bottom"/>
          </w:tcPr>
          <w:p>
            <w:pPr>
              <w:ind w:left="360"/>
              <w:spacing w:after="0"/>
              <w:rPr>
                <w:sz w:val="20"/>
                <w:szCs w:val="20"/>
                <w:color w:val="auto"/>
              </w:rPr>
            </w:pPr>
            <w:r>
              <w:rPr>
                <w:rFonts w:ascii="Arial" w:cs="Arial" w:eastAsia="Arial" w:hAnsi="Arial"/>
                <w:sz w:val="18"/>
                <w:szCs w:val="18"/>
                <w:color w:val="auto"/>
              </w:rPr>
              <w:t>Counterparts; Electronic Execution</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17.8</w:t>
            </w:r>
          </w:p>
        </w:tc>
        <w:tc>
          <w:tcPr>
            <w:tcW w:w="9020" w:type="dxa"/>
            <w:vAlign w:val="bottom"/>
          </w:tcPr>
          <w:p>
            <w:pPr>
              <w:ind w:left="360"/>
              <w:spacing w:after="0"/>
              <w:rPr>
                <w:sz w:val="20"/>
                <w:szCs w:val="20"/>
                <w:color w:val="auto"/>
              </w:rPr>
            </w:pPr>
            <w:r>
              <w:rPr>
                <w:rFonts w:ascii="Arial" w:cs="Arial" w:eastAsia="Arial" w:hAnsi="Arial"/>
                <w:sz w:val="18"/>
                <w:szCs w:val="18"/>
                <w:color w:val="auto"/>
              </w:rPr>
              <w:t>Revival and Reinstatement of Obligations; Certain Waivers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17.9</w:t>
            </w:r>
          </w:p>
        </w:tc>
        <w:tc>
          <w:tcPr>
            <w:tcW w:w="9020" w:type="dxa"/>
            <w:vAlign w:val="bottom"/>
          </w:tcPr>
          <w:p>
            <w:pPr>
              <w:ind w:left="360"/>
              <w:spacing w:after="0"/>
              <w:rPr>
                <w:sz w:val="20"/>
                <w:szCs w:val="20"/>
                <w:color w:val="auto"/>
              </w:rPr>
            </w:pPr>
            <w:r>
              <w:rPr>
                <w:rFonts w:ascii="Arial" w:cs="Arial" w:eastAsia="Arial" w:hAnsi="Arial"/>
                <w:sz w:val="18"/>
                <w:szCs w:val="18"/>
                <w:color w:val="auto"/>
              </w:rPr>
              <w:t>Confidentiality</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17.10</w:t>
            </w:r>
          </w:p>
        </w:tc>
        <w:tc>
          <w:tcPr>
            <w:tcW w:w="9020" w:type="dxa"/>
            <w:vAlign w:val="bottom"/>
          </w:tcPr>
          <w:p>
            <w:pPr>
              <w:ind w:left="360"/>
              <w:spacing w:after="0"/>
              <w:rPr>
                <w:sz w:val="20"/>
                <w:szCs w:val="20"/>
                <w:color w:val="auto"/>
              </w:rPr>
            </w:pPr>
            <w:r>
              <w:rPr>
                <w:rFonts w:ascii="Arial" w:cs="Arial" w:eastAsia="Arial" w:hAnsi="Arial"/>
                <w:sz w:val="18"/>
                <w:szCs w:val="18"/>
                <w:color w:val="auto"/>
              </w:rPr>
              <w:t>Survival</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17.11</w:t>
            </w:r>
          </w:p>
        </w:tc>
        <w:tc>
          <w:tcPr>
            <w:tcW w:w="9020" w:type="dxa"/>
            <w:vAlign w:val="bottom"/>
          </w:tcPr>
          <w:p>
            <w:pPr>
              <w:ind w:left="360"/>
              <w:spacing w:after="0"/>
              <w:rPr>
                <w:sz w:val="20"/>
                <w:szCs w:val="20"/>
                <w:color w:val="auto"/>
              </w:rPr>
            </w:pPr>
            <w:r>
              <w:rPr>
                <w:rFonts w:ascii="Arial" w:cs="Arial" w:eastAsia="Arial" w:hAnsi="Arial"/>
                <w:sz w:val="18"/>
                <w:szCs w:val="18"/>
                <w:color w:val="auto"/>
              </w:rPr>
              <w:t>Patriot Act; Due Diligence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vMerge w:val="restart"/>
          </w:tcPr>
          <w:p>
            <w:pPr>
              <w:jc w:val="right"/>
              <w:ind w:right="130"/>
              <w:spacing w:after="0"/>
              <w:rPr>
                <w:sz w:val="20"/>
                <w:szCs w:val="20"/>
                <w:color w:val="auto"/>
              </w:rPr>
            </w:pPr>
            <w:r>
              <w:rPr>
                <w:rFonts w:ascii="Arial" w:cs="Arial" w:eastAsia="Arial" w:hAnsi="Arial"/>
                <w:sz w:val="18"/>
                <w:szCs w:val="18"/>
                <w:color w:val="auto"/>
                <w:w w:val="88"/>
              </w:rPr>
              <w:t>17.12</w:t>
            </w:r>
          </w:p>
        </w:tc>
        <w:tc>
          <w:tcPr>
            <w:tcW w:w="8880" w:type="dxa"/>
            <w:vAlign w:val="bottom"/>
            <w:vMerge w:val="restart"/>
          </w:tcPr>
          <w:p>
            <w:pPr>
              <w:ind w:left="220"/>
              <w:spacing w:after="0"/>
              <w:rPr>
                <w:sz w:val="20"/>
                <w:szCs w:val="20"/>
                <w:color w:val="auto"/>
              </w:rPr>
            </w:pPr>
            <w:r>
              <w:rPr>
                <w:rFonts w:ascii="Arial" w:cs="Arial" w:eastAsia="Arial" w:hAnsi="Arial"/>
                <w:sz w:val="18"/>
                <w:szCs w:val="18"/>
                <w:color w:val="auto"/>
              </w:rPr>
              <w:t>Integration</w:t>
            </w:r>
          </w:p>
        </w:tc>
        <w:tc>
          <w:tcPr>
            <w:tcW w:w="42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95"/>
        </w:trPr>
        <w:tc>
          <w:tcPr>
            <w:tcW w:w="640" w:type="dxa"/>
            <w:vAlign w:val="bottom"/>
            <w:vMerge w:val="continue"/>
          </w:tcPr>
          <w:p>
            <w:pPr>
              <w:spacing w:after="0"/>
              <w:rPr>
                <w:sz w:val="16"/>
                <w:szCs w:val="16"/>
                <w:color w:val="auto"/>
              </w:rPr>
            </w:pPr>
          </w:p>
        </w:tc>
        <w:tc>
          <w:tcPr>
            <w:tcW w:w="8880" w:type="dxa"/>
            <w:vAlign w:val="bottom"/>
            <w:vMerge w:val="continue"/>
          </w:tcPr>
          <w:p>
            <w:pPr>
              <w:spacing w:after="0"/>
              <w:rPr>
                <w:sz w:val="16"/>
                <w:szCs w:val="16"/>
                <w:color w:val="auto"/>
              </w:rPr>
            </w:pPr>
          </w:p>
        </w:tc>
        <w:tc>
          <w:tcPr>
            <w:tcW w:w="4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0" w:type="dxa"/>
            <w:vAlign w:val="bottom"/>
          </w:tcPr>
          <w:p>
            <w:pPr>
              <w:jc w:val="right"/>
              <w:ind w:right="130"/>
              <w:spacing w:after="0"/>
              <w:rPr>
                <w:sz w:val="20"/>
                <w:szCs w:val="20"/>
                <w:color w:val="auto"/>
              </w:rPr>
            </w:pPr>
            <w:r>
              <w:rPr>
                <w:rFonts w:ascii="Arial" w:cs="Arial" w:eastAsia="Arial" w:hAnsi="Arial"/>
                <w:sz w:val="18"/>
                <w:szCs w:val="18"/>
                <w:color w:val="auto"/>
                <w:w w:val="88"/>
              </w:rPr>
              <w:t>17.13</w:t>
            </w:r>
          </w:p>
        </w:tc>
        <w:tc>
          <w:tcPr>
            <w:tcW w:w="8880" w:type="dxa"/>
            <w:vAlign w:val="bottom"/>
          </w:tcPr>
          <w:p>
            <w:pPr>
              <w:ind w:left="220"/>
              <w:spacing w:after="0"/>
              <w:rPr>
                <w:sz w:val="20"/>
                <w:szCs w:val="20"/>
                <w:color w:val="auto"/>
              </w:rPr>
            </w:pPr>
            <w:r>
              <w:rPr>
                <w:rFonts w:ascii="Arial" w:cs="Arial" w:eastAsia="Arial" w:hAnsi="Arial"/>
                <w:sz w:val="18"/>
                <w:szCs w:val="18"/>
                <w:color w:val="auto"/>
              </w:rPr>
              <w:t>Calavo Growers, Inc. as Agent for Borrowers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640" w:type="dxa"/>
            <w:vAlign w:val="bottom"/>
          </w:tcPr>
          <w:p>
            <w:pPr>
              <w:jc w:val="right"/>
              <w:ind w:right="130"/>
              <w:spacing w:after="0"/>
              <w:rPr>
                <w:sz w:val="20"/>
                <w:szCs w:val="20"/>
                <w:color w:val="auto"/>
              </w:rPr>
            </w:pPr>
            <w:r>
              <w:rPr>
                <w:rFonts w:ascii="Arial" w:cs="Arial" w:eastAsia="Arial" w:hAnsi="Arial"/>
                <w:sz w:val="18"/>
                <w:szCs w:val="18"/>
                <w:color w:val="auto"/>
                <w:w w:val="88"/>
              </w:rPr>
              <w:t>17.14</w:t>
            </w:r>
          </w:p>
        </w:tc>
        <w:tc>
          <w:tcPr>
            <w:tcW w:w="8880" w:type="dxa"/>
            <w:vAlign w:val="bottom"/>
          </w:tcPr>
          <w:p>
            <w:pPr>
              <w:ind w:left="22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640" w:type="dxa"/>
            <w:vAlign w:val="bottom"/>
          </w:tcPr>
          <w:p>
            <w:pPr>
              <w:jc w:val="right"/>
              <w:ind w:right="130"/>
              <w:spacing w:after="0"/>
              <w:rPr>
                <w:sz w:val="20"/>
                <w:szCs w:val="20"/>
                <w:color w:val="auto"/>
              </w:rPr>
            </w:pPr>
            <w:r>
              <w:rPr>
                <w:rFonts w:ascii="Arial" w:cs="Arial" w:eastAsia="Arial" w:hAnsi="Arial"/>
                <w:sz w:val="18"/>
                <w:szCs w:val="18"/>
                <w:color w:val="auto"/>
                <w:w w:val="88"/>
              </w:rPr>
              <w:t>17.15</w:t>
            </w:r>
          </w:p>
        </w:tc>
        <w:tc>
          <w:tcPr>
            <w:tcW w:w="8880" w:type="dxa"/>
            <w:vAlign w:val="bottom"/>
          </w:tcPr>
          <w:p>
            <w:pPr>
              <w:ind w:left="220"/>
              <w:spacing w:after="0"/>
              <w:rPr>
                <w:sz w:val="20"/>
                <w:szCs w:val="20"/>
                <w:color w:val="auto"/>
              </w:rPr>
            </w:pPr>
            <w:r>
              <w:rPr>
                <w:rFonts w:ascii="Arial" w:cs="Arial" w:eastAsia="Arial" w:hAnsi="Arial"/>
                <w:sz w:val="18"/>
                <w:szCs w:val="18"/>
                <w:color w:val="auto"/>
              </w:rPr>
              <w:t>Acknowledgement Regarding Any Supported QFCs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640" w:type="dxa"/>
            <w:vAlign w:val="bottom"/>
          </w:tcPr>
          <w:p>
            <w:pPr>
              <w:jc w:val="right"/>
              <w:ind w:right="130"/>
              <w:spacing w:after="0"/>
              <w:rPr>
                <w:sz w:val="20"/>
                <w:szCs w:val="20"/>
                <w:color w:val="auto"/>
              </w:rPr>
            </w:pPr>
            <w:r>
              <w:rPr>
                <w:rFonts w:ascii="Arial" w:cs="Arial" w:eastAsia="Arial" w:hAnsi="Arial"/>
                <w:sz w:val="18"/>
                <w:szCs w:val="18"/>
                <w:color w:val="auto"/>
                <w:w w:val="88"/>
              </w:rPr>
              <w:t>17.16</w:t>
            </w:r>
          </w:p>
        </w:tc>
        <w:tc>
          <w:tcPr>
            <w:tcW w:w="8880" w:type="dxa"/>
            <w:vAlign w:val="bottom"/>
          </w:tcPr>
          <w:p>
            <w:pPr>
              <w:ind w:left="220"/>
              <w:spacing w:after="0"/>
              <w:rPr>
                <w:sz w:val="20"/>
                <w:szCs w:val="20"/>
                <w:color w:val="auto"/>
              </w:rPr>
            </w:pPr>
            <w:r>
              <w:rPr>
                <w:rFonts w:ascii="Arial" w:cs="Arial" w:eastAsia="Arial" w:hAnsi="Arial"/>
                <w:sz w:val="18"/>
                <w:szCs w:val="18"/>
                <w:color w:val="auto"/>
              </w:rPr>
              <w:t>Erroneous Payments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56"/>
        </w:trPr>
        <w:tc>
          <w:tcPr>
            <w:tcW w:w="1820" w:type="dxa"/>
            <w:vAlign w:val="bottom"/>
          </w:tcPr>
          <w:p>
            <w:pPr>
              <w:spacing w:after="0"/>
              <w:rPr>
                <w:sz w:val="22"/>
                <w:szCs w:val="22"/>
                <w:color w:val="auto"/>
              </w:rPr>
            </w:pPr>
          </w:p>
        </w:tc>
        <w:tc>
          <w:tcPr>
            <w:tcW w:w="8100" w:type="dxa"/>
            <w:vAlign w:val="bottom"/>
          </w:tcPr>
          <w:p>
            <w:pPr>
              <w:ind w:left="1800"/>
              <w:spacing w:after="0"/>
              <w:rPr>
                <w:sz w:val="20"/>
                <w:szCs w:val="20"/>
                <w:color w:val="auto"/>
              </w:rPr>
            </w:pPr>
            <w:r>
              <w:rPr>
                <w:rFonts w:ascii="Arial" w:cs="Arial" w:eastAsia="Arial" w:hAnsi="Arial"/>
                <w:sz w:val="20"/>
                <w:szCs w:val="20"/>
                <w:b w:val="1"/>
                <w:bCs w:val="1"/>
                <w:color w:val="auto"/>
              </w:rPr>
              <w:t>EXHIBITS AND SCHEDULES</w:t>
            </w:r>
          </w:p>
        </w:tc>
      </w:tr>
      <w:tr>
        <w:trPr>
          <w:trHeight w:val="427"/>
        </w:trPr>
        <w:tc>
          <w:tcPr>
            <w:tcW w:w="1820" w:type="dxa"/>
            <w:vAlign w:val="bottom"/>
          </w:tcPr>
          <w:p>
            <w:pPr>
              <w:spacing w:after="0"/>
              <w:rPr>
                <w:sz w:val="20"/>
                <w:szCs w:val="20"/>
                <w:color w:val="auto"/>
              </w:rPr>
            </w:pPr>
            <w:r>
              <w:rPr>
                <w:rFonts w:ascii="Arial" w:cs="Arial" w:eastAsia="Arial" w:hAnsi="Arial"/>
                <w:sz w:val="18"/>
                <w:szCs w:val="18"/>
                <w:color w:val="auto"/>
              </w:rPr>
              <w:t>Exhibit A-1</w:t>
            </w:r>
          </w:p>
        </w:tc>
        <w:tc>
          <w:tcPr>
            <w:tcW w:w="8100" w:type="dxa"/>
            <w:vAlign w:val="bottom"/>
          </w:tcPr>
          <w:p>
            <w:pPr>
              <w:ind w:left="660"/>
              <w:spacing w:after="0"/>
              <w:rPr>
                <w:sz w:val="20"/>
                <w:szCs w:val="20"/>
                <w:color w:val="auto"/>
              </w:rPr>
            </w:pPr>
            <w:r>
              <w:rPr>
                <w:rFonts w:ascii="Arial" w:cs="Arial" w:eastAsia="Arial" w:hAnsi="Arial"/>
                <w:sz w:val="18"/>
                <w:szCs w:val="18"/>
                <w:color w:val="auto"/>
              </w:rPr>
              <w:t>Form of Assignment and Acceptance</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Exhibit B-1</w:t>
            </w:r>
          </w:p>
        </w:tc>
        <w:tc>
          <w:tcPr>
            <w:tcW w:w="8100" w:type="dxa"/>
            <w:vAlign w:val="bottom"/>
          </w:tcPr>
          <w:p>
            <w:pPr>
              <w:ind w:left="660"/>
              <w:spacing w:after="0"/>
              <w:rPr>
                <w:sz w:val="20"/>
                <w:szCs w:val="20"/>
                <w:color w:val="auto"/>
              </w:rPr>
            </w:pPr>
            <w:r>
              <w:rPr>
                <w:rFonts w:ascii="Arial" w:cs="Arial" w:eastAsia="Arial" w:hAnsi="Arial"/>
                <w:sz w:val="18"/>
                <w:szCs w:val="18"/>
                <w:color w:val="auto"/>
              </w:rPr>
              <w:t>Form of Borrowing Base Certificate</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Exhibit C-1</w:t>
            </w:r>
          </w:p>
        </w:tc>
        <w:tc>
          <w:tcPr>
            <w:tcW w:w="8100" w:type="dxa"/>
            <w:vAlign w:val="bottom"/>
          </w:tcPr>
          <w:p>
            <w:pPr>
              <w:ind w:left="660"/>
              <w:spacing w:after="0"/>
              <w:rPr>
                <w:sz w:val="20"/>
                <w:szCs w:val="20"/>
                <w:color w:val="auto"/>
              </w:rPr>
            </w:pPr>
            <w:r>
              <w:rPr>
                <w:rFonts w:ascii="Arial" w:cs="Arial" w:eastAsia="Arial" w:hAnsi="Arial"/>
                <w:sz w:val="18"/>
                <w:szCs w:val="18"/>
                <w:color w:val="auto"/>
              </w:rPr>
              <w:t>Form of Compliance Certificate</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Exhibit J-1</w:t>
            </w:r>
          </w:p>
        </w:tc>
        <w:tc>
          <w:tcPr>
            <w:tcW w:w="8100" w:type="dxa"/>
            <w:vAlign w:val="bottom"/>
          </w:tcPr>
          <w:p>
            <w:pPr>
              <w:ind w:left="660"/>
              <w:spacing w:after="0"/>
              <w:rPr>
                <w:sz w:val="20"/>
                <w:szCs w:val="20"/>
                <w:color w:val="auto"/>
              </w:rPr>
            </w:pPr>
            <w:r>
              <w:rPr>
                <w:rFonts w:ascii="Arial" w:cs="Arial" w:eastAsia="Arial" w:hAnsi="Arial"/>
                <w:sz w:val="18"/>
                <w:szCs w:val="18"/>
                <w:color w:val="auto"/>
              </w:rPr>
              <w:t>Form of Joinder</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Exhibit L-1</w:t>
            </w:r>
          </w:p>
        </w:tc>
        <w:tc>
          <w:tcPr>
            <w:tcW w:w="8100" w:type="dxa"/>
            <w:vAlign w:val="bottom"/>
          </w:tcPr>
          <w:p>
            <w:pPr>
              <w:ind w:left="660"/>
              <w:spacing w:after="0"/>
              <w:rPr>
                <w:sz w:val="20"/>
                <w:szCs w:val="20"/>
                <w:color w:val="auto"/>
              </w:rPr>
            </w:pPr>
            <w:r>
              <w:rPr>
                <w:rFonts w:ascii="Arial" w:cs="Arial" w:eastAsia="Arial" w:hAnsi="Arial"/>
                <w:sz w:val="18"/>
                <w:szCs w:val="18"/>
                <w:color w:val="auto"/>
              </w:rPr>
              <w:t>Form of SOFR Notice</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Exhibit P-1</w:t>
            </w:r>
          </w:p>
        </w:tc>
        <w:tc>
          <w:tcPr>
            <w:tcW w:w="8100" w:type="dxa"/>
            <w:vAlign w:val="bottom"/>
          </w:tcPr>
          <w:p>
            <w:pPr>
              <w:ind w:left="660"/>
              <w:spacing w:after="0"/>
              <w:rPr>
                <w:sz w:val="20"/>
                <w:szCs w:val="20"/>
                <w:color w:val="auto"/>
              </w:rPr>
            </w:pPr>
            <w:r>
              <w:rPr>
                <w:rFonts w:ascii="Arial" w:cs="Arial" w:eastAsia="Arial" w:hAnsi="Arial"/>
                <w:sz w:val="18"/>
                <w:szCs w:val="18"/>
                <w:color w:val="auto"/>
              </w:rPr>
              <w:t>Form of Perfection Certificate</w:t>
            </w:r>
          </w:p>
        </w:tc>
      </w:tr>
      <w:tr>
        <w:trPr>
          <w:trHeight w:val="850"/>
        </w:trPr>
        <w:tc>
          <w:tcPr>
            <w:tcW w:w="1820" w:type="dxa"/>
            <w:vAlign w:val="bottom"/>
          </w:tcPr>
          <w:p>
            <w:pPr>
              <w:spacing w:after="0"/>
              <w:rPr>
                <w:sz w:val="20"/>
                <w:szCs w:val="20"/>
                <w:color w:val="auto"/>
              </w:rPr>
            </w:pPr>
            <w:r>
              <w:rPr>
                <w:rFonts w:ascii="Arial" w:cs="Arial" w:eastAsia="Arial" w:hAnsi="Arial"/>
                <w:sz w:val="18"/>
                <w:szCs w:val="18"/>
                <w:color w:val="auto"/>
              </w:rPr>
              <w:t>Schedule A-1</w:t>
            </w:r>
          </w:p>
        </w:tc>
        <w:tc>
          <w:tcPr>
            <w:tcW w:w="8100" w:type="dxa"/>
            <w:vAlign w:val="bottom"/>
          </w:tcPr>
          <w:p>
            <w:pPr>
              <w:ind w:left="660"/>
              <w:spacing w:after="0"/>
              <w:rPr>
                <w:sz w:val="20"/>
                <w:szCs w:val="20"/>
                <w:color w:val="auto"/>
              </w:rPr>
            </w:pPr>
            <w:r>
              <w:rPr>
                <w:rFonts w:ascii="Arial" w:cs="Arial" w:eastAsia="Arial" w:hAnsi="Arial"/>
                <w:sz w:val="18"/>
                <w:szCs w:val="18"/>
                <w:color w:val="auto"/>
              </w:rPr>
              <w:t>Agent’s Account</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Schedule A-2</w:t>
            </w:r>
          </w:p>
        </w:tc>
        <w:tc>
          <w:tcPr>
            <w:tcW w:w="8100" w:type="dxa"/>
            <w:vAlign w:val="bottom"/>
          </w:tcPr>
          <w:p>
            <w:pPr>
              <w:ind w:left="660"/>
              <w:spacing w:after="0"/>
              <w:rPr>
                <w:sz w:val="20"/>
                <w:szCs w:val="20"/>
                <w:color w:val="auto"/>
              </w:rPr>
            </w:pPr>
            <w:r>
              <w:rPr>
                <w:rFonts w:ascii="Arial" w:cs="Arial" w:eastAsia="Arial" w:hAnsi="Arial"/>
                <w:sz w:val="18"/>
                <w:szCs w:val="18"/>
                <w:color w:val="auto"/>
              </w:rPr>
              <w:t>Authorized Persons</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Schedule C-1</w:t>
            </w:r>
          </w:p>
        </w:tc>
        <w:tc>
          <w:tcPr>
            <w:tcW w:w="8100" w:type="dxa"/>
            <w:vAlign w:val="bottom"/>
          </w:tcPr>
          <w:p>
            <w:pPr>
              <w:ind w:left="660"/>
              <w:spacing w:after="0"/>
              <w:rPr>
                <w:sz w:val="20"/>
                <w:szCs w:val="20"/>
                <w:color w:val="auto"/>
              </w:rPr>
            </w:pPr>
            <w:r>
              <w:rPr>
                <w:rFonts w:ascii="Arial" w:cs="Arial" w:eastAsia="Arial" w:hAnsi="Arial"/>
                <w:sz w:val="18"/>
                <w:szCs w:val="18"/>
                <w:color w:val="auto"/>
              </w:rPr>
              <w:t>Commitments</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Schedule D-1</w:t>
            </w:r>
          </w:p>
        </w:tc>
        <w:tc>
          <w:tcPr>
            <w:tcW w:w="8100" w:type="dxa"/>
            <w:vAlign w:val="bottom"/>
          </w:tcPr>
          <w:p>
            <w:pPr>
              <w:ind w:left="660"/>
              <w:spacing w:after="0"/>
              <w:rPr>
                <w:sz w:val="20"/>
                <w:szCs w:val="20"/>
                <w:color w:val="auto"/>
              </w:rPr>
            </w:pPr>
            <w:r>
              <w:rPr>
                <w:rFonts w:ascii="Arial" w:cs="Arial" w:eastAsia="Arial" w:hAnsi="Arial"/>
                <w:sz w:val="18"/>
                <w:szCs w:val="18"/>
                <w:color w:val="auto"/>
              </w:rPr>
              <w:t>Designated Account</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Schedule P-1</w:t>
            </w:r>
          </w:p>
        </w:tc>
        <w:tc>
          <w:tcPr>
            <w:tcW w:w="8100" w:type="dxa"/>
            <w:vAlign w:val="bottom"/>
          </w:tcPr>
          <w:p>
            <w:pPr>
              <w:ind w:left="660"/>
              <w:spacing w:after="0"/>
              <w:rPr>
                <w:sz w:val="20"/>
                <w:szCs w:val="20"/>
                <w:color w:val="auto"/>
              </w:rPr>
            </w:pPr>
            <w:r>
              <w:rPr>
                <w:rFonts w:ascii="Arial" w:cs="Arial" w:eastAsia="Arial" w:hAnsi="Arial"/>
                <w:sz w:val="18"/>
                <w:szCs w:val="18"/>
                <w:color w:val="auto"/>
              </w:rPr>
              <w:t>Permitted Investments</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Schedule P-2</w:t>
            </w:r>
          </w:p>
        </w:tc>
        <w:tc>
          <w:tcPr>
            <w:tcW w:w="8100" w:type="dxa"/>
            <w:vAlign w:val="bottom"/>
          </w:tcPr>
          <w:p>
            <w:pPr>
              <w:ind w:left="660"/>
              <w:spacing w:after="0"/>
              <w:rPr>
                <w:sz w:val="20"/>
                <w:szCs w:val="20"/>
                <w:color w:val="auto"/>
              </w:rPr>
            </w:pPr>
            <w:r>
              <w:rPr>
                <w:rFonts w:ascii="Arial" w:cs="Arial" w:eastAsia="Arial" w:hAnsi="Arial"/>
                <w:sz w:val="18"/>
                <w:szCs w:val="18"/>
                <w:color w:val="auto"/>
              </w:rPr>
              <w:t>Permitted Liens</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Schedule R-1</w:t>
            </w:r>
          </w:p>
        </w:tc>
        <w:tc>
          <w:tcPr>
            <w:tcW w:w="8100" w:type="dxa"/>
            <w:vAlign w:val="bottom"/>
          </w:tcPr>
          <w:p>
            <w:pPr>
              <w:ind w:left="660"/>
              <w:spacing w:after="0"/>
              <w:rPr>
                <w:sz w:val="20"/>
                <w:szCs w:val="20"/>
                <w:color w:val="auto"/>
              </w:rPr>
            </w:pPr>
            <w:r>
              <w:rPr>
                <w:rFonts w:ascii="Arial" w:cs="Arial" w:eastAsia="Arial" w:hAnsi="Arial"/>
                <w:sz w:val="18"/>
                <w:szCs w:val="18"/>
                <w:color w:val="auto"/>
              </w:rPr>
              <w:t>Real Property Collateral</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Schedule 3.1</w:t>
            </w:r>
          </w:p>
        </w:tc>
        <w:tc>
          <w:tcPr>
            <w:tcW w:w="8100" w:type="dxa"/>
            <w:vAlign w:val="bottom"/>
          </w:tcPr>
          <w:p>
            <w:pPr>
              <w:ind w:left="660"/>
              <w:spacing w:after="0"/>
              <w:rPr>
                <w:sz w:val="20"/>
                <w:szCs w:val="20"/>
                <w:color w:val="auto"/>
              </w:rPr>
            </w:pPr>
            <w:r>
              <w:rPr>
                <w:rFonts w:ascii="Arial" w:cs="Arial" w:eastAsia="Arial" w:hAnsi="Arial"/>
                <w:sz w:val="18"/>
                <w:szCs w:val="18"/>
                <w:color w:val="auto"/>
              </w:rPr>
              <w:t>Conditions Precedent</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Schedule 3.6</w:t>
            </w:r>
          </w:p>
        </w:tc>
        <w:tc>
          <w:tcPr>
            <w:tcW w:w="8100" w:type="dxa"/>
            <w:vAlign w:val="bottom"/>
          </w:tcPr>
          <w:p>
            <w:pPr>
              <w:ind w:left="660"/>
              <w:spacing w:after="0"/>
              <w:rPr>
                <w:sz w:val="20"/>
                <w:szCs w:val="20"/>
                <w:color w:val="auto"/>
              </w:rPr>
            </w:pPr>
            <w:r>
              <w:rPr>
                <w:rFonts w:ascii="Arial" w:cs="Arial" w:eastAsia="Arial" w:hAnsi="Arial"/>
                <w:sz w:val="18"/>
                <w:szCs w:val="18"/>
                <w:color w:val="auto"/>
              </w:rPr>
              <w:t>Conditions Subsequent</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Schedule 4.1(b)</w:t>
            </w:r>
          </w:p>
        </w:tc>
        <w:tc>
          <w:tcPr>
            <w:tcW w:w="8100" w:type="dxa"/>
            <w:vAlign w:val="bottom"/>
          </w:tcPr>
          <w:p>
            <w:pPr>
              <w:ind w:left="660"/>
              <w:spacing w:after="0"/>
              <w:rPr>
                <w:sz w:val="20"/>
                <w:szCs w:val="20"/>
                <w:color w:val="auto"/>
              </w:rPr>
            </w:pPr>
            <w:r>
              <w:rPr>
                <w:rFonts w:ascii="Arial" w:cs="Arial" w:eastAsia="Arial" w:hAnsi="Arial"/>
                <w:sz w:val="18"/>
                <w:szCs w:val="18"/>
                <w:color w:val="auto"/>
              </w:rPr>
              <w:t>Capitalization of Borrowers</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Schedule 4.1(c)</w:t>
            </w:r>
          </w:p>
        </w:tc>
        <w:tc>
          <w:tcPr>
            <w:tcW w:w="8100" w:type="dxa"/>
            <w:vAlign w:val="bottom"/>
          </w:tcPr>
          <w:p>
            <w:pPr>
              <w:ind w:left="660"/>
              <w:spacing w:after="0"/>
              <w:rPr>
                <w:sz w:val="20"/>
                <w:szCs w:val="20"/>
                <w:color w:val="auto"/>
              </w:rPr>
            </w:pPr>
            <w:r>
              <w:rPr>
                <w:rFonts w:ascii="Arial" w:cs="Arial" w:eastAsia="Arial" w:hAnsi="Arial"/>
                <w:sz w:val="18"/>
                <w:szCs w:val="18"/>
                <w:color w:val="auto"/>
              </w:rPr>
              <w:t>Capitalization of Borrowers’ Subsidiaries</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Schedule 4.1(d)</w:t>
            </w:r>
          </w:p>
        </w:tc>
        <w:tc>
          <w:tcPr>
            <w:tcW w:w="8100" w:type="dxa"/>
            <w:vAlign w:val="bottom"/>
          </w:tcPr>
          <w:p>
            <w:pPr>
              <w:ind w:left="660"/>
              <w:spacing w:after="0"/>
              <w:rPr>
                <w:sz w:val="20"/>
                <w:szCs w:val="20"/>
                <w:color w:val="auto"/>
              </w:rPr>
            </w:pPr>
            <w:r>
              <w:rPr>
                <w:rFonts w:ascii="Arial" w:cs="Arial" w:eastAsia="Arial" w:hAnsi="Arial"/>
                <w:sz w:val="18"/>
                <w:szCs w:val="18"/>
                <w:color w:val="auto"/>
              </w:rPr>
              <w:t>Subscriptions, Options, Warrants, Calls</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Schedule 4.6(b)</w:t>
            </w:r>
          </w:p>
        </w:tc>
        <w:tc>
          <w:tcPr>
            <w:tcW w:w="8100" w:type="dxa"/>
            <w:vAlign w:val="bottom"/>
          </w:tcPr>
          <w:p>
            <w:pPr>
              <w:ind w:left="660"/>
              <w:spacing w:after="0"/>
              <w:rPr>
                <w:sz w:val="20"/>
                <w:szCs w:val="20"/>
                <w:color w:val="auto"/>
              </w:rPr>
            </w:pPr>
            <w:r>
              <w:rPr>
                <w:rFonts w:ascii="Arial" w:cs="Arial" w:eastAsia="Arial" w:hAnsi="Arial"/>
                <w:sz w:val="18"/>
                <w:szCs w:val="18"/>
                <w:color w:val="auto"/>
              </w:rPr>
              <w:t>Litigation</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Schedule 4.11</w:t>
            </w:r>
          </w:p>
        </w:tc>
        <w:tc>
          <w:tcPr>
            <w:tcW w:w="8100" w:type="dxa"/>
            <w:vAlign w:val="bottom"/>
          </w:tcPr>
          <w:p>
            <w:pPr>
              <w:ind w:left="660"/>
              <w:spacing w:after="0"/>
              <w:rPr>
                <w:sz w:val="20"/>
                <w:szCs w:val="20"/>
                <w:color w:val="auto"/>
              </w:rPr>
            </w:pPr>
            <w:r>
              <w:rPr>
                <w:rFonts w:ascii="Arial" w:cs="Arial" w:eastAsia="Arial" w:hAnsi="Arial"/>
                <w:sz w:val="18"/>
                <w:szCs w:val="18"/>
                <w:color w:val="auto"/>
              </w:rPr>
              <w:t>Environmental Matters</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Schedule 4.14</w:t>
            </w:r>
          </w:p>
        </w:tc>
        <w:tc>
          <w:tcPr>
            <w:tcW w:w="8100" w:type="dxa"/>
            <w:vAlign w:val="bottom"/>
          </w:tcPr>
          <w:p>
            <w:pPr>
              <w:ind w:left="660"/>
              <w:spacing w:after="0"/>
              <w:rPr>
                <w:sz w:val="20"/>
                <w:szCs w:val="20"/>
                <w:color w:val="auto"/>
              </w:rPr>
            </w:pPr>
            <w:r>
              <w:rPr>
                <w:rFonts w:ascii="Arial" w:cs="Arial" w:eastAsia="Arial" w:hAnsi="Arial"/>
                <w:sz w:val="18"/>
                <w:szCs w:val="18"/>
                <w:color w:val="auto"/>
              </w:rPr>
              <w:t>Permitted Indebtedness</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Schedule 4.19</w:t>
            </w:r>
          </w:p>
        </w:tc>
        <w:tc>
          <w:tcPr>
            <w:tcW w:w="8100" w:type="dxa"/>
            <w:vAlign w:val="bottom"/>
          </w:tcPr>
          <w:p>
            <w:pPr>
              <w:ind w:left="660"/>
              <w:spacing w:after="0"/>
              <w:rPr>
                <w:sz w:val="20"/>
                <w:szCs w:val="20"/>
                <w:color w:val="auto"/>
              </w:rPr>
            </w:pPr>
            <w:r>
              <w:rPr>
                <w:rFonts w:ascii="Arial" w:cs="Arial" w:eastAsia="Arial" w:hAnsi="Arial"/>
                <w:sz w:val="18"/>
                <w:szCs w:val="18"/>
                <w:color w:val="auto"/>
              </w:rPr>
              <w:t>Employee and Labor Matters</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Schedule 4.25</w:t>
            </w:r>
          </w:p>
        </w:tc>
        <w:tc>
          <w:tcPr>
            <w:tcW w:w="8100" w:type="dxa"/>
            <w:vAlign w:val="bottom"/>
          </w:tcPr>
          <w:p>
            <w:pPr>
              <w:ind w:left="660"/>
              <w:spacing w:after="0"/>
              <w:rPr>
                <w:sz w:val="20"/>
                <w:szCs w:val="20"/>
                <w:color w:val="auto"/>
              </w:rPr>
            </w:pPr>
            <w:r>
              <w:rPr>
                <w:rFonts w:ascii="Arial" w:cs="Arial" w:eastAsia="Arial" w:hAnsi="Arial"/>
                <w:sz w:val="18"/>
                <w:szCs w:val="18"/>
                <w:color w:val="auto"/>
              </w:rPr>
              <w:t>Location of Inventory and M&amp;E</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Schedule 5.1</w:t>
            </w:r>
          </w:p>
        </w:tc>
        <w:tc>
          <w:tcPr>
            <w:tcW w:w="8100" w:type="dxa"/>
            <w:vAlign w:val="bottom"/>
          </w:tcPr>
          <w:p>
            <w:pPr>
              <w:ind w:left="660"/>
              <w:spacing w:after="0"/>
              <w:rPr>
                <w:sz w:val="20"/>
                <w:szCs w:val="20"/>
                <w:color w:val="auto"/>
              </w:rPr>
            </w:pPr>
            <w:r>
              <w:rPr>
                <w:rFonts w:ascii="Arial" w:cs="Arial" w:eastAsia="Arial" w:hAnsi="Arial"/>
                <w:sz w:val="18"/>
                <w:szCs w:val="18"/>
                <w:color w:val="auto"/>
              </w:rPr>
              <w:t>Financial Statements, Reports, Certificates</w:t>
            </w:r>
          </w:p>
        </w:tc>
      </w:t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Schedule 5.2</w:t>
            </w:r>
          </w:p>
        </w:tc>
        <w:tc>
          <w:tcPr>
            <w:tcW w:w="8100" w:type="dxa"/>
            <w:vAlign w:val="bottom"/>
          </w:tcPr>
          <w:p>
            <w:pPr>
              <w:ind w:left="660"/>
              <w:spacing w:after="0"/>
              <w:rPr>
                <w:sz w:val="20"/>
                <w:szCs w:val="20"/>
                <w:color w:val="auto"/>
              </w:rPr>
            </w:pPr>
            <w:r>
              <w:rPr>
                <w:rFonts w:ascii="Arial" w:cs="Arial" w:eastAsia="Arial" w:hAnsi="Arial"/>
                <w:sz w:val="18"/>
                <w:szCs w:val="18"/>
                <w:color w:val="auto"/>
              </w:rPr>
              <w:t>Collateral Reporting</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Schedule 6.5</w:t>
            </w:r>
          </w:p>
        </w:tc>
        <w:tc>
          <w:tcPr>
            <w:tcW w:w="8100" w:type="dxa"/>
            <w:vAlign w:val="bottom"/>
          </w:tcPr>
          <w:p>
            <w:pPr>
              <w:ind w:left="660"/>
              <w:spacing w:after="0"/>
              <w:rPr>
                <w:sz w:val="20"/>
                <w:szCs w:val="20"/>
                <w:color w:val="auto"/>
              </w:rPr>
            </w:pPr>
            <w:r>
              <w:rPr>
                <w:rFonts w:ascii="Arial" w:cs="Arial" w:eastAsia="Arial" w:hAnsi="Arial"/>
                <w:sz w:val="18"/>
                <w:szCs w:val="18"/>
                <w:color w:val="auto"/>
              </w:rPr>
              <w:t>Nature of Business</w:t>
            </w:r>
          </w:p>
        </w:tc>
      </w:tr>
      <w:tr>
        <w:trPr>
          <w:trHeight w:val="1235"/>
        </w:trPr>
        <w:tc>
          <w:tcPr>
            <w:tcW w:w="182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8" w:right="999" w:bottom="1440" w:gutter="0" w:footer="0" w:header="0"/>
        </w:sectPr>
      </w:pPr>
    </w:p>
    <w:bookmarkStart w:id="12" w:name="page13"/>
    <w:bookmarkEnd w:id="12"/>
    <w:p>
      <w:pPr>
        <w:jc w:val="center"/>
        <w:spacing w:after="0"/>
        <w:rPr>
          <w:sz w:val="20"/>
          <w:szCs w:val="20"/>
          <w:color w:val="auto"/>
        </w:rPr>
      </w:pPr>
      <w:r>
        <w:rPr>
          <w:rFonts w:ascii="Arial" w:cs="Arial" w:eastAsia="Arial" w:hAnsi="Arial"/>
          <w:sz w:val="20"/>
          <w:szCs w:val="20"/>
          <w:b w:val="1"/>
          <w:bCs w:val="1"/>
          <w:color w:val="auto"/>
        </w:rPr>
        <w:t>CREDIT AGREEMENT</w:t>
      </w:r>
    </w:p>
    <w:p>
      <w:pPr>
        <w:spacing w:after="0" w:line="21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8"/>
          <w:szCs w:val="18"/>
          <w:b w:val="1"/>
          <w:bCs w:val="1"/>
          <w:color w:val="auto"/>
        </w:rPr>
        <w:t>THIS CREDIT AGREEMENT</w:t>
      </w:r>
      <w:r>
        <w:rPr>
          <w:rFonts w:ascii="Arial" w:cs="Arial" w:eastAsia="Arial" w:hAnsi="Arial"/>
          <w:sz w:val="18"/>
          <w:szCs w:val="18"/>
          <w:color w:val="auto"/>
        </w:rPr>
        <w:t>, is entered into as of June 26, 2023 by and among the lenders identified on</w:t>
      </w:r>
      <w:r>
        <w:rPr>
          <w:rFonts w:ascii="Arial" w:cs="Arial" w:eastAsia="Arial" w:hAnsi="Arial"/>
          <w:sz w:val="18"/>
          <w:szCs w:val="18"/>
          <w:b w:val="1"/>
          <w:bCs w:val="1"/>
          <w:color w:val="auto"/>
        </w:rPr>
        <w:t xml:space="preserve"> </w:t>
      </w:r>
      <w:r>
        <w:rPr>
          <w:rFonts w:ascii="Arial" w:cs="Arial" w:eastAsia="Arial" w:hAnsi="Arial"/>
          <w:sz w:val="18"/>
          <w:szCs w:val="18"/>
          <w:color w:val="auto"/>
        </w:rPr>
        <w:t>the signature pages hereof (each of such lenders, together with its successors and permitted assigns, is referred to hereinafter as a “</w:t>
      </w:r>
      <w:r>
        <w:rPr>
          <w:rFonts w:ascii="Arial" w:cs="Arial" w:eastAsia="Arial" w:hAnsi="Arial"/>
          <w:sz w:val="18"/>
          <w:szCs w:val="18"/>
          <w:u w:val="single" w:color="auto"/>
          <w:color w:val="auto"/>
        </w:rPr>
        <w:t>Lender</w:t>
      </w:r>
      <w:r>
        <w:rPr>
          <w:rFonts w:ascii="Arial" w:cs="Arial" w:eastAsia="Arial" w:hAnsi="Arial"/>
          <w:sz w:val="18"/>
          <w:szCs w:val="18"/>
          <w:color w:val="auto"/>
        </w:rPr>
        <w:t xml:space="preserve">”, as that term is hereinafter further defined), </w:t>
      </w:r>
      <w:r>
        <w:rPr>
          <w:rFonts w:ascii="Arial" w:cs="Arial" w:eastAsia="Arial" w:hAnsi="Arial"/>
          <w:sz w:val="18"/>
          <w:szCs w:val="18"/>
          <w:b w:val="1"/>
          <w:bCs w:val="1"/>
          <w:color w:val="auto"/>
        </w:rPr>
        <w:t>WELLS FARGO BANK, NATIONAL ASSOCIATION</w:t>
      </w:r>
      <w:r>
        <w:rPr>
          <w:rFonts w:ascii="Arial" w:cs="Arial" w:eastAsia="Arial" w:hAnsi="Arial"/>
          <w:sz w:val="18"/>
          <w:szCs w:val="18"/>
          <w:color w:val="auto"/>
        </w:rPr>
        <w:t>, a national banking association, as administrative agent for each member of the Lender Group and the Bank Product Providers (in such capacity, together with its successors and assigns in such capacity, “</w:t>
      </w:r>
      <w:r>
        <w:rPr>
          <w:rFonts w:ascii="Arial" w:cs="Arial" w:eastAsia="Arial" w:hAnsi="Arial"/>
          <w:sz w:val="18"/>
          <w:szCs w:val="18"/>
          <w:u w:val="single" w:color="auto"/>
          <w:color w:val="auto"/>
        </w:rPr>
        <w:t>Agent</w:t>
      </w:r>
      <w:r>
        <w:rPr>
          <w:rFonts w:ascii="Arial" w:cs="Arial" w:eastAsia="Arial" w:hAnsi="Arial"/>
          <w:sz w:val="18"/>
          <w:szCs w:val="18"/>
          <w:color w:val="auto"/>
        </w:rPr>
        <w:t xml:space="preserve">”), </w:t>
      </w:r>
      <w:r>
        <w:rPr>
          <w:rFonts w:ascii="Arial" w:cs="Arial" w:eastAsia="Arial" w:hAnsi="Arial"/>
          <w:sz w:val="18"/>
          <w:szCs w:val="18"/>
          <w:b w:val="1"/>
          <w:bCs w:val="1"/>
          <w:color w:val="auto"/>
        </w:rPr>
        <w:t>CALAVO GROWERS, INC.</w:t>
      </w:r>
      <w:r>
        <w:rPr>
          <w:rFonts w:ascii="Arial" w:cs="Arial" w:eastAsia="Arial" w:hAnsi="Arial"/>
          <w:sz w:val="18"/>
          <w:szCs w:val="18"/>
          <w:color w:val="auto"/>
        </w:rPr>
        <w:t>, a California corporation (“</w:t>
      </w:r>
      <w:r>
        <w:rPr>
          <w:rFonts w:ascii="Arial" w:cs="Arial" w:eastAsia="Arial" w:hAnsi="Arial"/>
          <w:sz w:val="18"/>
          <w:szCs w:val="18"/>
          <w:u w:val="single" w:color="auto"/>
          <w:color w:val="auto"/>
        </w:rPr>
        <w:t>Calavo</w:t>
      </w:r>
      <w:r>
        <w:rPr>
          <w:rFonts w:ascii="Arial" w:cs="Arial" w:eastAsia="Arial" w:hAnsi="Arial"/>
          <w:sz w:val="18"/>
          <w:szCs w:val="18"/>
          <w:color w:val="auto"/>
        </w:rPr>
        <w:t xml:space="preserve">”), </w:t>
      </w:r>
      <w:r>
        <w:rPr>
          <w:rFonts w:ascii="Arial" w:cs="Arial" w:eastAsia="Arial" w:hAnsi="Arial"/>
          <w:sz w:val="18"/>
          <w:szCs w:val="18"/>
          <w:b w:val="1"/>
          <w:bCs w:val="1"/>
          <w:color w:val="auto"/>
        </w:rPr>
        <w:t>RENAISSANCE FOOD GROUP, LLC</w:t>
      </w:r>
      <w:r>
        <w:rPr>
          <w:rFonts w:ascii="Arial" w:cs="Arial" w:eastAsia="Arial" w:hAnsi="Arial"/>
          <w:sz w:val="18"/>
          <w:szCs w:val="18"/>
          <w:color w:val="auto"/>
        </w:rPr>
        <w:t xml:space="preserve">, a Delaware limited liability company (“ </w:t>
      </w:r>
      <w:r>
        <w:rPr>
          <w:rFonts w:ascii="Arial" w:cs="Arial" w:eastAsia="Arial" w:hAnsi="Arial"/>
          <w:sz w:val="18"/>
          <w:szCs w:val="18"/>
          <w:u w:val="single" w:color="auto"/>
          <w:color w:val="auto"/>
        </w:rPr>
        <w:t>RFG</w:t>
      </w:r>
      <w:r>
        <w:rPr>
          <w:rFonts w:ascii="Arial" w:cs="Arial" w:eastAsia="Arial" w:hAnsi="Arial"/>
          <w:sz w:val="18"/>
          <w:szCs w:val="18"/>
          <w:color w:val="auto"/>
        </w:rPr>
        <w:t xml:space="preserve">”), </w:t>
      </w:r>
      <w:r>
        <w:rPr>
          <w:rFonts w:ascii="Arial" w:cs="Arial" w:eastAsia="Arial" w:hAnsi="Arial"/>
          <w:sz w:val="18"/>
          <w:szCs w:val="18"/>
          <w:b w:val="1"/>
          <w:bCs w:val="1"/>
          <w:color w:val="auto"/>
        </w:rPr>
        <w:t>HAWAIIAN SWEET, INC.</w:t>
      </w:r>
      <w:r>
        <w:rPr>
          <w:rFonts w:ascii="Arial" w:cs="Arial" w:eastAsia="Arial" w:hAnsi="Arial"/>
          <w:sz w:val="18"/>
          <w:szCs w:val="18"/>
          <w:color w:val="auto"/>
        </w:rPr>
        <w:t>, a California corporation (“</w:t>
      </w:r>
      <w:r>
        <w:rPr>
          <w:rFonts w:ascii="Arial" w:cs="Arial" w:eastAsia="Arial" w:hAnsi="Arial"/>
          <w:sz w:val="18"/>
          <w:szCs w:val="18"/>
          <w:u w:val="single" w:color="auto"/>
          <w:color w:val="auto"/>
        </w:rPr>
        <w:t>Hawaiian Sweet</w:t>
      </w:r>
      <w:r>
        <w:rPr>
          <w:rFonts w:ascii="Arial" w:cs="Arial" w:eastAsia="Arial" w:hAnsi="Arial"/>
          <w:sz w:val="18"/>
          <w:szCs w:val="18"/>
          <w:color w:val="auto"/>
        </w:rPr>
        <w:t>”),</w:t>
      </w:r>
      <w:r>
        <w:rPr>
          <w:rFonts w:ascii="Arial" w:cs="Arial" w:eastAsia="Arial" w:hAnsi="Arial"/>
          <w:sz w:val="18"/>
          <w:szCs w:val="18"/>
          <w:b w:val="1"/>
          <w:bCs w:val="1"/>
          <w:color w:val="auto"/>
        </w:rPr>
        <w:t xml:space="preserve"> GH FOODS CA, LLC</w:t>
      </w:r>
      <w:r>
        <w:rPr>
          <w:rFonts w:ascii="Arial" w:cs="Arial" w:eastAsia="Arial" w:hAnsi="Arial"/>
          <w:sz w:val="18"/>
          <w:szCs w:val="18"/>
          <w:color w:val="auto"/>
        </w:rPr>
        <w:t>, a California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liability company (“GHF”), </w:t>
      </w:r>
      <w:r>
        <w:rPr>
          <w:rFonts w:ascii="Arial" w:cs="Arial" w:eastAsia="Arial" w:hAnsi="Arial"/>
          <w:sz w:val="18"/>
          <w:szCs w:val="18"/>
          <w:b w:val="1"/>
          <w:bCs w:val="1"/>
          <w:color w:val="auto"/>
        </w:rPr>
        <w:t>GHSW, LLC</w:t>
      </w:r>
      <w:r>
        <w:rPr>
          <w:rFonts w:ascii="Arial" w:cs="Arial" w:eastAsia="Arial" w:hAnsi="Arial"/>
          <w:sz w:val="18"/>
          <w:szCs w:val="18"/>
          <w:color w:val="auto"/>
        </w:rPr>
        <w:t xml:space="preserve">, a Texas limited liability company (“GHSW”), </w:t>
      </w:r>
      <w:r>
        <w:rPr>
          <w:rFonts w:ascii="Arial" w:cs="Arial" w:eastAsia="Arial" w:hAnsi="Arial"/>
          <w:sz w:val="18"/>
          <w:szCs w:val="18"/>
          <w:b w:val="1"/>
          <w:bCs w:val="1"/>
          <w:color w:val="auto"/>
        </w:rPr>
        <w:t>GHGA, LLC</w:t>
      </w:r>
      <w:r>
        <w:rPr>
          <w:rFonts w:ascii="Arial" w:cs="Arial" w:eastAsia="Arial" w:hAnsi="Arial"/>
          <w:sz w:val="18"/>
          <w:szCs w:val="18"/>
          <w:color w:val="auto"/>
        </w:rPr>
        <w:t xml:space="preserve">, a Delaware limited liability company (“GHGA”), </w:t>
      </w:r>
      <w:r>
        <w:rPr>
          <w:rFonts w:ascii="Arial" w:cs="Arial" w:eastAsia="Arial" w:hAnsi="Arial"/>
          <w:sz w:val="18"/>
          <w:szCs w:val="18"/>
          <w:b w:val="1"/>
          <w:bCs w:val="1"/>
          <w:color w:val="auto"/>
        </w:rPr>
        <w:t>GHNW, LLC</w:t>
      </w:r>
      <w:r>
        <w:rPr>
          <w:rFonts w:ascii="Arial" w:cs="Arial" w:eastAsia="Arial" w:hAnsi="Arial"/>
          <w:sz w:val="18"/>
          <w:szCs w:val="18"/>
          <w:color w:val="auto"/>
        </w:rPr>
        <w:t xml:space="preserve">, a Delaware limited liability company (“GHNW”) and those additional entities that hereafter become parties hereto as Borrowers in accordance with the terms hereof by executing the form of Joinder attached hereto as </w:t>
      </w:r>
      <w:r>
        <w:rPr>
          <w:rFonts w:ascii="Arial" w:cs="Arial" w:eastAsia="Arial" w:hAnsi="Arial"/>
          <w:sz w:val="18"/>
          <w:szCs w:val="18"/>
          <w:u w:val="single" w:color="auto"/>
          <w:color w:val="auto"/>
        </w:rPr>
        <w:t>Exhibit J-1</w:t>
      </w:r>
      <w:r>
        <w:rPr>
          <w:rFonts w:ascii="Arial" w:cs="Arial" w:eastAsia="Arial" w:hAnsi="Arial"/>
          <w:sz w:val="18"/>
          <w:szCs w:val="18"/>
          <w:color w:val="auto"/>
        </w:rPr>
        <w:t xml:space="preserve"> (each, a “</w:t>
      </w:r>
      <w:r>
        <w:rPr>
          <w:rFonts w:ascii="Arial" w:cs="Arial" w:eastAsia="Arial" w:hAnsi="Arial"/>
          <w:sz w:val="18"/>
          <w:szCs w:val="18"/>
          <w:u w:val="single" w:color="auto"/>
          <w:color w:val="auto"/>
        </w:rPr>
        <w:t>Borrower</w:t>
      </w:r>
      <w:r>
        <w:rPr>
          <w:rFonts w:ascii="Arial" w:cs="Arial" w:eastAsia="Arial" w:hAnsi="Arial"/>
          <w:sz w:val="18"/>
          <w:szCs w:val="18"/>
          <w:color w:val="auto"/>
        </w:rPr>
        <w:t>” and individually and collectively, jointly and severally, the “</w:t>
      </w:r>
      <w:r>
        <w:rPr>
          <w:rFonts w:ascii="Arial" w:cs="Arial" w:eastAsia="Arial" w:hAnsi="Arial"/>
          <w:sz w:val="18"/>
          <w:szCs w:val="18"/>
          <w:u w:val="single" w:color="auto"/>
          <w:color w:val="auto"/>
        </w:rPr>
        <w:t>Borrowers</w:t>
      </w:r>
      <w:r>
        <w:rPr>
          <w:rFonts w:ascii="Arial" w:cs="Arial" w:eastAsia="Arial" w:hAnsi="Arial"/>
          <w:sz w:val="18"/>
          <w:szCs w:val="18"/>
          <w:color w:val="auto"/>
        </w:rPr>
        <w:t>”).</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The parties agree as follows:</w:t>
      </w:r>
    </w:p>
    <w:p>
      <w:pPr>
        <w:spacing w:after="0" w:line="210" w:lineRule="exact"/>
        <w:rPr>
          <w:sz w:val="20"/>
          <w:szCs w:val="20"/>
          <w:color w:val="auto"/>
        </w:rPr>
      </w:pPr>
    </w:p>
    <w:p>
      <w:pPr>
        <w:ind w:left="660" w:hanging="652"/>
        <w:spacing w:after="0"/>
        <w:tabs>
          <w:tab w:leader="none" w:pos="66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 AND CONSTRUCTION.</w:t>
      </w:r>
    </w:p>
    <w:p>
      <w:pPr>
        <w:spacing w:after="0" w:line="215"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1.1</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As used in this Agreement, the following terms shall have the following definitions:</w:t>
      </w:r>
    </w:p>
    <w:p>
      <w:pPr>
        <w:spacing w:after="0" w:line="222"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Acceptable Appraisal</w:t>
      </w:r>
      <w:r>
        <w:rPr>
          <w:rFonts w:ascii="Arial" w:cs="Arial" w:eastAsia="Arial" w:hAnsi="Arial"/>
          <w:sz w:val="20"/>
          <w:szCs w:val="20"/>
          <w:color w:val="auto"/>
        </w:rPr>
        <w:t>” means, with respect to an appraisal of Inventory or M&amp;E, the most recent appraisal of such property received by Agent (a) from an appraisal company satisfactory to Agent in its Permitted Discretion, (b) the scope and methodology (including, to the extent relevant, any sampling procedure employed by such appraisal company) of which are satisfactory to Agent in Agent’s Permitted Discretion, and (c) the results of which are satisfactory to Agent, in each case, in Agent’s Permitted Discretion.</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Account</w:t>
      </w:r>
      <w:r>
        <w:rPr>
          <w:rFonts w:ascii="Arial" w:cs="Arial" w:eastAsia="Arial" w:hAnsi="Arial"/>
          <w:sz w:val="20"/>
          <w:szCs w:val="20"/>
          <w:color w:val="auto"/>
        </w:rPr>
        <w:t>” means an account (as that term is defined in the Code).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 Debtor</w:t>
      </w:r>
      <w:r>
        <w:rPr>
          <w:rFonts w:ascii="Arial" w:cs="Arial" w:eastAsia="Arial" w:hAnsi="Arial"/>
          <w:sz w:val="18"/>
          <w:szCs w:val="18"/>
          <w:color w:val="auto"/>
        </w:rPr>
        <w:t>” means any Person who is obligated on an Account, chattel paper, or a general intangible.</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Account Party</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2.11(h)</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Accounting Changes</w:t>
      </w:r>
      <w:r>
        <w:rPr>
          <w:rFonts w:ascii="Arial" w:cs="Arial" w:eastAsia="Arial" w:hAnsi="Arial"/>
          <w:sz w:val="20"/>
          <w:szCs w:val="20"/>
          <w:color w:val="auto"/>
        </w:rPr>
        <w:t xml:space="preserve"> ” means changes in accounting principles required by the promulgation of any rule, regulation, pronouncement or opinion by the Financial Accounting Standards Board of the American Institute of Certified Public Accountants (or successor thereto or any agency with similar functions).</w:t>
      </w:r>
    </w:p>
    <w:p>
      <w:pPr>
        <w:spacing w:after="0" w:line="18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Acquired Indebtedness</w:t>
      </w:r>
      <w:r>
        <w:rPr>
          <w:rFonts w:ascii="Arial" w:cs="Arial" w:eastAsia="Arial" w:hAnsi="Arial"/>
          <w:sz w:val="20"/>
          <w:szCs w:val="20"/>
          <w:color w:val="auto"/>
        </w:rPr>
        <w:t xml:space="preserve">” means Indebtedness of a Person whose assets or Equity Interests are acquired by a Loan Party or any of its Subsidiaries in a Permitted Acquisition; </w:t>
      </w:r>
      <w:r>
        <w:rPr>
          <w:rFonts w:ascii="Arial" w:cs="Arial" w:eastAsia="Arial" w:hAnsi="Arial"/>
          <w:sz w:val="20"/>
          <w:szCs w:val="20"/>
          <w:u w:val="single" w:color="auto"/>
          <w:color w:val="auto"/>
        </w:rPr>
        <w:t>provided</w:t>
      </w:r>
      <w:r>
        <w:rPr>
          <w:rFonts w:ascii="Arial" w:cs="Arial" w:eastAsia="Arial" w:hAnsi="Arial"/>
          <w:sz w:val="20"/>
          <w:szCs w:val="20"/>
          <w:color w:val="auto"/>
        </w:rPr>
        <w:t>, that such Indebtedness (a) is either purchase money Indebtedness or a Capital Lease with respect to Equipment or mortgage financing with respect to Real Property, (b) was in existence prior to the date of such Permitted Acquisition, and (c) was not incurred in connection with, or in contemplation of, such Permitted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13" w:name="page14"/>
    <w:bookmarkEnd w:id="13"/>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Acquisition</w:t>
      </w:r>
      <w:r>
        <w:rPr>
          <w:rFonts w:ascii="Arial" w:cs="Arial" w:eastAsia="Arial" w:hAnsi="Arial"/>
          <w:sz w:val="20"/>
          <w:szCs w:val="20"/>
          <w:color w:val="auto"/>
        </w:rPr>
        <w:t xml:space="preserve"> ” means (a) the purchase or other acquisition by a Person or its Subsidiaries of all or substantially all of the assets of (or any division or business line of) any other Person, or (b) the purchase or other acquisition (whether by means of a merger, consolidation, or otherwise) by a Person or its Subsidiaries of all of the Equity Interests of any other Person.</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Additional Documents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5.12</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Adjusted Term SOFR</w:t>
      </w:r>
      <w:r>
        <w:rPr>
          <w:rFonts w:ascii="Arial" w:cs="Arial" w:eastAsia="Arial" w:hAnsi="Arial"/>
          <w:sz w:val="20"/>
          <w:szCs w:val="20"/>
          <w:color w:val="auto"/>
        </w:rPr>
        <w:t xml:space="preserve">” means, for purposes of any calculation, the rate per annum equal to (a) Term SOFR for such calculation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Term SOFR Adjustment;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Adjusted Term SOFR as so determined shall ever be less than the Floor, then Adjusted Term SOFR shall be deemed to be the Floor.</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Borrower</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17.13</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13.1(a)</w:t>
      </w:r>
      <w:r>
        <w:rPr>
          <w:rFonts w:ascii="Arial" w:cs="Arial" w:eastAsia="Arial" w:hAnsi="Arial"/>
          <w:sz w:val="18"/>
          <w:szCs w:val="18"/>
          <w:color w:val="auto"/>
        </w:rPr>
        <w:t xml:space="preserve"> of this Agreement.</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Affected Lender</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2.13(b)</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xml:space="preserve">” means, as applied to any Person, any other Person who controls, is controlled by, or is under common control with, such Person. For purposes of this definition, “control” means the possession, directly or indirectly through one or more intermediaries, of the power to direct the management and policies of a Person, whether through the ownership of Equity Interests, by contract,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the definition of Eligible Accounts and </w:t>
      </w:r>
      <w:r>
        <w:rPr>
          <w:rFonts w:ascii="Arial" w:cs="Arial" w:eastAsia="Arial" w:hAnsi="Arial"/>
          <w:sz w:val="19"/>
          <w:szCs w:val="19"/>
          <w:u w:val="single" w:color="auto"/>
          <w:color w:val="auto"/>
        </w:rPr>
        <w:t>Section 6.10</w:t>
      </w:r>
      <w:r>
        <w:rPr>
          <w:rFonts w:ascii="Arial" w:cs="Arial" w:eastAsia="Arial" w:hAnsi="Arial"/>
          <w:sz w:val="19"/>
          <w:szCs w:val="19"/>
          <w:color w:val="auto"/>
        </w:rPr>
        <w:t xml:space="preserve"> of this Agreement: (a) if any Person owns directly or indirectly 10% or more of the Equity Interests having ordinary voting power for the election of directors or other members of the governing body of a Person or 10% or more of the partnership or other ownership interests of a Person (other than as a limited partner of such Person), then both such Persons shall be Affiliates of each other, (b) each director (or comparable manager) of a Person shall be deemed to be an Affiliate of such Person, and (c) each partnership in which a Person is a general partner shall be deemed an Affiliate of such Person.</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w:t>
      </w:r>
      <w:r>
        <w:rPr>
          <w:rFonts w:ascii="Arial" w:cs="Arial" w:eastAsia="Arial" w:hAnsi="Arial"/>
          <w:sz w:val="20"/>
          <w:szCs w:val="20"/>
          <w:color w:val="auto"/>
        </w:rPr>
        <w:t>” has the meaning specified therefor in the preamble to this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Agent-Related Persons</w:t>
      </w:r>
      <w:r>
        <w:rPr>
          <w:rFonts w:ascii="Arial" w:cs="Arial" w:eastAsia="Arial" w:hAnsi="Arial"/>
          <w:sz w:val="18"/>
          <w:szCs w:val="18"/>
          <w:color w:val="auto"/>
        </w:rPr>
        <w:t>” means Agent, together with its Affiliates, officers, directors, employees, attorneys,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and agents.</w:t>
      </w:r>
    </w:p>
    <w:p>
      <w:pPr>
        <w:spacing w:after="0" w:line="200"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Agent’s Account</w:t>
      </w:r>
      <w:r>
        <w:rPr>
          <w:rFonts w:ascii="Arial" w:cs="Arial" w:eastAsia="Arial" w:hAnsi="Arial"/>
          <w:sz w:val="18"/>
          <w:szCs w:val="18"/>
          <w:color w:val="auto"/>
        </w:rPr>
        <w:t xml:space="preserve">” means the Deposit Account of Agent identified on </w:t>
      </w:r>
      <w:r>
        <w:rPr>
          <w:rFonts w:ascii="Arial" w:cs="Arial" w:eastAsia="Arial" w:hAnsi="Arial"/>
          <w:sz w:val="18"/>
          <w:szCs w:val="18"/>
          <w:u w:val="single" w:color="auto"/>
          <w:color w:val="auto"/>
        </w:rPr>
        <w:t>Schedule A-1</w:t>
      </w:r>
      <w:r>
        <w:rPr>
          <w:rFonts w:ascii="Arial" w:cs="Arial" w:eastAsia="Arial" w:hAnsi="Arial"/>
          <w:sz w:val="18"/>
          <w:szCs w:val="18"/>
          <w:color w:val="auto"/>
        </w:rPr>
        <w:t xml:space="preserve"> to this Agreement (or such other Deposit Account of Agent that has been designated as such, in writing, by Agent to Borrowers and the Lenders).</w:t>
      </w:r>
    </w:p>
    <w:p>
      <w:pPr>
        <w:spacing w:after="0" w:line="13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Agent’s Liens</w:t>
      </w:r>
      <w:r>
        <w:rPr>
          <w:rFonts w:ascii="Arial" w:cs="Arial" w:eastAsia="Arial" w:hAnsi="Arial"/>
          <w:sz w:val="20"/>
          <w:szCs w:val="20"/>
          <w:color w:val="auto"/>
        </w:rPr>
        <w:t>” means the Liens granted by each Loan Party to Agent under the Loan Documents and securing the Obligations.</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means this Credit Agreement, as amended, restated, amended and restated, supplemented or otherwise modified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14" w:name="page15"/>
    <w:bookmarkEnd w:id="14"/>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Agricultural Laws</w:t>
      </w:r>
      <w:r>
        <w:rPr>
          <w:rFonts w:ascii="Arial" w:cs="Arial" w:eastAsia="Arial" w:hAnsi="Arial"/>
          <w:sz w:val="20"/>
          <w:szCs w:val="20"/>
          <w:color w:val="auto"/>
        </w:rPr>
        <w:t>” shall mean the Perishable Agricultural Commodities Act, 17 USC § 499 et seq., Section 55631 of the California Food and Agricultural Code, the Food Security Act of 1984, 7 U.S.C. Section 1631 et. seq., and any similar law (whether federal, state or otherwise), as amended.</w:t>
      </w:r>
    </w:p>
    <w:p>
      <w:pPr>
        <w:spacing w:after="0" w:line="18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Agricultural Payables</w:t>
      </w:r>
      <w:r>
        <w:rPr>
          <w:rFonts w:ascii="Arial" w:cs="Arial" w:eastAsia="Arial" w:hAnsi="Arial"/>
          <w:sz w:val="20"/>
          <w:szCs w:val="20"/>
          <w:color w:val="auto"/>
        </w:rPr>
        <w:t>” means all amounts owed by any Loan Party or its Subsidiaries to any Person on account of the purchase price or other amounts owed in respect of agricultural products or any services related to the foregoing.</w:t>
      </w:r>
    </w:p>
    <w:p>
      <w:pPr>
        <w:spacing w:after="0" w:line="18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Agricultural Reserve</w:t>
      </w:r>
      <w:r>
        <w:rPr>
          <w:rFonts w:ascii="Arial" w:cs="Arial" w:eastAsia="Arial" w:hAnsi="Arial"/>
          <w:sz w:val="20"/>
          <w:szCs w:val="20"/>
          <w:color w:val="auto"/>
        </w:rPr>
        <w:t>” means a reserve established by Agent from time to time in its Permitted Discretion in an amount equal to (i) the aggregate amount (or a lesser amount in Agent’s discretion) of any Agricultural Payables past due its payment terms, or (ii) if the amount calculated under clause (i) exceeds 15% of the aggregate amount of all Agricultural Payables or an Event of Default exists, then the aggregate amount (or a lesser amount in Agent’s discretion) of all Agricultural Payables.</w:t>
      </w:r>
    </w:p>
    <w:p>
      <w:pPr>
        <w:spacing w:after="0" w:line="19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Anti-Corruption Laws</w:t>
      </w:r>
      <w:r>
        <w:rPr>
          <w:rFonts w:ascii="Arial" w:cs="Arial" w:eastAsia="Arial" w:hAnsi="Arial"/>
          <w:sz w:val="20"/>
          <w:szCs w:val="20"/>
          <w:color w:val="auto"/>
        </w:rPr>
        <w:t>” means the FCPA, the U.K. Bribery Act of 2010, as amended, and all other applicable laws and regulations or ordinances concerning or relating to bribery or corruption in any jurisdiction in which any Loan Party or any of its Subsidiaries or Affiliates is located or is doing business.</w:t>
      </w:r>
    </w:p>
    <w:p>
      <w:pPr>
        <w:spacing w:after="0" w:line="18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Anti-Money Laundering Laws</w:t>
      </w:r>
      <w:r>
        <w:rPr>
          <w:rFonts w:ascii="Arial" w:cs="Arial" w:eastAsia="Arial" w:hAnsi="Arial"/>
          <w:sz w:val="19"/>
          <w:szCs w:val="19"/>
          <w:color w:val="auto"/>
        </w:rPr>
        <w:t>” means the applicable laws or regulations in any jurisdiction in which any Loan Party or any of its Subsidiaries or Affiliates is located or is doing business that relates to money laundering, any predicate crime to money laundering, or any financial record keeping and reporting requirements related thereto.</w:t>
      </w:r>
    </w:p>
    <w:p>
      <w:pPr>
        <w:spacing w:after="0" w:line="17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Margin</w:t>
      </w:r>
      <w:r>
        <w:rPr>
          <w:rFonts w:ascii="Arial" w:cs="Arial" w:eastAsia="Arial" w:hAnsi="Arial"/>
          <w:sz w:val="19"/>
          <w:szCs w:val="19"/>
          <w:color w:val="auto"/>
        </w:rPr>
        <w:t xml:space="preserve"> ” means (a) in the case of a Base Rate Loan which is a Revolving Loan, 0.50 percentage points (the “</w:t>
      </w:r>
      <w:r>
        <w:rPr>
          <w:rFonts w:ascii="Arial" w:cs="Arial" w:eastAsia="Arial" w:hAnsi="Arial"/>
          <w:sz w:val="19"/>
          <w:szCs w:val="19"/>
          <w:u w:val="single" w:color="auto"/>
          <w:color w:val="auto"/>
        </w:rPr>
        <w:t>Revolving Loan Base Rate Margin</w:t>
      </w:r>
      <w:r>
        <w:rPr>
          <w:rFonts w:ascii="Arial" w:cs="Arial" w:eastAsia="Arial" w:hAnsi="Arial"/>
          <w:sz w:val="19"/>
          <w:szCs w:val="19"/>
          <w:color w:val="auto"/>
        </w:rPr>
        <w:t>”), (b) in the case of a SOFR Loan which is a Revolving Loan, 1.50 percentage points (the “</w:t>
      </w:r>
      <w:r>
        <w:rPr>
          <w:rFonts w:ascii="Arial" w:cs="Arial" w:eastAsia="Arial" w:hAnsi="Arial"/>
          <w:sz w:val="19"/>
          <w:szCs w:val="19"/>
          <w:u w:val="single" w:color="auto"/>
          <w:color w:val="auto"/>
        </w:rPr>
        <w:t>Revolving Loan SOFR Margin</w:t>
      </w:r>
      <w:r>
        <w:rPr>
          <w:rFonts w:ascii="Arial" w:cs="Arial" w:eastAsia="Arial" w:hAnsi="Arial"/>
          <w:sz w:val="19"/>
          <w:szCs w:val="19"/>
          <w:color w:val="auto"/>
        </w:rPr>
        <w:t>”), (c) in the case of a Base Rate Loan which is a Capex Advance, 1.00 percentage points (the “</w:t>
      </w:r>
      <w:r>
        <w:rPr>
          <w:rFonts w:ascii="Arial" w:cs="Arial" w:eastAsia="Arial" w:hAnsi="Arial"/>
          <w:sz w:val="19"/>
          <w:szCs w:val="19"/>
          <w:u w:val="single" w:color="auto"/>
          <w:color w:val="auto"/>
        </w:rPr>
        <w:t>Capex Advance Base Rate Margin</w:t>
      </w:r>
      <w:r>
        <w:rPr>
          <w:rFonts w:ascii="Arial" w:cs="Arial" w:eastAsia="Arial" w:hAnsi="Arial"/>
          <w:sz w:val="19"/>
          <w:szCs w:val="19"/>
          <w:color w:val="auto"/>
        </w:rPr>
        <w:t>”), and (d) in the case of a SOFR Loan which is a Capex Advance, 2.00 percentage points (the “</w:t>
      </w:r>
      <w:r>
        <w:rPr>
          <w:rFonts w:ascii="Arial" w:cs="Arial" w:eastAsia="Arial" w:hAnsi="Arial"/>
          <w:sz w:val="19"/>
          <w:szCs w:val="19"/>
          <w:u w:val="single" w:color="auto"/>
          <w:color w:val="auto"/>
        </w:rPr>
        <w:t>Capex Advance SOFR Margin</w:t>
      </w:r>
      <w:r>
        <w:rPr>
          <w:rFonts w:ascii="Arial" w:cs="Arial" w:eastAsia="Arial" w:hAnsi="Arial"/>
          <w:sz w:val="19"/>
          <w:szCs w:val="19"/>
          <w:color w:val="auto"/>
        </w:rPr>
        <w:t>”).</w:t>
      </w:r>
    </w:p>
    <w:p>
      <w:pPr>
        <w:spacing w:after="0" w:line="18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Unused Line Fee Percentage</w:t>
      </w:r>
      <w:r>
        <w:rPr>
          <w:rFonts w:ascii="Arial" w:cs="Arial" w:eastAsia="Arial" w:hAnsi="Arial"/>
          <w:sz w:val="18"/>
          <w:szCs w:val="18"/>
          <w:color w:val="auto"/>
        </w:rPr>
        <w:t>” means, as of any date of determination, 0.15 percentage points.</w:t>
      </w:r>
    </w:p>
    <w:p>
      <w:pPr>
        <w:spacing w:after="0" w:line="239"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Application Event</w:t>
      </w:r>
      <w:r>
        <w:rPr>
          <w:rFonts w:ascii="Arial" w:cs="Arial" w:eastAsia="Arial" w:hAnsi="Arial"/>
          <w:sz w:val="19"/>
          <w:szCs w:val="19"/>
          <w:color w:val="auto"/>
        </w:rPr>
        <w:t xml:space="preserve">” means the occurrence of (a) a failure by Borrowers to repay all of the Obligations in full on the Maturity Date, or (b) an Event of Default and the election by Agent or the Required Lenders to require that payments and proceeds of Collateral be applied pursuant to </w:t>
      </w:r>
      <w:r>
        <w:rPr>
          <w:rFonts w:ascii="Arial" w:cs="Arial" w:eastAsia="Arial" w:hAnsi="Arial"/>
          <w:sz w:val="19"/>
          <w:szCs w:val="19"/>
          <w:u w:val="single" w:color="auto"/>
          <w:color w:val="auto"/>
        </w:rPr>
        <w:t>Section 2.4(b)(iii)</w:t>
      </w:r>
      <w:r>
        <w:rPr>
          <w:rFonts w:ascii="Arial" w:cs="Arial" w:eastAsia="Arial" w:hAnsi="Arial"/>
          <w:sz w:val="19"/>
          <w:szCs w:val="19"/>
          <w:color w:val="auto"/>
        </w:rPr>
        <w:t xml:space="preserve"> of this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Assignee</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13.1(a)</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Acceptance</w:t>
      </w:r>
      <w:r>
        <w:rPr>
          <w:rFonts w:ascii="Arial" w:cs="Arial" w:eastAsia="Arial" w:hAnsi="Arial"/>
          <w:sz w:val="20"/>
          <w:szCs w:val="20"/>
          <w:color w:val="auto"/>
        </w:rPr>
        <w:t xml:space="preserve">” means an Assignment and Acceptance Agreement substantially in the form of </w:t>
      </w:r>
      <w:r>
        <w:rPr>
          <w:rFonts w:ascii="Arial" w:cs="Arial" w:eastAsia="Arial" w:hAnsi="Arial"/>
          <w:sz w:val="20"/>
          <w:szCs w:val="20"/>
          <w:u w:val="single" w:color="auto"/>
          <w:color w:val="auto"/>
        </w:rPr>
        <w:t>Exhibit A-1</w:t>
      </w:r>
      <w:r>
        <w:rPr>
          <w:rFonts w:ascii="Arial" w:cs="Arial" w:eastAsia="Arial" w:hAnsi="Arial"/>
          <w:sz w:val="20"/>
          <w:szCs w:val="20"/>
          <w:color w:val="auto"/>
        </w:rPr>
        <w:t xml:space="preserve"> to this Agreement.</w:t>
      </w:r>
    </w:p>
    <w:p>
      <w:pPr>
        <w:spacing w:after="0" w:line="177"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Authorized Person</w:t>
      </w:r>
      <w:r>
        <w:rPr>
          <w:rFonts w:ascii="Arial" w:cs="Arial" w:eastAsia="Arial" w:hAnsi="Arial"/>
          <w:sz w:val="18"/>
          <w:szCs w:val="18"/>
          <w:color w:val="auto"/>
        </w:rPr>
        <w:t xml:space="preserve">” means any one of the individuals identified as an officer of a Borrower on </w:t>
      </w:r>
      <w:r>
        <w:rPr>
          <w:rFonts w:ascii="Arial" w:cs="Arial" w:eastAsia="Arial" w:hAnsi="Arial"/>
          <w:sz w:val="18"/>
          <w:szCs w:val="18"/>
          <w:u w:val="single" w:color="auto"/>
          <w:color w:val="auto"/>
        </w:rPr>
        <w:t>Schedule A-2</w:t>
      </w:r>
      <w:r>
        <w:rPr>
          <w:rFonts w:ascii="Arial" w:cs="Arial" w:eastAsia="Arial" w:hAnsi="Arial"/>
          <w:sz w:val="18"/>
          <w:szCs w:val="18"/>
          <w:color w:val="auto"/>
        </w:rPr>
        <w:t xml:space="preserve"> to this Agreement, or any other individual identified by Administrative Borrower as an authorized person and authenticated through Agent’s electronic platform or portal in accordance with its procedures for such authentication.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15" w:name="page16"/>
    <w:bookmarkEnd w:id="15"/>
    <w:p>
      <w:pPr>
        <w:jc w:val="both"/>
        <w:ind w:firstLine="1296"/>
        <w:spacing w:after="0" w:line="288"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Availability</w:t>
      </w:r>
      <w:r>
        <w:rPr>
          <w:rFonts w:ascii="Arial" w:cs="Arial" w:eastAsia="Arial" w:hAnsi="Arial"/>
          <w:sz w:val="19"/>
          <w:szCs w:val="19"/>
          <w:color w:val="auto"/>
        </w:rPr>
        <w:t xml:space="preserve">” means, as of any date of determination, the amount that Borrowers are entitled to borrow as Revolving Loans under </w:t>
      </w:r>
      <w:r>
        <w:rPr>
          <w:rFonts w:ascii="Arial" w:cs="Arial" w:eastAsia="Arial" w:hAnsi="Arial"/>
          <w:sz w:val="19"/>
          <w:szCs w:val="19"/>
          <w:u w:val="single" w:color="auto"/>
          <w:color w:val="auto"/>
        </w:rPr>
        <w:t>Section 2.1</w:t>
      </w:r>
      <w:r>
        <w:rPr>
          <w:rFonts w:ascii="Arial" w:cs="Arial" w:eastAsia="Arial" w:hAnsi="Arial"/>
          <w:sz w:val="19"/>
          <w:szCs w:val="19"/>
          <w:color w:val="auto"/>
        </w:rPr>
        <w:t xml:space="preserve"> of this Agreement (after giving effect to the then outstanding Revolver Usage).</w:t>
      </w:r>
    </w:p>
    <w:p>
      <w:pPr>
        <w:spacing w:after="0" w:line="152"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Available Revolver Increase Amount</w:t>
      </w:r>
      <w:r>
        <w:rPr>
          <w:rFonts w:ascii="Arial" w:cs="Arial" w:eastAsia="Arial" w:hAnsi="Arial"/>
          <w:sz w:val="20"/>
          <w:szCs w:val="20"/>
          <w:color w:val="auto"/>
        </w:rPr>
        <w:t xml:space="preserve">” means, as of any date of determination, an amount equal to the result of (a) $40,000,000, </w:t>
      </w:r>
      <w:r>
        <w:rPr>
          <w:rFonts w:ascii="Arial" w:cs="Arial" w:eastAsia="Arial" w:hAnsi="Arial"/>
          <w:sz w:val="20"/>
          <w:szCs w:val="20"/>
          <w:i w:val="1"/>
          <w:iCs w:val="1"/>
          <w:u w:val="single" w:color="auto"/>
          <w:color w:val="auto"/>
        </w:rPr>
        <w:t>minus</w:t>
      </w:r>
      <w:r>
        <w:rPr>
          <w:rFonts w:ascii="Arial" w:cs="Arial" w:eastAsia="Arial" w:hAnsi="Arial"/>
          <w:sz w:val="20"/>
          <w:szCs w:val="20"/>
          <w:color w:val="auto"/>
        </w:rPr>
        <w:t xml:space="preserve"> (b) the aggregate principal amount of Increases to the Revolver Commitments previously made, if any, pursuant to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of this Agreement.</w:t>
      </w:r>
    </w:p>
    <w:p>
      <w:pPr>
        <w:spacing w:after="0" w:line="18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Available Tenor</w:t>
      </w:r>
      <w:r>
        <w:rPr>
          <w:rFonts w:ascii="Arial" w:cs="Arial" w:eastAsia="Arial" w:hAnsi="Arial"/>
          <w:sz w:val="19"/>
          <w:szCs w:val="19"/>
          <w:color w:val="auto"/>
        </w:rPr>
        <w:t xml:space="preserve">” means, as of any date of determination and with respect to the then-current Benchmark,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Arial" w:cs="Arial" w:eastAsia="Arial" w:hAnsi="Arial"/>
          <w:sz w:val="19"/>
          <w:szCs w:val="19"/>
          <w:u w:val="single" w:color="auto"/>
          <w:color w:val="auto"/>
        </w:rPr>
        <w:t>Section 2.12(d)(iii)(D)</w:t>
      </w:r>
      <w:r>
        <w:rPr>
          <w:rFonts w:ascii="Arial" w:cs="Arial" w:eastAsia="Arial" w:hAnsi="Arial"/>
          <w:sz w:val="19"/>
          <w:szCs w:val="19"/>
          <w:color w:val="auto"/>
        </w:rPr>
        <w:t>.</w:t>
      </w:r>
    </w:p>
    <w:p>
      <w:pPr>
        <w:spacing w:after="0" w:line="18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Average Revolver Usage</w:t>
      </w:r>
      <w:r>
        <w:rPr>
          <w:rFonts w:ascii="Arial" w:cs="Arial" w:eastAsia="Arial" w:hAnsi="Arial"/>
          <w:sz w:val="20"/>
          <w:szCs w:val="20"/>
          <w:color w:val="auto"/>
        </w:rPr>
        <w:t>” means, with respect to any period, the sum of the aggregate amount of Revolver Usage for each day in such period (calculated as of the end of each respective day) divided by the number of days in such period.</w:t>
      </w:r>
    </w:p>
    <w:p>
      <w:pPr>
        <w:spacing w:after="0" w:line="18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Resolution Authority in respect of any liability of an Affected Financial Institution.</w:t>
      </w:r>
    </w:p>
    <w:p>
      <w:pPr>
        <w:spacing w:after="0" w:line="177"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3"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w:t>
      </w:r>
      <w:r>
        <w:rPr>
          <w:rFonts w:ascii="Arial" w:cs="Arial" w:eastAsia="Arial" w:hAnsi="Arial"/>
          <w:sz w:val="18"/>
          <w:szCs w:val="18"/>
          <w:color w:val="auto"/>
        </w:rPr>
        <w:t>” means any one or more of the following financial products or accommodations extended to any Loan Party or any of its Subsidiaries by a Bank Product Provider: (a) credit cards (including commercial cards (including so-called “purchase cards”, “procurement cards” or “p-cards”)), (b) payment card processing services, (c) debit cards, (d) stored value cards, (e) Cash Management Services, or (f) transactions under Hedge Agreements.</w:t>
      </w:r>
    </w:p>
    <w:p>
      <w:pPr>
        <w:spacing w:after="0" w:line="161"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 Agreements</w:t>
      </w:r>
      <w:r>
        <w:rPr>
          <w:rFonts w:ascii="Arial" w:cs="Arial" w:eastAsia="Arial" w:hAnsi="Arial"/>
          <w:sz w:val="18"/>
          <w:szCs w:val="18"/>
          <w:color w:val="auto"/>
        </w:rPr>
        <w:t>” means those agreements entered into from time to time by any Loan Party or any of its Subsidiaries with a Bank Product Provider in connection with the obtaining of any of the Bank Products.</w:t>
      </w:r>
    </w:p>
    <w:p>
      <w:pPr>
        <w:spacing w:after="0" w:line="130"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Product Collateralization</w:t>
      </w:r>
      <w:r>
        <w:rPr>
          <w:rFonts w:ascii="Arial" w:cs="Arial" w:eastAsia="Arial" w:hAnsi="Arial"/>
          <w:sz w:val="18"/>
          <w:szCs w:val="18"/>
          <w:color w:val="auto"/>
        </w:rPr>
        <w:t>” means providing cash collateral (pursuant to documentation reasonably satisfactory to Agent) to be held by Agent for the benefit of the Bank Product Providers (other than the Hedge Providers) in an amount determined by Agent as sufficient to satisfy the reasonably estimated credit exposure, operational risk or processing risk with respect to the then existing Bank Product Obligations (other than Hedge Obligations).</w:t>
      </w:r>
    </w:p>
    <w:p>
      <w:pPr>
        <w:spacing w:after="0" w:line="161"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Product Obligations</w:t>
      </w:r>
      <w:r>
        <w:rPr>
          <w:rFonts w:ascii="Arial" w:cs="Arial" w:eastAsia="Arial" w:hAnsi="Arial"/>
          <w:sz w:val="20"/>
          <w:szCs w:val="20"/>
          <w:color w:val="auto"/>
        </w:rPr>
        <w:t>” means (a) all obligations, liabilities, reimbursement obligations, fees, or expenses owing by each Loan Party and its Subsidiaries to any Bank Product Provider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16" w:name="page17"/>
    <w:bookmarkEnd w:id="16"/>
    <w:p>
      <w:pPr>
        <w:jc w:val="both"/>
        <w:spacing w:after="0" w:line="243" w:lineRule="auto"/>
        <w:rPr>
          <w:sz w:val="20"/>
          <w:szCs w:val="20"/>
          <w:color w:val="auto"/>
        </w:rPr>
      </w:pPr>
      <w:r>
        <w:rPr>
          <w:rFonts w:ascii="Arial" w:cs="Arial" w:eastAsia="Arial" w:hAnsi="Arial"/>
          <w:sz w:val="20"/>
          <w:szCs w:val="20"/>
          <w:color w:val="auto"/>
        </w:rPr>
        <w:t>pursuant to or evidenced by a Bank Product Agreement and irrespective of whether for the payment of money, whether direct or indirect, absolute or contingent, due or to become due, now existing or hereafter arising, (b) all Hedge Obligations, and (c) all amounts that Agent or any Lender is obligated to pay to a Bank Product Provider as a result of Agent or such Lender purchasing participations from, or executing guarantees or indemnities or reimbursement obligations to, a Bank Product Provider with respect to the Bank Products provided by such Bank Product Provider to a Loan Party or its Subsidiaries.</w:t>
      </w:r>
    </w:p>
    <w:p>
      <w:pPr>
        <w:spacing w:after="0" w:line="19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Product Provider</w:t>
      </w:r>
      <w:r>
        <w:rPr>
          <w:rFonts w:ascii="Arial" w:cs="Arial" w:eastAsia="Arial" w:hAnsi="Arial"/>
          <w:sz w:val="20"/>
          <w:szCs w:val="20"/>
          <w:color w:val="auto"/>
        </w:rPr>
        <w:t>” means Wells Fargo or any of its Affiliates, including each of the foregoing in its capacity, if applicable, as a Hedge Provider.</w:t>
      </w:r>
    </w:p>
    <w:p>
      <w:pPr>
        <w:spacing w:after="0" w:line="177"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Bank Product Reserves</w:t>
      </w:r>
      <w:r>
        <w:rPr>
          <w:rFonts w:ascii="Arial" w:cs="Arial" w:eastAsia="Arial" w:hAnsi="Arial"/>
          <w:sz w:val="20"/>
          <w:szCs w:val="20"/>
          <w:color w:val="auto"/>
        </w:rPr>
        <w:t>” means, as of any date of determination, those reserves that Agent deems necessary or appropriate to establish (based upon the Bank Product Providers’ determination of the liabilities and obligations of each Loan Party and its Subsidiaries in respect of Bank Product Obligations) in respect of Bank Products then provided or outstanding.</w:t>
      </w:r>
    </w:p>
    <w:p>
      <w:pPr>
        <w:spacing w:after="0" w:line="19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Bankruptcy Code</w:t>
      </w:r>
      <w:r>
        <w:rPr>
          <w:rFonts w:ascii="Arial" w:cs="Arial" w:eastAsia="Arial" w:hAnsi="Arial"/>
          <w:sz w:val="20"/>
          <w:szCs w:val="20"/>
          <w:color w:val="auto"/>
        </w:rPr>
        <w:t>” means title 11 of the United States Code, as in effect from time to time.</w:t>
      </w:r>
    </w:p>
    <w:p>
      <w:pPr>
        <w:spacing w:after="0" w:line="216" w:lineRule="exact"/>
        <w:rPr>
          <w:sz w:val="20"/>
          <w:szCs w:val="20"/>
          <w:color w:val="auto"/>
        </w:rPr>
      </w:pPr>
    </w:p>
    <w:p>
      <w:pPr>
        <w:jc w:val="both"/>
        <w:ind w:firstLine="1296"/>
        <w:spacing w:after="0" w:line="274"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Base Rate</w:t>
      </w:r>
      <w:r>
        <w:rPr>
          <w:rFonts w:ascii="Arial" w:cs="Arial" w:eastAsia="Arial" w:hAnsi="Arial"/>
          <w:sz w:val="18"/>
          <w:szCs w:val="18"/>
          <w:color w:val="auto"/>
        </w:rPr>
        <w:t xml:space="preserve">” means, for any day, the greatest of (a) the Floor, (b) the Federal Funds Rate in effect on such day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½%, (c) Term SOFR for a one month tenor in effect on such day,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clause (c) shall not be applicable during any period in which Term SOFR is unavailable or unascertainable, and (d) the rate of interest announced, from time to time, within Wells Fargo at its principal office in San Francisco as its “prime rate” in effect on such day, with the understanding that the “prime rate” is one of Wells Fargo’s base rates (not necessarily the lowest of such rates) and serves as the basis upon which effective rates of interest are calculated for those loans making reference thereto and is evidenced by the recording thereof after its announcement in such internal publications as Wells Fargo may designate.</w:t>
      </w:r>
    </w:p>
    <w:p>
      <w:pPr>
        <w:spacing w:after="0" w:line="168"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w:t>
      </w:r>
      <w:r>
        <w:rPr>
          <w:rFonts w:ascii="Arial" w:cs="Arial" w:eastAsia="Arial" w:hAnsi="Arial"/>
          <w:sz w:val="20"/>
          <w:szCs w:val="20"/>
          <w:color w:val="auto"/>
        </w:rPr>
        <w:t>” means each portion of the Revolving Loans or a Capex Advance that bears interest at a rate determined by reference to the Base Rate.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Rate Margin</w:t>
      </w:r>
      <w:r>
        <w:rPr>
          <w:rFonts w:ascii="Arial" w:cs="Arial" w:eastAsia="Arial" w:hAnsi="Arial"/>
          <w:sz w:val="18"/>
          <w:szCs w:val="18"/>
          <w:color w:val="auto"/>
        </w:rPr>
        <w:t>” means the Revolving Loan Base Rate Margin or the Capex Advance Base Rate Margin,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as applicable.</w:t>
      </w:r>
    </w:p>
    <w:p>
      <w:pPr>
        <w:spacing w:after="0" w:line="200" w:lineRule="exact"/>
        <w:rPr>
          <w:sz w:val="20"/>
          <w:szCs w:val="20"/>
          <w:color w:val="auto"/>
        </w:rPr>
      </w:pPr>
    </w:p>
    <w:p>
      <w:pPr>
        <w:jc w:val="both"/>
        <w:ind w:firstLine="137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w:t>
      </w:r>
      <w:r>
        <w:rPr>
          <w:rFonts w:ascii="Arial" w:cs="Arial" w:eastAsia="Arial" w:hAnsi="Arial"/>
          <w:sz w:val="20"/>
          <w:szCs w:val="20"/>
          <w:color w:val="auto"/>
        </w:rPr>
        <w:t xml:space="preserve">” means, initially, the Term SOFR Reference Rate;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Arial" w:cs="Arial" w:eastAsia="Arial" w:hAnsi="Arial"/>
          <w:sz w:val="20"/>
          <w:szCs w:val="20"/>
          <w:u w:val="single" w:color="auto"/>
          <w:color w:val="auto"/>
        </w:rPr>
        <w:t>Section 2.12(d)(iii)(A)</w:t>
      </w:r>
      <w:r>
        <w:rPr>
          <w:rFonts w:ascii="Arial" w:cs="Arial" w:eastAsia="Arial" w:hAnsi="Arial"/>
          <w:sz w:val="20"/>
          <w:szCs w:val="20"/>
          <w:color w:val="auto"/>
        </w:rPr>
        <w:t>.</w:t>
      </w:r>
    </w:p>
    <w:p>
      <w:pPr>
        <w:spacing w:after="0" w:line="191"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w:t>
      </w:r>
      <w:r>
        <w:rPr>
          <w:rFonts w:ascii="Arial" w:cs="Arial" w:eastAsia="Arial" w:hAnsi="Arial"/>
          <w:sz w:val="20"/>
          <w:szCs w:val="20"/>
          <w:color w:val="auto"/>
        </w:rPr>
        <w:t xml:space="preserve">” means, </w:t>
      </w:r>
      <w:r>
        <w:rPr>
          <w:rFonts w:ascii="Arial" w:cs="Arial" w:eastAsia="Arial" w:hAnsi="Arial"/>
          <w:sz w:val="20"/>
          <w:szCs w:val="20"/>
          <w:color w:val="010101"/>
        </w:rPr>
        <w:t>with respect to any Benchmark Transition Event,</w:t>
      </w:r>
      <w:r>
        <w:rPr>
          <w:rFonts w:ascii="Arial" w:cs="Arial" w:eastAsia="Arial" w:hAnsi="Arial"/>
          <w:sz w:val="20"/>
          <w:szCs w:val="20"/>
          <w:color w:val="auto"/>
        </w:rPr>
        <w:t xml:space="preserve"> the sum of: (a) the alternate benchmark rate that has been selected by Agent and Administrative Borrower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and (b) the related Benchmark Replacement Adjustment;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such Benchmark Replacement as so determined would be less than the Floor, such Benchmark Replacement shall be deemed to be the Floor for the purposes of this Agreement and the other Loan Documents.</w:t>
      </w:r>
    </w:p>
    <w:p>
      <w:pPr>
        <w:spacing w:after="0" w:line="197"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Benchmark Replacement Adjustment</w:t>
      </w:r>
      <w:r>
        <w:rPr>
          <w:rFonts w:ascii="Arial" w:cs="Arial" w:eastAsia="Arial" w:hAnsi="Arial"/>
          <w:sz w:val="20"/>
          <w:szCs w:val="20"/>
          <w:color w:val="auto"/>
        </w:rPr>
        <w:t>” means, with respect to any replacement of the then-current Benchmark with an Unadjusted Benchmark Replacement for any applicable Available Tenor, the spread adjustment, or method for calculating or determining such spread adjustment, (which may be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positive or negative value or zero) that has been selected by Agent and Administrative Borrower giving due consideration to</w:t>
      </w:r>
    </w:p>
    <w:p>
      <w:pPr>
        <w:spacing w:after="0" w:line="40" w:lineRule="exact"/>
        <w:rPr>
          <w:sz w:val="20"/>
          <w:szCs w:val="20"/>
          <w:color w:val="auto"/>
        </w:rPr>
      </w:pPr>
    </w:p>
    <w:p>
      <w:pPr>
        <w:jc w:val="both"/>
        <w:ind w:firstLine="8"/>
        <w:spacing w:after="0" w:line="274" w:lineRule="auto"/>
        <w:tabs>
          <w:tab w:leader="none" w:pos="3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66"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Replacement Date</w:t>
      </w:r>
      <w:r>
        <w:rPr>
          <w:rFonts w:ascii="Arial" w:cs="Arial" w:eastAsia="Arial" w:hAnsi="Arial"/>
          <w:sz w:val="20"/>
          <w:szCs w:val="20"/>
          <w:color w:val="auto"/>
        </w:rPr>
        <w:t>” means the earliest to occur of the following events with respect to the then-current Benchmark:</w:t>
      </w:r>
    </w:p>
    <w:p>
      <w:pPr>
        <w:spacing w:after="0" w:line="177" w:lineRule="exact"/>
        <w:rPr>
          <w:sz w:val="20"/>
          <w:szCs w:val="20"/>
          <w:color w:val="auto"/>
        </w:rPr>
      </w:pPr>
    </w:p>
    <w:p>
      <w:pPr>
        <w:jc w:val="both"/>
        <w:ind w:firstLine="1304"/>
        <w:spacing w:after="0" w:line="246" w:lineRule="auto"/>
        <w:tabs>
          <w:tab w:leader="none" w:pos="1944" w:val="left"/>
        </w:tabs>
        <w:numPr>
          <w:ilvl w:val="0"/>
          <w:numId w:val="5"/>
        </w:numPr>
        <w:rPr>
          <w:rFonts w:ascii="Arial" w:cs="Arial" w:eastAsia="Arial" w:hAnsi="Arial"/>
          <w:sz w:val="20"/>
          <w:szCs w:val="20"/>
          <w:color w:val="auto"/>
        </w:rPr>
      </w:pPr>
      <w:r>
        <w:rPr>
          <w:rFonts w:ascii="Arial" w:cs="Arial" w:eastAsia="Arial" w:hAnsi="Arial"/>
          <w:sz w:val="20"/>
          <w:szCs w:val="20"/>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91" w:lineRule="exact"/>
        <w:rPr>
          <w:rFonts w:ascii="Arial" w:cs="Arial" w:eastAsia="Arial" w:hAnsi="Arial"/>
          <w:sz w:val="20"/>
          <w:szCs w:val="20"/>
          <w:color w:val="auto"/>
        </w:rPr>
      </w:pPr>
    </w:p>
    <w:p>
      <w:pPr>
        <w:jc w:val="both"/>
        <w:ind w:firstLine="1304"/>
        <w:spacing w:after="0" w:line="243" w:lineRule="auto"/>
        <w:tabs>
          <w:tab w:leader="none" w:pos="1944" w:val="left"/>
        </w:tabs>
        <w:numPr>
          <w:ilvl w:val="0"/>
          <w:numId w:val="5"/>
        </w:numPr>
        <w:rPr>
          <w:rFonts w:ascii="Arial" w:cs="Arial" w:eastAsia="Arial" w:hAnsi="Arial"/>
          <w:sz w:val="20"/>
          <w:szCs w:val="20"/>
          <w:color w:val="auto"/>
        </w:rPr>
      </w:pPr>
      <w:r>
        <w:rPr>
          <w:rFonts w:ascii="Arial" w:cs="Arial" w:eastAsia="Arial" w:hAnsi="Arial"/>
          <w:sz w:val="20"/>
          <w:szCs w:val="20"/>
          <w:color w:val="auto"/>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For the avoidance of doubt, the “Benchmark Replacement Date” will be deemed to have occurred in the case of clause (a) or</w:t>
      </w:r>
    </w:p>
    <w:p>
      <w:pPr>
        <w:spacing w:after="0" w:line="62" w:lineRule="exact"/>
        <w:rPr>
          <w:sz w:val="20"/>
          <w:szCs w:val="20"/>
          <w:color w:val="auto"/>
        </w:rPr>
      </w:pPr>
    </w:p>
    <w:p>
      <w:pPr>
        <w:ind w:firstLine="8"/>
        <w:spacing w:after="0" w:line="269" w:lineRule="auto"/>
        <w:tabs>
          <w:tab w:leader="none" w:pos="287" w:val="left"/>
        </w:tabs>
        <w:numPr>
          <w:ilvl w:val="0"/>
          <w:numId w:val="6"/>
        </w:numPr>
        <w:rPr>
          <w:rFonts w:ascii="Arial" w:cs="Arial" w:eastAsia="Arial" w:hAnsi="Arial"/>
          <w:sz w:val="19"/>
          <w:szCs w:val="19"/>
          <w:color w:val="auto"/>
        </w:rPr>
      </w:pPr>
      <w:r>
        <w:rPr>
          <w:rFonts w:ascii="Arial" w:cs="Arial" w:eastAsia="Arial" w:hAnsi="Arial"/>
          <w:sz w:val="19"/>
          <w:szCs w:val="19"/>
          <w:color w:val="auto"/>
        </w:rPr>
        <w:t>with respect to any Benchmark upon the occurrence of the applicable event or events set forth therein with respect to all then-current Available Tenors of such Benchmark (or the published component used in the calculation thereof).</w:t>
      </w:r>
    </w:p>
    <w:p>
      <w:pPr>
        <w:spacing w:after="0" w:line="169"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Transition Event</w:t>
      </w:r>
      <w:r>
        <w:rPr>
          <w:rFonts w:ascii="Arial" w:cs="Arial" w:eastAsia="Arial" w:hAnsi="Arial"/>
          <w:sz w:val="20"/>
          <w:szCs w:val="20"/>
          <w:color w:val="auto"/>
        </w:rPr>
        <w:t>” means the occurrence of one or more of the following events with respect to the then-current Benchmark:</w:t>
      </w:r>
    </w:p>
    <w:p>
      <w:pPr>
        <w:spacing w:after="0" w:line="177" w:lineRule="exact"/>
        <w:rPr>
          <w:sz w:val="20"/>
          <w:szCs w:val="20"/>
          <w:color w:val="auto"/>
        </w:rPr>
      </w:pPr>
    </w:p>
    <w:p>
      <w:pPr>
        <w:jc w:val="both"/>
        <w:ind w:firstLine="1304"/>
        <w:spacing w:after="0" w:line="260" w:lineRule="auto"/>
        <w:tabs>
          <w:tab w:leader="none" w:pos="1944" w:val="left"/>
        </w:tabs>
        <w:numPr>
          <w:ilvl w:val="0"/>
          <w:numId w:val="7"/>
        </w:numPr>
        <w:rPr>
          <w:rFonts w:ascii="Arial" w:cs="Arial" w:eastAsia="Arial" w:hAnsi="Arial"/>
          <w:sz w:val="19"/>
          <w:szCs w:val="19"/>
          <w:color w:val="auto"/>
        </w:rPr>
      </w:pPr>
      <w:r>
        <w:rPr>
          <w:rFonts w:ascii="Arial" w:cs="Arial" w:eastAsia="Arial" w:hAnsi="Arial"/>
          <w:sz w:val="19"/>
          <w:szCs w:val="19"/>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such statement or publication, there is no successor administrator that will continue to provide any Available Tenor of such Benchmark (or such component thereof);</w:t>
      </w:r>
    </w:p>
    <w:p>
      <w:pPr>
        <w:spacing w:after="0" w:line="180" w:lineRule="exact"/>
        <w:rPr>
          <w:rFonts w:ascii="Arial" w:cs="Arial" w:eastAsia="Arial" w:hAnsi="Arial"/>
          <w:sz w:val="19"/>
          <w:szCs w:val="19"/>
          <w:color w:val="auto"/>
        </w:rPr>
      </w:pPr>
    </w:p>
    <w:p>
      <w:pPr>
        <w:jc w:val="both"/>
        <w:ind w:firstLine="1304"/>
        <w:spacing w:after="0" w:line="256" w:lineRule="auto"/>
        <w:tabs>
          <w:tab w:leader="none" w:pos="1944" w:val="left"/>
        </w:tabs>
        <w:numPr>
          <w:ilvl w:val="0"/>
          <w:numId w:val="7"/>
        </w:numPr>
        <w:rPr>
          <w:rFonts w:ascii="Arial" w:cs="Arial" w:eastAsia="Arial" w:hAnsi="Arial"/>
          <w:sz w:val="19"/>
          <w:szCs w:val="19"/>
          <w:color w:val="auto"/>
        </w:rPr>
      </w:pPr>
      <w:r>
        <w:rPr>
          <w:rFonts w:ascii="Arial" w:cs="Arial" w:eastAsia="Arial" w:hAnsi="Arial"/>
          <w:sz w:val="19"/>
          <w:szCs w:val="19"/>
          <w:color w:val="auto"/>
        </w:rPr>
        <w:t xml:space="preserve">a public statement or publication of information by the regulatory supervisor for the administrator of such Benchmark (or the published component used in the calculation thereof), the Board of Governors,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such statement or publication, there is no successor administrator that will continue to provide any Available Tenor of such Benchmark (or such component thereof);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18" w:name="page19"/>
    <w:bookmarkEnd w:id="18"/>
    <w:p>
      <w:pPr>
        <w:jc w:val="both"/>
        <w:ind w:firstLine="1304"/>
        <w:spacing w:after="0" w:line="291" w:lineRule="auto"/>
        <w:tabs>
          <w:tab w:leader="none" w:pos="1944"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5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For the avoidance of doubt, if the then-current Benchmark has any Available Tenors,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91"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Transition Start Date</w:t>
      </w:r>
      <w:r>
        <w:rPr>
          <w:rFonts w:ascii="Arial" w:cs="Arial" w:eastAsia="Arial" w:hAnsi="Arial"/>
          <w:sz w:val="20"/>
          <w:szCs w:val="20"/>
          <w:color w:val="auto"/>
        </w:rPr>
        <w:t>”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94"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Benchmark Unavailability Period</w:t>
      </w:r>
      <w:r>
        <w:rPr>
          <w:rFonts w:ascii="Arial" w:cs="Arial" w:eastAsia="Arial" w:hAnsi="Arial"/>
          <w:sz w:val="20"/>
          <w:szCs w:val="20"/>
          <w:color w:val="auto"/>
        </w:rPr>
        <w:t xml:space="preserve"> ” means the period (if any) (x) beginning at the time that a Benchmark Replacement Date has occurred if, at such time, no Benchmark Replacement has replaced the then-current Benchmark for all purposes hereunder and under any Loan Document in accordance with </w:t>
      </w:r>
      <w:r>
        <w:rPr>
          <w:rFonts w:ascii="Arial" w:cs="Arial" w:eastAsia="Arial" w:hAnsi="Arial"/>
          <w:sz w:val="20"/>
          <w:szCs w:val="20"/>
          <w:u w:val="single" w:color="auto"/>
          <w:color w:val="auto"/>
        </w:rPr>
        <w:t>Section 2.12(d)(iii)</w:t>
      </w:r>
      <w:r>
        <w:rPr>
          <w:rFonts w:ascii="Arial" w:cs="Arial" w:eastAsia="Arial" w:hAnsi="Arial"/>
          <w:sz w:val="20"/>
          <w:szCs w:val="20"/>
          <w:color w:val="auto"/>
        </w:rPr>
        <w:t xml:space="preserve"> and (y) ending at the time that a Benchmark Replacement has replaced the then-current Benchmark for all purposes hereunder and under any Loan Document in accordance with </w:t>
      </w:r>
      <w:r>
        <w:rPr>
          <w:rFonts w:ascii="Arial" w:cs="Arial" w:eastAsia="Arial" w:hAnsi="Arial"/>
          <w:sz w:val="20"/>
          <w:szCs w:val="20"/>
          <w:u w:val="single" w:color="auto"/>
          <w:color w:val="auto"/>
        </w:rPr>
        <w:t>Section 2.12(d)(iii)</w:t>
      </w:r>
      <w:r>
        <w:rPr>
          <w:rFonts w:ascii="Arial" w:cs="Arial" w:eastAsia="Arial" w:hAnsi="Arial"/>
          <w:sz w:val="20"/>
          <w:szCs w:val="20"/>
          <w:color w:val="auto"/>
        </w:rPr>
        <w:t>.</w:t>
      </w:r>
    </w:p>
    <w:p>
      <w:pPr>
        <w:spacing w:after="0" w:line="194"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as required by the Beneficial Ownership Regulation.</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 Plan</w:t>
      </w:r>
      <w:r>
        <w:rPr>
          <w:rFonts w:ascii="Arial" w:cs="Arial" w:eastAsia="Arial" w:hAnsi="Arial"/>
          <w:sz w:val="20"/>
          <w:szCs w:val="20"/>
          <w:color w:val="auto"/>
        </w:rPr>
        <w:t>” means a “defined benefit plan” (as defined in Section 3(35) of ERISA) for which any Loan Party or any of its Subsidiaries or ERISA Affiliates has been an “employer” (as defined in Section 3(5) of ERISA) within the past six years.</w:t>
      </w:r>
    </w:p>
    <w:p>
      <w:pPr>
        <w:spacing w:after="0" w:line="18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BHC Act Affiliate</w:t>
      </w:r>
      <w:r>
        <w:rPr>
          <w:rFonts w:ascii="Arial" w:cs="Arial" w:eastAsia="Arial" w:hAnsi="Arial"/>
          <w:sz w:val="20"/>
          <w:szCs w:val="20"/>
          <w:color w:val="auto"/>
        </w:rPr>
        <w:t>” of a Person means an “affiliate” (as such term is defined under, and interpreted in accordance with, 12 U.S.C. 1841(k)) of such Person.</w:t>
      </w:r>
    </w:p>
    <w:p>
      <w:pPr>
        <w:spacing w:after="0" w:line="177"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as to any Person, the board of directors (or comparable managers) of such Person, or any committee thereof duly authorized to act on behalf of the board of directors (or comparable managers).</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 of Governors</w:t>
      </w:r>
      <w:r>
        <w:rPr>
          <w:rFonts w:ascii="Arial" w:cs="Arial" w:eastAsia="Arial" w:hAnsi="Arial"/>
          <w:sz w:val="16"/>
          <w:szCs w:val="16"/>
          <w:color w:val="auto"/>
        </w:rPr>
        <w:t>” means the Board of Governors of the Federal Reserve System of the United States (or</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any successor).</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Borrower</w:t>
      </w:r>
      <w:r>
        <w:rPr>
          <w:rFonts w:ascii="Arial" w:cs="Arial" w:eastAsia="Arial" w:hAnsi="Arial"/>
          <w:sz w:val="19"/>
          <w:szCs w:val="19"/>
          <w:color w:val="auto"/>
        </w:rPr>
        <w:t>” and “</w:t>
      </w:r>
      <w:r>
        <w:rPr>
          <w:rFonts w:ascii="Arial" w:cs="Arial" w:eastAsia="Arial" w:hAnsi="Arial"/>
          <w:sz w:val="19"/>
          <w:szCs w:val="19"/>
          <w:u w:val="single" w:color="auto"/>
          <w:color w:val="auto"/>
        </w:rPr>
        <w:t>Borrowers</w:t>
      </w:r>
      <w:r>
        <w:rPr>
          <w:rFonts w:ascii="Arial" w:cs="Arial" w:eastAsia="Arial" w:hAnsi="Arial"/>
          <w:sz w:val="19"/>
          <w:szCs w:val="19"/>
          <w:color w:val="auto"/>
        </w:rPr>
        <w:t>” have the respective meanings specified therefor in the preamble to this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Materials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17.9(c)</w:t>
      </w:r>
      <w:r>
        <w:rPr>
          <w:rFonts w:ascii="Arial" w:cs="Arial" w:eastAsia="Arial" w:hAnsi="Arial"/>
          <w:sz w:val="20"/>
          <w:szCs w:val="20"/>
          <w:color w:val="auto"/>
        </w:rPr>
        <w:t xml:space="preserv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19" w:name="page20"/>
    <w:bookmarkEnd w:id="19"/>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w:t>
      </w:r>
      <w:r>
        <w:rPr>
          <w:rFonts w:ascii="Arial" w:cs="Arial" w:eastAsia="Arial" w:hAnsi="Arial"/>
          <w:sz w:val="20"/>
          <w:szCs w:val="20"/>
          <w:color w:val="auto"/>
        </w:rPr>
        <w:t>” means a borrowing consisting of Revolving Loans made on the same day by the Lenders (or Agent on behalf thereof), or by Swing Lender in the case of a Swing Loan, or by Agent in the case of an Extraordinary Advance.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Borrowing Base</w:t>
      </w:r>
      <w:r>
        <w:rPr>
          <w:rFonts w:ascii="Arial" w:cs="Arial" w:eastAsia="Arial" w:hAnsi="Arial"/>
          <w:sz w:val="20"/>
          <w:szCs w:val="20"/>
          <w:color w:val="auto"/>
        </w:rPr>
        <w:t>” means, as of any date of determination, the result of:</w:t>
      </w:r>
    </w:p>
    <w:p>
      <w:pPr>
        <w:spacing w:after="0" w:line="216" w:lineRule="exact"/>
        <w:rPr>
          <w:sz w:val="20"/>
          <w:szCs w:val="20"/>
          <w:color w:val="auto"/>
        </w:rPr>
      </w:pPr>
    </w:p>
    <w:p>
      <w:pPr>
        <w:ind w:firstLine="1304"/>
        <w:spacing w:after="0" w:line="260" w:lineRule="auto"/>
        <w:tabs>
          <w:tab w:leader="none" w:pos="1944"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85% of the amount of Eligible Accounts (or 90% in the case of Eligible Investment Grade Accounts), </w:t>
      </w:r>
      <w:r>
        <w:rPr>
          <w:rFonts w:ascii="Arial" w:cs="Arial" w:eastAsia="Arial" w:hAnsi="Arial"/>
          <w:sz w:val="20"/>
          <w:szCs w:val="20"/>
          <w:i w:val="1"/>
          <w:iCs w:val="1"/>
          <w:u w:val="single" w:color="auto"/>
          <w:color w:val="auto"/>
        </w:rPr>
        <w:t>less</w:t>
      </w:r>
      <w:r>
        <w:rPr>
          <w:rFonts w:ascii="Arial" w:cs="Arial" w:eastAsia="Arial" w:hAnsi="Arial"/>
          <w:sz w:val="20"/>
          <w:szCs w:val="20"/>
          <w:color w:val="auto"/>
        </w:rPr>
        <w:t xml:space="preserve"> the amount, if any, of the Dilution Reserve, </w:t>
      </w:r>
      <w:r>
        <w:rPr>
          <w:rFonts w:ascii="Arial" w:cs="Arial" w:eastAsia="Arial" w:hAnsi="Arial"/>
          <w:sz w:val="20"/>
          <w:szCs w:val="20"/>
          <w:i w:val="1"/>
          <w:iCs w:val="1"/>
          <w:u w:val="single" w:color="auto"/>
          <w:color w:val="auto"/>
        </w:rPr>
        <w:t>plus</w:t>
      </w:r>
    </w:p>
    <w:p>
      <w:pPr>
        <w:spacing w:after="0" w:line="176" w:lineRule="exact"/>
        <w:rPr>
          <w:rFonts w:ascii="Arial" w:cs="Arial" w:eastAsia="Arial" w:hAnsi="Arial"/>
          <w:sz w:val="20"/>
          <w:szCs w:val="20"/>
          <w:color w:val="auto"/>
        </w:rPr>
      </w:pPr>
    </w:p>
    <w:p>
      <w:pPr>
        <w:jc w:val="both"/>
        <w:ind w:firstLine="1304"/>
        <w:spacing w:after="0" w:line="259" w:lineRule="auto"/>
        <w:tabs>
          <w:tab w:leader="none" w:pos="2019" w:val="left"/>
        </w:tabs>
        <w:numPr>
          <w:ilvl w:val="0"/>
          <w:numId w:val="9"/>
        </w:numPr>
        <w:rPr>
          <w:rFonts w:ascii="Arial" w:cs="Arial" w:eastAsia="Arial" w:hAnsi="Arial"/>
          <w:sz w:val="19"/>
          <w:szCs w:val="19"/>
          <w:color w:val="auto"/>
        </w:rPr>
      </w:pPr>
      <w:r>
        <w:rPr>
          <w:rFonts w:ascii="Arial" w:cs="Arial" w:eastAsia="Arial" w:hAnsi="Arial"/>
          <w:sz w:val="19"/>
          <w:szCs w:val="19"/>
          <w:color w:val="auto"/>
        </w:rPr>
        <w:t xml:space="preserve">the lesser of (A) the product of 80% multiplied by the value (calculated at the lower of cost or market on a basis consistent with Borrowers’ historical accounting practices) of Eligible Inventory at such time, and (B) the product of 85% multiplied by the Net Recovery Percentage identified in the most recent Acceptable Appraisal of Inventory, multiplied by the value (calculated at the lower of cost or market on a basis consistent with Borrowers’ historical accounting practices) of Eligible Inventory (such determination may be made as to different categories of Eligible Inventory based upon the Net Recovery Percentage applicable to such categories) at such time, </w:t>
      </w:r>
      <w:r>
        <w:rPr>
          <w:rFonts w:ascii="Arial" w:cs="Arial" w:eastAsia="Arial" w:hAnsi="Arial"/>
          <w:sz w:val="19"/>
          <w:szCs w:val="19"/>
          <w:i w:val="1"/>
          <w:iCs w:val="1"/>
          <w:u w:val="single" w:color="auto"/>
          <w:color w:val="auto"/>
        </w:rPr>
        <w:t>plus</w:t>
      </w:r>
    </w:p>
    <w:p>
      <w:pPr>
        <w:spacing w:after="0" w:line="178" w:lineRule="exact"/>
        <w:rPr>
          <w:rFonts w:ascii="Arial" w:cs="Arial" w:eastAsia="Arial" w:hAnsi="Arial"/>
          <w:sz w:val="19"/>
          <w:szCs w:val="19"/>
          <w:color w:val="auto"/>
        </w:rPr>
      </w:pPr>
    </w:p>
    <w:p>
      <w:pPr>
        <w:ind w:left="1960" w:hanging="656"/>
        <w:spacing w:after="0"/>
        <w:tabs>
          <w:tab w:leader="none" w:pos="1960" w:val="left"/>
        </w:tabs>
        <w:numPr>
          <w:ilvl w:val="0"/>
          <w:numId w:val="9"/>
        </w:numPr>
        <w:rPr>
          <w:rFonts w:ascii="Arial" w:cs="Arial" w:eastAsia="Arial" w:hAnsi="Arial"/>
          <w:sz w:val="20"/>
          <w:szCs w:val="20"/>
          <w:color w:val="auto"/>
        </w:rPr>
      </w:pPr>
      <w:r>
        <w:rPr>
          <w:rFonts w:ascii="Arial" w:cs="Arial" w:eastAsia="Arial" w:hAnsi="Arial"/>
          <w:sz w:val="20"/>
          <w:szCs w:val="20"/>
          <w:i w:val="1"/>
          <w:iCs w:val="1"/>
          <w:color w:val="auto"/>
        </w:rPr>
        <w:t>the lesser of</w:t>
      </w:r>
    </w:p>
    <w:p>
      <w:pPr>
        <w:spacing w:after="0" w:line="215" w:lineRule="exact"/>
        <w:rPr>
          <w:rFonts w:ascii="Arial" w:cs="Arial" w:eastAsia="Arial" w:hAnsi="Arial"/>
          <w:sz w:val="20"/>
          <w:szCs w:val="20"/>
          <w:color w:val="auto"/>
        </w:rPr>
      </w:pPr>
    </w:p>
    <w:p>
      <w:pPr>
        <w:ind w:left="2600" w:hanging="648"/>
        <w:spacing w:after="0"/>
        <w:tabs>
          <w:tab w:leader="none" w:pos="2600" w:val="left"/>
        </w:tabs>
        <w:numPr>
          <w:ilvl w:val="1"/>
          <w:numId w:val="9"/>
        </w:numPr>
        <w:rPr>
          <w:rFonts w:ascii="Arial" w:cs="Arial" w:eastAsia="Arial" w:hAnsi="Arial"/>
          <w:sz w:val="20"/>
          <w:szCs w:val="20"/>
          <w:color w:val="auto"/>
        </w:rPr>
      </w:pPr>
      <w:r>
        <w:rPr>
          <w:rFonts w:ascii="Arial" w:cs="Arial" w:eastAsia="Arial" w:hAnsi="Arial"/>
          <w:sz w:val="20"/>
          <w:szCs w:val="20"/>
          <w:color w:val="auto"/>
        </w:rPr>
        <w:t>the M&amp;E Subline Amount, and</w:t>
      </w:r>
    </w:p>
    <w:p>
      <w:pPr>
        <w:spacing w:after="0" w:line="215" w:lineRule="exact"/>
        <w:rPr>
          <w:rFonts w:ascii="Arial" w:cs="Arial" w:eastAsia="Arial" w:hAnsi="Arial"/>
          <w:sz w:val="20"/>
          <w:szCs w:val="20"/>
          <w:color w:val="auto"/>
        </w:rPr>
      </w:pPr>
    </w:p>
    <w:p>
      <w:pPr>
        <w:ind w:left="1300" w:firstLine="652"/>
        <w:spacing w:after="0" w:line="260" w:lineRule="auto"/>
        <w:tabs>
          <w:tab w:leader="none" w:pos="2596" w:val="left"/>
        </w:tabs>
        <w:numPr>
          <w:ilvl w:val="1"/>
          <w:numId w:val="9"/>
        </w:numPr>
        <w:rPr>
          <w:rFonts w:ascii="Arial" w:cs="Arial" w:eastAsia="Arial" w:hAnsi="Arial"/>
          <w:sz w:val="20"/>
          <w:szCs w:val="20"/>
          <w:color w:val="auto"/>
        </w:rPr>
      </w:pPr>
      <w:r>
        <w:rPr>
          <w:rFonts w:ascii="Arial" w:cs="Arial" w:eastAsia="Arial" w:hAnsi="Arial"/>
          <w:sz w:val="20"/>
          <w:szCs w:val="20"/>
          <w:color w:val="auto"/>
        </w:rPr>
        <w:t xml:space="preserve">the product of 85% multiplied by the NOLV of Eligible M&amp;E as such NOLV is identified in the most recent Acceptable Appraisal of M&amp;E at such time, </w:t>
      </w:r>
      <w:r>
        <w:rPr>
          <w:rFonts w:ascii="Arial" w:cs="Arial" w:eastAsia="Arial" w:hAnsi="Arial"/>
          <w:sz w:val="20"/>
          <w:szCs w:val="20"/>
          <w:i w:val="1"/>
          <w:iCs w:val="1"/>
          <w:u w:val="single" w:color="auto"/>
          <w:color w:val="auto"/>
        </w:rPr>
        <w:t>less</w:t>
      </w:r>
    </w:p>
    <w:p>
      <w:pPr>
        <w:spacing w:after="0" w:line="176" w:lineRule="exact"/>
        <w:rPr>
          <w:rFonts w:ascii="Arial" w:cs="Arial" w:eastAsia="Arial" w:hAnsi="Arial"/>
          <w:sz w:val="20"/>
          <w:szCs w:val="20"/>
          <w:color w:val="auto"/>
        </w:rPr>
      </w:pPr>
    </w:p>
    <w:p>
      <w:pPr>
        <w:ind w:firstLine="1304"/>
        <w:spacing w:after="0" w:line="260" w:lineRule="auto"/>
        <w:tabs>
          <w:tab w:leader="none" w:pos="1944"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the aggregate amount of Reserves, if any, established by Agent from time to time under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2.1(c)</w:t>
      </w:r>
      <w:r>
        <w:rPr>
          <w:rFonts w:ascii="Arial" w:cs="Arial" w:eastAsia="Arial" w:hAnsi="Arial"/>
          <w:sz w:val="20"/>
          <w:szCs w:val="20"/>
          <w:color w:val="auto"/>
        </w:rPr>
        <w:t xml:space="preserve"> of this Agreement.</w:t>
      </w:r>
    </w:p>
    <w:p>
      <w:pPr>
        <w:spacing w:after="0" w:line="69"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Borrowing Base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to this Agreement, which such form of Borrowing Base Certificate may be amended, restated, supplemented or otherwise modified from time to time (including without limitation, changes to the format thereof), as approved by Agent in Agent’s Permitted Discretion.</w:t>
      </w:r>
    </w:p>
    <w:p>
      <w:pPr>
        <w:spacing w:after="0" w:line="15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any day that is not a Saturday, Sunday or other day on which the Federal Reserve Bank of New York is closed.</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Capex Advances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2.2(a)</w:t>
      </w:r>
      <w:r>
        <w:rPr>
          <w:rFonts w:ascii="Arial" w:cs="Arial" w:eastAsia="Arial" w:hAnsi="Arial"/>
          <w:sz w:val="20"/>
          <w:szCs w:val="20"/>
          <w:color w:val="auto"/>
        </w:rPr>
        <w:t xml:space="preserve"> of the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Capex Advance Base Rate Margin</w:t>
      </w:r>
      <w:r>
        <w:rPr>
          <w:rFonts w:ascii="Arial" w:cs="Arial" w:eastAsia="Arial" w:hAnsi="Arial"/>
          <w:sz w:val="19"/>
          <w:szCs w:val="19"/>
          <w:color w:val="auto"/>
        </w:rPr>
        <w:t>” has the meaning set forth in the definition of Applicable Margin.</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Capex Advance SOFR Margin</w:t>
      </w:r>
      <w:r>
        <w:rPr>
          <w:rFonts w:ascii="Arial" w:cs="Arial" w:eastAsia="Arial" w:hAnsi="Arial"/>
          <w:sz w:val="20"/>
          <w:szCs w:val="20"/>
          <w:color w:val="auto"/>
        </w:rPr>
        <w:t>” has the meaning set forth in the definition of Applicable Margin.</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Capex Amount</w:t>
      </w:r>
      <w:r>
        <w:rPr>
          <w:rFonts w:ascii="Arial" w:cs="Arial" w:eastAsia="Arial" w:hAnsi="Arial"/>
          <w:sz w:val="20"/>
          <w:szCs w:val="20"/>
          <w:color w:val="auto"/>
        </w:rPr>
        <w:t>” means $10,000,000.</w:t>
      </w:r>
    </w:p>
    <w:p>
      <w:pPr>
        <w:spacing w:after="0" w:line="216"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Capex Commitment</w:t>
      </w:r>
      <w:r>
        <w:rPr>
          <w:rFonts w:ascii="Arial" w:cs="Arial" w:eastAsia="Arial" w:hAnsi="Arial"/>
          <w:sz w:val="18"/>
          <w:szCs w:val="18"/>
          <w:color w:val="auto"/>
        </w:rPr>
        <w:t xml:space="preserve">” means, with respect to each Lender, its Capex Commitment, and, with respect to all Lenders, their Capex Commitments, in each case as such Dollar amounts are set forth beside such Lender’s name under the applicable heading on </w:t>
      </w:r>
      <w:r>
        <w:rPr>
          <w:rFonts w:ascii="Arial" w:cs="Arial" w:eastAsia="Arial" w:hAnsi="Arial"/>
          <w:sz w:val="18"/>
          <w:szCs w:val="18"/>
          <w:u w:val="single" w:color="auto"/>
          <w:color w:val="auto"/>
        </w:rPr>
        <w:t>Schedule C-1</w:t>
      </w:r>
      <w:r>
        <w:rPr>
          <w:rFonts w:ascii="Arial" w:cs="Arial" w:eastAsia="Arial" w:hAnsi="Arial"/>
          <w:sz w:val="18"/>
          <w:szCs w:val="18"/>
          <w:color w:val="auto"/>
        </w:rPr>
        <w:t xml:space="preserve"> to the Agreement or in the Assignment and Acceptance pursuant to which such Lender became a Lender under the Agreement, as such amounts may be reduced or increased from time to time pursuant to assignments made in accordance with the provisions of </w:t>
      </w:r>
      <w:r>
        <w:rPr>
          <w:rFonts w:ascii="Arial" w:cs="Arial" w:eastAsia="Arial" w:hAnsi="Arial"/>
          <w:sz w:val="18"/>
          <w:szCs w:val="18"/>
          <w:u w:val="single" w:color="auto"/>
          <w:color w:val="auto"/>
        </w:rPr>
        <w:t>Section 13.1</w:t>
      </w:r>
      <w:r>
        <w:rPr>
          <w:rFonts w:ascii="Arial" w:cs="Arial" w:eastAsia="Arial" w:hAnsi="Arial"/>
          <w:sz w:val="18"/>
          <w:szCs w:val="18"/>
          <w:color w:val="auto"/>
        </w:rPr>
        <w:t xml:space="preserve">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0" w:name="page21"/>
    <w:bookmarkEnd w:id="20"/>
    <w:p>
      <w:pPr>
        <w:jc w:val="both"/>
        <w:ind w:firstLine="1296"/>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Capex Loan Exposure</w:t>
      </w:r>
      <w:r>
        <w:rPr>
          <w:rFonts w:ascii="Arial" w:cs="Arial" w:eastAsia="Arial" w:hAnsi="Arial"/>
          <w:sz w:val="18"/>
          <w:szCs w:val="18"/>
          <w:color w:val="auto"/>
        </w:rPr>
        <w:t>” means, with respect to any Lender, as of any date of determination (a) prior to the termination of the Capex Commitments, the amount of such Lender’s Capex Commitment, and (b) after the termination of the Capex Commitments, the aggregate outstanding principal amount of the Capex Advances of such Lender.</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Capex Purchase Loan Request</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2.2(c)(i)</w:t>
      </w:r>
      <w:r>
        <w:rPr>
          <w:rFonts w:ascii="Arial" w:cs="Arial" w:eastAsia="Arial" w:hAnsi="Arial"/>
          <w:sz w:val="18"/>
          <w:szCs w:val="18"/>
          <w:color w:val="auto"/>
        </w:rPr>
        <w:t xml:space="preserve"> of the Agreement.</w:t>
      </w:r>
    </w:p>
    <w:p>
      <w:pPr>
        <w:spacing w:after="0" w:line="239"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9"/>
          <w:szCs w:val="19"/>
          <w:u w:val="single" w:color="auto"/>
          <w:color w:val="auto"/>
        </w:rPr>
        <w:t>Capex Scheduled Repayment Date</w:t>
      </w:r>
      <w:r>
        <w:rPr>
          <w:rFonts w:ascii="Arial" w:cs="Arial" w:eastAsia="Arial" w:hAnsi="Arial"/>
          <w:sz w:val="19"/>
          <w:szCs w:val="19"/>
          <w:color w:val="auto"/>
        </w:rPr>
        <w:t>” means the first day of the sixth full calendar month following the date</w:t>
      </w:r>
      <w:r>
        <w:rPr>
          <w:rFonts w:ascii="Arial" w:cs="Arial" w:eastAsia="Arial" w:hAnsi="Arial"/>
          <w:sz w:val="18"/>
          <w:szCs w:val="18"/>
          <w:color w:val="auto"/>
        </w:rPr>
        <w:t xml:space="preserve"> </w:t>
      </w:r>
      <w:r>
        <w:rPr>
          <w:rFonts w:ascii="Arial" w:cs="Arial" w:eastAsia="Arial" w:hAnsi="Arial"/>
          <w:sz w:val="19"/>
          <w:szCs w:val="19"/>
          <w:color w:val="auto"/>
        </w:rPr>
        <w:t>of the initial Capex Advance, and the first day of each month thereafter.</w:t>
      </w:r>
    </w:p>
    <w:p>
      <w:pPr>
        <w:spacing w:after="0" w:line="15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Capital Expenditures</w:t>
      </w:r>
      <w:r>
        <w:rPr>
          <w:rFonts w:ascii="Arial" w:cs="Arial" w:eastAsia="Arial" w:hAnsi="Arial"/>
          <w:sz w:val="19"/>
          <w:szCs w:val="19"/>
          <w:color w:val="auto"/>
        </w:rPr>
        <w:t>” means, with respect to any Person for any period, the amount of all expenditures by such Person and its Subsidiaries during such period that are capital expenditures as determined in accordance with GAAP, whether such expenditures are paid in cash or financed, but excluding, without duplication (a) with respect to the purchase price of assets that are purchased substantially contemporaneously with the trade-in of existing assets during such period, the amount that the gross amount of such purchase price is reduced by the credit granted by the seller of such assets for the assets being traded in at such time, (b) expenditures made during such period to consummate one or more Permitted Acquisitions, and (c) any capitalized interest expense reflected as additions to property, plant or equipment in the consolidated balance sheet of such Person.</w:t>
      </w:r>
    </w:p>
    <w:p>
      <w:pPr>
        <w:spacing w:after="0" w:line="18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Lease</w:t>
      </w:r>
      <w:r>
        <w:rPr>
          <w:rFonts w:ascii="Arial" w:cs="Arial" w:eastAsia="Arial" w:hAnsi="Arial"/>
          <w:sz w:val="20"/>
          <w:szCs w:val="20"/>
          <w:color w:val="auto"/>
        </w:rPr>
        <w:t>” means a lease that is required to be capitalized for financial reporting purposes in accordance with GAAP.</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Capitalized Lease Obligation</w:t>
      </w:r>
      <w:r>
        <w:rPr>
          <w:rFonts w:ascii="Arial" w:cs="Arial" w:eastAsia="Arial" w:hAnsi="Arial"/>
          <w:sz w:val="20"/>
          <w:szCs w:val="20"/>
          <w:color w:val="auto"/>
        </w:rPr>
        <w:t>” means that portion of the obligations under a Capital Lease that is required to be capitalized in accordance with GAAP.</w:t>
      </w:r>
    </w:p>
    <w:p>
      <w:pPr>
        <w:spacing w:after="0" w:line="177"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Equivalents</w:t>
      </w:r>
      <w:r>
        <w:rPr>
          <w:rFonts w:ascii="Arial" w:cs="Arial" w:eastAsia="Arial" w:hAnsi="Arial"/>
          <w:sz w:val="18"/>
          <w:szCs w:val="18"/>
          <w:color w:val="auto"/>
        </w:rPr>
        <w:t>” means (a) marketable direct obligations issued by, or unconditionally guaranteed by, the United States or issued by any agency thereof and backed by the full faith and credit of the United States, in each case maturing within one year from the date of acquisition thereof, (b) marketable direct obligations issued or fully guaranteed by any state of the United States or any political subdivision of any such state or any public instrumentality thereof maturing within one year from the date of acquisition thereof and, at the time of acquisition, having one of the two highest ratings obtainable from either Standard &amp; Poor’s Rating Group (“</w:t>
      </w:r>
      <w:r>
        <w:rPr>
          <w:rFonts w:ascii="Arial" w:cs="Arial" w:eastAsia="Arial" w:hAnsi="Arial"/>
          <w:sz w:val="18"/>
          <w:szCs w:val="18"/>
          <w:u w:val="single" w:color="auto"/>
          <w:color w:val="auto"/>
        </w:rPr>
        <w:t>S&amp;P</w:t>
      </w:r>
      <w:r>
        <w:rPr>
          <w:rFonts w:ascii="Arial" w:cs="Arial" w:eastAsia="Arial" w:hAnsi="Arial"/>
          <w:sz w:val="18"/>
          <w:szCs w:val="18"/>
          <w:color w:val="auto"/>
        </w:rPr>
        <w:t>”) or Moody’s Investors Service, Inc. (“</w:t>
      </w:r>
      <w:r>
        <w:rPr>
          <w:rFonts w:ascii="Arial" w:cs="Arial" w:eastAsia="Arial" w:hAnsi="Arial"/>
          <w:sz w:val="18"/>
          <w:szCs w:val="18"/>
          <w:u w:val="single" w:color="auto"/>
          <w:color w:val="auto"/>
        </w:rPr>
        <w:t>Moody’s</w:t>
      </w:r>
      <w:r>
        <w:rPr>
          <w:rFonts w:ascii="Arial" w:cs="Arial" w:eastAsia="Arial" w:hAnsi="Arial"/>
          <w:sz w:val="18"/>
          <w:szCs w:val="18"/>
          <w:color w:val="auto"/>
        </w:rPr>
        <w:t>”), (c) commercial paper maturing no more than 270 days from the date of creation thereof and, at the time of acquisition, having a rating of at least A-1 from S&amp;P or at least P-1 from Moody’s, (d) certificates of deposit, time deposits, overnight bank deposits or bankers’ acceptances maturing within one year from the date of acquisition thereof issued by any bank organized under the laws of the United States or any state thereof or the District of Columbia or any United States branch of a foreign bank having at the date of acquisition thereof combined capital and surplus of not less than $1,000,000,000, (e) Deposit Accounts maintained with (i) any bank that satisfies the criteria described in clause (d) above, or (ii) any other bank organized under the laws of the United States or any state thereof so long as the full amount maintained with any such other bank is insured by the Federal Deposit Insurance Corporation, (f) repurchase obligations of any commercial bank satisfying the requirements of clause (d) of this definition or of any recognized securities dealer having combined capital and surplus of not less than $1,000,000,000, having a term of not more than seven days, with respect to securities satisfying the criteria in clauses (a) or (d) above, (g) debt securities with maturities of six months or less from the date of acquisition backed by standby letters of credit issued by any commercial bank satisfying the criteria described in clause (d) above, and (h) Investments in money market funds substantially all of whose assets are invested in the types of assets described in clauses (a) through (g)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1" w:name="page22"/>
    <w:bookmarkEnd w:id="21"/>
    <w:p>
      <w:pPr>
        <w:jc w:val="both"/>
        <w:ind w:firstLine="1296"/>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Management Services</w:t>
      </w:r>
      <w:r>
        <w:rPr>
          <w:rFonts w:ascii="Arial" w:cs="Arial" w:eastAsia="Arial" w:hAnsi="Arial"/>
          <w:sz w:val="20"/>
          <w:szCs w:val="20"/>
          <w:color w:val="auto"/>
        </w:rPr>
        <w:t xml:space="preserve"> ” means any cash management or related services including treasury, depository, return items, overdraft, controlled disbursement, merchant store value cards, e-payables services, electronic funds transfer, interstate depository network, automatic clearing house transfer (including the Automated Clearing House processing of electronic funds transfers through the direct Federal Reserve Fedline system) and other cash management arrangements.</w:t>
      </w:r>
    </w:p>
    <w:p>
      <w:pPr>
        <w:spacing w:after="0" w:line="191"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CFC</w:t>
      </w:r>
      <w:r>
        <w:rPr>
          <w:rFonts w:ascii="Arial" w:cs="Arial" w:eastAsia="Arial" w:hAnsi="Arial"/>
          <w:sz w:val="20"/>
          <w:szCs w:val="20"/>
          <w:color w:val="auto"/>
        </w:rPr>
        <w:t>” means a controlled foreign corporation (as that term is defined in the IRC) in which any Loan Party is a “United States shareholder” within the meaning of Section 951(b) of the IRC.</w:t>
      </w:r>
    </w:p>
    <w:p>
      <w:pPr>
        <w:spacing w:after="0" w:line="17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date of this Agreement of: (a) the adoption or effectiveness of any law, rule, regulation, judicial ruling, judgment or treaty, (b) any change in any law, rule, regulation, judicial ruling, judgment or treaty or in the administration, interpretation, implementation or application by any Governmental Authority of any law, rule, regulation, guideline or treaty, (c) any new, or adjustment to, requirements prescribed by the Board of Governors for “Eurocurrency Liabilities” (as defined in Regulation D of the Board of Governors), requirements imposed by the Federal Deposit Insurance Corporation, or similar requirements imposed by any domestic or foreign governmental authority or resulting from compliance by Agent or any Lender with any request or directive (whether or not having the force of law) from any central bank or other Governmental Authority and related in any manner to SOFR, the Term SOFR Reference Rate, Adjusted Term SOFR or Term SOFR, or (d) the making or issuance by any Governmental Authority of any request, rule, guideline or directive, whether or not having the force of law; </w:t>
      </w:r>
      <w:r>
        <w:rPr>
          <w:rFonts w:ascii="Arial" w:cs="Arial" w:eastAsia="Arial" w:hAnsi="Arial"/>
          <w:sz w:val="18"/>
          <w:szCs w:val="18"/>
          <w:u w:val="single" w:color="auto"/>
          <w:color w:val="auto"/>
        </w:rPr>
        <w:t>provided</w:t>
      </w:r>
      <w:r>
        <w:rPr>
          <w:rFonts w:ascii="Arial" w:cs="Arial" w:eastAsia="Arial" w:hAnsi="Arial"/>
          <w:sz w:val="18"/>
          <w:szCs w:val="18"/>
          <w:color w:val="auto"/>
        </w:rPr>
        <w:t>, that notwithstanding anything in this Agreement to the contrary, (i) the Dodd-Frank Wall Street Reform and Consumer Protection Act and all requests, rules, guidelines or directives thereunder or issued in connection therewith, and (ii) all requests, rules, guidelines or directives concerning capital adequacy promulgated by the Bank for International Settlements, the Basel Committee on Banking Supervision (or any successor or similar authority) or the United States or foreign regulatory authorities shall, in each case, be deemed to be a “</w:t>
      </w:r>
      <w:r>
        <w:rPr>
          <w:rFonts w:ascii="Arial" w:cs="Arial" w:eastAsia="Arial" w:hAnsi="Arial"/>
          <w:sz w:val="18"/>
          <w:szCs w:val="18"/>
          <w:u w:val="single" w:color="auto"/>
          <w:color w:val="auto"/>
        </w:rPr>
        <w:t>Change in Law</w:t>
      </w:r>
      <w:r>
        <w:rPr>
          <w:rFonts w:ascii="Arial" w:cs="Arial" w:eastAsia="Arial" w:hAnsi="Arial"/>
          <w:sz w:val="18"/>
          <w:szCs w:val="18"/>
          <w:color w:val="auto"/>
        </w:rPr>
        <w:t>,” regardless of the date enacted, adopted or issued.</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w:t>
      </w:r>
      <w:r>
        <w:rPr>
          <w:rFonts w:ascii="Arial" w:cs="Arial" w:eastAsia="Arial" w:hAnsi="Arial"/>
          <w:sz w:val="20"/>
          <w:szCs w:val="20"/>
          <w:color w:val="auto"/>
        </w:rPr>
        <w:t>” means that:</w:t>
      </w:r>
    </w:p>
    <w:p>
      <w:pPr>
        <w:spacing w:after="0" w:line="216" w:lineRule="exact"/>
        <w:rPr>
          <w:sz w:val="20"/>
          <w:szCs w:val="20"/>
          <w:color w:val="auto"/>
        </w:rPr>
      </w:pPr>
    </w:p>
    <w:p>
      <w:pPr>
        <w:jc w:val="both"/>
        <w:ind w:firstLine="1304"/>
        <w:spacing w:after="0" w:line="244" w:lineRule="auto"/>
        <w:tabs>
          <w:tab w:leader="none" w:pos="1944" w:val="left"/>
        </w:tabs>
        <w:numPr>
          <w:ilvl w:val="0"/>
          <w:numId w:val="10"/>
        </w:numPr>
        <w:rPr>
          <w:rFonts w:ascii="Arial" w:cs="Arial" w:eastAsia="Arial" w:hAnsi="Arial"/>
          <w:sz w:val="20"/>
          <w:szCs w:val="20"/>
          <w:color w:val="auto"/>
        </w:rPr>
      </w:pPr>
      <w:r>
        <w:rPr>
          <w:rFonts w:ascii="Arial" w:cs="Arial" w:eastAsia="Arial" w:hAnsi="Arial"/>
          <w:sz w:val="20"/>
          <w:szCs w:val="20"/>
          <w:color w:val="auto"/>
        </w:rPr>
        <w:t>any Person or two or more Persons acting in concert, shall have acquired beneficial ownership, directly or indirectly, of Equity Interests of Administrative Borrower (or other securities convertible into such Equity Interests) representing 45% or more of the combined voting power of all Equity Interests of Administrative Borrower entitled (without regard to the occurrence of any contingency) to vote for the election of members of the Board of Directors of Administrative Borrower,</w:t>
      </w:r>
    </w:p>
    <w:p>
      <w:pPr>
        <w:spacing w:after="0" w:line="194" w:lineRule="exact"/>
        <w:rPr>
          <w:rFonts w:ascii="Arial" w:cs="Arial" w:eastAsia="Arial" w:hAnsi="Arial"/>
          <w:sz w:val="20"/>
          <w:szCs w:val="20"/>
          <w:color w:val="auto"/>
        </w:rPr>
      </w:pPr>
    </w:p>
    <w:p>
      <w:pPr>
        <w:jc w:val="both"/>
        <w:ind w:firstLine="1304"/>
        <w:spacing w:after="0" w:line="243" w:lineRule="auto"/>
        <w:tabs>
          <w:tab w:leader="none" w:pos="1944" w:val="left"/>
        </w:tabs>
        <w:numPr>
          <w:ilvl w:val="0"/>
          <w:numId w:val="10"/>
        </w:numPr>
        <w:rPr>
          <w:rFonts w:ascii="Arial" w:cs="Arial" w:eastAsia="Arial" w:hAnsi="Arial"/>
          <w:sz w:val="20"/>
          <w:szCs w:val="20"/>
          <w:color w:val="auto"/>
        </w:rPr>
      </w:pPr>
      <w:r>
        <w:rPr>
          <w:rFonts w:ascii="Arial" w:cs="Arial" w:eastAsia="Arial" w:hAnsi="Arial"/>
          <w:sz w:val="20"/>
          <w:szCs w:val="20"/>
          <w:color w:val="auto"/>
        </w:rPr>
        <w:t>any Person or two or more Persons acting in concert, shall have acquired by contract or otherwise, or shall have entered into a contract or arrangement that, upon consummation thereof, will result in its or their acquisition of the power to exercise, directly or indirectly, a controlling influence over the management or policies of Administrative Borrower or control over the Equity Interests of such Person entitled to vote for members of the Board of Directors of Administrative Borrower on a fully-diluted basis (and taking into account all such Equity Interests that such Person or group has the right to acquire pursuant to any option right) representing 45% or more of the combined voting power of such Equity Interests,</w:t>
      </w:r>
    </w:p>
    <w:p>
      <w:pPr>
        <w:spacing w:after="0" w:line="192"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10"/>
        </w:numPr>
        <w:rPr>
          <w:rFonts w:ascii="Arial" w:cs="Arial" w:eastAsia="Arial" w:hAnsi="Arial"/>
          <w:sz w:val="20"/>
          <w:szCs w:val="20"/>
          <w:color w:val="auto"/>
        </w:rPr>
      </w:pPr>
      <w:r>
        <w:rPr>
          <w:rFonts w:ascii="Arial" w:cs="Arial" w:eastAsia="Arial" w:hAnsi="Arial"/>
          <w:sz w:val="20"/>
          <w:szCs w:val="20"/>
          <w:color w:val="auto"/>
        </w:rPr>
        <w:t>during any period of 24 consecutive months commencing on or after the Closing Date, the occurrence of a change in the composition of the Board of Directors of Administrative Borrower such that a majority of the members of such Board of Directors are not Continuing Directors,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2" w:name="page23"/>
    <w:bookmarkEnd w:id="22"/>
    <w:p>
      <w:pPr>
        <w:ind w:firstLine="1304"/>
        <w:spacing w:after="0" w:line="261" w:lineRule="auto"/>
        <w:tabs>
          <w:tab w:leader="none" w:pos="1944"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except as otherwise permitted pursuant to </w:t>
      </w:r>
      <w:r>
        <w:rPr>
          <w:rFonts w:ascii="Arial" w:cs="Arial" w:eastAsia="Arial" w:hAnsi="Arial"/>
          <w:sz w:val="20"/>
          <w:szCs w:val="20"/>
          <w:u w:val="single" w:color="auto"/>
          <w:color w:val="auto"/>
        </w:rPr>
        <w:t>Section 6.3</w:t>
      </w:r>
      <w:r>
        <w:rPr>
          <w:rFonts w:ascii="Arial" w:cs="Arial" w:eastAsia="Arial" w:hAnsi="Arial"/>
          <w:sz w:val="20"/>
          <w:szCs w:val="20"/>
          <w:color w:val="auto"/>
        </w:rPr>
        <w:t xml:space="preserve"> of this Agreement, Administrative Borrower fails to own and control, directly or indirectly, 100% of the Equity Interests of each other Loan Party.</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means June 26, 2023.</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California Uniform Commercial Code, as in effect from time to time.</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w:t>
      </w:r>
      <w:r>
        <w:rPr>
          <w:rFonts w:ascii="Arial" w:cs="Arial" w:eastAsia="Arial" w:hAnsi="Arial"/>
          <w:sz w:val="20"/>
          <w:szCs w:val="20"/>
          <w:color w:val="auto"/>
        </w:rPr>
        <w:t>” means all assets and interests in assets and proceeds thereof now owned or hereafter acquired by any Loan Party in or upon which a Lien is granted by such Person in favor of Agent or the Lenders under any of the Loan Documents.</w:t>
      </w:r>
    </w:p>
    <w:p>
      <w:pPr>
        <w:spacing w:after="0" w:line="18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Access Agreement</w:t>
      </w:r>
      <w:r>
        <w:rPr>
          <w:rFonts w:ascii="Arial" w:cs="Arial" w:eastAsia="Arial" w:hAnsi="Arial"/>
          <w:sz w:val="20"/>
          <w:szCs w:val="20"/>
          <w:color w:val="auto"/>
        </w:rPr>
        <w:t>” means a landlord waiver, bailee letter, or acknowledgement agreement of any lessor, warehouseman, processor, consignee, or other Person in possession of, having a Lien upon, or having rights or interests in any Loan Party’s books and records, Equipment, or Inventory, in each case, in form and substance reasonably satisfactory to Agent.</w:t>
      </w:r>
    </w:p>
    <w:p>
      <w:pPr>
        <w:spacing w:after="0" w:line="191"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Collections</w:t>
      </w:r>
      <w:r>
        <w:rPr>
          <w:rFonts w:ascii="Arial" w:cs="Arial" w:eastAsia="Arial" w:hAnsi="Arial"/>
          <w:sz w:val="20"/>
          <w:szCs w:val="20"/>
          <w:color w:val="auto"/>
        </w:rPr>
        <w:t>” means, all cash, checks, notes, instruments, and other items of payment (including insurance proceeds, cash proceeds of asset sales, rental proceeds and tax refunds).</w:t>
      </w:r>
    </w:p>
    <w:p>
      <w:pPr>
        <w:spacing w:after="0" w:line="17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w:t>
      </w:r>
      <w:r>
        <w:rPr>
          <w:rFonts w:ascii="Arial" w:cs="Arial" w:eastAsia="Arial" w:hAnsi="Arial"/>
          <w:sz w:val="19"/>
          <w:szCs w:val="19"/>
          <w:color w:val="auto"/>
        </w:rPr>
        <w:t xml:space="preserve">” means, with respect to each Lender, its Revolver Commitment or its Capex Commitment, as the context requires, and, with respect to all Lenders, their Revolver Commitments or their Capex Commitments, as the context requires, in each case as such Dollar amounts are set forth beside such Lender’s name under the applicable heading on </w:t>
      </w:r>
      <w:r>
        <w:rPr>
          <w:rFonts w:ascii="Arial" w:cs="Arial" w:eastAsia="Arial" w:hAnsi="Arial"/>
          <w:sz w:val="19"/>
          <w:szCs w:val="19"/>
          <w:u w:val="single" w:color="auto"/>
          <w:color w:val="auto"/>
        </w:rPr>
        <w:t>Schedule C-1</w:t>
      </w:r>
      <w:r>
        <w:rPr>
          <w:rFonts w:ascii="Arial" w:cs="Arial" w:eastAsia="Arial" w:hAnsi="Arial"/>
          <w:sz w:val="19"/>
          <w:szCs w:val="19"/>
          <w:color w:val="auto"/>
        </w:rPr>
        <w:t xml:space="preserve"> to this Agreement or in the Assignment and Acceptance pursuant to which such Lender became a Lender under this Agreement, as such amounts may be reduced or increased from time to time pursuant to assignments made in accordance with the provisions of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of this Agreement.</w:t>
      </w:r>
    </w:p>
    <w:p>
      <w:pPr>
        <w:spacing w:after="0" w:line="178"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means the Commodity Exchange Act (7 U.S.C. § 1 et seq.), as amended from time to time, and any successor statute.</w:t>
      </w:r>
    </w:p>
    <w:p>
      <w:pPr>
        <w:spacing w:after="0" w:line="177"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Compliance Certificate</w:t>
      </w:r>
      <w:r>
        <w:rPr>
          <w:rFonts w:ascii="Arial" w:cs="Arial" w:eastAsia="Arial" w:hAnsi="Arial"/>
          <w:sz w:val="19"/>
          <w:szCs w:val="19"/>
          <w:color w:val="auto"/>
        </w:rPr>
        <w:t xml:space="preserve">” means a certificate substantially in the form of </w:t>
      </w:r>
      <w:r>
        <w:rPr>
          <w:rFonts w:ascii="Arial" w:cs="Arial" w:eastAsia="Arial" w:hAnsi="Arial"/>
          <w:sz w:val="19"/>
          <w:szCs w:val="19"/>
          <w:u w:val="single" w:color="auto"/>
          <w:color w:val="auto"/>
        </w:rPr>
        <w:t>Exhibit C-1</w:t>
      </w:r>
      <w:r>
        <w:rPr>
          <w:rFonts w:ascii="Arial" w:cs="Arial" w:eastAsia="Arial" w:hAnsi="Arial"/>
          <w:sz w:val="19"/>
          <w:szCs w:val="19"/>
          <w:color w:val="auto"/>
        </w:rPr>
        <w:t xml:space="preserve"> to this Agreement delivered by the chief financial officer, chief accounting officer or treasurer of Administrative Borrower to Agent.</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xml:space="preserve">” has the meaning specified therefor in </w:t>
      </w:r>
      <w:r>
        <w:rPr>
          <w:rFonts w:ascii="Arial" w:cs="Arial" w:eastAsia="Arial" w:hAnsi="Arial"/>
          <w:sz w:val="19"/>
          <w:szCs w:val="19"/>
          <w:u w:val="single" w:color="auto"/>
          <w:color w:val="auto"/>
        </w:rPr>
        <w:t>Section 17.9(a)</w:t>
      </w:r>
      <w:r>
        <w:rPr>
          <w:rFonts w:ascii="Arial" w:cs="Arial" w:eastAsia="Arial" w:hAnsi="Arial"/>
          <w:sz w:val="19"/>
          <w:szCs w:val="19"/>
          <w:color w:val="auto"/>
        </w:rPr>
        <w:t xml:space="preserve"> of this Agreement.</w:t>
      </w:r>
    </w:p>
    <w:p>
      <w:pPr>
        <w:spacing w:after="0" w:line="22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Conforming Changes</w:t>
      </w:r>
      <w:r>
        <w:rPr>
          <w:rFonts w:ascii="Arial" w:cs="Arial" w:eastAsia="Arial" w:hAnsi="Arial"/>
          <w:sz w:val="19"/>
          <w:szCs w:val="19"/>
          <w:color w:val="auto"/>
        </w:rPr>
        <w:t xml:space="preserve">” means, with respect to either the use or administration of Term SOFR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Arial" w:cs="Arial" w:eastAsia="Arial" w:hAnsi="Arial"/>
          <w:sz w:val="19"/>
          <w:szCs w:val="19"/>
          <w:u w:val="single" w:color="auto"/>
          <w:color w:val="auto"/>
        </w:rPr>
        <w:t>Section 2.12(b)(ii)</w:t>
      </w:r>
      <w:r>
        <w:rPr>
          <w:rFonts w:ascii="Arial" w:cs="Arial" w:eastAsia="Arial" w:hAnsi="Arial"/>
          <w:sz w:val="19"/>
          <w:szCs w:val="19"/>
          <w:color w:val="auto"/>
        </w:rPr>
        <w:t xml:space="preserve"> and other technical, administrative or operational matters) that Agent decides may be appropriate to reflect the adoption and implementation of any such rate or to permit the use and administration thereof by Agent in a manner substantially consistent with market practice (or, if Agent decides that adoption of any portion of such market practice is not administratively feasible or if Agent determines that no market practice for the administration of any such rate exists, in such other manner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3" w:name="page24"/>
    <w:bookmarkEnd w:id="23"/>
    <w:p>
      <w:pPr>
        <w:jc w:val="both"/>
        <w:spacing w:after="0" w:line="261" w:lineRule="auto"/>
        <w:rPr>
          <w:sz w:val="20"/>
          <w:szCs w:val="20"/>
          <w:color w:val="auto"/>
        </w:rPr>
      </w:pPr>
      <w:r>
        <w:rPr>
          <w:rFonts w:ascii="Arial" w:cs="Arial" w:eastAsia="Arial" w:hAnsi="Arial"/>
          <w:sz w:val="20"/>
          <w:szCs w:val="20"/>
          <w:color w:val="auto"/>
        </w:rPr>
        <w:t>administration as Agent decides is reasonably necessary in connection with the administration of this Agreement and the other Loan Documents).</w:t>
      </w:r>
    </w:p>
    <w:p>
      <w:pPr>
        <w:spacing w:after="0" w:line="176"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w:t>
      </w:r>
      <w:r>
        <w:rPr>
          <w:rFonts w:ascii="Arial" w:cs="Arial" w:eastAsia="Arial" w:hAnsi="Arial"/>
          <w:sz w:val="18"/>
          <w:szCs w:val="18"/>
          <w:color w:val="auto"/>
        </w:rPr>
        <w:t>” means (a) any member of the Board of Directors who was a director (or comparable manager) of Administrative Borrower on the Closing Date, and (b) any individual who becomes a member of the Board of Directors of Administrative Borrower after the Closing Date if such individual was approved, appointed or nominated for election to the Board of Directors of Administrative Borrower by a majority of the Continuing Directors.</w:t>
      </w:r>
    </w:p>
    <w:p>
      <w:pPr>
        <w:spacing w:after="0" w:line="16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 Agreement</w:t>
      </w:r>
      <w:r>
        <w:rPr>
          <w:rFonts w:ascii="Arial" w:cs="Arial" w:eastAsia="Arial" w:hAnsi="Arial"/>
          <w:sz w:val="20"/>
          <w:szCs w:val="20"/>
          <w:color w:val="auto"/>
        </w:rPr>
        <w:t>” means a control agreement, in form and substance reasonably satisfactory to Agent, executed and delivered by a Loan Party, Agent, and the applicable securities intermediary (with respect to a Securities Account) or bank (with respect to a Deposit Account).</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Copyright Security Agreement”</w:t>
      </w:r>
      <w:r>
        <w:rPr>
          <w:rFonts w:ascii="Arial" w:cs="Arial" w:eastAsia="Arial" w:hAnsi="Arial"/>
          <w:sz w:val="20"/>
          <w:szCs w:val="20"/>
          <w:color w:val="auto"/>
        </w:rPr>
        <w:t xml:space="preserve"> has the meaning specified therefor in the Guaranty and Security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200"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Covenant Testing Period</w:t>
      </w:r>
      <w:r>
        <w:rPr>
          <w:rFonts w:ascii="Arial" w:cs="Arial" w:eastAsia="Arial" w:hAnsi="Arial"/>
          <w:sz w:val="20"/>
          <w:szCs w:val="20"/>
          <w:color w:val="auto"/>
        </w:rPr>
        <w:t xml:space="preserve">” means a period (a) commencing on the last day of the fiscal month of Administrative Borrower most recently ended prior to a Covenant Trigger Event for which Borrowers are required to deliver to Agent monthly, quarterly or annual financial statements pursuant to </w:t>
      </w:r>
      <w:r>
        <w:rPr>
          <w:rFonts w:ascii="Arial" w:cs="Arial" w:eastAsia="Arial" w:hAnsi="Arial"/>
          <w:sz w:val="20"/>
          <w:szCs w:val="20"/>
          <w:u w:val="single" w:color="auto"/>
          <w:color w:val="auto"/>
        </w:rPr>
        <w:t>Schedule 5.1</w:t>
      </w:r>
      <w:r>
        <w:rPr>
          <w:rFonts w:ascii="Arial" w:cs="Arial" w:eastAsia="Arial" w:hAnsi="Arial"/>
          <w:sz w:val="20"/>
          <w:szCs w:val="20"/>
          <w:color w:val="auto"/>
        </w:rPr>
        <w:t xml:space="preserve"> to this Agreement, and (b) continuing through and including the first day after such Covenant Trigger Event that Availability has equaled or exceeded 10% of the Maximum Revolver Amount for 30 consecutive days.</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Covenant Trigger Event</w:t>
      </w:r>
      <w:r>
        <w:rPr>
          <w:rFonts w:ascii="Arial" w:cs="Arial" w:eastAsia="Arial" w:hAnsi="Arial"/>
          <w:sz w:val="20"/>
          <w:szCs w:val="20"/>
          <w:color w:val="auto"/>
        </w:rPr>
        <w:t>” means if at any time Availability is less than 10% of the Maximum Revolver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Amount.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means any of the following:</w:t>
      </w:r>
    </w:p>
    <w:p>
      <w:pPr>
        <w:spacing w:after="0" w:line="216" w:lineRule="exact"/>
        <w:rPr>
          <w:sz w:val="20"/>
          <w:szCs w:val="20"/>
          <w:color w:val="auto"/>
        </w:rPr>
      </w:pPr>
    </w:p>
    <w:p>
      <w:pPr>
        <w:jc w:val="both"/>
        <w:ind w:left="1300"/>
        <w:spacing w:after="0"/>
        <w:tabs>
          <w:tab w:leader="none" w:pos="194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20"/>
          <w:szCs w:val="20"/>
          <w:color w:val="auto"/>
        </w:rPr>
        <w:t>a “covered entity” as that term is defined in, and interpreted in accordance with, 12 C.F.R. §</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252.82(b);</w:t>
      </w:r>
    </w:p>
    <w:p>
      <w:pPr>
        <w:spacing w:after="0" w:line="200" w:lineRule="exact"/>
        <w:rPr>
          <w:sz w:val="20"/>
          <w:szCs w:val="20"/>
          <w:color w:val="auto"/>
        </w:rPr>
      </w:pPr>
    </w:p>
    <w:p>
      <w:pPr>
        <w:ind w:left="1960" w:hanging="656"/>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“covered bank” as that term is defined in, and interpreted in accordance with, 12 C.F.R. § 47.3(b);</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or</w:t>
      </w:r>
    </w:p>
    <w:p>
      <w:pPr>
        <w:spacing w:after="0" w:line="200" w:lineRule="exact"/>
        <w:rPr>
          <w:sz w:val="20"/>
          <w:szCs w:val="20"/>
          <w:color w:val="auto"/>
        </w:rPr>
      </w:pPr>
    </w:p>
    <w:p>
      <w:pPr>
        <w:ind w:left="1300" w:right="80" w:firstLine="4"/>
        <w:spacing w:after="0" w:line="489" w:lineRule="auto"/>
        <w:tabs>
          <w:tab w:leader="none" w:pos="1948" w:val="left"/>
        </w:tabs>
        <w:numPr>
          <w:ilvl w:val="0"/>
          <w:numId w:val="13"/>
        </w:numPr>
        <w:rPr>
          <w:rFonts w:ascii="Arial" w:cs="Arial" w:eastAsia="Arial" w:hAnsi="Arial"/>
          <w:sz w:val="19"/>
          <w:szCs w:val="19"/>
          <w:color w:val="auto"/>
        </w:rPr>
      </w:pPr>
      <w:r>
        <w:rPr>
          <w:rFonts w:ascii="Arial" w:cs="Arial" w:eastAsia="Arial" w:hAnsi="Arial"/>
          <w:sz w:val="19"/>
          <w:szCs w:val="19"/>
          <w:color w:val="auto"/>
        </w:rPr>
        <w:t>a “covered FSI” as that term is defined in, and interpreted in accordance with, 12 C.F.R. § 382.2(b). “</w:t>
      </w:r>
      <w:r>
        <w:rPr>
          <w:rFonts w:ascii="Arial" w:cs="Arial" w:eastAsia="Arial" w:hAnsi="Arial"/>
          <w:sz w:val="19"/>
          <w:szCs w:val="19"/>
          <w:u w:val="single" w:color="auto"/>
          <w:color w:val="auto"/>
        </w:rPr>
        <w:t>Covered Party</w:t>
      </w:r>
      <w:r>
        <w:rPr>
          <w:rFonts w:ascii="Arial" w:cs="Arial" w:eastAsia="Arial" w:hAnsi="Arial"/>
          <w:sz w:val="19"/>
          <w:szCs w:val="19"/>
          <w:color w:val="auto"/>
        </w:rPr>
        <w:t xml:space="preserve">” has the meaning specified therefor in </w:t>
      </w:r>
      <w:r>
        <w:rPr>
          <w:rFonts w:ascii="Arial" w:cs="Arial" w:eastAsia="Arial" w:hAnsi="Arial"/>
          <w:sz w:val="19"/>
          <w:szCs w:val="19"/>
          <w:u w:val="single" w:color="auto"/>
          <w:color w:val="auto"/>
        </w:rPr>
        <w:t>Section 17.15</w:t>
      </w:r>
      <w:r>
        <w:rPr>
          <w:rFonts w:ascii="Arial" w:cs="Arial" w:eastAsia="Arial" w:hAnsi="Arial"/>
          <w:sz w:val="19"/>
          <w:szCs w:val="19"/>
          <w:color w:val="auto"/>
        </w:rPr>
        <w:t xml:space="preserve"> of this Agreement.</w:t>
      </w:r>
    </w:p>
    <w:p>
      <w:pPr>
        <w:spacing w:after="0" w:line="1"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 event, condition, or default that, with the giving of notice, the passage of time, or both, would be an Event of Default.</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77"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Defaulting Lender</w:t>
      </w:r>
      <w:r>
        <w:rPr>
          <w:rFonts w:ascii="Arial" w:cs="Arial" w:eastAsia="Arial" w:hAnsi="Arial"/>
          <w:sz w:val="20"/>
          <w:szCs w:val="20"/>
          <w:color w:val="auto"/>
        </w:rPr>
        <w:t>” means any Lender that (a) has failed to (i) fund all or any portion of its Loans within two Business Days of the date such Loans were required to be funded hereunder unless such Lender notifies Agent and Administrative Borrower in writing that such failure is the result of such Lender’s determination that one or more conditions precedent to funding (each of which conditions precedent, together with any applicable Default or Event of Default, shall be specifically identified in such writing) has not been satisfied, or (ii) pay to Agent, Issuing Bank, or any other Lender any other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4" w:name="page25"/>
    <w:bookmarkEnd w:id="24"/>
    <w:p>
      <w:pPr>
        <w:jc w:val="both"/>
        <w:spacing w:after="0" w:line="268" w:lineRule="auto"/>
        <w:rPr>
          <w:sz w:val="20"/>
          <w:szCs w:val="20"/>
          <w:color w:val="auto"/>
        </w:rPr>
      </w:pPr>
      <w:r>
        <w:rPr>
          <w:rFonts w:ascii="Arial" w:cs="Arial" w:eastAsia="Arial" w:hAnsi="Arial"/>
          <w:sz w:val="18"/>
          <w:szCs w:val="18"/>
          <w:color w:val="auto"/>
        </w:rPr>
        <w:t>required to be paid by it hereunder (including in respect of its participation in Letters of Credit) within two Business Days of the date when due, (b) has notified any Borrower, Agent or Issuing Bank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or Event of Default, shall be specifically identified in such writing or public statement) cannot be satisfied), (c) has failed, within three Business Days after written request by Agent or Administrative Borrower, to confirm in writing to Agent and Administrative Borrower that it will comply with its prospective funding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Lender shall cease to be a Defaulting Lender pursuant to this clause (c) upon receipt of such written confirmation by Agent and Administrative Borrower), or (d) has, or has a direct or indirect parent company that has, (i) become the subject of any Insolvency Proceeding,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8"/>
          <w:szCs w:val="18"/>
          <w:u w:val="single" w:color="auto"/>
          <w:color w:val="auto"/>
        </w:rPr>
        <w:t>provided</w:t>
      </w:r>
      <w:r>
        <w:rPr>
          <w:rFonts w:ascii="Arial" w:cs="Arial" w:eastAsia="Arial" w:hAnsi="Arial"/>
          <w:sz w:val="18"/>
          <w:szCs w:val="18"/>
          <w:color w:val="auto"/>
        </w:rPr>
        <w:t>,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Agent that a Lender is a Defaulting Lender under any one or more of clauses (a) through (d) above shall be conclusive and binding absent manifest error, and such Lender shall be deemed to be a Defaulting Lender upon delivery of written notice of such determination to Administrative Borrower, Issuing Bank, and each Lender.</w:t>
      </w:r>
    </w:p>
    <w:p>
      <w:pPr>
        <w:spacing w:after="0" w:line="183"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Defaulting Lender Rate</w:t>
      </w:r>
      <w:r>
        <w:rPr>
          <w:rFonts w:ascii="Arial" w:cs="Arial" w:eastAsia="Arial" w:hAnsi="Arial"/>
          <w:sz w:val="20"/>
          <w:szCs w:val="20"/>
          <w:color w:val="auto"/>
        </w:rPr>
        <w:t xml:space="preserve"> ” means (a) for the first three days from and after the date the relevant payment is due, the Base Rate, and (b) thereafter, the interest rate then applicable to Revolving Loans that are Base Rate Loans (inclusive of the Base Rate Margin applicable thereto).</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Deposit Account</w:t>
      </w:r>
      <w:r>
        <w:rPr>
          <w:rFonts w:ascii="Arial" w:cs="Arial" w:eastAsia="Arial" w:hAnsi="Arial"/>
          <w:sz w:val="20"/>
          <w:szCs w:val="20"/>
          <w:color w:val="auto"/>
        </w:rPr>
        <w:t>” means any deposit account (as that term is defined in the Code).</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Account</w:t>
      </w:r>
      <w:r>
        <w:rPr>
          <w:rFonts w:ascii="Arial" w:cs="Arial" w:eastAsia="Arial" w:hAnsi="Arial"/>
          <w:sz w:val="20"/>
          <w:szCs w:val="20"/>
          <w:color w:val="auto"/>
        </w:rPr>
        <w:t xml:space="preserve">” means the Deposit Account of Administrative Borrower identified on </w:t>
      </w:r>
      <w:r>
        <w:rPr>
          <w:rFonts w:ascii="Arial" w:cs="Arial" w:eastAsia="Arial" w:hAnsi="Arial"/>
          <w:sz w:val="20"/>
          <w:szCs w:val="20"/>
          <w:u w:val="single" w:color="auto"/>
          <w:color w:val="auto"/>
        </w:rPr>
        <w:t>Schedule D-1</w:t>
      </w:r>
      <w:r>
        <w:rPr>
          <w:rFonts w:ascii="Arial" w:cs="Arial" w:eastAsia="Arial" w:hAnsi="Arial"/>
          <w:sz w:val="20"/>
          <w:szCs w:val="20"/>
          <w:color w:val="auto"/>
        </w:rPr>
        <w:t xml:space="preserve"> to this Agreement (or such other Deposit Account of Administrative Borrower located at Designated Account Bank that has been designated as such, in writing, by Borrowers to Agent).</w:t>
      </w:r>
    </w:p>
    <w:p>
      <w:pPr>
        <w:spacing w:after="0" w:line="186"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Designated Account Bank</w:t>
      </w:r>
      <w:r>
        <w:rPr>
          <w:rFonts w:ascii="Arial" w:cs="Arial" w:eastAsia="Arial" w:hAnsi="Arial"/>
          <w:sz w:val="18"/>
          <w:szCs w:val="18"/>
          <w:color w:val="auto"/>
        </w:rPr>
        <w:t xml:space="preserve"> ” has the meaning specified therefor in </w:t>
      </w:r>
      <w:r>
        <w:rPr>
          <w:rFonts w:ascii="Arial" w:cs="Arial" w:eastAsia="Arial" w:hAnsi="Arial"/>
          <w:sz w:val="18"/>
          <w:szCs w:val="18"/>
          <w:u w:val="single" w:color="auto"/>
          <w:color w:val="auto"/>
        </w:rPr>
        <w:t>Schedule D-1</w:t>
      </w:r>
      <w:r>
        <w:rPr>
          <w:rFonts w:ascii="Arial" w:cs="Arial" w:eastAsia="Arial" w:hAnsi="Arial"/>
          <w:sz w:val="18"/>
          <w:szCs w:val="18"/>
          <w:color w:val="auto"/>
        </w:rPr>
        <w:t xml:space="preserve"> to this Agreement (or such other bank that is located within the United States that has been designated as such, in writing, by Borrowers to Agent).</w:t>
      </w:r>
    </w:p>
    <w:p>
      <w:pPr>
        <w:spacing w:after="0" w:line="13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Dilution</w:t>
      </w:r>
      <w:r>
        <w:rPr>
          <w:rFonts w:ascii="Arial" w:cs="Arial" w:eastAsia="Arial" w:hAnsi="Arial"/>
          <w:sz w:val="19"/>
          <w:szCs w:val="19"/>
          <w:color w:val="auto"/>
        </w:rPr>
        <w:t>” means, as of any date of determination, a percentage, based upon the experience of the immediately prior 12 months (or such other period as determined by Agent), that is the result of dividing the Dollar amount of (a) bad debt write-downs, discounts, advertising allowances, credits, or other dilutive items with respect to Borrowers’ Accounts during such period, by (b) Borrowers’ billings with respect to Accounts during such period.</w:t>
      </w:r>
    </w:p>
    <w:p>
      <w:pPr>
        <w:spacing w:after="0" w:line="17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Dilution Reserve</w:t>
      </w:r>
      <w:r>
        <w:rPr>
          <w:rFonts w:ascii="Arial" w:cs="Arial" w:eastAsia="Arial" w:hAnsi="Arial"/>
          <w:sz w:val="20"/>
          <w:szCs w:val="20"/>
          <w:color w:val="auto"/>
        </w:rPr>
        <w:t>” means, as of any date of determination, an amount sufficient to reduce the advance rate against Eligible Accounts by the extent to which Dilution is in excess of 5%.</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Disqualified Equity Interests</w:t>
      </w:r>
      <w:r>
        <w:rPr>
          <w:rFonts w:ascii="Arial" w:cs="Arial" w:eastAsia="Arial" w:hAnsi="Arial"/>
          <w:sz w:val="20"/>
          <w:szCs w:val="20"/>
          <w:color w:val="auto"/>
        </w:rPr>
        <w:t>” means any Equity Interests that, by their terms (or by the terms of any security or other Equity Interests into which they are convertible or for which they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5" w:name="page26"/>
    <w:bookmarkEnd w:id="25"/>
    <w:p>
      <w:pPr>
        <w:jc w:val="both"/>
        <w:spacing w:after="0" w:line="273" w:lineRule="auto"/>
        <w:rPr>
          <w:sz w:val="20"/>
          <w:szCs w:val="20"/>
          <w:color w:val="auto"/>
        </w:rPr>
      </w:pPr>
      <w:r>
        <w:rPr>
          <w:rFonts w:ascii="Arial" w:cs="Arial" w:eastAsia="Arial" w:hAnsi="Arial"/>
          <w:sz w:val="18"/>
          <w:szCs w:val="18"/>
          <w:color w:val="auto"/>
        </w:rPr>
        <w:t>exchangeable), or upon the happening of any event or condition (a) matures or are mandatorily redeemable (other than solely for Qualified Equity Interests),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that are accrued and payable and the termination of the Commitments), (b) are redeemable at the option of the holder thereof (other than solely for Qualified Equity Interests), in whole or in part, (c) provide for the scheduled payments of dividends in cash, or (d) are or become convertible into or exchangeable for Indebtedness or any other Equity Interests that would constitute Disqualified Equity Interests, in each case, prior to the date that is 180 days after the Maturity Date.</w:t>
      </w:r>
    </w:p>
    <w:p>
      <w:pPr>
        <w:spacing w:after="0" w:line="17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Disregarded Domestic Person</w:t>
      </w:r>
      <w:r>
        <w:rPr>
          <w:rFonts w:ascii="Arial" w:cs="Arial" w:eastAsia="Arial" w:hAnsi="Arial"/>
          <w:sz w:val="20"/>
          <w:szCs w:val="20"/>
          <w:color w:val="auto"/>
        </w:rPr>
        <w:t>” means any direct or indirect Domestic Subsidiary that is treated as a disregarded entity for U.S. federal income tax purposes, if it holds no material assets other than the equity of one or more direct or indirect Foreign Subsidiaries that are CFCs or other Disregarded Domestic Persons.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Dollars</w:t>
      </w:r>
      <w:r>
        <w:rPr>
          <w:rFonts w:ascii="Arial" w:cs="Arial" w:eastAsia="Arial" w:hAnsi="Arial"/>
          <w:sz w:val="20"/>
          <w:szCs w:val="20"/>
          <w:color w:val="auto"/>
        </w:rPr>
        <w:t>” or “</w:t>
      </w:r>
      <w:r>
        <w:rPr>
          <w:rFonts w:ascii="Arial" w:cs="Arial" w:eastAsia="Arial" w:hAnsi="Arial"/>
          <w:sz w:val="20"/>
          <w:szCs w:val="20"/>
          <w:u w:val="single" w:color="auto"/>
          <w:color w:val="auto"/>
        </w:rPr>
        <w:t>$</w:t>
      </w:r>
      <w:r>
        <w:rPr>
          <w:rFonts w:ascii="Arial" w:cs="Arial" w:eastAsia="Arial" w:hAnsi="Arial"/>
          <w:sz w:val="20"/>
          <w:szCs w:val="20"/>
          <w:color w:val="auto"/>
        </w:rPr>
        <w:t>” means United States dollars.</w:t>
      </w:r>
    </w:p>
    <w:p>
      <w:pPr>
        <w:spacing w:after="0" w:line="216"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 Equivalent</w:t>
      </w:r>
      <w:r>
        <w:rPr>
          <w:rFonts w:ascii="Arial" w:cs="Arial" w:eastAsia="Arial" w:hAnsi="Arial"/>
          <w:sz w:val="18"/>
          <w:szCs w:val="18"/>
          <w:color w:val="auto"/>
        </w:rPr>
        <w:t xml:space="preserve"> ” of any amount means, at the time of determination thereof, (a) if such amount is expressed in Dollars, such amount and (b) if such amount is denominated in any other currency, the equivalent of such amount in Dollars as determined by the Agent using any method of determination it reasonably deems appropriate.</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Subsidiary</w:t>
      </w:r>
      <w:r>
        <w:rPr>
          <w:rFonts w:ascii="Arial" w:cs="Arial" w:eastAsia="Arial" w:hAnsi="Arial"/>
          <w:sz w:val="20"/>
          <w:szCs w:val="20"/>
          <w:color w:val="auto"/>
        </w:rPr>
        <w:t>” means any Subsidiary of any Loan Party that is not a Foreign Subsidiary.</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Drawing Document</w:t>
      </w:r>
      <w:r>
        <w:rPr>
          <w:rFonts w:ascii="Arial" w:cs="Arial" w:eastAsia="Arial" w:hAnsi="Arial"/>
          <w:sz w:val="20"/>
          <w:szCs w:val="20"/>
          <w:color w:val="auto"/>
        </w:rPr>
        <w:t>” means any Letter of Credit or other document presented for purposes of drawing under any Letter of Credit, including by electronic transmission such as SWIFT, electronic mail, facsimile or computer generated communication.</w:t>
      </w:r>
    </w:p>
    <w:p>
      <w:pPr>
        <w:spacing w:after="0" w:line="186" w:lineRule="exact"/>
        <w:rPr>
          <w:sz w:val="20"/>
          <w:szCs w:val="20"/>
          <w:color w:val="auto"/>
        </w:rPr>
      </w:pPr>
    </w:p>
    <w:p>
      <w:pPr>
        <w:jc w:val="both"/>
        <w:ind w:firstLine="1357"/>
        <w:spacing w:after="0" w:line="263"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Earn-Outs</w:t>
      </w:r>
      <w:r>
        <w:rPr>
          <w:rFonts w:ascii="Arial" w:cs="Arial" w:eastAsia="Arial" w:hAnsi="Arial"/>
          <w:sz w:val="19"/>
          <w:szCs w:val="19"/>
          <w:color w:val="auto"/>
        </w:rPr>
        <w:t>” means unsecured liabilities of a Loan Party arising under an agreement to make any deferred payment as a part of the Purchase Price for a Permitted Acquisition, including performance bonuses or consulting payments in any related services, employment or similar agreement, in an amount that is subject to or contingent upon the revenues, income, cash flow or profits (or the like) of the target of such Permitted Acquisition.</w:t>
      </w:r>
    </w:p>
    <w:p>
      <w:pPr>
        <w:spacing w:after="0" w:line="17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EBITDA</w:t>
      </w:r>
      <w:r>
        <w:rPr>
          <w:rFonts w:ascii="Arial" w:cs="Arial" w:eastAsia="Arial" w:hAnsi="Arial"/>
          <w:sz w:val="20"/>
          <w:szCs w:val="20"/>
          <w:color w:val="auto"/>
        </w:rPr>
        <w:t>” means, with respect to any fiscal period and with respect to Borrowers determined, in each case, on a consolidated basis in accordance with GAAP:</w:t>
      </w:r>
    </w:p>
    <w:p>
      <w:pPr>
        <w:spacing w:after="0" w:line="177" w:lineRule="exact"/>
        <w:rPr>
          <w:sz w:val="20"/>
          <w:szCs w:val="20"/>
          <w:color w:val="auto"/>
        </w:rPr>
      </w:pPr>
    </w:p>
    <w:p>
      <w:pPr>
        <w:ind w:left="2600" w:right="5000" w:hanging="1296"/>
        <w:spacing w:after="0" w:line="464" w:lineRule="auto"/>
        <w:tabs>
          <w:tab w:leader="none" w:pos="1952" w:val="left"/>
        </w:tabs>
        <w:numPr>
          <w:ilvl w:val="0"/>
          <w:numId w:val="14"/>
        </w:numPr>
        <w:rPr>
          <w:rFonts w:ascii="Arial" w:cs="Arial" w:eastAsia="Arial" w:hAnsi="Arial"/>
          <w:sz w:val="20"/>
          <w:szCs w:val="20"/>
          <w:color w:val="auto"/>
        </w:rPr>
      </w:pPr>
      <w:r>
        <w:rPr>
          <w:rFonts w:ascii="Arial" w:cs="Arial" w:eastAsia="Arial" w:hAnsi="Arial"/>
          <w:sz w:val="20"/>
          <w:szCs w:val="20"/>
          <w:color w:val="auto"/>
        </w:rPr>
        <w:t xml:space="preserve">the consolidated net income (or loss), </w:t>
      </w:r>
      <w:r>
        <w:rPr>
          <w:rFonts w:ascii="Arial" w:cs="Arial" w:eastAsia="Arial" w:hAnsi="Arial"/>
          <w:sz w:val="20"/>
          <w:szCs w:val="20"/>
          <w:i w:val="1"/>
          <w:iCs w:val="1"/>
          <w:u w:val="single" w:color="auto"/>
          <w:color w:val="auto"/>
        </w:rPr>
        <w:t>minus</w:t>
      </w:r>
    </w:p>
    <w:p>
      <w:pPr>
        <w:spacing w:after="0" w:line="1" w:lineRule="exact"/>
        <w:rPr>
          <w:rFonts w:ascii="Arial" w:cs="Arial" w:eastAsia="Arial" w:hAnsi="Arial"/>
          <w:sz w:val="20"/>
          <w:szCs w:val="20"/>
          <w:color w:val="auto"/>
        </w:rPr>
      </w:pPr>
    </w:p>
    <w:p>
      <w:pPr>
        <w:ind w:firstLine="1304"/>
        <w:spacing w:after="0" w:line="260" w:lineRule="auto"/>
        <w:tabs>
          <w:tab w:leader="none" w:pos="1944" w:val="left"/>
        </w:tabs>
        <w:numPr>
          <w:ilvl w:val="0"/>
          <w:numId w:val="14"/>
        </w:numPr>
        <w:rPr>
          <w:rFonts w:ascii="Arial" w:cs="Arial" w:eastAsia="Arial" w:hAnsi="Arial"/>
          <w:sz w:val="20"/>
          <w:szCs w:val="20"/>
          <w:color w:val="auto"/>
        </w:rPr>
      </w:pPr>
      <w:r>
        <w:rPr>
          <w:rFonts w:ascii="Arial" w:cs="Arial" w:eastAsia="Arial" w:hAnsi="Arial"/>
          <w:sz w:val="20"/>
          <w:szCs w:val="20"/>
          <w:color w:val="auto"/>
        </w:rPr>
        <w:t>without duplication, the sum of the following amounts for such period to the extent included in determining consolidated net income (or loss) for such period:</w:t>
      </w:r>
    </w:p>
    <w:p>
      <w:pPr>
        <w:spacing w:after="0" w:line="176" w:lineRule="exact"/>
        <w:rPr>
          <w:rFonts w:ascii="Arial" w:cs="Arial" w:eastAsia="Arial" w:hAnsi="Arial"/>
          <w:sz w:val="20"/>
          <w:szCs w:val="20"/>
          <w:color w:val="auto"/>
        </w:rPr>
      </w:pPr>
    </w:p>
    <w:p>
      <w:pPr>
        <w:ind w:left="2600" w:hanging="648"/>
        <w:spacing w:after="0"/>
        <w:tabs>
          <w:tab w:leader="none" w:pos="2600" w:val="left"/>
        </w:tabs>
        <w:numPr>
          <w:ilvl w:val="1"/>
          <w:numId w:val="14"/>
        </w:numPr>
        <w:rPr>
          <w:rFonts w:ascii="Arial" w:cs="Arial" w:eastAsia="Arial" w:hAnsi="Arial"/>
          <w:sz w:val="20"/>
          <w:szCs w:val="20"/>
          <w:color w:val="auto"/>
        </w:rPr>
      </w:pPr>
      <w:r>
        <w:rPr>
          <w:rFonts w:ascii="Arial" w:cs="Arial" w:eastAsia="Arial" w:hAnsi="Arial"/>
          <w:sz w:val="20"/>
          <w:szCs w:val="20"/>
          <w:color w:val="auto"/>
        </w:rPr>
        <w:t>unusual or non-recurring gains, and</w:t>
      </w:r>
    </w:p>
    <w:p>
      <w:pPr>
        <w:spacing w:after="0" w:line="215" w:lineRule="exact"/>
        <w:rPr>
          <w:rFonts w:ascii="Arial" w:cs="Arial" w:eastAsia="Arial" w:hAnsi="Arial"/>
          <w:sz w:val="20"/>
          <w:szCs w:val="20"/>
          <w:color w:val="auto"/>
        </w:rPr>
      </w:pPr>
    </w:p>
    <w:p>
      <w:pPr>
        <w:ind w:left="2600" w:right="6060" w:hanging="648"/>
        <w:spacing w:after="0" w:line="486" w:lineRule="auto"/>
        <w:tabs>
          <w:tab w:leader="none" w:pos="2600" w:val="left"/>
        </w:tabs>
        <w:numPr>
          <w:ilvl w:val="1"/>
          <w:numId w:val="14"/>
        </w:numPr>
        <w:rPr>
          <w:rFonts w:ascii="Arial" w:cs="Arial" w:eastAsia="Arial" w:hAnsi="Arial"/>
          <w:sz w:val="20"/>
          <w:szCs w:val="20"/>
          <w:color w:val="auto"/>
        </w:rPr>
      </w:pPr>
      <w:r>
        <w:rPr>
          <w:rFonts w:ascii="Arial" w:cs="Arial" w:eastAsia="Arial" w:hAnsi="Arial"/>
          <w:sz w:val="20"/>
          <w:szCs w:val="20"/>
          <w:color w:val="auto"/>
        </w:rPr>
        <w:t xml:space="preserve">interest income, </w:t>
      </w:r>
      <w:r>
        <w:rPr>
          <w:rFonts w:ascii="Arial" w:cs="Arial" w:eastAsia="Arial" w:hAnsi="Arial"/>
          <w:sz w:val="20"/>
          <w:szCs w:val="20"/>
          <w:i w:val="1"/>
          <w:iCs w:val="1"/>
          <w:u w:val="single" w:color="auto"/>
          <w:color w:val="auto"/>
        </w:rPr>
        <w:t>plus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6" w:name="page27"/>
    <w:bookmarkEnd w:id="26"/>
    <w:p>
      <w:pPr>
        <w:ind w:firstLine="1304"/>
        <w:spacing w:after="0" w:line="261" w:lineRule="auto"/>
        <w:tabs>
          <w:tab w:leader="none" w:pos="1944" w:val="left"/>
        </w:tabs>
        <w:numPr>
          <w:ilvl w:val="0"/>
          <w:numId w:val="15"/>
        </w:numPr>
        <w:rPr>
          <w:rFonts w:ascii="Arial" w:cs="Arial" w:eastAsia="Arial" w:hAnsi="Arial"/>
          <w:sz w:val="20"/>
          <w:szCs w:val="20"/>
          <w:color w:val="auto"/>
        </w:rPr>
      </w:pPr>
      <w:r>
        <w:rPr>
          <w:rFonts w:ascii="Arial" w:cs="Arial" w:eastAsia="Arial" w:hAnsi="Arial"/>
          <w:sz w:val="20"/>
          <w:szCs w:val="20"/>
          <w:color w:val="auto"/>
        </w:rPr>
        <w:t>without duplication, the sum of the following amounts for such period to the extent deducted in determining consolidated net income (or loss) for such period:</w:t>
      </w:r>
    </w:p>
    <w:p>
      <w:pPr>
        <w:spacing w:after="0" w:line="175" w:lineRule="exact"/>
        <w:rPr>
          <w:rFonts w:ascii="Arial" w:cs="Arial" w:eastAsia="Arial" w:hAnsi="Arial"/>
          <w:sz w:val="20"/>
          <w:szCs w:val="20"/>
          <w:color w:val="auto"/>
        </w:rPr>
      </w:pPr>
    </w:p>
    <w:p>
      <w:pPr>
        <w:ind w:left="2600" w:hanging="648"/>
        <w:spacing w:after="0"/>
        <w:tabs>
          <w:tab w:leader="none" w:pos="2600" w:val="left"/>
        </w:tabs>
        <w:numPr>
          <w:ilvl w:val="1"/>
          <w:numId w:val="15"/>
        </w:numPr>
        <w:rPr>
          <w:rFonts w:ascii="Arial" w:cs="Arial" w:eastAsia="Arial" w:hAnsi="Arial"/>
          <w:sz w:val="20"/>
          <w:szCs w:val="20"/>
          <w:color w:val="auto"/>
        </w:rPr>
      </w:pPr>
      <w:r>
        <w:rPr>
          <w:rFonts w:ascii="Arial" w:cs="Arial" w:eastAsia="Arial" w:hAnsi="Arial"/>
          <w:sz w:val="20"/>
          <w:szCs w:val="20"/>
          <w:color w:val="auto"/>
        </w:rPr>
        <w:t>non-cash unusual or non-recurring losses,</w:t>
      </w:r>
    </w:p>
    <w:p>
      <w:pPr>
        <w:spacing w:after="0" w:line="215" w:lineRule="exact"/>
        <w:rPr>
          <w:rFonts w:ascii="Arial" w:cs="Arial" w:eastAsia="Arial" w:hAnsi="Arial"/>
          <w:sz w:val="20"/>
          <w:szCs w:val="20"/>
          <w:color w:val="auto"/>
        </w:rPr>
      </w:pPr>
    </w:p>
    <w:p>
      <w:pPr>
        <w:ind w:left="2600" w:hanging="648"/>
        <w:spacing w:after="0"/>
        <w:tabs>
          <w:tab w:leader="none" w:pos="2600" w:val="left"/>
        </w:tabs>
        <w:numPr>
          <w:ilvl w:val="1"/>
          <w:numId w:val="15"/>
        </w:numPr>
        <w:rPr>
          <w:rFonts w:ascii="Arial" w:cs="Arial" w:eastAsia="Arial" w:hAnsi="Arial"/>
          <w:sz w:val="20"/>
          <w:szCs w:val="20"/>
          <w:color w:val="auto"/>
        </w:rPr>
      </w:pPr>
      <w:r>
        <w:rPr>
          <w:rFonts w:ascii="Arial" w:cs="Arial" w:eastAsia="Arial" w:hAnsi="Arial"/>
          <w:sz w:val="20"/>
          <w:szCs w:val="20"/>
          <w:color w:val="auto"/>
        </w:rPr>
        <w:t>Interest Expense,</w:t>
      </w:r>
    </w:p>
    <w:p>
      <w:pPr>
        <w:spacing w:after="0" w:line="215" w:lineRule="exact"/>
        <w:rPr>
          <w:rFonts w:ascii="Arial" w:cs="Arial" w:eastAsia="Arial" w:hAnsi="Arial"/>
          <w:sz w:val="20"/>
          <w:szCs w:val="20"/>
          <w:color w:val="auto"/>
        </w:rPr>
      </w:pPr>
    </w:p>
    <w:p>
      <w:pPr>
        <w:ind w:left="2600" w:hanging="648"/>
        <w:spacing w:after="0"/>
        <w:tabs>
          <w:tab w:leader="none" w:pos="2600" w:val="left"/>
        </w:tabs>
        <w:numPr>
          <w:ilvl w:val="1"/>
          <w:numId w:val="15"/>
        </w:numPr>
        <w:rPr>
          <w:rFonts w:ascii="Arial" w:cs="Arial" w:eastAsia="Arial" w:hAnsi="Arial"/>
          <w:sz w:val="20"/>
          <w:szCs w:val="20"/>
          <w:color w:val="auto"/>
        </w:rPr>
      </w:pPr>
      <w:r>
        <w:rPr>
          <w:rFonts w:ascii="Arial" w:cs="Arial" w:eastAsia="Arial" w:hAnsi="Arial"/>
          <w:sz w:val="20"/>
          <w:szCs w:val="20"/>
          <w:color w:val="auto"/>
        </w:rPr>
        <w:t>income taxes,</w:t>
      </w:r>
    </w:p>
    <w:p>
      <w:pPr>
        <w:spacing w:after="0" w:line="215" w:lineRule="exact"/>
        <w:rPr>
          <w:rFonts w:ascii="Arial" w:cs="Arial" w:eastAsia="Arial" w:hAnsi="Arial"/>
          <w:sz w:val="20"/>
          <w:szCs w:val="20"/>
          <w:color w:val="auto"/>
        </w:rPr>
      </w:pPr>
    </w:p>
    <w:p>
      <w:pPr>
        <w:ind w:left="2600" w:hanging="648"/>
        <w:spacing w:after="0"/>
        <w:tabs>
          <w:tab w:leader="none" w:pos="2600" w:val="left"/>
        </w:tabs>
        <w:numPr>
          <w:ilvl w:val="1"/>
          <w:numId w:val="15"/>
        </w:numPr>
        <w:rPr>
          <w:rFonts w:ascii="Arial" w:cs="Arial" w:eastAsia="Arial" w:hAnsi="Arial"/>
          <w:sz w:val="20"/>
          <w:szCs w:val="20"/>
          <w:color w:val="auto"/>
        </w:rPr>
      </w:pPr>
      <w:r>
        <w:rPr>
          <w:rFonts w:ascii="Arial" w:cs="Arial" w:eastAsia="Arial" w:hAnsi="Arial"/>
          <w:sz w:val="20"/>
          <w:szCs w:val="20"/>
          <w:color w:val="auto"/>
        </w:rPr>
        <w:t>depreciation and amortization,</w:t>
      </w:r>
    </w:p>
    <w:p>
      <w:pPr>
        <w:spacing w:after="0" w:line="215" w:lineRule="exact"/>
        <w:rPr>
          <w:rFonts w:ascii="Arial" w:cs="Arial" w:eastAsia="Arial" w:hAnsi="Arial"/>
          <w:sz w:val="20"/>
          <w:szCs w:val="20"/>
          <w:color w:val="auto"/>
        </w:rPr>
      </w:pPr>
    </w:p>
    <w:p>
      <w:pPr>
        <w:ind w:left="2600" w:hanging="648"/>
        <w:spacing w:after="0"/>
        <w:tabs>
          <w:tab w:leader="none" w:pos="2600" w:val="left"/>
        </w:tabs>
        <w:numPr>
          <w:ilvl w:val="1"/>
          <w:numId w:val="15"/>
        </w:numPr>
        <w:rPr>
          <w:rFonts w:ascii="Arial" w:cs="Arial" w:eastAsia="Arial" w:hAnsi="Arial"/>
          <w:sz w:val="20"/>
          <w:szCs w:val="20"/>
          <w:color w:val="auto"/>
        </w:rPr>
      </w:pPr>
      <w:r>
        <w:rPr>
          <w:rFonts w:ascii="Arial" w:cs="Arial" w:eastAsia="Arial" w:hAnsi="Arial"/>
          <w:sz w:val="20"/>
          <w:szCs w:val="20"/>
          <w:color w:val="auto"/>
        </w:rPr>
        <w:t>non-cash stock-based compensation expense,</w:t>
      </w:r>
    </w:p>
    <w:p>
      <w:pPr>
        <w:spacing w:after="0" w:line="215" w:lineRule="exact"/>
        <w:rPr>
          <w:rFonts w:ascii="Arial" w:cs="Arial" w:eastAsia="Arial" w:hAnsi="Arial"/>
          <w:sz w:val="20"/>
          <w:szCs w:val="20"/>
          <w:color w:val="auto"/>
        </w:rPr>
      </w:pPr>
    </w:p>
    <w:p>
      <w:pPr>
        <w:ind w:left="2600" w:hanging="648"/>
        <w:spacing w:after="0" w:line="260" w:lineRule="auto"/>
        <w:tabs>
          <w:tab w:leader="none" w:pos="2600" w:val="left"/>
        </w:tabs>
        <w:numPr>
          <w:ilvl w:val="1"/>
          <w:numId w:val="15"/>
        </w:numPr>
        <w:rPr>
          <w:rFonts w:ascii="Arial" w:cs="Arial" w:eastAsia="Arial" w:hAnsi="Arial"/>
          <w:sz w:val="20"/>
          <w:szCs w:val="20"/>
          <w:color w:val="auto"/>
        </w:rPr>
      </w:pPr>
      <w:r>
        <w:rPr>
          <w:rFonts w:ascii="Arial" w:cs="Arial" w:eastAsia="Arial" w:hAnsi="Arial"/>
          <w:sz w:val="20"/>
          <w:szCs w:val="20"/>
          <w:color w:val="auto"/>
        </w:rPr>
        <w:t>any aggregate net loss on the Permitted Disposition of property (other than Eligible Accounts and Eligible Inventory) outside the ordinary course of business,</w:t>
      </w:r>
    </w:p>
    <w:p>
      <w:pPr>
        <w:spacing w:after="0" w:line="176" w:lineRule="exact"/>
        <w:rPr>
          <w:rFonts w:ascii="Arial" w:cs="Arial" w:eastAsia="Arial" w:hAnsi="Arial"/>
          <w:sz w:val="20"/>
          <w:szCs w:val="20"/>
          <w:color w:val="auto"/>
        </w:rPr>
      </w:pPr>
    </w:p>
    <w:p>
      <w:pPr>
        <w:jc w:val="both"/>
        <w:ind w:left="2600" w:hanging="648"/>
        <w:spacing w:after="0" w:line="244" w:lineRule="auto"/>
        <w:tabs>
          <w:tab w:leader="none" w:pos="2600" w:val="left"/>
        </w:tabs>
        <w:numPr>
          <w:ilvl w:val="1"/>
          <w:numId w:val="15"/>
        </w:numPr>
        <w:rPr>
          <w:rFonts w:ascii="Arial" w:cs="Arial" w:eastAsia="Arial" w:hAnsi="Arial"/>
          <w:sz w:val="20"/>
          <w:szCs w:val="20"/>
          <w:color w:val="auto"/>
        </w:rPr>
      </w:pPr>
      <w:r>
        <w:rPr>
          <w:rFonts w:ascii="Arial" w:cs="Arial" w:eastAsia="Arial" w:hAnsi="Arial"/>
          <w:sz w:val="20"/>
          <w:szCs w:val="20"/>
          <w:color w:val="auto"/>
        </w:rPr>
        <w:t xml:space="preserve">fees and expenses incurred in connection with the transactions contemplated hereby in an amount not to exceed $900,000; </w:t>
      </w:r>
      <w:r>
        <w:rPr>
          <w:rFonts w:ascii="Arial" w:cs="Arial" w:eastAsia="Arial" w:hAnsi="Arial"/>
          <w:sz w:val="20"/>
          <w:szCs w:val="20"/>
          <w:u w:val="single" w:color="auto"/>
          <w:color w:val="auto"/>
        </w:rPr>
        <w:t>provided</w:t>
      </w:r>
      <w:r>
        <w:rPr>
          <w:rFonts w:ascii="Arial" w:cs="Arial" w:eastAsia="Arial" w:hAnsi="Arial"/>
          <w:sz w:val="20"/>
          <w:szCs w:val="20"/>
          <w:color w:val="auto"/>
        </w:rPr>
        <w:t>, that such transaction fees, costs and expenses (1) are paid within ninety (90) days of the Closing Date, (2) are reasonably identifiable and factually supportable, and (3) any such fees and expenses are not deferred financing costs under GAAP,</w:t>
      </w:r>
    </w:p>
    <w:p>
      <w:pPr>
        <w:spacing w:after="0" w:line="194" w:lineRule="exact"/>
        <w:rPr>
          <w:rFonts w:ascii="Arial" w:cs="Arial" w:eastAsia="Arial" w:hAnsi="Arial"/>
          <w:sz w:val="20"/>
          <w:szCs w:val="20"/>
          <w:color w:val="auto"/>
        </w:rPr>
      </w:pPr>
    </w:p>
    <w:p>
      <w:pPr>
        <w:ind w:left="2600" w:right="40" w:hanging="648"/>
        <w:spacing w:after="0" w:line="254" w:lineRule="auto"/>
        <w:tabs>
          <w:tab w:leader="none" w:pos="2600" w:val="left"/>
        </w:tabs>
        <w:numPr>
          <w:ilvl w:val="1"/>
          <w:numId w:val="15"/>
        </w:numPr>
        <w:rPr>
          <w:rFonts w:ascii="Arial" w:cs="Arial" w:eastAsia="Arial" w:hAnsi="Arial"/>
          <w:sz w:val="19"/>
          <w:szCs w:val="19"/>
          <w:color w:val="auto"/>
        </w:rPr>
      </w:pPr>
      <w:r>
        <w:rPr>
          <w:rFonts w:ascii="Arial" w:cs="Arial" w:eastAsia="Arial" w:hAnsi="Arial"/>
          <w:sz w:val="19"/>
          <w:szCs w:val="19"/>
          <w:color w:val="auto"/>
        </w:rPr>
        <w:t xml:space="preserve">any extraordinary, unusual or non-recurring charges, expenses or losses, including, without limitation, (A) reasonable severance costs, transition costs, integration costs, and other restructuring costs and charges, (B) reasonable costs and expenses associated with relocation of people, hardware, records and data and other costs savings, and operating expense reductions of the Loan Parties and (C) reasonable costs, fees and expenses related to openings (including the cost of marketing and training in the area before such opening), improvements, closures, consolidations and relocations of any facilities;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extraordinary, unusual or non-recurring charges, expenses or losses are reasonably identifiable and factually supportable, and do not exceed fifteen percent (15%) (or such greater amount approved by Agent) of EBITDA (without giving pro forma effect to the inclusion of the add-backs pursuant to this clause (viii);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amount of add-backs under this clause (c)(viii) together with clauses (c)(ix), (c)(x), and (c)(xiii) for any period shall not exceed an amount equal to 20% of EBITDA for such period (calculated prior to giving effect to such add-backs under this clause (c)(viii) and clauses (c)(ix), (c)(x), and (c)(xiii));</w:t>
      </w:r>
    </w:p>
    <w:p>
      <w:pPr>
        <w:spacing w:after="0" w:line="82" w:lineRule="exact"/>
        <w:rPr>
          <w:rFonts w:ascii="Arial" w:cs="Arial" w:eastAsia="Arial" w:hAnsi="Arial"/>
          <w:sz w:val="19"/>
          <w:szCs w:val="19"/>
          <w:color w:val="auto"/>
        </w:rPr>
      </w:pPr>
    </w:p>
    <w:p>
      <w:pPr>
        <w:ind w:left="2600" w:right="20" w:hanging="648"/>
        <w:spacing w:after="0" w:line="276" w:lineRule="auto"/>
        <w:tabs>
          <w:tab w:leader="none" w:pos="26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extraordinary, unusual or non-recurring litigation and settlement costs and expenses paid in cash;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costs or expenses are reasonably identifiable and factually supportable;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add-backs under this clause (c)(ix) together with clauses (c)(viii), (c)(x), and (c)(xiii) for any period shall not exceed an amount equal to 20% of EBITDA for such period (calculated prior to giving effect to such add-backs under this clause (c)(ix) and clauses (c)(viii), (c)(x), and (c)(xiii));</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7" w:name="page28"/>
    <w:bookmarkEnd w:id="27"/>
    <w:p>
      <w:pPr>
        <w:ind w:left="2600" w:right="140" w:hanging="648"/>
        <w:spacing w:after="0" w:line="302" w:lineRule="auto"/>
        <w:tabs>
          <w:tab w:leader="none" w:pos="2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all reasonable and customary costs and expenses incurred in connection with Permitted Acquisitions, Permitted Investments and permitted equity issuances (whether or not consummated, in each case to the extent reasonable, and to the extent paid on the date consummated or within three months of consummation or abandonment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costs and expenses are reasonably identifiable and factually supportable;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of add-backs under this clause (c)(x) together with clauses (c)(viii), (c)(ix), and (c)(xiii) for any period shall not exceed an amount equal to</w:t>
      </w:r>
    </w:p>
    <w:p>
      <w:pPr>
        <w:spacing w:after="0" w:line="3" w:lineRule="exact"/>
        <w:rPr>
          <w:rFonts w:ascii="Arial" w:cs="Arial" w:eastAsia="Arial" w:hAnsi="Arial"/>
          <w:sz w:val="16"/>
          <w:szCs w:val="16"/>
          <w:color w:val="auto"/>
        </w:rPr>
      </w:pPr>
    </w:p>
    <w:p>
      <w:pPr>
        <w:ind w:left="2600" w:right="160"/>
        <w:spacing w:after="0" w:line="244" w:lineRule="auto"/>
        <w:rPr>
          <w:rFonts w:ascii="Arial" w:cs="Arial" w:eastAsia="Arial" w:hAnsi="Arial"/>
          <w:sz w:val="16"/>
          <w:szCs w:val="16"/>
          <w:color w:val="auto"/>
        </w:rPr>
      </w:pPr>
      <w:r>
        <w:rPr>
          <w:rFonts w:ascii="Arial" w:cs="Arial" w:eastAsia="Arial" w:hAnsi="Arial"/>
          <w:sz w:val="20"/>
          <w:szCs w:val="20"/>
          <w:color w:val="auto"/>
        </w:rPr>
        <w:t>20% of EBITDA for such period (calculated prior to giving effect to such add-backs under this clause (c)(x) and clauses (c)(viii), (c)(ix), and (c)(xiii));</w:t>
      </w:r>
    </w:p>
    <w:p>
      <w:pPr>
        <w:spacing w:after="0" w:line="83" w:lineRule="exact"/>
        <w:rPr>
          <w:rFonts w:ascii="Arial" w:cs="Arial" w:eastAsia="Arial" w:hAnsi="Arial"/>
          <w:sz w:val="16"/>
          <w:szCs w:val="16"/>
          <w:color w:val="auto"/>
        </w:rPr>
      </w:pPr>
    </w:p>
    <w:p>
      <w:pPr>
        <w:ind w:left="2600" w:right="340" w:hanging="648"/>
        <w:spacing w:after="0" w:line="269" w:lineRule="auto"/>
        <w:tabs>
          <w:tab w:leader="none" w:pos="26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 xml:space="preserve">third party transaction fees, costs and expenses incurred in connection with amendments and waivers of the Loan Documents; </w:t>
      </w:r>
      <w:r>
        <w:rPr>
          <w:rFonts w:ascii="Arial" w:cs="Arial" w:eastAsia="Arial" w:hAnsi="Arial"/>
          <w:sz w:val="19"/>
          <w:szCs w:val="19"/>
          <w:u w:val="single" w:color="auto"/>
          <w:color w:val="auto"/>
        </w:rPr>
        <w:t>provided</w:t>
      </w:r>
      <w:r>
        <w:rPr>
          <w:rFonts w:ascii="Arial" w:cs="Arial" w:eastAsia="Arial" w:hAnsi="Arial"/>
          <w:sz w:val="19"/>
          <w:szCs w:val="19"/>
          <w:color w:val="auto"/>
        </w:rPr>
        <w:t>, that such transaction fees, costs and expenses are reasonably identifiable, and factually supportable;</w:t>
      </w:r>
    </w:p>
    <w:p>
      <w:pPr>
        <w:spacing w:after="0" w:line="61" w:lineRule="exact"/>
        <w:rPr>
          <w:rFonts w:ascii="Arial" w:cs="Arial" w:eastAsia="Arial" w:hAnsi="Arial"/>
          <w:sz w:val="19"/>
          <w:szCs w:val="19"/>
          <w:color w:val="auto"/>
        </w:rPr>
      </w:pPr>
    </w:p>
    <w:p>
      <w:pPr>
        <w:jc w:val="both"/>
        <w:ind w:left="2600" w:hanging="648"/>
        <w:spacing w:after="0" w:line="246" w:lineRule="auto"/>
        <w:tabs>
          <w:tab w:leader="none" w:pos="2600" w:val="left"/>
        </w:tabs>
        <w:numPr>
          <w:ilvl w:val="0"/>
          <w:numId w:val="16"/>
        </w:numPr>
        <w:rPr>
          <w:rFonts w:ascii="Arial" w:cs="Arial" w:eastAsia="Arial" w:hAnsi="Arial"/>
          <w:sz w:val="20"/>
          <w:szCs w:val="20"/>
          <w:color w:val="auto"/>
        </w:rPr>
      </w:pPr>
      <w:r>
        <w:rPr>
          <w:rFonts w:ascii="Arial" w:cs="Arial" w:eastAsia="Arial" w:hAnsi="Arial"/>
          <w:sz w:val="20"/>
          <w:szCs w:val="20"/>
          <w:color w:val="auto"/>
        </w:rPr>
        <w:t xml:space="preserve">expense reimbursements for travel expenses and similar expenses paid to directors, officers and comparable managers in the ordinary course of business;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aggregate amount of add-backs under this clause (c)(xii) shall not exceed $1,500,000 over any trailing twelve month period; and</w:t>
      </w:r>
    </w:p>
    <w:p>
      <w:pPr>
        <w:spacing w:after="0" w:line="191" w:lineRule="exact"/>
        <w:rPr>
          <w:rFonts w:ascii="Arial" w:cs="Arial" w:eastAsia="Arial" w:hAnsi="Arial"/>
          <w:sz w:val="20"/>
          <w:szCs w:val="20"/>
          <w:color w:val="auto"/>
        </w:rPr>
      </w:pPr>
    </w:p>
    <w:p>
      <w:pPr>
        <w:jc w:val="both"/>
        <w:ind w:left="2600" w:hanging="648"/>
        <w:spacing w:after="0" w:line="270" w:lineRule="auto"/>
        <w:tabs>
          <w:tab w:leader="none" w:pos="2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fees, costs, charges and expenses, in respect of Earn-Outs incurred in connection with any Permitted Acquisition to the extent permitted to be incurred under this Agreement that are required by the application of FAS 141R to be and are expensed by the Loan Parties and their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add-backs under this clause (c)</w:t>
      </w:r>
    </w:p>
    <w:p>
      <w:pPr>
        <w:spacing w:after="0" w:line="2" w:lineRule="exact"/>
        <w:rPr>
          <w:rFonts w:ascii="Arial" w:cs="Arial" w:eastAsia="Arial" w:hAnsi="Arial"/>
          <w:sz w:val="18"/>
          <w:szCs w:val="18"/>
          <w:color w:val="auto"/>
        </w:rPr>
      </w:pPr>
    </w:p>
    <w:p>
      <w:pPr>
        <w:jc w:val="both"/>
        <w:ind w:left="2600"/>
        <w:spacing w:after="0" w:line="260" w:lineRule="auto"/>
        <w:tabs>
          <w:tab w:leader="none" w:pos="3064" w:val="left"/>
        </w:tabs>
        <w:numPr>
          <w:ilvl w:val="1"/>
          <w:numId w:val="16"/>
        </w:numPr>
        <w:rPr>
          <w:rFonts w:ascii="Arial" w:cs="Arial" w:eastAsia="Arial" w:hAnsi="Arial"/>
          <w:sz w:val="19"/>
          <w:szCs w:val="19"/>
          <w:color w:val="auto"/>
        </w:rPr>
      </w:pPr>
      <w:r>
        <w:rPr>
          <w:rFonts w:ascii="Arial" w:cs="Arial" w:eastAsia="Arial" w:hAnsi="Arial"/>
          <w:sz w:val="19"/>
          <w:szCs w:val="19"/>
          <w:color w:val="auto"/>
        </w:rPr>
        <w:t>together with clauses (c)(viii), (c)(ix), and (c)(x), for any period shall not exceed an amount equal to 20% of EBITDA for such period (calculated prior to giving effect to such add-backs under this clause (c)(xiii) and clauses (c)(viii), (c)(ix), and (c)(x)).</w:t>
      </w:r>
    </w:p>
    <w:p>
      <w:pPr>
        <w:spacing w:after="0" w:line="17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For the purposes of calculating EBITDA for any period of twelve consecutive months (each, a “</w:t>
      </w:r>
      <w:r>
        <w:rPr>
          <w:rFonts w:ascii="Arial" w:cs="Arial" w:eastAsia="Arial" w:hAnsi="Arial"/>
          <w:sz w:val="19"/>
          <w:szCs w:val="19"/>
          <w:u w:val="single" w:color="auto"/>
          <w:color w:val="auto"/>
        </w:rPr>
        <w:t>Reference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Period</w:t>
      </w:r>
      <w:r>
        <w:rPr>
          <w:rFonts w:ascii="Arial" w:cs="Arial" w:eastAsia="Arial" w:hAnsi="Arial"/>
          <w:sz w:val="19"/>
          <w:szCs w:val="19"/>
          <w:color w:val="auto"/>
        </w:rPr>
        <w:t xml:space="preserve">”), if at any time during such Reference Period (and after the Closing Date), any Loan Party or any of its Subsidiaries shall have made a Permitted Acquisition, EBITDA for such Reference Period shall be calculated after giving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effect thereto (including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adjustments arising out of events which are directly attributable to such Permitted Acquisition, are factually supportable, and are expected to have a continuing impact, in each case to be mutually and reasonably agreed upon by Borrowers and Agent) or in such other manner acceptable to Agent as if any such Permitted Acquisition or adjustment occurred on the first day of such Reference Period.</w:t>
      </w:r>
    </w:p>
    <w:p>
      <w:pPr>
        <w:spacing w:after="0" w:line="185"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19"/>
          <w:szCs w:val="19"/>
          <w:color w:val="auto"/>
        </w:rPr>
        <w:t xml:space="preserve">“ </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and Norway.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8" w:name="page29"/>
    <w:bookmarkEnd w:id="28"/>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Resolution Authority</w:t>
      </w:r>
      <w:r>
        <w:rPr>
          <w:rFonts w:ascii="Arial" w:cs="Arial" w:eastAsia="Arial" w:hAnsi="Arial"/>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7"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Accounts</w:t>
      </w:r>
      <w:r>
        <w:rPr>
          <w:rFonts w:ascii="Arial" w:cs="Arial" w:eastAsia="Arial" w:hAnsi="Arial"/>
          <w:sz w:val="18"/>
          <w:szCs w:val="18"/>
          <w:color w:val="auto"/>
        </w:rPr>
        <w:t xml:space="preserve">” means those Accounts created by a Borrower in the ordinary course of its business, that arise out of such Borrower’s sale of goods or rendition of services, that comply with each of the representations and warranties respecting Eligible Accounts made in the Loan Documents, and that are not excluded as ineligible by virtue of one or more of the excluding criteria set forth below; </w:t>
      </w:r>
      <w:r>
        <w:rPr>
          <w:rFonts w:ascii="Arial" w:cs="Arial" w:eastAsia="Arial" w:hAnsi="Arial"/>
          <w:sz w:val="18"/>
          <w:szCs w:val="18"/>
          <w:u w:val="single" w:color="auto"/>
          <w:color w:val="auto"/>
        </w:rPr>
        <w:t>provided</w:t>
      </w:r>
      <w:r>
        <w:rPr>
          <w:rFonts w:ascii="Arial" w:cs="Arial" w:eastAsia="Arial" w:hAnsi="Arial"/>
          <w:sz w:val="18"/>
          <w:szCs w:val="18"/>
          <w:color w:val="auto"/>
        </w:rPr>
        <w:t>, that such criteria may be revised from time to time by Agent in Agent’s Permitted Discretion to address the results of any information with respect to the Borrowers’ business or assets of which Agent becomes aware after the Closing Date, including any field examination performed by (or on behalf of) Agent from time to time after the Closing Date. In determining the amount to be included, Eligible Accounts shall be calculated net of customer deposits, unapplied cash, taxes, finance charges, service charges, discounts, credits, allowances, and rebates. Eligible Accounts shall not include the following:</w:t>
      </w:r>
    </w:p>
    <w:p>
      <w:pPr>
        <w:spacing w:after="0" w:line="170" w:lineRule="exact"/>
        <w:rPr>
          <w:sz w:val="20"/>
          <w:szCs w:val="20"/>
          <w:color w:val="auto"/>
        </w:rPr>
      </w:pPr>
    </w:p>
    <w:p>
      <w:pPr>
        <w:ind w:left="1960" w:hanging="656"/>
        <w:spacing w:after="0"/>
        <w:tabs>
          <w:tab w:leader="none" w:pos="19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Accounts that the Account Debtor has failed to pay within 90 days of original invoice date or 75</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days of due date,</w:t>
      </w:r>
    </w:p>
    <w:p>
      <w:pPr>
        <w:spacing w:after="0" w:line="199" w:lineRule="exact"/>
        <w:rPr>
          <w:rFonts w:ascii="Arial" w:cs="Arial" w:eastAsia="Arial" w:hAnsi="Arial"/>
          <w:sz w:val="19"/>
          <w:szCs w:val="19"/>
          <w:color w:val="auto"/>
        </w:rPr>
      </w:pPr>
    </w:p>
    <w:p>
      <w:pPr>
        <w:ind w:firstLine="1304"/>
        <w:spacing w:after="0" w:line="260" w:lineRule="auto"/>
        <w:tabs>
          <w:tab w:leader="none" w:pos="1944" w:val="left"/>
        </w:tabs>
        <w:numPr>
          <w:ilvl w:val="0"/>
          <w:numId w:val="17"/>
        </w:numPr>
        <w:rPr>
          <w:rFonts w:ascii="Arial" w:cs="Arial" w:eastAsia="Arial" w:hAnsi="Arial"/>
          <w:sz w:val="20"/>
          <w:szCs w:val="20"/>
          <w:color w:val="auto"/>
        </w:rPr>
      </w:pPr>
      <w:r>
        <w:rPr>
          <w:rFonts w:ascii="Arial" w:cs="Arial" w:eastAsia="Arial" w:hAnsi="Arial"/>
          <w:sz w:val="20"/>
          <w:szCs w:val="20"/>
          <w:color w:val="auto"/>
        </w:rPr>
        <w:t>Accounts owed by an Account Debtor (or its Affiliates) where 50% or more of all Accounts owed by that Account Debtor (or its Affiliates) are deemed ineligible under clause (a) above,</w:t>
      </w:r>
    </w:p>
    <w:p>
      <w:pPr>
        <w:spacing w:after="0" w:line="176" w:lineRule="exact"/>
        <w:rPr>
          <w:rFonts w:ascii="Arial" w:cs="Arial" w:eastAsia="Arial" w:hAnsi="Arial"/>
          <w:sz w:val="20"/>
          <w:szCs w:val="20"/>
          <w:color w:val="auto"/>
        </w:rPr>
      </w:pPr>
    </w:p>
    <w:p>
      <w:pPr>
        <w:ind w:left="1960" w:hanging="656"/>
        <w:spacing w:after="0"/>
        <w:tabs>
          <w:tab w:leader="none" w:pos="19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Accounts with selling terms of more than 90 days,</w:t>
      </w:r>
    </w:p>
    <w:p>
      <w:pPr>
        <w:spacing w:after="0" w:line="215" w:lineRule="exact"/>
        <w:rPr>
          <w:rFonts w:ascii="Arial" w:cs="Arial" w:eastAsia="Arial" w:hAnsi="Arial"/>
          <w:sz w:val="20"/>
          <w:szCs w:val="20"/>
          <w:color w:val="auto"/>
        </w:rPr>
      </w:pPr>
    </w:p>
    <w:p>
      <w:pPr>
        <w:ind w:firstLine="1304"/>
        <w:spacing w:after="0" w:line="260" w:lineRule="auto"/>
        <w:tabs>
          <w:tab w:leader="none" w:pos="1944" w:val="left"/>
        </w:tabs>
        <w:numPr>
          <w:ilvl w:val="0"/>
          <w:numId w:val="17"/>
        </w:numPr>
        <w:rPr>
          <w:rFonts w:ascii="Arial" w:cs="Arial" w:eastAsia="Arial" w:hAnsi="Arial"/>
          <w:sz w:val="20"/>
          <w:szCs w:val="20"/>
          <w:color w:val="auto"/>
        </w:rPr>
      </w:pPr>
      <w:r>
        <w:rPr>
          <w:rFonts w:ascii="Arial" w:cs="Arial" w:eastAsia="Arial" w:hAnsi="Arial"/>
          <w:sz w:val="20"/>
          <w:szCs w:val="20"/>
          <w:color w:val="auto"/>
        </w:rPr>
        <w:t>Accounts with respect to which the Account Debtor is an Affiliate of any Borrower or an employee or agent of any Borrower or any Affiliate of any Borrower,</w:t>
      </w:r>
    </w:p>
    <w:p>
      <w:pPr>
        <w:spacing w:after="0" w:line="176" w:lineRule="exact"/>
        <w:rPr>
          <w:rFonts w:ascii="Arial" w:cs="Arial" w:eastAsia="Arial" w:hAnsi="Arial"/>
          <w:sz w:val="20"/>
          <w:szCs w:val="20"/>
          <w:color w:val="auto"/>
        </w:rPr>
      </w:pPr>
    </w:p>
    <w:p>
      <w:pPr>
        <w:jc w:val="both"/>
        <w:ind w:firstLine="1304"/>
        <w:spacing w:after="0" w:line="246" w:lineRule="auto"/>
        <w:tabs>
          <w:tab w:leader="none" w:pos="1944" w:val="left"/>
        </w:tabs>
        <w:numPr>
          <w:ilvl w:val="0"/>
          <w:numId w:val="17"/>
        </w:numPr>
        <w:rPr>
          <w:rFonts w:ascii="Arial" w:cs="Arial" w:eastAsia="Arial" w:hAnsi="Arial"/>
          <w:sz w:val="20"/>
          <w:szCs w:val="20"/>
          <w:color w:val="auto"/>
        </w:rPr>
      </w:pPr>
      <w:r>
        <w:rPr>
          <w:rFonts w:ascii="Arial" w:cs="Arial" w:eastAsia="Arial" w:hAnsi="Arial"/>
          <w:sz w:val="20"/>
          <w:szCs w:val="20"/>
          <w:color w:val="auto"/>
        </w:rPr>
        <w:t>Accounts (i) arising in a transaction wherein goods are placed on consignment or are sold pursuant to a guaranteed sale, a sale or return, a sale on approval, a bill and hold, or any other terms by reason of which the payment by the Account Debtor may be conditional, or (ii) with respect to which the payment terms are “C.O.D.”, cash on delivery or other similar terms,</w:t>
      </w:r>
    </w:p>
    <w:p>
      <w:pPr>
        <w:spacing w:after="0" w:line="191" w:lineRule="exact"/>
        <w:rPr>
          <w:rFonts w:ascii="Arial" w:cs="Arial" w:eastAsia="Arial" w:hAnsi="Arial"/>
          <w:sz w:val="20"/>
          <w:szCs w:val="20"/>
          <w:color w:val="auto"/>
        </w:rPr>
      </w:pPr>
    </w:p>
    <w:p>
      <w:pPr>
        <w:ind w:left="1960" w:hanging="656"/>
        <w:spacing w:after="0"/>
        <w:tabs>
          <w:tab w:leader="none" w:pos="1960" w:val="left"/>
        </w:tabs>
        <w:numPr>
          <w:ilvl w:val="0"/>
          <w:numId w:val="17"/>
        </w:numPr>
        <w:rPr>
          <w:rFonts w:ascii="Arial" w:cs="Arial" w:eastAsia="Arial" w:hAnsi="Arial"/>
          <w:sz w:val="20"/>
          <w:szCs w:val="20"/>
          <w:color w:val="auto"/>
        </w:rPr>
      </w:pPr>
      <w:r>
        <w:rPr>
          <w:rFonts w:ascii="Arial" w:cs="Arial" w:eastAsia="Arial" w:hAnsi="Arial"/>
          <w:sz w:val="20"/>
          <w:szCs w:val="20"/>
          <w:color w:val="auto"/>
        </w:rPr>
        <w:t>Accounts that are not payable in Dollars or Canadian Dollars,</w:t>
      </w:r>
    </w:p>
    <w:p>
      <w:pPr>
        <w:spacing w:after="0" w:line="215" w:lineRule="exact"/>
        <w:rPr>
          <w:rFonts w:ascii="Arial" w:cs="Arial" w:eastAsia="Arial" w:hAnsi="Arial"/>
          <w:sz w:val="20"/>
          <w:szCs w:val="20"/>
          <w:color w:val="auto"/>
        </w:rPr>
      </w:pPr>
    </w:p>
    <w:p>
      <w:pPr>
        <w:jc w:val="both"/>
        <w:ind w:firstLine="1304"/>
        <w:spacing w:after="0" w:line="242" w:lineRule="auto"/>
        <w:tabs>
          <w:tab w:leader="none" w:pos="1944" w:val="left"/>
        </w:tabs>
        <w:numPr>
          <w:ilvl w:val="0"/>
          <w:numId w:val="17"/>
        </w:numPr>
        <w:rPr>
          <w:rFonts w:ascii="Arial" w:cs="Arial" w:eastAsia="Arial" w:hAnsi="Arial"/>
          <w:sz w:val="20"/>
          <w:szCs w:val="20"/>
          <w:color w:val="auto"/>
        </w:rPr>
      </w:pPr>
      <w:r>
        <w:rPr>
          <w:rFonts w:ascii="Arial" w:cs="Arial" w:eastAsia="Arial" w:hAnsi="Arial"/>
          <w:sz w:val="20"/>
          <w:szCs w:val="20"/>
          <w:color w:val="auto"/>
        </w:rPr>
        <w:t>Accounts with respect to which the Account Debtor either (i) does not maintain its chief executive office in the United States or Canada, or (ii) is not organized under the laws of the United States or Canada or any state or province thereof, or (iii) is the government of any foreign country or sovereign state, or of any state, province, municipality, or other political subdivision thereof, or of any department, agency, public corporation, or other instrumentality thereof, unless (A) the Account is supported by an irrevocable letter of credit reasonably satisfactory to Agent (as to form, substance, and issuer or domestic confirming bank) that has been delivered to Agent and, if requested by Agent, is directly drawable by Agent, or (B) the Account is covered by credit insurance in form, substance, and amount, and by an insurer, reasonably satisfactory to Agent,</w:t>
      </w:r>
    </w:p>
    <w:p>
      <w:pPr>
        <w:spacing w:after="0" w:line="196" w:lineRule="exact"/>
        <w:rPr>
          <w:rFonts w:ascii="Arial" w:cs="Arial" w:eastAsia="Arial" w:hAnsi="Arial"/>
          <w:sz w:val="20"/>
          <w:szCs w:val="20"/>
          <w:color w:val="auto"/>
        </w:rPr>
      </w:pPr>
    </w:p>
    <w:p>
      <w:pPr>
        <w:jc w:val="both"/>
        <w:ind w:firstLine="1304"/>
        <w:spacing w:after="0" w:line="243" w:lineRule="auto"/>
        <w:tabs>
          <w:tab w:leader="none" w:pos="1944" w:val="left"/>
        </w:tabs>
        <w:numPr>
          <w:ilvl w:val="0"/>
          <w:numId w:val="17"/>
        </w:numPr>
        <w:rPr>
          <w:rFonts w:ascii="Arial" w:cs="Arial" w:eastAsia="Arial" w:hAnsi="Arial"/>
          <w:sz w:val="20"/>
          <w:szCs w:val="20"/>
          <w:color w:val="auto"/>
        </w:rPr>
      </w:pPr>
      <w:r>
        <w:rPr>
          <w:rFonts w:ascii="Arial" w:cs="Arial" w:eastAsia="Arial" w:hAnsi="Arial"/>
          <w:sz w:val="20"/>
          <w:szCs w:val="20"/>
          <w:color w:val="auto"/>
        </w:rPr>
        <w:t>Accounts with respect to which the Account Debtor is either (i) the United States or any department, agency, or instrumentality of the United States (exclusive, however, of Accounts with respect to which Borrowers have complied, to the reasonable satisfaction of Agent, with the Assignment of Claims Act, 31 USC §3727), or (ii) any state of the United States or any other Governmental Authority (exclusive, however, of Accounts with respect to which Borrowers have complied, to the reasonable satisfaction of Agent, with any applicable state law equivalent to the Assignment of Claims Act, 31 USC §3727),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9" w:name="page30"/>
    <w:bookmarkEnd w:id="29"/>
    <w:p>
      <w:pPr>
        <w:jc w:val="both"/>
        <w:ind w:firstLine="1304"/>
        <w:spacing w:after="0" w:line="250" w:lineRule="auto"/>
        <w:tabs>
          <w:tab w:leader="none" w:pos="1944" w:val="left"/>
        </w:tabs>
        <w:numPr>
          <w:ilvl w:val="0"/>
          <w:numId w:val="18"/>
        </w:numPr>
        <w:rPr>
          <w:rFonts w:ascii="Arial" w:cs="Arial" w:eastAsia="Arial" w:hAnsi="Arial"/>
          <w:sz w:val="20"/>
          <w:szCs w:val="20"/>
          <w:color w:val="auto"/>
        </w:rPr>
      </w:pPr>
      <w:r>
        <w:rPr>
          <w:rFonts w:ascii="Arial" w:cs="Arial" w:eastAsia="Arial" w:hAnsi="Arial"/>
          <w:sz w:val="20"/>
          <w:szCs w:val="20"/>
          <w:color w:val="auto"/>
        </w:rPr>
        <w:t>Accounts with respect to which the Account Debtor is a creditor of a Borrower, has or has asserted a right of recoupment or setoff, or has disputed its obligation to pay all or any portion of the Account, to the extent of such claim, right of recoupment or setoff, or dispute,</w:t>
      </w:r>
    </w:p>
    <w:p>
      <w:pPr>
        <w:spacing w:after="0" w:line="186" w:lineRule="exact"/>
        <w:rPr>
          <w:rFonts w:ascii="Arial" w:cs="Arial" w:eastAsia="Arial" w:hAnsi="Arial"/>
          <w:sz w:val="20"/>
          <w:szCs w:val="20"/>
          <w:color w:val="auto"/>
        </w:rPr>
      </w:pPr>
    </w:p>
    <w:p>
      <w:pPr>
        <w:jc w:val="both"/>
        <w:ind w:firstLine="1304"/>
        <w:spacing w:after="0" w:line="276" w:lineRule="auto"/>
        <w:tabs>
          <w:tab w:leader="none" w:pos="19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Accounts with respect to an Account Debtor whose Eligible Accounts owing to Borrowers exceed 15% (such percentage, as applied to a particular Account Debtor, being subject to reduction by Agent in its Permitted Discretion if the creditworthiness of such Account Debtor deteriorates) of all Eligible Accounts, to the extent of the obligations owing by such Account Debtor in excess of such percentage; </w:t>
      </w:r>
      <w:r>
        <w:rPr>
          <w:rFonts w:ascii="Arial" w:cs="Arial" w:eastAsia="Arial" w:hAnsi="Arial"/>
          <w:sz w:val="18"/>
          <w:szCs w:val="18"/>
          <w:u w:val="single" w:color="auto"/>
          <w:color w:val="auto"/>
        </w:rPr>
        <w:t>provided</w:t>
      </w:r>
      <w:r>
        <w:rPr>
          <w:rFonts w:ascii="Arial" w:cs="Arial" w:eastAsia="Arial" w:hAnsi="Arial"/>
          <w:sz w:val="18"/>
          <w:szCs w:val="18"/>
          <w:color w:val="auto"/>
        </w:rPr>
        <w:t>, that in each case, the amount of Eligible Accounts that are excluded because they exceed the foregoing percentage shall be determined by Agent based on all of the otherwise Eligible Accounts prior to giving effect to any eliminations based upon the foregoing concentration limit,</w:t>
      </w:r>
    </w:p>
    <w:p>
      <w:pPr>
        <w:spacing w:after="0" w:line="164" w:lineRule="exact"/>
        <w:rPr>
          <w:rFonts w:ascii="Arial" w:cs="Arial" w:eastAsia="Arial" w:hAnsi="Arial"/>
          <w:sz w:val="18"/>
          <w:szCs w:val="18"/>
          <w:color w:val="auto"/>
        </w:rPr>
      </w:pPr>
    </w:p>
    <w:p>
      <w:pPr>
        <w:jc w:val="both"/>
        <w:ind w:firstLine="1304"/>
        <w:spacing w:after="0" w:line="244" w:lineRule="auto"/>
        <w:tabs>
          <w:tab w:leader="none" w:pos="1944" w:val="left"/>
        </w:tabs>
        <w:numPr>
          <w:ilvl w:val="0"/>
          <w:numId w:val="18"/>
        </w:numPr>
        <w:rPr>
          <w:rFonts w:ascii="Arial" w:cs="Arial" w:eastAsia="Arial" w:hAnsi="Arial"/>
          <w:sz w:val="20"/>
          <w:szCs w:val="20"/>
          <w:color w:val="auto"/>
        </w:rPr>
      </w:pPr>
      <w:r>
        <w:rPr>
          <w:rFonts w:ascii="Arial" w:cs="Arial" w:eastAsia="Arial" w:hAnsi="Arial"/>
          <w:sz w:val="20"/>
          <w:szCs w:val="20"/>
          <w:color w:val="auto"/>
        </w:rPr>
        <w:t>Accounts with respect to which the Account Debtor is subject to an Insolvency Proceeding, is not Solvent, has gone out of business, or as to which any Borrower has received notice of an imminent Insolvency Proceeding, or a material impairment of the financial condition of such Account Debtor has occurred which Agent determines, in its Permitted Discretion, has created reasonable doubt as to the collection of any related Account(s) of any such Account Debtor,</w:t>
      </w:r>
    </w:p>
    <w:p>
      <w:pPr>
        <w:spacing w:after="0" w:line="194" w:lineRule="exact"/>
        <w:rPr>
          <w:rFonts w:ascii="Arial" w:cs="Arial" w:eastAsia="Arial" w:hAnsi="Arial"/>
          <w:sz w:val="20"/>
          <w:szCs w:val="20"/>
          <w:color w:val="auto"/>
        </w:rPr>
      </w:pPr>
    </w:p>
    <w:p>
      <w:pPr>
        <w:ind w:firstLine="1304"/>
        <w:spacing w:after="0" w:line="260" w:lineRule="auto"/>
        <w:tabs>
          <w:tab w:leader="none" w:pos="1944" w:val="left"/>
        </w:tabs>
        <w:numPr>
          <w:ilvl w:val="0"/>
          <w:numId w:val="18"/>
        </w:numPr>
        <w:rPr>
          <w:rFonts w:ascii="Arial" w:cs="Arial" w:eastAsia="Arial" w:hAnsi="Arial"/>
          <w:sz w:val="20"/>
          <w:szCs w:val="20"/>
          <w:color w:val="auto"/>
        </w:rPr>
      </w:pPr>
      <w:r>
        <w:rPr>
          <w:rFonts w:ascii="Arial" w:cs="Arial" w:eastAsia="Arial" w:hAnsi="Arial"/>
          <w:sz w:val="20"/>
          <w:szCs w:val="20"/>
          <w:color w:val="auto"/>
        </w:rPr>
        <w:t>Accounts that are not subject to a valid and perfected first priority Agent’s Lien, other than Permitted Borrowing Base Liens,</w:t>
      </w:r>
    </w:p>
    <w:p>
      <w:pPr>
        <w:spacing w:after="0" w:line="176"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18"/>
        </w:numPr>
        <w:rPr>
          <w:rFonts w:ascii="Arial" w:cs="Arial" w:eastAsia="Arial" w:hAnsi="Arial"/>
          <w:sz w:val="20"/>
          <w:szCs w:val="20"/>
          <w:color w:val="auto"/>
        </w:rPr>
      </w:pPr>
      <w:r>
        <w:rPr>
          <w:rFonts w:ascii="Arial" w:cs="Arial" w:eastAsia="Arial" w:hAnsi="Arial"/>
          <w:sz w:val="20"/>
          <w:szCs w:val="20"/>
          <w:color w:val="auto"/>
        </w:rPr>
        <w:t>Accounts with respect to which (i) the goods giving rise to such Account have not been shipped and billed to the Account Debtor, or (ii) the services giving rise to such Account have not been performed and billed to the Account Debtor,</w:t>
      </w:r>
    </w:p>
    <w:p>
      <w:pPr>
        <w:spacing w:after="0" w:line="185" w:lineRule="exact"/>
        <w:rPr>
          <w:rFonts w:ascii="Arial" w:cs="Arial" w:eastAsia="Arial" w:hAnsi="Arial"/>
          <w:sz w:val="20"/>
          <w:szCs w:val="20"/>
          <w:color w:val="auto"/>
        </w:rPr>
      </w:pPr>
    </w:p>
    <w:p>
      <w:pPr>
        <w:ind w:left="1960" w:hanging="656"/>
        <w:spacing w:after="0"/>
        <w:tabs>
          <w:tab w:leader="none" w:pos="1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Accounts with respect to which the Account Debtor is a Sanctioned Person or Sanctioned Entity,</w:t>
      </w:r>
    </w:p>
    <w:p>
      <w:pPr>
        <w:spacing w:after="0" w:line="238" w:lineRule="exact"/>
        <w:rPr>
          <w:rFonts w:ascii="Arial" w:cs="Arial" w:eastAsia="Arial" w:hAnsi="Arial"/>
          <w:sz w:val="18"/>
          <w:szCs w:val="18"/>
          <w:color w:val="auto"/>
        </w:rPr>
      </w:pPr>
    </w:p>
    <w:p>
      <w:pPr>
        <w:jc w:val="both"/>
        <w:ind w:firstLine="1304"/>
        <w:spacing w:after="0" w:line="250" w:lineRule="auto"/>
        <w:tabs>
          <w:tab w:leader="none" w:pos="1944" w:val="left"/>
        </w:tabs>
        <w:numPr>
          <w:ilvl w:val="0"/>
          <w:numId w:val="18"/>
        </w:numPr>
        <w:rPr>
          <w:rFonts w:ascii="Arial" w:cs="Arial" w:eastAsia="Arial" w:hAnsi="Arial"/>
          <w:sz w:val="20"/>
          <w:szCs w:val="20"/>
          <w:color w:val="auto"/>
        </w:rPr>
      </w:pPr>
      <w:r>
        <w:rPr>
          <w:rFonts w:ascii="Arial" w:cs="Arial" w:eastAsia="Arial" w:hAnsi="Arial"/>
          <w:sz w:val="20"/>
          <w:szCs w:val="20"/>
          <w:color w:val="auto"/>
        </w:rPr>
        <w:t>Accounts (i) that represent the right to receive progress payments or other advance billings that are due prior to the completion of performance by the applicable Borrower of the subject contract for goods or services, or (ii) that represent credit card sales,</w:t>
      </w:r>
    </w:p>
    <w:p>
      <w:pPr>
        <w:spacing w:after="0" w:line="185" w:lineRule="exact"/>
        <w:rPr>
          <w:rFonts w:ascii="Arial" w:cs="Arial" w:eastAsia="Arial" w:hAnsi="Arial"/>
          <w:sz w:val="20"/>
          <w:szCs w:val="20"/>
          <w:color w:val="auto"/>
        </w:rPr>
      </w:pPr>
    </w:p>
    <w:p>
      <w:pPr>
        <w:jc w:val="both"/>
        <w:ind w:firstLine="1304"/>
        <w:spacing w:after="0" w:line="291" w:lineRule="auto"/>
        <w:tabs>
          <w:tab w:leader="none" w:pos="19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Accounts with respect to which (x) the account debtor has been billed by the applicable Borrower from an office or location of the applicable Borrower that is not located in the United States, or (y) the collection thereof is to occur via an office, location or deposit account of the applicable Borrower that is not located in the United States, or</w:t>
      </w:r>
    </w:p>
    <w:p>
      <w:pPr>
        <w:spacing w:after="0" w:line="151" w:lineRule="exact"/>
        <w:rPr>
          <w:rFonts w:ascii="Arial" w:cs="Arial" w:eastAsia="Arial" w:hAnsi="Arial"/>
          <w:sz w:val="18"/>
          <w:szCs w:val="18"/>
          <w:color w:val="auto"/>
        </w:rPr>
      </w:pPr>
    </w:p>
    <w:p>
      <w:pPr>
        <w:jc w:val="both"/>
        <w:ind w:firstLine="1304"/>
        <w:spacing w:after="0" w:line="246" w:lineRule="auto"/>
        <w:tabs>
          <w:tab w:leader="none" w:pos="1944" w:val="left"/>
        </w:tabs>
        <w:numPr>
          <w:ilvl w:val="0"/>
          <w:numId w:val="18"/>
        </w:numPr>
        <w:rPr>
          <w:rFonts w:ascii="Arial" w:cs="Arial" w:eastAsia="Arial" w:hAnsi="Arial"/>
          <w:sz w:val="20"/>
          <w:szCs w:val="20"/>
          <w:color w:val="auto"/>
        </w:rPr>
      </w:pPr>
      <w:r>
        <w:rPr>
          <w:rFonts w:ascii="Arial" w:cs="Arial" w:eastAsia="Arial" w:hAnsi="Arial"/>
          <w:sz w:val="20"/>
          <w:szCs w:val="20"/>
          <w:color w:val="auto"/>
        </w:rPr>
        <w:t>Accounts owned by a target acquired in connection with a Permitted Acquisition or Permitted Investment, or Accounts owned by a Person that is joined to this Agreement as a Borrower pursuant to the provisions of this Agreement, until the completion of a field examination with respect to such Accounts, in each case, satisfactory to Agent in its Permitted Discretion.</w:t>
      </w:r>
    </w:p>
    <w:p>
      <w:pPr>
        <w:spacing w:after="0" w:line="191"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Inventory</w:t>
      </w:r>
      <w:r>
        <w:rPr>
          <w:rFonts w:ascii="Arial" w:cs="Arial" w:eastAsia="Arial" w:hAnsi="Arial"/>
          <w:sz w:val="19"/>
          <w:szCs w:val="19"/>
          <w:color w:val="auto"/>
        </w:rPr>
        <w:t xml:space="preserve">” means Inventory of a Borrower, that complies with each of the representations and warranties respecting Eligible Inventory made in the Loan Documents, and that is not excluded as ineligible by virtue of one or more of the excluding criteria set forth below;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 that such criteria may be revised from time to time by Agent in Agent’s Permitted Discretion to address the results of any information with respect to the Borrowers’ business or assets of which Agent becomes aware after the Closing Date, including any field examination or appraisal performed or received by Agent from time to time after the Closing Date. In determining the amount to be so included, Inventory shall be valued at the lower of cost or market on a basis consistent with Borrowers’ historical accounting practices. An item of Inventory shall not be included in Eligible Inventory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0" w:name="page31"/>
    <w:bookmarkEnd w:id="30"/>
    <w:p>
      <w:pPr>
        <w:ind w:left="1960" w:hanging="656"/>
        <w:spacing w:after="0"/>
        <w:tabs>
          <w:tab w:leader="none" w:pos="1960" w:val="left"/>
        </w:tabs>
        <w:numPr>
          <w:ilvl w:val="1"/>
          <w:numId w:val="19"/>
        </w:numPr>
        <w:rPr>
          <w:rFonts w:ascii="Arial" w:cs="Arial" w:eastAsia="Arial" w:hAnsi="Arial"/>
          <w:sz w:val="20"/>
          <w:szCs w:val="20"/>
          <w:color w:val="auto"/>
        </w:rPr>
      </w:pPr>
      <w:r>
        <w:rPr>
          <w:rFonts w:ascii="Arial" w:cs="Arial" w:eastAsia="Arial" w:hAnsi="Arial"/>
          <w:sz w:val="20"/>
          <w:szCs w:val="20"/>
          <w:color w:val="auto"/>
        </w:rPr>
        <w:t>a Borrower does not have good, valid, and marketable title thereto,</w:t>
      </w:r>
    </w:p>
    <w:p>
      <w:pPr>
        <w:spacing w:after="0" w:line="216" w:lineRule="exact"/>
        <w:rPr>
          <w:rFonts w:ascii="Arial" w:cs="Arial" w:eastAsia="Arial" w:hAnsi="Arial"/>
          <w:sz w:val="20"/>
          <w:szCs w:val="20"/>
          <w:color w:val="auto"/>
        </w:rPr>
      </w:pPr>
    </w:p>
    <w:p>
      <w:pPr>
        <w:ind w:left="1960" w:hanging="656"/>
        <w:spacing w:after="0"/>
        <w:tabs>
          <w:tab w:leader="none" w:pos="19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 Borrower does not have actual and exclusive possession thereof (either directly or through a bailee</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or agent of a Borrower),</w:t>
      </w:r>
    </w:p>
    <w:p>
      <w:pPr>
        <w:spacing w:after="0" w:line="199" w:lineRule="exact"/>
        <w:rPr>
          <w:rFonts w:ascii="Arial" w:cs="Arial" w:eastAsia="Arial" w:hAnsi="Arial"/>
          <w:sz w:val="16"/>
          <w:szCs w:val="16"/>
          <w:color w:val="auto"/>
        </w:rPr>
      </w:pPr>
    </w:p>
    <w:p>
      <w:pPr>
        <w:jc w:val="both"/>
        <w:ind w:firstLine="1304"/>
        <w:spacing w:after="0" w:line="273" w:lineRule="auto"/>
        <w:tabs>
          <w:tab w:leader="none" w:pos="1944"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it is not located at one of the locations in the continental United States or Canada (in the case of Canada, solely to the extent Agent has notified Administrative Borrower that Agent’s Canadian counsel has taken perfection steps in Canada deemed necessary by Agent with respect to such location, which Agent agrees to do upon the written request of Administrative Borrower) set forth on </w:t>
      </w:r>
      <w:r>
        <w:rPr>
          <w:rFonts w:ascii="Arial" w:cs="Arial" w:eastAsia="Arial" w:hAnsi="Arial"/>
          <w:sz w:val="18"/>
          <w:szCs w:val="18"/>
          <w:u w:val="single" w:color="auto"/>
          <w:color w:val="auto"/>
        </w:rPr>
        <w:t>Schedule 4.25</w:t>
      </w:r>
      <w:r>
        <w:rPr>
          <w:rFonts w:ascii="Arial" w:cs="Arial" w:eastAsia="Arial" w:hAnsi="Arial"/>
          <w:sz w:val="18"/>
          <w:szCs w:val="18"/>
          <w:color w:val="auto"/>
        </w:rPr>
        <w:t xml:space="preserve"> to this Agreement (as such </w:t>
      </w:r>
      <w:r>
        <w:rPr>
          <w:rFonts w:ascii="Arial" w:cs="Arial" w:eastAsia="Arial" w:hAnsi="Arial"/>
          <w:sz w:val="18"/>
          <w:szCs w:val="18"/>
          <w:u w:val="single" w:color="auto"/>
          <w:color w:val="auto"/>
        </w:rPr>
        <w:t>Schedule 4.25</w:t>
      </w:r>
      <w:r>
        <w:rPr>
          <w:rFonts w:ascii="Arial" w:cs="Arial" w:eastAsia="Arial" w:hAnsi="Arial"/>
          <w:sz w:val="18"/>
          <w:szCs w:val="18"/>
          <w:color w:val="auto"/>
        </w:rPr>
        <w:t xml:space="preserve"> may be amended from time to time in accordance with </w:t>
      </w:r>
      <w:r>
        <w:rPr>
          <w:rFonts w:ascii="Arial" w:cs="Arial" w:eastAsia="Arial" w:hAnsi="Arial"/>
          <w:sz w:val="18"/>
          <w:szCs w:val="18"/>
          <w:u w:val="single" w:color="auto"/>
          <w:color w:val="auto"/>
        </w:rPr>
        <w:t>Section 5.14</w:t>
      </w:r>
      <w:r>
        <w:rPr>
          <w:rFonts w:ascii="Arial" w:cs="Arial" w:eastAsia="Arial" w:hAnsi="Arial"/>
          <w:sz w:val="18"/>
          <w:szCs w:val="18"/>
          <w:color w:val="auto"/>
        </w:rPr>
        <w:t>) (or in-transit from one such location to another such location); provided, however, that up to $6,000,000 of Inventory in the aggregate at any one time shall not be excluded solely on account of this clause (c) and clause (e) below to the extent: (i) such Inventory is located in the United States, and (ii) such Inventory is in transit to customers of the applicable Borrower on FOB destination point terms,</w:t>
      </w:r>
    </w:p>
    <w:p>
      <w:pPr>
        <w:spacing w:after="0" w:line="168" w:lineRule="exact"/>
        <w:rPr>
          <w:rFonts w:ascii="Arial" w:cs="Arial" w:eastAsia="Arial" w:hAnsi="Arial"/>
          <w:sz w:val="18"/>
          <w:szCs w:val="18"/>
          <w:color w:val="auto"/>
        </w:rPr>
      </w:pPr>
    </w:p>
    <w:p>
      <w:pPr>
        <w:ind w:left="1960" w:hanging="656"/>
        <w:spacing w:after="0"/>
        <w:tabs>
          <w:tab w:leader="none" w:pos="1960" w:val="left"/>
        </w:tabs>
        <w:numPr>
          <w:ilvl w:val="1"/>
          <w:numId w:val="19"/>
        </w:numPr>
        <w:rPr>
          <w:rFonts w:ascii="Arial" w:cs="Arial" w:eastAsia="Arial" w:hAnsi="Arial"/>
          <w:sz w:val="19"/>
          <w:szCs w:val="19"/>
          <w:color w:val="auto"/>
        </w:rPr>
      </w:pPr>
      <w:r>
        <w:rPr>
          <w:rFonts w:ascii="Arial" w:cs="Arial" w:eastAsia="Arial" w:hAnsi="Arial"/>
          <w:sz w:val="19"/>
          <w:szCs w:val="19"/>
          <w:color w:val="auto"/>
        </w:rPr>
        <w:t>it is stored at locations holding less than $100,000 of the aggregate value of such Borrower’s</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Inventory,</w:t>
      </w:r>
    </w:p>
    <w:p>
      <w:pPr>
        <w:spacing w:after="0" w:line="199" w:lineRule="exact"/>
        <w:rPr>
          <w:rFonts w:ascii="Arial" w:cs="Arial" w:eastAsia="Arial" w:hAnsi="Arial"/>
          <w:sz w:val="19"/>
          <w:szCs w:val="19"/>
          <w:color w:val="auto"/>
        </w:rPr>
      </w:pPr>
    </w:p>
    <w:p>
      <w:pPr>
        <w:jc w:val="both"/>
        <w:ind w:firstLine="1304"/>
        <w:spacing w:after="0" w:line="304" w:lineRule="auto"/>
        <w:tabs>
          <w:tab w:leader="none" w:pos="1944" w:val="left"/>
        </w:tabs>
        <w:numPr>
          <w:ilvl w:val="1"/>
          <w:numId w:val="19"/>
        </w:numPr>
        <w:rPr>
          <w:rFonts w:ascii="Arial" w:cs="Arial" w:eastAsia="Arial" w:hAnsi="Arial"/>
          <w:sz w:val="16"/>
          <w:szCs w:val="16"/>
          <w:color w:val="auto"/>
        </w:rPr>
      </w:pPr>
      <w:r>
        <w:rPr>
          <w:rFonts w:ascii="Arial" w:cs="Arial" w:eastAsia="Arial" w:hAnsi="Arial"/>
          <w:sz w:val="16"/>
          <w:szCs w:val="16"/>
          <w:color w:val="auto"/>
        </w:rPr>
        <w:t xml:space="preserve">it is in-transit to or from a location of a Borrower (other than in-transit from one location set forth on </w:t>
      </w:r>
      <w:r>
        <w:rPr>
          <w:rFonts w:ascii="Arial" w:cs="Arial" w:eastAsia="Arial" w:hAnsi="Arial"/>
          <w:sz w:val="16"/>
          <w:szCs w:val="16"/>
          <w:u w:val="single" w:color="auto"/>
          <w:color w:val="auto"/>
        </w:rPr>
        <w:t>Schedule 4.25</w:t>
      </w:r>
      <w:r>
        <w:rPr>
          <w:rFonts w:ascii="Arial" w:cs="Arial" w:eastAsia="Arial" w:hAnsi="Arial"/>
          <w:sz w:val="16"/>
          <w:szCs w:val="16"/>
          <w:color w:val="auto"/>
        </w:rPr>
        <w:t xml:space="preserve"> to this Agreement to another location set forth on </w:t>
      </w:r>
      <w:r>
        <w:rPr>
          <w:rFonts w:ascii="Arial" w:cs="Arial" w:eastAsia="Arial" w:hAnsi="Arial"/>
          <w:sz w:val="16"/>
          <w:szCs w:val="16"/>
          <w:u w:val="single" w:color="auto"/>
          <w:color w:val="auto"/>
        </w:rPr>
        <w:t>Schedule 4.25</w:t>
      </w:r>
      <w:r>
        <w:rPr>
          <w:rFonts w:ascii="Arial" w:cs="Arial" w:eastAsia="Arial" w:hAnsi="Arial"/>
          <w:sz w:val="16"/>
          <w:szCs w:val="16"/>
          <w:color w:val="auto"/>
        </w:rPr>
        <w:t xml:space="preserve"> to this Agreement (as such </w:t>
      </w:r>
      <w:r>
        <w:rPr>
          <w:rFonts w:ascii="Arial" w:cs="Arial" w:eastAsia="Arial" w:hAnsi="Arial"/>
          <w:sz w:val="16"/>
          <w:szCs w:val="16"/>
          <w:u w:val="single" w:color="auto"/>
          <w:color w:val="auto"/>
        </w:rPr>
        <w:t>Schedule 4.25</w:t>
      </w:r>
      <w:r>
        <w:rPr>
          <w:rFonts w:ascii="Arial" w:cs="Arial" w:eastAsia="Arial" w:hAnsi="Arial"/>
          <w:sz w:val="16"/>
          <w:szCs w:val="16"/>
          <w:color w:val="auto"/>
        </w:rPr>
        <w:t xml:space="preserve"> may be amended from time to time in accordance with </w:t>
      </w:r>
      <w:r>
        <w:rPr>
          <w:rFonts w:ascii="Arial" w:cs="Arial" w:eastAsia="Arial" w:hAnsi="Arial"/>
          <w:sz w:val="16"/>
          <w:szCs w:val="16"/>
          <w:u w:val="single" w:color="auto"/>
          <w:color w:val="auto"/>
        </w:rPr>
        <w:t>Section 5.14</w:t>
      </w:r>
      <w:r>
        <w:rPr>
          <w:rFonts w:ascii="Arial" w:cs="Arial" w:eastAsia="Arial" w:hAnsi="Arial"/>
          <w:sz w:val="16"/>
          <w:szCs w:val="16"/>
          <w:color w:val="auto"/>
        </w:rPr>
        <w:t>)); provided, however, that up to $6,000,000 of Inventory in the aggregate at any one time shall not be excluded solely on account of this clause (e) and clause (c) above to the extent:</w:t>
      </w:r>
    </w:p>
    <w:p>
      <w:pPr>
        <w:spacing w:after="0" w:line="1" w:lineRule="exact"/>
        <w:rPr>
          <w:rFonts w:ascii="Arial" w:cs="Arial" w:eastAsia="Arial" w:hAnsi="Arial"/>
          <w:sz w:val="16"/>
          <w:szCs w:val="16"/>
          <w:color w:val="auto"/>
        </w:rPr>
      </w:pPr>
    </w:p>
    <w:p>
      <w:pPr>
        <w:ind w:firstLine="8"/>
        <w:spacing w:after="0" w:line="244" w:lineRule="auto"/>
        <w:tabs>
          <w:tab w:leader="none" w:pos="237" w:val="left"/>
        </w:tabs>
        <w:numPr>
          <w:ilvl w:val="0"/>
          <w:numId w:val="20"/>
        </w:numPr>
        <w:rPr>
          <w:rFonts w:ascii="Arial" w:cs="Arial" w:eastAsia="Arial" w:hAnsi="Arial"/>
          <w:sz w:val="20"/>
          <w:szCs w:val="20"/>
          <w:color w:val="auto"/>
        </w:rPr>
      </w:pPr>
      <w:r>
        <w:rPr>
          <w:rFonts w:ascii="Arial" w:cs="Arial" w:eastAsia="Arial" w:hAnsi="Arial"/>
          <w:sz w:val="20"/>
          <w:szCs w:val="20"/>
          <w:color w:val="auto"/>
        </w:rPr>
        <w:t>such Inventory is located in the United States, and (ii) such Inventory is in transit to customers of the applicable Borrower on FOB destination point terms,</w:t>
      </w:r>
    </w:p>
    <w:p>
      <w:pPr>
        <w:spacing w:after="0" w:line="191" w:lineRule="exact"/>
        <w:rPr>
          <w:rFonts w:ascii="Arial" w:cs="Arial" w:eastAsia="Arial" w:hAnsi="Arial"/>
          <w:sz w:val="20"/>
          <w:szCs w:val="20"/>
          <w:color w:val="auto"/>
        </w:rPr>
      </w:pPr>
    </w:p>
    <w:p>
      <w:pPr>
        <w:jc w:val="both"/>
        <w:ind w:firstLine="1304"/>
        <w:spacing w:after="0" w:line="306" w:lineRule="auto"/>
        <w:tabs>
          <w:tab w:leader="none" w:pos="1944" w:val="left"/>
        </w:tabs>
        <w:numPr>
          <w:ilvl w:val="1"/>
          <w:numId w:val="20"/>
        </w:numPr>
        <w:rPr>
          <w:rFonts w:ascii="Arial" w:cs="Arial" w:eastAsia="Arial" w:hAnsi="Arial"/>
          <w:sz w:val="16"/>
          <w:szCs w:val="16"/>
          <w:color w:val="auto"/>
        </w:rPr>
      </w:pPr>
      <w:r>
        <w:rPr>
          <w:rFonts w:ascii="Arial" w:cs="Arial" w:eastAsia="Arial" w:hAnsi="Arial"/>
          <w:sz w:val="16"/>
          <w:szCs w:val="16"/>
          <w:color w:val="auto"/>
        </w:rPr>
        <w:t>it is located on real property leased by a Borrower or in a contract warehouse or with a bailee, in each case, unless either (i) it is subject to a Collateral Access Agreement executed by the lessor or warehouseman, as the case may be, and it is segregated or otherwise separately identifiable from goods of others, if any, stored on the premises, or</w:t>
      </w:r>
    </w:p>
    <w:p>
      <w:pPr>
        <w:ind w:left="280" w:hanging="272"/>
        <w:spacing w:after="0"/>
        <w:tabs>
          <w:tab w:leader="none" w:pos="280" w:val="left"/>
        </w:tabs>
        <w:numPr>
          <w:ilvl w:val="0"/>
          <w:numId w:val="21"/>
        </w:numPr>
        <w:rPr>
          <w:rFonts w:ascii="Arial" w:cs="Arial" w:eastAsia="Arial" w:hAnsi="Arial"/>
          <w:sz w:val="20"/>
          <w:szCs w:val="20"/>
          <w:color w:val="auto"/>
        </w:rPr>
      </w:pPr>
      <w:r>
        <w:rPr>
          <w:rFonts w:ascii="Arial" w:cs="Arial" w:eastAsia="Arial" w:hAnsi="Arial"/>
          <w:sz w:val="20"/>
          <w:szCs w:val="20"/>
          <w:color w:val="auto"/>
        </w:rPr>
        <w:t>Agent has established a Landlord Reserve with respect to such location,</w:t>
      </w:r>
    </w:p>
    <w:p>
      <w:pPr>
        <w:spacing w:after="0" w:line="199" w:lineRule="exact"/>
        <w:rPr>
          <w:rFonts w:ascii="Arial" w:cs="Arial" w:eastAsia="Arial" w:hAnsi="Arial"/>
          <w:sz w:val="20"/>
          <w:szCs w:val="20"/>
          <w:color w:val="auto"/>
        </w:rPr>
      </w:pPr>
    </w:p>
    <w:p>
      <w:pPr>
        <w:ind w:left="1960" w:hanging="656"/>
        <w:spacing w:after="0"/>
        <w:tabs>
          <w:tab w:leader="none" w:pos="1960" w:val="left"/>
        </w:tabs>
        <w:numPr>
          <w:ilvl w:val="1"/>
          <w:numId w:val="21"/>
        </w:numPr>
        <w:rPr>
          <w:rFonts w:ascii="Arial" w:cs="Arial" w:eastAsia="Arial" w:hAnsi="Arial"/>
          <w:sz w:val="20"/>
          <w:szCs w:val="20"/>
          <w:color w:val="auto"/>
        </w:rPr>
      </w:pPr>
      <w:r>
        <w:rPr>
          <w:rFonts w:ascii="Arial" w:cs="Arial" w:eastAsia="Arial" w:hAnsi="Arial"/>
          <w:sz w:val="20"/>
          <w:szCs w:val="20"/>
          <w:color w:val="auto"/>
        </w:rPr>
        <w:t>it is the subject of a bill of lading or other document of title,</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it is not subject to a valid and perfected first priority Agent’s Lien, other than Permitted Borrowing</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Base Liens,</w:t>
      </w:r>
    </w:p>
    <w:p>
      <w:pPr>
        <w:spacing w:after="0" w:line="199" w:lineRule="exact"/>
        <w:rPr>
          <w:rFonts w:ascii="Arial" w:cs="Arial" w:eastAsia="Arial" w:hAnsi="Arial"/>
          <w:sz w:val="18"/>
          <w:szCs w:val="18"/>
          <w:color w:val="auto"/>
        </w:rPr>
      </w:pPr>
    </w:p>
    <w:p>
      <w:pPr>
        <w:ind w:left="1960" w:hanging="656"/>
        <w:spacing w:after="0"/>
        <w:tabs>
          <w:tab w:leader="none" w:pos="1960" w:val="left"/>
        </w:tabs>
        <w:numPr>
          <w:ilvl w:val="1"/>
          <w:numId w:val="21"/>
        </w:numPr>
        <w:rPr>
          <w:rFonts w:ascii="Arial" w:cs="Arial" w:eastAsia="Arial" w:hAnsi="Arial"/>
          <w:sz w:val="19"/>
          <w:szCs w:val="19"/>
          <w:color w:val="auto"/>
        </w:rPr>
      </w:pPr>
      <w:r>
        <w:rPr>
          <w:rFonts w:ascii="Arial" w:cs="Arial" w:eastAsia="Arial" w:hAnsi="Arial"/>
          <w:sz w:val="19"/>
          <w:szCs w:val="19"/>
          <w:color w:val="auto"/>
        </w:rPr>
        <w:t>it consists of goods returned or rejected by a Borrower’s customers, but only as to such goods</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returned or rejected,</w:t>
      </w:r>
    </w:p>
    <w:p>
      <w:pPr>
        <w:spacing w:after="0" w:line="199" w:lineRule="exact"/>
        <w:rPr>
          <w:rFonts w:ascii="Arial" w:cs="Arial" w:eastAsia="Arial" w:hAnsi="Arial"/>
          <w:sz w:val="19"/>
          <w:szCs w:val="19"/>
          <w:color w:val="auto"/>
        </w:rPr>
      </w:pPr>
    </w:p>
    <w:p>
      <w:pPr>
        <w:jc w:val="both"/>
        <w:ind w:firstLine="1304"/>
        <w:spacing w:after="0" w:line="244" w:lineRule="auto"/>
        <w:tabs>
          <w:tab w:leader="none" w:pos="1944" w:val="left"/>
        </w:tabs>
        <w:numPr>
          <w:ilvl w:val="1"/>
          <w:numId w:val="21"/>
        </w:numPr>
        <w:rPr>
          <w:rFonts w:ascii="Arial" w:cs="Arial" w:eastAsia="Arial" w:hAnsi="Arial"/>
          <w:sz w:val="20"/>
          <w:szCs w:val="20"/>
          <w:color w:val="auto"/>
        </w:rPr>
      </w:pPr>
      <w:r>
        <w:rPr>
          <w:rFonts w:ascii="Arial" w:cs="Arial" w:eastAsia="Arial" w:hAnsi="Arial"/>
          <w:sz w:val="20"/>
          <w:szCs w:val="20"/>
          <w:color w:val="auto"/>
        </w:rPr>
        <w:t>it consists of goods that are obsolete, slow moving, spoiled or are otherwise past the stated expiration, “sell-by” or “use by” date applicable thereto, restrictive or custom items or otherwise is manufactured in accordance with customer-specific requirements, or goods that constitute spare parts, packaging and shipping materials, supplies used or consumed in Borrowers’ business, bill and hold goods, defective goods, “seconds,” or Inventory acquired on consignment,</w:t>
      </w:r>
    </w:p>
    <w:p>
      <w:pPr>
        <w:spacing w:after="0" w:line="194" w:lineRule="exact"/>
        <w:rPr>
          <w:rFonts w:ascii="Arial" w:cs="Arial" w:eastAsia="Arial" w:hAnsi="Arial"/>
          <w:sz w:val="20"/>
          <w:szCs w:val="20"/>
          <w:color w:val="auto"/>
        </w:rPr>
      </w:pPr>
    </w:p>
    <w:p>
      <w:pPr>
        <w:jc w:val="both"/>
        <w:ind w:firstLine="1304"/>
        <w:spacing w:after="0" w:line="250" w:lineRule="auto"/>
        <w:tabs>
          <w:tab w:leader="none" w:pos="1944" w:val="left"/>
        </w:tabs>
        <w:numPr>
          <w:ilvl w:val="1"/>
          <w:numId w:val="21"/>
        </w:numPr>
        <w:rPr>
          <w:rFonts w:ascii="Arial" w:cs="Arial" w:eastAsia="Arial" w:hAnsi="Arial"/>
          <w:sz w:val="20"/>
          <w:szCs w:val="20"/>
          <w:color w:val="auto"/>
        </w:rPr>
      </w:pPr>
      <w:r>
        <w:rPr>
          <w:rFonts w:ascii="Arial" w:cs="Arial" w:eastAsia="Arial" w:hAnsi="Arial"/>
          <w:sz w:val="20"/>
          <w:szCs w:val="20"/>
          <w:color w:val="auto"/>
        </w:rPr>
        <w:t>it is subject to third party intellectual property, licensing or other proprietary rights, unless Agent is satisfied in its Permitted Discretion that such Inventory can be freely sold by Agent on and after the occurrence of an Event of Default despite such third party rights,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1" w:name="page32"/>
    <w:bookmarkEnd w:id="31"/>
    <w:p>
      <w:pPr>
        <w:jc w:val="both"/>
        <w:ind w:firstLine="1304"/>
        <w:spacing w:after="0" w:line="246" w:lineRule="auto"/>
        <w:tabs>
          <w:tab w:leader="none" w:pos="1944" w:val="left"/>
        </w:tabs>
        <w:numPr>
          <w:ilvl w:val="0"/>
          <w:numId w:val="22"/>
        </w:numPr>
        <w:rPr>
          <w:rFonts w:ascii="Arial" w:cs="Arial" w:eastAsia="Arial" w:hAnsi="Arial"/>
          <w:sz w:val="20"/>
          <w:szCs w:val="20"/>
          <w:color w:val="auto"/>
        </w:rPr>
      </w:pPr>
      <w:r>
        <w:rPr>
          <w:rFonts w:ascii="Arial" w:cs="Arial" w:eastAsia="Arial" w:hAnsi="Arial"/>
          <w:sz w:val="20"/>
          <w:szCs w:val="20"/>
          <w:color w:val="auto"/>
        </w:rPr>
        <w:t>it was acquired in connection with a Permitted Acquisition or Permitted Investment, or such Inventory is owned by a Person that is joined to this Agreement as a Borrower pursuant to the provisions of this Agreement, until the completion of an Acceptable Appraisal of such Inventory and the completion of a field examination with respect to such Inventory that is satisfactory to Agent in its Permitted Discretion.</w:t>
      </w:r>
    </w:p>
    <w:p>
      <w:pPr>
        <w:spacing w:after="0" w:line="19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Eligible Investment Grade Account</w:t>
      </w:r>
      <w:r>
        <w:rPr>
          <w:rFonts w:ascii="Arial" w:cs="Arial" w:eastAsia="Arial" w:hAnsi="Arial"/>
          <w:sz w:val="20"/>
          <w:szCs w:val="20"/>
          <w:color w:val="auto"/>
        </w:rPr>
        <w:t>” means, at any time, any Eligible Account for which the Account Debtor in respect thereof is an Investment Grade Account Debtor.</w:t>
      </w:r>
    </w:p>
    <w:p>
      <w:pPr>
        <w:spacing w:after="0" w:line="177"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M&amp;E</w:t>
      </w:r>
      <w:r>
        <w:rPr>
          <w:rFonts w:ascii="Arial" w:cs="Arial" w:eastAsia="Arial" w:hAnsi="Arial"/>
          <w:sz w:val="20"/>
          <w:szCs w:val="20"/>
          <w:color w:val="auto"/>
        </w:rPr>
        <w:t xml:space="preserve">” means M&amp;E of a Borrower as of the Closing Date, that complies with each of the representations and warranties respecting Eligible M&amp;E made in the Loan Documents, and that is not excluded as ineligible by virtue of one or more of the excluding criteria set forth below; </w:t>
      </w:r>
      <w:r>
        <w:rPr>
          <w:rFonts w:ascii="Arial" w:cs="Arial" w:eastAsia="Arial" w:hAnsi="Arial"/>
          <w:sz w:val="20"/>
          <w:szCs w:val="20"/>
          <w:u w:val="single" w:color="auto"/>
          <w:color w:val="auto"/>
        </w:rPr>
        <w:t>provided</w:t>
      </w:r>
      <w:r>
        <w:rPr>
          <w:rFonts w:ascii="Arial" w:cs="Arial" w:eastAsia="Arial" w:hAnsi="Arial"/>
          <w:sz w:val="20"/>
          <w:szCs w:val="20"/>
          <w:color w:val="auto"/>
        </w:rPr>
        <w:t>, that such criteria may be revised from time to time by Agent in Agent’s Permitted Discretion to address the results of any due diligence information with respect to the Borrowers’ business or assets of which Agent becomes aware after the Closing Date, including any field examination or appraisal performed or received by Agent from time to time after the Closing Date. An item of M&amp;E shall not be included in Eligible M&amp;E if:</w:t>
      </w:r>
    </w:p>
    <w:p>
      <w:pPr>
        <w:spacing w:after="0" w:line="193" w:lineRule="exact"/>
        <w:rPr>
          <w:sz w:val="20"/>
          <w:szCs w:val="20"/>
          <w:color w:val="auto"/>
        </w:rPr>
      </w:pPr>
    </w:p>
    <w:p>
      <w:pPr>
        <w:jc w:val="both"/>
        <w:ind w:left="1300"/>
        <w:spacing w:after="0"/>
        <w:tabs>
          <w:tab w:leader="none" w:pos="1940" w:val="left"/>
        </w:tabs>
        <w:rPr>
          <w:sz w:val="20"/>
          <w:szCs w:val="20"/>
          <w:color w:val="auto"/>
        </w:rPr>
      </w:pPr>
      <w:r>
        <w:rPr>
          <w:rFonts w:ascii="Arial" w:cs="Arial" w:eastAsia="Arial" w:hAnsi="Arial"/>
          <w:sz w:val="20"/>
          <w:szCs w:val="20"/>
          <w:color w:val="auto"/>
        </w:rPr>
        <w:t>(a)</w:t>
      </w:r>
      <w:r>
        <w:rPr>
          <w:sz w:val="20"/>
          <w:szCs w:val="20"/>
          <w:color w:val="auto"/>
        </w:rPr>
        <w:tab/>
      </w:r>
      <w:r>
        <w:rPr>
          <w:rFonts w:ascii="Arial" w:cs="Arial" w:eastAsia="Arial" w:hAnsi="Arial"/>
          <w:sz w:val="20"/>
          <w:szCs w:val="20"/>
          <w:color w:val="auto"/>
        </w:rPr>
        <w:t>it is not subject to a valid and perfected first priority Agent’s Lien, other than Permitted Borrowing</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Base Liens,</w:t>
      </w:r>
    </w:p>
    <w:p>
      <w:pPr>
        <w:spacing w:after="0" w:line="200" w:lineRule="exact"/>
        <w:rPr>
          <w:sz w:val="20"/>
          <w:szCs w:val="20"/>
          <w:color w:val="auto"/>
        </w:rPr>
      </w:pPr>
    </w:p>
    <w:p>
      <w:pPr>
        <w:ind w:left="1960" w:hanging="656"/>
        <w:spacing w:after="0"/>
        <w:tabs>
          <w:tab w:leader="none" w:pos="196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 Borrower does not have good, valid, and marketable title thereto,</w:t>
      </w:r>
    </w:p>
    <w:p>
      <w:pPr>
        <w:spacing w:after="0" w:line="215" w:lineRule="exact"/>
        <w:rPr>
          <w:rFonts w:ascii="Arial" w:cs="Arial" w:eastAsia="Arial" w:hAnsi="Arial"/>
          <w:sz w:val="20"/>
          <w:szCs w:val="20"/>
          <w:color w:val="auto"/>
        </w:rPr>
      </w:pPr>
    </w:p>
    <w:p>
      <w:pPr>
        <w:ind w:firstLine="1304"/>
        <w:spacing w:after="0" w:line="260" w:lineRule="auto"/>
        <w:tabs>
          <w:tab w:leader="none" w:pos="1944" w:val="left"/>
        </w:tabs>
        <w:numPr>
          <w:ilvl w:val="0"/>
          <w:numId w:val="23"/>
        </w:numPr>
        <w:rPr>
          <w:rFonts w:ascii="Arial" w:cs="Arial" w:eastAsia="Arial" w:hAnsi="Arial"/>
          <w:sz w:val="20"/>
          <w:szCs w:val="20"/>
          <w:color w:val="auto"/>
        </w:rPr>
      </w:pPr>
      <w:r>
        <w:rPr>
          <w:rFonts w:ascii="Arial" w:cs="Arial" w:eastAsia="Arial" w:hAnsi="Arial"/>
          <w:sz w:val="20"/>
          <w:szCs w:val="20"/>
          <w:color w:val="auto"/>
        </w:rPr>
        <w:t>a Borrower does not have actual and exclusive possession thereof (either directly or through a bailee or agent of a Borrower), including as a result of the lease thereof by a Borrower,</w:t>
      </w:r>
    </w:p>
    <w:p>
      <w:pPr>
        <w:spacing w:after="0" w:line="177" w:lineRule="exact"/>
        <w:rPr>
          <w:sz w:val="20"/>
          <w:szCs w:val="20"/>
          <w:color w:val="auto"/>
        </w:rPr>
      </w:pPr>
    </w:p>
    <w:p>
      <w:pPr>
        <w:jc w:val="both"/>
        <w:ind w:firstLine="1304"/>
        <w:spacing w:after="0" w:line="250" w:lineRule="auto"/>
        <w:tabs>
          <w:tab w:leader="none" w:pos="1944" w:val="left"/>
        </w:tabs>
        <w:numPr>
          <w:ilvl w:val="0"/>
          <w:numId w:val="24"/>
        </w:numPr>
        <w:rPr>
          <w:rFonts w:ascii="Arial" w:cs="Arial" w:eastAsia="Arial" w:hAnsi="Arial"/>
          <w:sz w:val="20"/>
          <w:szCs w:val="20"/>
          <w:color w:val="auto"/>
        </w:rPr>
      </w:pPr>
      <w:r>
        <w:rPr>
          <w:rFonts w:ascii="Arial" w:cs="Arial" w:eastAsia="Arial" w:hAnsi="Arial"/>
          <w:sz w:val="20"/>
          <w:szCs w:val="20"/>
          <w:color w:val="auto"/>
        </w:rPr>
        <w:t xml:space="preserve">it is not located at one of the locations in the continental United States set forth on </w:t>
      </w:r>
      <w:r>
        <w:rPr>
          <w:rFonts w:ascii="Arial" w:cs="Arial" w:eastAsia="Arial" w:hAnsi="Arial"/>
          <w:sz w:val="20"/>
          <w:szCs w:val="20"/>
          <w:u w:val="single" w:color="auto"/>
          <w:color w:val="auto"/>
        </w:rPr>
        <w:t>Schedule 4.25</w:t>
      </w:r>
      <w:r>
        <w:rPr>
          <w:rFonts w:ascii="Arial" w:cs="Arial" w:eastAsia="Arial" w:hAnsi="Arial"/>
          <w:sz w:val="20"/>
          <w:szCs w:val="20"/>
          <w:color w:val="auto"/>
        </w:rPr>
        <w:t xml:space="preserve"> to this Agreement (or in-transit from one such location to another such location) (as such </w:t>
      </w:r>
      <w:r>
        <w:rPr>
          <w:rFonts w:ascii="Arial" w:cs="Arial" w:eastAsia="Arial" w:hAnsi="Arial"/>
          <w:sz w:val="20"/>
          <w:szCs w:val="20"/>
          <w:u w:val="single" w:color="auto"/>
          <w:color w:val="auto"/>
        </w:rPr>
        <w:t>Schedule 4.25</w:t>
      </w:r>
      <w:r>
        <w:rPr>
          <w:rFonts w:ascii="Arial" w:cs="Arial" w:eastAsia="Arial" w:hAnsi="Arial"/>
          <w:sz w:val="20"/>
          <w:szCs w:val="20"/>
          <w:color w:val="auto"/>
        </w:rPr>
        <w:t xml:space="preserve"> may be amended from time to time in accordance with </w:t>
      </w:r>
      <w:r>
        <w:rPr>
          <w:rFonts w:ascii="Arial" w:cs="Arial" w:eastAsia="Arial" w:hAnsi="Arial"/>
          <w:sz w:val="20"/>
          <w:szCs w:val="20"/>
          <w:u w:val="single" w:color="auto"/>
          <w:color w:val="auto"/>
        </w:rPr>
        <w:t>Section 5.14</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24"/>
        </w:numPr>
        <w:rPr>
          <w:rFonts w:ascii="Arial" w:cs="Arial" w:eastAsia="Arial" w:hAnsi="Arial"/>
          <w:sz w:val="20"/>
          <w:szCs w:val="20"/>
          <w:color w:val="auto"/>
        </w:rPr>
      </w:pPr>
      <w:r>
        <w:rPr>
          <w:rFonts w:ascii="Arial" w:cs="Arial" w:eastAsia="Arial" w:hAnsi="Arial"/>
          <w:sz w:val="20"/>
          <w:szCs w:val="20"/>
          <w:color w:val="auto"/>
        </w:rPr>
        <w:t xml:space="preserve">it is in-transit to or from a location of a Borrower (other than in-transit from one location set forth on </w:t>
      </w:r>
      <w:r>
        <w:rPr>
          <w:rFonts w:ascii="Arial" w:cs="Arial" w:eastAsia="Arial" w:hAnsi="Arial"/>
          <w:sz w:val="20"/>
          <w:szCs w:val="20"/>
          <w:u w:val="single" w:color="auto"/>
          <w:color w:val="auto"/>
        </w:rPr>
        <w:t>Schedule 4.25</w:t>
      </w:r>
      <w:r>
        <w:rPr>
          <w:rFonts w:ascii="Arial" w:cs="Arial" w:eastAsia="Arial" w:hAnsi="Arial"/>
          <w:sz w:val="20"/>
          <w:szCs w:val="20"/>
          <w:color w:val="auto"/>
        </w:rPr>
        <w:t xml:space="preserve"> to this Agreement to another location set forth on </w:t>
      </w:r>
      <w:r>
        <w:rPr>
          <w:rFonts w:ascii="Arial" w:cs="Arial" w:eastAsia="Arial" w:hAnsi="Arial"/>
          <w:sz w:val="20"/>
          <w:szCs w:val="20"/>
          <w:u w:val="single" w:color="auto"/>
          <w:color w:val="auto"/>
        </w:rPr>
        <w:t>Schedule 4.25</w:t>
      </w:r>
      <w:r>
        <w:rPr>
          <w:rFonts w:ascii="Arial" w:cs="Arial" w:eastAsia="Arial" w:hAnsi="Arial"/>
          <w:sz w:val="20"/>
          <w:szCs w:val="20"/>
          <w:color w:val="auto"/>
        </w:rPr>
        <w:t xml:space="preserve"> to this Agreement) (as such </w:t>
      </w:r>
      <w:r>
        <w:rPr>
          <w:rFonts w:ascii="Arial" w:cs="Arial" w:eastAsia="Arial" w:hAnsi="Arial"/>
          <w:sz w:val="20"/>
          <w:szCs w:val="20"/>
          <w:u w:val="single" w:color="auto"/>
          <w:color w:val="auto"/>
        </w:rPr>
        <w:t>Schedule 4.25</w:t>
      </w:r>
      <w:r>
        <w:rPr>
          <w:rFonts w:ascii="Arial" w:cs="Arial" w:eastAsia="Arial" w:hAnsi="Arial"/>
          <w:sz w:val="20"/>
          <w:szCs w:val="20"/>
          <w:color w:val="auto"/>
        </w:rPr>
        <w:t xml:space="preserve"> may be amended from time to time in accordance with </w:t>
      </w:r>
      <w:r>
        <w:rPr>
          <w:rFonts w:ascii="Arial" w:cs="Arial" w:eastAsia="Arial" w:hAnsi="Arial"/>
          <w:sz w:val="20"/>
          <w:szCs w:val="20"/>
          <w:u w:val="single" w:color="auto"/>
          <w:color w:val="auto"/>
        </w:rPr>
        <w:t>Section 5.14</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24"/>
        </w:numPr>
        <w:rPr>
          <w:rFonts w:ascii="Arial" w:cs="Arial" w:eastAsia="Arial" w:hAnsi="Arial"/>
          <w:sz w:val="20"/>
          <w:szCs w:val="20"/>
          <w:color w:val="auto"/>
        </w:rPr>
      </w:pPr>
      <w:r>
        <w:rPr>
          <w:rFonts w:ascii="Arial" w:cs="Arial" w:eastAsia="Arial" w:hAnsi="Arial"/>
          <w:sz w:val="20"/>
          <w:szCs w:val="20"/>
          <w:color w:val="auto"/>
        </w:rPr>
        <w:t>it is “subject to” (within the meaning of Section 9-311 of the Code) any certificate of title (or comparable) statute (unless Agent has a first priority, perfected Lien under such statute and Agent has possession and custody of such certificate),</w:t>
      </w:r>
    </w:p>
    <w:p>
      <w:pPr>
        <w:spacing w:after="0" w:line="185"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24"/>
        </w:numPr>
        <w:rPr>
          <w:rFonts w:ascii="Arial" w:cs="Arial" w:eastAsia="Arial" w:hAnsi="Arial"/>
          <w:sz w:val="20"/>
          <w:szCs w:val="20"/>
          <w:color w:val="auto"/>
        </w:rPr>
      </w:pPr>
      <w:r>
        <w:rPr>
          <w:rFonts w:ascii="Arial" w:cs="Arial" w:eastAsia="Arial" w:hAnsi="Arial"/>
          <w:sz w:val="20"/>
          <w:szCs w:val="20"/>
          <w:color w:val="auto"/>
        </w:rPr>
        <w:t>it does not meet, or is not under repair or held for repair for the purpose of meeting, in each case in all material respects, all applicable safety or regulatory requirements applicable to it by law for the use for which it is intended or for which it is being used,</w:t>
      </w:r>
    </w:p>
    <w:p>
      <w:pPr>
        <w:spacing w:after="0" w:line="185" w:lineRule="exact"/>
        <w:rPr>
          <w:rFonts w:ascii="Arial" w:cs="Arial" w:eastAsia="Arial" w:hAnsi="Arial"/>
          <w:sz w:val="20"/>
          <w:szCs w:val="20"/>
          <w:color w:val="auto"/>
        </w:rPr>
      </w:pPr>
    </w:p>
    <w:p>
      <w:pPr>
        <w:ind w:firstLine="1304"/>
        <w:spacing w:after="0" w:line="260" w:lineRule="auto"/>
        <w:tabs>
          <w:tab w:leader="none" w:pos="1944" w:val="left"/>
        </w:tabs>
        <w:numPr>
          <w:ilvl w:val="0"/>
          <w:numId w:val="24"/>
        </w:numPr>
        <w:rPr>
          <w:rFonts w:ascii="Arial" w:cs="Arial" w:eastAsia="Arial" w:hAnsi="Arial"/>
          <w:sz w:val="20"/>
          <w:szCs w:val="20"/>
          <w:color w:val="auto"/>
        </w:rPr>
      </w:pPr>
      <w:r>
        <w:rPr>
          <w:rFonts w:ascii="Arial" w:cs="Arial" w:eastAsia="Arial" w:hAnsi="Arial"/>
          <w:sz w:val="20"/>
          <w:szCs w:val="20"/>
          <w:color w:val="auto"/>
        </w:rPr>
        <w:t>it is not used or usable in the ordinary course of the Loan Parties’ business due to a damaged or inoperable condition (other than Equipment under repair or held for repair for such purpose),</w:t>
      </w:r>
    </w:p>
    <w:p>
      <w:pPr>
        <w:spacing w:after="0" w:line="176" w:lineRule="exact"/>
        <w:rPr>
          <w:rFonts w:ascii="Arial" w:cs="Arial" w:eastAsia="Arial" w:hAnsi="Arial"/>
          <w:sz w:val="20"/>
          <w:szCs w:val="20"/>
          <w:color w:val="auto"/>
        </w:rPr>
      </w:pPr>
    </w:p>
    <w:p>
      <w:pPr>
        <w:jc w:val="both"/>
        <w:ind w:firstLine="1304"/>
        <w:spacing w:after="0" w:line="291" w:lineRule="auto"/>
        <w:tabs>
          <w:tab w:leader="none" w:pos="19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 does not meet, or is not under repair or held for repair for the purpose of meeting, in each case in all material respects, all applicable requirements of all motor vehicle laws or other statutes and regulations established by any Governmental Authority then applicable to such Equipment, or is subject to any licensing or similar requirement,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2" w:name="page33"/>
    <w:bookmarkEnd w:id="32"/>
    <w:p>
      <w:pPr>
        <w:jc w:val="both"/>
        <w:ind w:firstLine="1304"/>
        <w:spacing w:after="0" w:line="246" w:lineRule="auto"/>
        <w:tabs>
          <w:tab w:leader="none" w:pos="1944" w:val="left"/>
        </w:tabs>
        <w:numPr>
          <w:ilvl w:val="0"/>
          <w:numId w:val="25"/>
        </w:numPr>
        <w:rPr>
          <w:rFonts w:ascii="Arial" w:cs="Arial" w:eastAsia="Arial" w:hAnsi="Arial"/>
          <w:sz w:val="20"/>
          <w:szCs w:val="20"/>
          <w:color w:val="auto"/>
        </w:rPr>
      </w:pPr>
      <w:r>
        <w:rPr>
          <w:rFonts w:ascii="Arial" w:cs="Arial" w:eastAsia="Arial" w:hAnsi="Arial"/>
          <w:sz w:val="20"/>
          <w:szCs w:val="20"/>
          <w:color w:val="auto"/>
        </w:rPr>
        <w:t>it is located on real property leased by a Borrower or in a contract warehouse, in each case, unless either (i) it is subject to a Collateral Access Agreement executed by the lessor or warehouseman, as the case may be, and unless it is segregated or otherwise separately identifiable from equipment of others, if any, stored on the premises, or (ii) Agent has established a Landlord Reserve with respect to such location,</w:t>
      </w:r>
    </w:p>
    <w:p>
      <w:pPr>
        <w:spacing w:after="0" w:line="192" w:lineRule="exact"/>
        <w:rPr>
          <w:rFonts w:ascii="Arial" w:cs="Arial" w:eastAsia="Arial" w:hAnsi="Arial"/>
          <w:sz w:val="20"/>
          <w:szCs w:val="20"/>
          <w:color w:val="auto"/>
        </w:rPr>
      </w:pPr>
    </w:p>
    <w:p>
      <w:pPr>
        <w:ind w:left="1960" w:hanging="656"/>
        <w:spacing w:after="0"/>
        <w:tabs>
          <w:tab w:leader="none" w:pos="19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its use or operation requires proprietary software that is not freely assignable to Agent,</w:t>
      </w:r>
    </w:p>
    <w:p>
      <w:pPr>
        <w:spacing w:after="0" w:line="215"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25"/>
        </w:numPr>
        <w:rPr>
          <w:rFonts w:ascii="Arial" w:cs="Arial" w:eastAsia="Arial" w:hAnsi="Arial"/>
          <w:sz w:val="20"/>
          <w:szCs w:val="20"/>
          <w:color w:val="auto"/>
        </w:rPr>
      </w:pPr>
      <w:r>
        <w:rPr>
          <w:rFonts w:ascii="Arial" w:cs="Arial" w:eastAsia="Arial" w:hAnsi="Arial"/>
          <w:sz w:val="20"/>
          <w:szCs w:val="20"/>
          <w:color w:val="auto"/>
        </w:rPr>
        <w:t>it is subject to any agreement which restricts the ability of a Borrower to use, sell, transport or dispose of such equipment or which restricts the Agent’s ability to take possession of, sell or otherwise dispose of such equipment,</w:t>
      </w:r>
    </w:p>
    <w:p>
      <w:pPr>
        <w:spacing w:after="0" w:line="185"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25"/>
        </w:numPr>
        <w:rPr>
          <w:rFonts w:ascii="Arial" w:cs="Arial" w:eastAsia="Arial" w:hAnsi="Arial"/>
          <w:sz w:val="20"/>
          <w:szCs w:val="20"/>
          <w:color w:val="auto"/>
        </w:rPr>
      </w:pPr>
      <w:r>
        <w:rPr>
          <w:rFonts w:ascii="Arial" w:cs="Arial" w:eastAsia="Arial" w:hAnsi="Arial"/>
          <w:sz w:val="20"/>
          <w:szCs w:val="20"/>
          <w:color w:val="auto"/>
        </w:rPr>
        <w:t>it constitutes “fixtures” under the applicable laws of the jurisdiction in which such equipment is located unless Borrowers have given Agent prior written notice thereof that such equipment shall constitute a “fixture” under the applicable laws of the jurisdiction in which such equipment is located,</w:t>
      </w:r>
    </w:p>
    <w:p>
      <w:pPr>
        <w:spacing w:after="0" w:line="185" w:lineRule="exact"/>
        <w:rPr>
          <w:rFonts w:ascii="Arial" w:cs="Arial" w:eastAsia="Arial" w:hAnsi="Arial"/>
          <w:sz w:val="20"/>
          <w:szCs w:val="20"/>
          <w:color w:val="auto"/>
        </w:rPr>
      </w:pPr>
    </w:p>
    <w:p>
      <w:pPr>
        <w:ind w:left="1960" w:hanging="656"/>
        <w:spacing w:after="0"/>
        <w:tabs>
          <w:tab w:leader="none" w:pos="19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an Acceptable Appraisal of such M&amp;E has not been completed, or</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0"/>
          <w:numId w:val="25"/>
        </w:numPr>
        <w:rPr>
          <w:rFonts w:ascii="Arial" w:cs="Arial" w:eastAsia="Arial" w:hAnsi="Arial"/>
          <w:sz w:val="20"/>
          <w:szCs w:val="20"/>
          <w:color w:val="auto"/>
        </w:rPr>
      </w:pPr>
      <w:r>
        <w:rPr>
          <w:rFonts w:ascii="Arial" w:cs="Arial" w:eastAsia="Arial" w:hAnsi="Arial"/>
          <w:sz w:val="20"/>
          <w:szCs w:val="20"/>
          <w:color w:val="auto"/>
        </w:rPr>
        <w:t>for the avoidance of doubt, it supports a Capex Advance.</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Notwithstanding the foregoing, equipment that would otherwise be Eligible M&amp;E on the Closing Date but for the fact that Borrowers have not completed the process of including the notation of the Agent as lienholder on the certificates of title for such equipment, shall nevertheless be Eligible M&amp;E after the Closing Date to the extent that within forty five (45) days of the Closing Date (or such longer period as agreed to by the Agent in its sole discretion), the Agent is shown as a lienholder on the certificates of title for such equipment, all to the satisfaction of the Agent (it being understood that any equipment that does not satisfy the forgoing shall not be deemed Eligible M&amp;E).</w:t>
      </w:r>
    </w:p>
    <w:p>
      <w:pPr>
        <w:spacing w:after="0" w:line="178"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New Equipment</w:t>
      </w:r>
      <w:r>
        <w:rPr>
          <w:rFonts w:ascii="Arial" w:cs="Arial" w:eastAsia="Arial" w:hAnsi="Arial"/>
          <w:sz w:val="20"/>
          <w:szCs w:val="20"/>
          <w:color w:val="auto"/>
        </w:rPr>
        <w:t>” means the Equipment owned by any Borrower that complies with each of the representations and warranties respecting Eligible New Equipment made in the Loan Documents, and that is not excluded as ineligible by virtue of one or more of the excluding criteria set forth below; provided, however, that such criteria may be revised from time to time by Agent in Agent’s Permitted Discretion to address the results of any audit or appraisal performed or received by Agent from time to time after the Closing Date. A piece of Equipment shall not be included in Eligible New Equipment if:</w:t>
      </w:r>
    </w:p>
    <w:p>
      <w:pPr>
        <w:spacing w:after="0" w:line="196" w:lineRule="exact"/>
        <w:rPr>
          <w:sz w:val="20"/>
          <w:szCs w:val="20"/>
          <w:color w:val="auto"/>
        </w:rPr>
      </w:pPr>
    </w:p>
    <w:p>
      <w:pPr>
        <w:ind w:left="1960" w:hanging="656"/>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Borrower does not have (or upon acquisition thereof will not have) good, valid, and marketable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title thereto,</w:t>
      </w:r>
    </w:p>
    <w:p>
      <w:pPr>
        <w:spacing w:after="0" w:line="200" w:lineRule="exact"/>
        <w:rPr>
          <w:sz w:val="20"/>
          <w:szCs w:val="20"/>
          <w:color w:val="auto"/>
        </w:rPr>
      </w:pPr>
    </w:p>
    <w:p>
      <w:pPr>
        <w:ind w:firstLine="1304"/>
        <w:spacing w:after="0" w:line="260" w:lineRule="auto"/>
        <w:tabs>
          <w:tab w:leader="none" w:pos="1944" w:val="left"/>
        </w:tabs>
        <w:numPr>
          <w:ilvl w:val="0"/>
          <w:numId w:val="27"/>
        </w:numPr>
        <w:rPr>
          <w:rFonts w:ascii="Arial" w:cs="Arial" w:eastAsia="Arial" w:hAnsi="Arial"/>
          <w:sz w:val="20"/>
          <w:szCs w:val="20"/>
          <w:color w:val="auto"/>
        </w:rPr>
      </w:pPr>
      <w:r>
        <w:rPr>
          <w:rFonts w:ascii="Arial" w:cs="Arial" w:eastAsia="Arial" w:hAnsi="Arial"/>
          <w:sz w:val="20"/>
          <w:szCs w:val="20"/>
          <w:color w:val="auto"/>
        </w:rPr>
        <w:t>it is not subject to (or upon acquisition thereof will not be subject to) a valid and perfected first priority Agent’s Lien, other than Permitted Borrowing Base Liens,</w:t>
      </w:r>
    </w:p>
    <w:p>
      <w:pPr>
        <w:spacing w:after="0" w:line="176" w:lineRule="exact"/>
        <w:rPr>
          <w:rFonts w:ascii="Arial" w:cs="Arial" w:eastAsia="Arial" w:hAnsi="Arial"/>
          <w:sz w:val="20"/>
          <w:szCs w:val="20"/>
          <w:color w:val="auto"/>
        </w:rPr>
      </w:pPr>
    </w:p>
    <w:p>
      <w:pPr>
        <w:ind w:firstLine="1304"/>
        <w:spacing w:after="0" w:line="260" w:lineRule="auto"/>
        <w:tabs>
          <w:tab w:leader="none" w:pos="1944"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full purchase price for such Equipment has not been paid by a Borrower (unless such purchase price will be paid concurrently with the making of the applicable Capex Advance),</w:t>
      </w:r>
    </w:p>
    <w:p>
      <w:pPr>
        <w:spacing w:after="0" w:line="176" w:lineRule="exact"/>
        <w:rPr>
          <w:rFonts w:ascii="Arial" w:cs="Arial" w:eastAsia="Arial" w:hAnsi="Arial"/>
          <w:sz w:val="20"/>
          <w:szCs w:val="20"/>
          <w:color w:val="auto"/>
        </w:rPr>
      </w:pPr>
    </w:p>
    <w:p>
      <w:pPr>
        <w:ind w:firstLine="1304"/>
        <w:spacing w:after="0" w:line="260" w:lineRule="auto"/>
        <w:tabs>
          <w:tab w:leader="none" w:pos="1944" w:val="left"/>
        </w:tabs>
        <w:numPr>
          <w:ilvl w:val="0"/>
          <w:numId w:val="27"/>
        </w:numPr>
        <w:rPr>
          <w:rFonts w:ascii="Arial" w:cs="Arial" w:eastAsia="Arial" w:hAnsi="Arial"/>
          <w:sz w:val="20"/>
          <w:szCs w:val="20"/>
          <w:color w:val="auto"/>
        </w:rPr>
      </w:pPr>
      <w:r>
        <w:rPr>
          <w:rFonts w:ascii="Arial" w:cs="Arial" w:eastAsia="Arial" w:hAnsi="Arial"/>
          <w:sz w:val="20"/>
          <w:szCs w:val="20"/>
          <w:color w:val="auto"/>
        </w:rPr>
        <w:t xml:space="preserve">it is not located (or to be located upon delivery) at one of the locations in the continental United States set forth on </w:t>
      </w:r>
      <w:r>
        <w:rPr>
          <w:rFonts w:ascii="Arial" w:cs="Arial" w:eastAsia="Arial" w:hAnsi="Arial"/>
          <w:sz w:val="20"/>
          <w:szCs w:val="20"/>
          <w:u w:val="single" w:color="auto"/>
          <w:color w:val="auto"/>
        </w:rPr>
        <w:t>Schedule 4.25</w:t>
      </w:r>
      <w:r>
        <w:rPr>
          <w:rFonts w:ascii="Arial" w:cs="Arial" w:eastAsia="Arial" w:hAnsi="Arial"/>
          <w:sz w:val="20"/>
          <w:szCs w:val="20"/>
          <w:color w:val="auto"/>
        </w:rPr>
        <w:t xml:space="preserve"> (as such Schedule may be updated pursuant to </w:t>
      </w:r>
      <w:r>
        <w:rPr>
          <w:rFonts w:ascii="Arial" w:cs="Arial" w:eastAsia="Arial" w:hAnsi="Arial"/>
          <w:sz w:val="20"/>
          <w:szCs w:val="20"/>
          <w:u w:val="single" w:color="auto"/>
          <w:color w:val="auto"/>
        </w:rPr>
        <w:t>Section 5.14</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3" w:name="page34"/>
    <w:bookmarkEnd w:id="33"/>
    <w:p>
      <w:pPr>
        <w:ind w:firstLine="1304"/>
        <w:spacing w:after="0" w:line="317" w:lineRule="auto"/>
        <w:tabs>
          <w:tab w:leader="none" w:pos="19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it is located on real property leased by a Borrower unless either (i) it is subject to a Collateral Access Agreement executed by the lessor, or (ii) Agent has established a Landlord Reserve with respect to such real property,</w:t>
      </w:r>
    </w:p>
    <w:p>
      <w:pPr>
        <w:spacing w:after="0" w:line="129" w:lineRule="exact"/>
        <w:rPr>
          <w:rFonts w:ascii="Arial" w:cs="Arial" w:eastAsia="Arial" w:hAnsi="Arial"/>
          <w:sz w:val="18"/>
          <w:szCs w:val="18"/>
          <w:color w:val="auto"/>
        </w:rPr>
      </w:pPr>
    </w:p>
    <w:p>
      <w:pPr>
        <w:ind w:firstLine="1304"/>
        <w:spacing w:after="0" w:line="260" w:lineRule="auto"/>
        <w:tabs>
          <w:tab w:leader="none" w:pos="1944" w:val="left"/>
        </w:tabs>
        <w:numPr>
          <w:ilvl w:val="0"/>
          <w:numId w:val="28"/>
        </w:numPr>
        <w:rPr>
          <w:rFonts w:ascii="Arial" w:cs="Arial" w:eastAsia="Arial" w:hAnsi="Arial"/>
          <w:sz w:val="20"/>
          <w:szCs w:val="20"/>
          <w:color w:val="auto"/>
        </w:rPr>
      </w:pPr>
      <w:r>
        <w:rPr>
          <w:rFonts w:ascii="Arial" w:cs="Arial" w:eastAsia="Arial" w:hAnsi="Arial"/>
          <w:sz w:val="20"/>
          <w:szCs w:val="20"/>
          <w:color w:val="auto"/>
        </w:rPr>
        <w:t>it is not in good working order and condition (ordinary wear and tear excepted) or it is not used or held for use by a Borrower in the ordinary course of business of such Borrower,</w:t>
      </w:r>
    </w:p>
    <w:p>
      <w:pPr>
        <w:spacing w:after="0" w:line="176"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28"/>
        </w:numPr>
        <w:rPr>
          <w:rFonts w:ascii="Arial" w:cs="Arial" w:eastAsia="Arial" w:hAnsi="Arial"/>
          <w:sz w:val="20"/>
          <w:szCs w:val="20"/>
          <w:color w:val="auto"/>
        </w:rPr>
      </w:pPr>
      <w:r>
        <w:rPr>
          <w:rFonts w:ascii="Arial" w:cs="Arial" w:eastAsia="Arial" w:hAnsi="Arial"/>
          <w:sz w:val="20"/>
          <w:szCs w:val="20"/>
          <w:color w:val="auto"/>
        </w:rPr>
        <w:t>it is subject to any agreement which restricts the ability of a Borrower to use, sell, transport or dispose of such equipment or which restricts the Agent’s ability to take possession of, sell or otherwise dispose of such equipment,</w:t>
      </w:r>
    </w:p>
    <w:p>
      <w:pPr>
        <w:spacing w:after="0" w:line="185" w:lineRule="exact"/>
        <w:rPr>
          <w:rFonts w:ascii="Arial" w:cs="Arial" w:eastAsia="Arial" w:hAnsi="Arial"/>
          <w:sz w:val="20"/>
          <w:szCs w:val="20"/>
          <w:color w:val="auto"/>
        </w:rPr>
      </w:pPr>
    </w:p>
    <w:p>
      <w:pPr>
        <w:ind w:firstLine="1304"/>
        <w:spacing w:after="0" w:line="260" w:lineRule="auto"/>
        <w:tabs>
          <w:tab w:leader="none" w:pos="1944" w:val="left"/>
        </w:tabs>
        <w:numPr>
          <w:ilvl w:val="0"/>
          <w:numId w:val="28"/>
        </w:numPr>
        <w:rPr>
          <w:rFonts w:ascii="Arial" w:cs="Arial" w:eastAsia="Arial" w:hAnsi="Arial"/>
          <w:sz w:val="20"/>
          <w:szCs w:val="20"/>
          <w:color w:val="auto"/>
        </w:rPr>
      </w:pPr>
      <w:r>
        <w:rPr>
          <w:rFonts w:ascii="Arial" w:cs="Arial" w:eastAsia="Arial" w:hAnsi="Arial"/>
          <w:sz w:val="20"/>
          <w:szCs w:val="20"/>
          <w:color w:val="auto"/>
        </w:rPr>
        <w:t>a Borrower does not have actual and exclusive possession thereof (either directly or through a bailee or agent of a Borrower), including as a result of the lease thereof by a Borrower,</w:t>
      </w:r>
    </w:p>
    <w:p>
      <w:pPr>
        <w:spacing w:after="0" w:line="176"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28"/>
        </w:numPr>
        <w:rPr>
          <w:rFonts w:ascii="Arial" w:cs="Arial" w:eastAsia="Arial" w:hAnsi="Arial"/>
          <w:sz w:val="20"/>
          <w:szCs w:val="20"/>
          <w:color w:val="auto"/>
        </w:rPr>
      </w:pPr>
      <w:r>
        <w:rPr>
          <w:rFonts w:ascii="Arial" w:cs="Arial" w:eastAsia="Arial" w:hAnsi="Arial"/>
          <w:sz w:val="20"/>
          <w:szCs w:val="20"/>
          <w:color w:val="auto"/>
        </w:rPr>
        <w:t>it is “subject to” (within the meaning of Section 9-311 of the Code) any certificate of title (or comparable) statute (unless Agent has a first priority, perfected Lien under such statute and Agent has possession and custody of such certificate),</w:t>
      </w:r>
    </w:p>
    <w:p>
      <w:pPr>
        <w:spacing w:after="0" w:line="185" w:lineRule="exact"/>
        <w:rPr>
          <w:rFonts w:ascii="Arial" w:cs="Arial" w:eastAsia="Arial" w:hAnsi="Arial"/>
          <w:sz w:val="20"/>
          <w:szCs w:val="20"/>
          <w:color w:val="auto"/>
        </w:rPr>
      </w:pPr>
    </w:p>
    <w:p>
      <w:pPr>
        <w:ind w:left="1960" w:hanging="656"/>
        <w:spacing w:after="0"/>
        <w:tabs>
          <w:tab w:leader="none" w:pos="1960" w:val="left"/>
        </w:tabs>
        <w:numPr>
          <w:ilvl w:val="0"/>
          <w:numId w:val="28"/>
        </w:numPr>
        <w:rPr>
          <w:rFonts w:ascii="Arial" w:cs="Arial" w:eastAsia="Arial" w:hAnsi="Arial"/>
          <w:sz w:val="20"/>
          <w:szCs w:val="20"/>
          <w:color w:val="auto"/>
        </w:rPr>
      </w:pPr>
      <w:r>
        <w:rPr>
          <w:rFonts w:ascii="Arial" w:cs="Arial" w:eastAsia="Arial" w:hAnsi="Arial"/>
          <w:sz w:val="20"/>
          <w:szCs w:val="20"/>
          <w:color w:val="auto"/>
        </w:rPr>
        <w:t>its use or operation requires proprietary software that is not freely assignable to Agent, or</w:t>
      </w:r>
    </w:p>
    <w:p>
      <w:pPr>
        <w:spacing w:after="0" w:line="215"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28"/>
        </w:numPr>
        <w:rPr>
          <w:rFonts w:ascii="Arial" w:cs="Arial" w:eastAsia="Arial" w:hAnsi="Arial"/>
          <w:sz w:val="20"/>
          <w:szCs w:val="20"/>
          <w:color w:val="auto"/>
        </w:rPr>
      </w:pPr>
      <w:r>
        <w:rPr>
          <w:rFonts w:ascii="Arial" w:cs="Arial" w:eastAsia="Arial" w:hAnsi="Arial"/>
          <w:sz w:val="20"/>
          <w:szCs w:val="20"/>
          <w:color w:val="auto"/>
        </w:rPr>
        <w:t>it constitutes “fixtures” under the applicable laws of the jurisdiction in which such equipment is located unless Borrowers have given Agent prior written notice thereof that such equipment shall constitute a “fixture” under the applicable laws of the jurisdiction in which such equipment is located.</w:t>
      </w:r>
    </w:p>
    <w:p>
      <w:pPr>
        <w:spacing w:after="0" w:line="186"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Transferee</w:t>
      </w:r>
      <w:r>
        <w:rPr>
          <w:rFonts w:ascii="Arial" w:cs="Arial" w:eastAsia="Arial" w:hAnsi="Arial"/>
          <w:sz w:val="19"/>
          <w:szCs w:val="19"/>
          <w:color w:val="auto"/>
        </w:rPr>
        <w:t xml:space="preserve">” means (a) any Lender (other than a Defaulting Lender), any Affiliate of any Lender and any Related Fund of any Lender; (b) (i) a commercial bank organized under the laws of the United States or any state thereof, and having total assets in excess of $1,000,000,000; (ii) a savings and loan association or savings bank organized under the laws of the United States or any state thereof, and having total assets in excess of $1,000,000,000; (iii) a commercial bank organized under the laws of any other country or a political subdivision thereof; </w:t>
      </w:r>
      <w:r>
        <w:rPr>
          <w:rFonts w:ascii="Arial" w:cs="Arial" w:eastAsia="Arial" w:hAnsi="Arial"/>
          <w:sz w:val="19"/>
          <w:szCs w:val="19"/>
          <w:u w:val="single" w:color="auto"/>
          <w:color w:val="auto"/>
        </w:rPr>
        <w:t>provided</w:t>
      </w:r>
      <w:r>
        <w:rPr>
          <w:rFonts w:ascii="Arial" w:cs="Arial" w:eastAsia="Arial" w:hAnsi="Arial"/>
          <w:sz w:val="19"/>
          <w:szCs w:val="19"/>
          <w:color w:val="auto"/>
        </w:rPr>
        <w:t>, that (A) (x) such bank is acting through a branch or agency located in the United States, or (y) such bank is organized under the laws of a country that is a member of the Organization for Economic Cooperation and Development or a political subdivision of such country, and (B) such bank has total assets in excess of $1,000,000,000; (c) any other entity (other than a natural person) that is an “accredited investor” (as defined in Regulation D under the Securities Act) that extends credit or buys loans as one of its businesses including insurance companies, investment or mutual funds and lease financing companies, and having total assets in excess of $1,000,000,000; and (d) during the continuation of an Event of Default, any other Person approved by Agent.</w:t>
      </w:r>
    </w:p>
    <w:p>
      <w:pPr>
        <w:spacing w:after="0" w:line="184"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Action</w:t>
      </w:r>
      <w:r>
        <w:rPr>
          <w:rFonts w:ascii="Arial" w:cs="Arial" w:eastAsia="Arial" w:hAnsi="Arial"/>
          <w:sz w:val="18"/>
          <w:szCs w:val="18"/>
          <w:color w:val="auto"/>
        </w:rPr>
        <w:t>” means any written complaint, summons, citation, notice, directive, order, claim, litigation, investigation, judicial or administrative proceeding, judgment, letter, or other written communication from any Governmental Authority, or any third party involving violations of Environmental Laws or releases of Hazardous Materials</w:t>
      </w:r>
    </w:p>
    <w:p>
      <w:pPr>
        <w:spacing w:after="0" w:line="1" w:lineRule="exact"/>
        <w:rPr>
          <w:sz w:val="20"/>
          <w:szCs w:val="20"/>
          <w:color w:val="auto"/>
        </w:rPr>
      </w:pPr>
    </w:p>
    <w:p>
      <w:pPr>
        <w:jc w:val="both"/>
        <w:ind w:firstLine="8"/>
        <w:spacing w:after="0" w:line="332" w:lineRule="auto"/>
        <w:tabs>
          <w:tab w:leader="none" w:pos="316" w:val="left"/>
        </w:tabs>
        <w:numPr>
          <w:ilvl w:val="0"/>
          <w:numId w:val="29"/>
        </w:numPr>
        <w:rPr>
          <w:rFonts w:ascii="Arial" w:cs="Arial" w:eastAsia="Arial" w:hAnsi="Arial"/>
          <w:sz w:val="16"/>
          <w:szCs w:val="16"/>
          <w:color w:val="auto"/>
        </w:rPr>
      </w:pPr>
      <w:r>
        <w:rPr>
          <w:rFonts w:ascii="Arial" w:cs="Arial" w:eastAsia="Arial" w:hAnsi="Arial"/>
          <w:sz w:val="16"/>
          <w:szCs w:val="16"/>
          <w:color w:val="auto"/>
        </w:rPr>
        <w:t>from any assets, properties, or businesses of any Loan Party, any Subsidiary of any Loan Party, or any of their predecessors in interest, (b) from adjoining properties or businesses, or (c) from or onto any facilities which received Hazardous Materials generated by any Loan Party, any Subsidiary of any Loan Party, or any of their predecessors in interest.</w:t>
      </w:r>
    </w:p>
    <w:p>
      <w:pPr>
        <w:spacing w:after="0" w:line="125"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Law</w:t>
      </w:r>
      <w:r>
        <w:rPr>
          <w:rFonts w:ascii="Arial" w:cs="Arial" w:eastAsia="Arial" w:hAnsi="Arial"/>
          <w:sz w:val="20"/>
          <w:szCs w:val="20"/>
          <w:color w:val="auto"/>
        </w:rPr>
        <w:t>” means any applicable federal, state, provincial, foreign or local statute, law, rule, regulation, ordinance, code, binding and enforceable guideline, binding and enforceable written policy, or rule of common law now or hereafter in effect and in each case as amended, or any judicial or administrative interpretation thereof, including any judicial or administrative order, consent decree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4" w:name="page35"/>
    <w:bookmarkEnd w:id="34"/>
    <w:p>
      <w:pPr>
        <w:jc w:val="both"/>
        <w:spacing w:after="0" w:line="288" w:lineRule="auto"/>
        <w:rPr>
          <w:sz w:val="20"/>
          <w:szCs w:val="20"/>
          <w:color w:val="auto"/>
        </w:rPr>
      </w:pPr>
      <w:r>
        <w:rPr>
          <w:rFonts w:ascii="Arial" w:cs="Arial" w:eastAsia="Arial" w:hAnsi="Arial"/>
          <w:sz w:val="19"/>
          <w:szCs w:val="19"/>
          <w:color w:val="auto"/>
        </w:rPr>
        <w:t>judgment, in each case, to the extent binding on any Loan Party or its Subsidiaries, relating to the environment, the effect of the environment on employee health, or Hazardous Materials, in each case as amended from time to time.</w:t>
      </w:r>
    </w:p>
    <w:p>
      <w:pPr>
        <w:spacing w:after="0" w:line="152"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Liabilities</w:t>
      </w:r>
      <w:r>
        <w:rPr>
          <w:rFonts w:ascii="Arial" w:cs="Arial" w:eastAsia="Arial" w:hAnsi="Arial"/>
          <w:sz w:val="18"/>
          <w:szCs w:val="18"/>
          <w:color w:val="auto"/>
        </w:rPr>
        <w:t>” means all liabilities, monetary obligations, losses, damages, costs and expenses (including all reasonable fees, disbursements and expenses of counsel, experts, or consultants, and costs of investigation and feasibility studies), fines, penalties, sanctions, and interest incurred as a result of any claim or demand, or Remedial Action required, by any Governmental Authority or any third party, and which relate to any Environmental Action.</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Lien</w:t>
      </w:r>
      <w:r>
        <w:rPr>
          <w:rFonts w:ascii="Arial" w:cs="Arial" w:eastAsia="Arial" w:hAnsi="Arial"/>
          <w:sz w:val="20"/>
          <w:szCs w:val="20"/>
          <w:color w:val="auto"/>
        </w:rPr>
        <w:t>” means any Lien in favor of any Governmental Authority for Environmental</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Liabilities.</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Equipment</w:t>
      </w:r>
      <w:r>
        <w:rPr>
          <w:rFonts w:ascii="Arial" w:cs="Arial" w:eastAsia="Arial" w:hAnsi="Arial"/>
          <w:sz w:val="20"/>
          <w:szCs w:val="20"/>
          <w:color w:val="auto"/>
        </w:rPr>
        <w:t>” means equipment (as that term is defined in the Code).</w:t>
      </w:r>
    </w:p>
    <w:p>
      <w:pPr>
        <w:spacing w:after="0" w:line="216"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with respect to a Person, all of the shares, options, warrants, interests, participations, or other equivalents (regardless of how designated) of or in such Person, whether voting or nonvoting, including capital stock (or other ownership or profit interests or units), preferred stock, or any other “equity security” (as such term is defined in Rule 3a11-1 of the General Rules and Regulations promulgated by the SEC under the Exchange Act).</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 and any successor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statute thereto.</w:t>
      </w:r>
    </w:p>
    <w:p>
      <w:pPr>
        <w:spacing w:after="0" w:line="200"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 Affiliate</w:t>
      </w:r>
      <w:r>
        <w:rPr>
          <w:rFonts w:ascii="Arial" w:cs="Arial" w:eastAsia="Arial" w:hAnsi="Arial"/>
          <w:sz w:val="18"/>
          <w:szCs w:val="18"/>
          <w:color w:val="auto"/>
        </w:rPr>
        <w:t xml:space="preserve"> ” means (a) any Person subject to ERISA whose employees are treated as employed by the same employer as the employees of any Loan Party or its Subsidiaries under IRC Section 414(b), (b) any trade or business subject to ERISA whose employees are treated as employed by the same employer as the employees of any Loan Party or its Subsidiaries under IRC Section 414(c), (c) solely for purposes of Section 302 of ERISA and Section 412 of the IRC, any organization subject to ERISA that is a member of an affiliated service group of which any Loan Party or any of its Subsidiaries is a member under IRC Section 414(m), or (d) solely for purposes of Section 302 of ERISA and Section 412 of the IRC, any Person subject to ERISA that is a party to an arrangement with any Loan Party or any of its Subsidiaries and whose employees are aggregated with the employees of such Loan Party or its Subsidiaries under IRC Section 414(o).</w:t>
      </w:r>
    </w:p>
    <w:p>
      <w:pPr>
        <w:spacing w:after="0" w:line="16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17.16</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Erroneous Payment Deficiency Assignment</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17.16</w:t>
      </w:r>
      <w:r>
        <w:rPr>
          <w:rFonts w:ascii="Arial" w:cs="Arial" w:eastAsia="Arial" w:hAnsi="Arial"/>
          <w:sz w:val="18"/>
          <w:szCs w:val="18"/>
          <w:color w:val="auto"/>
        </w:rPr>
        <w:t xml:space="preserve"> of this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Erroneous Payment Impacted Loans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17.16</w:t>
      </w:r>
      <w:r>
        <w:rPr>
          <w:rFonts w:ascii="Arial" w:cs="Arial" w:eastAsia="Arial" w:hAnsi="Arial"/>
          <w:sz w:val="20"/>
          <w:szCs w:val="20"/>
          <w:color w:val="auto"/>
        </w:rPr>
        <w:t xml:space="preserve"> of this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Erroneous Payment Return Deficiency</w:t>
      </w:r>
      <w:r>
        <w:rPr>
          <w:rFonts w:ascii="Arial" w:cs="Arial" w:eastAsia="Arial" w:hAnsi="Arial"/>
          <w:sz w:val="19"/>
          <w:szCs w:val="19"/>
          <w:color w:val="auto"/>
        </w:rPr>
        <w:t xml:space="preserve">” has the meaning specified therefor in </w:t>
      </w:r>
      <w:r>
        <w:rPr>
          <w:rFonts w:ascii="Arial" w:cs="Arial" w:eastAsia="Arial" w:hAnsi="Arial"/>
          <w:sz w:val="19"/>
          <w:szCs w:val="19"/>
          <w:u w:val="single" w:color="auto"/>
          <w:color w:val="auto"/>
        </w:rPr>
        <w:t>Section 17.16</w:t>
      </w:r>
      <w:r>
        <w:rPr>
          <w:rFonts w:ascii="Arial" w:cs="Arial" w:eastAsia="Arial" w:hAnsi="Arial"/>
          <w:sz w:val="19"/>
          <w:szCs w:val="19"/>
          <w:color w:val="auto"/>
        </w:rPr>
        <w:t xml:space="preserve"> of this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20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8</w:t>
      </w:r>
      <w:r>
        <w:rPr>
          <w:rFonts w:ascii="Arial" w:cs="Arial" w:eastAsia="Arial" w:hAnsi="Arial"/>
          <w:sz w:val="20"/>
          <w:szCs w:val="20"/>
          <w:color w:val="auto"/>
        </w:rPr>
        <w:t xml:space="preserv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5" w:name="page36"/>
    <w:bookmarkEnd w:id="35"/>
    <w:p>
      <w:pPr>
        <w:jc w:val="both"/>
        <w:ind w:firstLine="1296"/>
        <w:spacing w:after="0" w:line="26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Excess Availability</w:t>
      </w:r>
      <w:r>
        <w:rPr>
          <w:rFonts w:ascii="Arial" w:cs="Arial" w:eastAsia="Arial" w:hAnsi="Arial"/>
          <w:sz w:val="19"/>
          <w:szCs w:val="19"/>
          <w:color w:val="auto"/>
        </w:rPr>
        <w:t xml:space="preserve">” means, as of any date of determination, the amount equal to Availability </w:t>
      </w:r>
      <w:r>
        <w:rPr>
          <w:rFonts w:ascii="Arial" w:cs="Arial" w:eastAsia="Arial" w:hAnsi="Arial"/>
          <w:sz w:val="19"/>
          <w:szCs w:val="19"/>
          <w:i w:val="1"/>
          <w:iCs w:val="1"/>
          <w:u w:val="single" w:color="auto"/>
          <w:color w:val="auto"/>
        </w:rPr>
        <w:t>minus</w:t>
      </w:r>
      <w:r>
        <w:rPr>
          <w:rFonts w:ascii="Arial" w:cs="Arial" w:eastAsia="Arial" w:hAnsi="Arial"/>
          <w:sz w:val="19"/>
          <w:szCs w:val="19"/>
          <w:color w:val="auto"/>
        </w:rPr>
        <w:t xml:space="preserve"> the aggregate amount, if any, of all trade payables of the Loan Parties and their Subsidiaries aged in excess of historical levels with respect thereto and all book overdrafts of the Loan Parties and their Subsidiaries in excess of historical practices with respect thereto, in each case as determined by Agent in its Permitted Discretion.</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Exchange Act of 1934, as in effect from time to time.</w:t>
      </w:r>
    </w:p>
    <w:p>
      <w:pPr>
        <w:spacing w:after="0" w:line="216"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Subsidiary</w:t>
      </w:r>
      <w:r>
        <w:rPr>
          <w:rFonts w:ascii="Arial" w:cs="Arial" w:eastAsia="Arial" w:hAnsi="Arial"/>
          <w:sz w:val="20"/>
          <w:szCs w:val="20"/>
          <w:color w:val="auto"/>
        </w:rPr>
        <w:t xml:space="preserve"> ” means (a) Immaterial Subsidiaries, (b) any Subsidiary of a Loan Party to the extent that the burden or cost (including any potential tax liability) of obtaining a guarantee outweighs the benefit afforded thereby as reasonably determined by Borrowers and Agent, (c) any Disregarded Domestic Persons, (d) any Foreign Subsidiary of a Loan Party that is a CFC, (e) any Domestic Subsidiary of a Loan Party that is a direct or indirect subsidiary of a Foreign Subsidiary that is a CFC, (f) any not-for-profit subsidiary or captive insurance subsidiary, or (g) any Foreign Subsidiary elected by Agent.</w:t>
      </w:r>
    </w:p>
    <w:p>
      <w:pPr>
        <w:spacing w:after="0" w:line="196"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Obligation</w:t>
      </w:r>
      <w:r>
        <w:rPr>
          <w:rFonts w:ascii="Arial" w:cs="Arial" w:eastAsia="Arial" w:hAnsi="Arial"/>
          <w:sz w:val="19"/>
          <w:szCs w:val="19"/>
          <w:color w:val="auto"/>
        </w:rPr>
        <w:t xml:space="preserve">” means, with respect to any Loan Party, any Swap Obligation if, and to the extent that, all or a portion of the guaranty of such Loan Party of (including by virtue of the joint and several liability provisions of </w:t>
      </w:r>
      <w:r>
        <w:rPr>
          <w:rFonts w:ascii="Arial" w:cs="Arial" w:eastAsia="Arial" w:hAnsi="Arial"/>
          <w:sz w:val="19"/>
          <w:szCs w:val="19"/>
          <w:u w:val="single" w:color="auto"/>
          <w:color w:val="auto"/>
        </w:rPr>
        <w:t>Section 2.15</w:t>
      </w:r>
      <w:r>
        <w:rPr>
          <w:rFonts w:ascii="Arial" w:cs="Arial" w:eastAsia="Arial" w:hAnsi="Arial"/>
          <w:sz w:val="19"/>
          <w:szCs w:val="19"/>
          <w:color w:val="auto"/>
        </w:rPr>
        <w:t>), or the grant by such Loan Party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and the regulations thereunder at the time the guaranty of such Loan Party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spacing w:after="0" w:line="190"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xml:space="preserve"> ” means (i) any tax imposed on the net income or net profits of any Lender or any Participant (including any branch profits taxes), in each case imposed by the jurisdiction (or by any political subdivision or taxing authority thereof) in which such Lender or such Participant is organized or the jurisdiction (or by any political subdivision or taxing authority thereof) in which such Lender’s or such Participant’s principal office is located in or as a result of a present or former connection between such Lender or such Participant and the jurisdiction or taxing authority imposing the tax (other than any such connection arising solely from such Lender or such Participant having executed, delivered or performed its obligations or received payment under, or enforced its rights or remedies under this Agreement or any other Loan Document), (ii) United States federal withholding taxes that would not have been imposed but for a Lender’s or a Participant’s failure to comply with the requirements of </w:t>
      </w:r>
      <w:r>
        <w:rPr>
          <w:rFonts w:ascii="Arial" w:cs="Arial" w:eastAsia="Arial" w:hAnsi="Arial"/>
          <w:sz w:val="18"/>
          <w:szCs w:val="18"/>
          <w:u w:val="single" w:color="auto"/>
          <w:color w:val="auto"/>
        </w:rPr>
        <w:t>Section 16.2</w:t>
      </w:r>
      <w:r>
        <w:rPr>
          <w:rFonts w:ascii="Arial" w:cs="Arial" w:eastAsia="Arial" w:hAnsi="Arial"/>
          <w:sz w:val="18"/>
          <w:szCs w:val="18"/>
          <w:color w:val="auto"/>
        </w:rPr>
        <w:t xml:space="preserve"> of this Agreement, (iii) any United States federal withholding taxes that would be imposed on amounts payable to a Foreign Lender based upon the applicable withholding rate in effect at the time such Foreign Lender becomes a party to this Agreement (or designates a new lending office, other than a designation made at the request of a Loan Party), </w:t>
      </w:r>
      <w:r>
        <w:rPr>
          <w:rFonts w:ascii="Arial" w:cs="Arial" w:eastAsia="Arial" w:hAnsi="Arial"/>
          <w:sz w:val="18"/>
          <w:szCs w:val="18"/>
          <w:u w:val="single" w:color="auto"/>
          <w:color w:val="auto"/>
        </w:rPr>
        <w:t>except</w:t>
      </w:r>
      <w:r>
        <w:rPr>
          <w:rFonts w:ascii="Arial" w:cs="Arial" w:eastAsia="Arial" w:hAnsi="Arial"/>
          <w:sz w:val="18"/>
          <w:szCs w:val="18"/>
          <w:color w:val="auto"/>
        </w:rPr>
        <w:t xml:space="preserve"> that Excluded Taxes shall not include (A) any amount that such Foreign Lender (or its assignor, if any) was previously entitled to receive pursuant to </w:t>
      </w:r>
      <w:r>
        <w:rPr>
          <w:rFonts w:ascii="Arial" w:cs="Arial" w:eastAsia="Arial" w:hAnsi="Arial"/>
          <w:sz w:val="18"/>
          <w:szCs w:val="18"/>
          <w:u w:val="single" w:color="auto"/>
          <w:color w:val="auto"/>
        </w:rPr>
        <w:t>Section 16.1</w:t>
      </w:r>
      <w:r>
        <w:rPr>
          <w:rFonts w:ascii="Arial" w:cs="Arial" w:eastAsia="Arial" w:hAnsi="Arial"/>
          <w:sz w:val="18"/>
          <w:szCs w:val="18"/>
          <w:color w:val="auto"/>
        </w:rPr>
        <w:t xml:space="preserve"> of this Agreement, if any, with respect to such withholding tax at the time such Foreign Lender becomes a party to this Agreement (or designates a new lending office), and (B) additional United States federal withholding taxes that may be imposed after the time such Foreign Lender becomes a party to this Agreement (or designates a new lending office), as a result of a change in law, rule, regulation, treaty, order or other decision or other Change in Law with respect to any of the foregoing by any Governmental Authority, and (iv) any United States federal withholding taxes imposed under FATCA.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6" w:name="page37"/>
    <w:bookmarkEnd w:id="36"/>
    <w:p>
      <w:pPr>
        <w:jc w:val="both"/>
        <w:ind w:firstLine="1296"/>
        <w:spacing w:after="0" w:line="250"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Existing Credit Facility</w:t>
      </w:r>
      <w:r>
        <w:rPr>
          <w:rFonts w:ascii="Arial" w:cs="Arial" w:eastAsia="Arial" w:hAnsi="Arial"/>
          <w:sz w:val="20"/>
          <w:szCs w:val="20"/>
          <w:color w:val="auto"/>
        </w:rPr>
        <w:t>” means that Credit Agreement dated June 14, 2016 by and between Calavo, the other Guarantors (as defined therein) party thereto, Bank of America, N.A., as Administrative Agent, and the Lenders (as defined therein) party thereto.</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Extraordinary Advances</w:t>
      </w:r>
      <w:r>
        <w:rPr>
          <w:rFonts w:ascii="Arial" w:cs="Arial" w:eastAsia="Arial" w:hAnsi="Arial"/>
          <w:sz w:val="19"/>
          <w:szCs w:val="19"/>
          <w:color w:val="auto"/>
        </w:rPr>
        <w:t xml:space="preserve">” has the meaning specified therefor in </w:t>
      </w:r>
      <w:r>
        <w:rPr>
          <w:rFonts w:ascii="Arial" w:cs="Arial" w:eastAsia="Arial" w:hAnsi="Arial"/>
          <w:sz w:val="19"/>
          <w:szCs w:val="19"/>
          <w:u w:val="single" w:color="auto"/>
          <w:color w:val="auto"/>
        </w:rPr>
        <w:t>Section 2.3(d)(iii)</w:t>
      </w:r>
      <w:r>
        <w:rPr>
          <w:rFonts w:ascii="Arial" w:cs="Arial" w:eastAsia="Arial" w:hAnsi="Arial"/>
          <w:sz w:val="19"/>
          <w:szCs w:val="19"/>
          <w:color w:val="auto"/>
        </w:rPr>
        <w:t xml:space="preserve"> of this Agreement.</w:t>
      </w:r>
    </w:p>
    <w:p>
      <w:pPr>
        <w:spacing w:after="0" w:line="227"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xml:space="preserve"> ” means Sections 1471 through 1474 of the IRC, as of the date of this Agreement (or any amended or successor version that is substantively comparable and not materially more onerous to comply with), and (a) any current or future regulations or official interpretations thereof, (b) any agreements entered into pursuant to Section 1471(b)(1) of the IRC, and (c) any intergovernmental agreement entered into by the United States (or any fiscal or regulatory legislation, rules, or practices adopted pursuant to any such intergovernmental agreement entered into in connection therewith).</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FCPA</w:t>
      </w:r>
      <w:r>
        <w:rPr>
          <w:rFonts w:ascii="Arial" w:cs="Arial" w:eastAsia="Arial" w:hAnsi="Arial"/>
          <w:sz w:val="19"/>
          <w:szCs w:val="19"/>
          <w:color w:val="auto"/>
        </w:rPr>
        <w:t>” means the Foreign Corrupt Practices Act of 1977, as amended, and the rules and regulations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thereunder.</w:t>
      </w:r>
    </w:p>
    <w:p>
      <w:pPr>
        <w:spacing w:after="0" w:line="200"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Funds Rate</w:t>
      </w:r>
      <w:r>
        <w:rPr>
          <w:rFonts w:ascii="Arial" w:cs="Arial" w:eastAsia="Arial" w:hAnsi="Arial"/>
          <w:sz w:val="18"/>
          <w:szCs w:val="18"/>
          <w:color w:val="auto"/>
        </w:rPr>
        <w:t>” means, for any period, a fluctuating interest rate per annum equal to, for each day during such period, the weighted average of the rates on overnight Federal funds transactions with members of the Federal Reserve System, as published on the next succeeding Business Day by the Federal Reserve Bank of New York, or, if such rate is not so published for any day which is a Business Day, the average of the quotations for such day on such transactions received by Agent from three Federal funds brokers of recognized standing selected by it (and, if any such rate is below zero, then the rate determined pursuant to this definition shall be deemed to be zero).</w:t>
      </w:r>
    </w:p>
    <w:p>
      <w:pPr>
        <w:spacing w:after="0" w:line="165"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Letter</w:t>
      </w:r>
      <w:r>
        <w:rPr>
          <w:rFonts w:ascii="Arial" w:cs="Arial" w:eastAsia="Arial" w:hAnsi="Arial"/>
          <w:sz w:val="20"/>
          <w:szCs w:val="20"/>
          <w:color w:val="auto"/>
        </w:rPr>
        <w:t>” means that certain fee letter, dated as of even date with this Agreement, among Borrowers and Agent, in form and substance reasonably satisfactory to Agent.</w:t>
      </w:r>
    </w:p>
    <w:p>
      <w:pPr>
        <w:spacing w:after="0" w:line="177"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Fixed Charge Coverage Ratio</w:t>
      </w:r>
      <w:r>
        <w:rPr>
          <w:rFonts w:ascii="Arial" w:cs="Arial" w:eastAsia="Arial" w:hAnsi="Arial"/>
          <w:sz w:val="20"/>
          <w:szCs w:val="20"/>
          <w:color w:val="auto"/>
        </w:rPr>
        <w:t xml:space="preserve">” means, with respect to any fiscal period and with respect to Borrowers determined on a consolidated basis in accordance with GAAP, the ratio of (a) EBITDA for such period </w:t>
      </w:r>
      <w:r>
        <w:rPr>
          <w:rFonts w:ascii="Arial" w:cs="Arial" w:eastAsia="Arial" w:hAnsi="Arial"/>
          <w:sz w:val="20"/>
          <w:szCs w:val="20"/>
          <w:i w:val="1"/>
          <w:iCs w:val="1"/>
          <w:u w:val="single" w:color="auto"/>
          <w:color w:val="auto"/>
        </w:rPr>
        <w:t>minus</w:t>
      </w:r>
      <w:r>
        <w:rPr>
          <w:rFonts w:ascii="Arial" w:cs="Arial" w:eastAsia="Arial" w:hAnsi="Arial"/>
          <w:sz w:val="20"/>
          <w:szCs w:val="20"/>
          <w:color w:val="auto"/>
        </w:rPr>
        <w:t xml:space="preserve"> (i) Unfinanced Capital Expenditures made (to the extent not already incurred in a prior period) during such period, and (ii) all Restricted Payments paid (whether in cash or other property, other than common Equity Interests) during such period, to (b) Fixed Charges for such period.</w:t>
      </w:r>
    </w:p>
    <w:p>
      <w:pPr>
        <w:spacing w:after="0" w:line="194"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 xml:space="preserve">For the purposes of calculating Fixed Charge Coverage Ratio for any Reference Period, if at any time during such Reference Period (and after the Closing Date), any Loan Party or any of its Subsidiaries shall have made a Permitted Acquisition, Fixed Charges and Unfinanced Capital Expenditures for such Reference Period shall be calculated after giving </w:t>
      </w:r>
      <w:r>
        <w:rPr>
          <w:rFonts w:ascii="Arial" w:cs="Arial" w:eastAsia="Arial" w:hAnsi="Arial"/>
          <w:sz w:val="20"/>
          <w:szCs w:val="20"/>
          <w:i w:val="1"/>
          <w:iCs w:val="1"/>
          <w:color w:val="auto"/>
        </w:rPr>
        <w:t xml:space="preserve">pro forma </w:t>
      </w:r>
      <w:r>
        <w:rPr>
          <w:rFonts w:ascii="Arial" w:cs="Arial" w:eastAsia="Arial" w:hAnsi="Arial"/>
          <w:sz w:val="20"/>
          <w:szCs w:val="20"/>
          <w:color w:val="auto"/>
        </w:rPr>
        <w:t>effect thereto or in such other manner acceptable to Agent as if any such Permitted Acquisition occurred on the</w:t>
      </w:r>
      <w:r>
        <w:rPr>
          <w:rFonts w:ascii="Arial" w:cs="Arial" w:eastAsia="Arial" w:hAnsi="Arial"/>
          <w:sz w:val="20"/>
          <w:szCs w:val="20"/>
          <w:i w:val="1"/>
          <w:iCs w:val="1"/>
          <w:color w:val="auto"/>
        </w:rPr>
        <w:t xml:space="preserve"> </w:t>
      </w:r>
      <w:r>
        <w:rPr>
          <w:rFonts w:ascii="Arial" w:cs="Arial" w:eastAsia="Arial" w:hAnsi="Arial"/>
          <w:sz w:val="20"/>
          <w:szCs w:val="20"/>
          <w:color w:val="auto"/>
        </w:rPr>
        <w:t>first day of such Reference Period.</w:t>
      </w:r>
    </w:p>
    <w:p>
      <w:pPr>
        <w:spacing w:after="0" w:line="19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Fixed Charges</w:t>
      </w:r>
      <w:r>
        <w:rPr>
          <w:rFonts w:ascii="Arial" w:cs="Arial" w:eastAsia="Arial" w:hAnsi="Arial"/>
          <w:sz w:val="19"/>
          <w:szCs w:val="19"/>
          <w:color w:val="auto"/>
        </w:rPr>
        <w:t>” means, with respect to any fiscal period and with respect to Borrowers determined on a consolidated basis in accordance with GAAP, the sum, without duplication, of (a) Interest Expense required to be paid (other than interest paid-in-kind, amortization of financing fees, and other non-cash Interest Expense) during such period, (b) scheduled principal payments in respect of Indebtedness that are required to be paid during such period, (c) all federal, state, and local income taxes required to be paid during such period, net of cash tax refunds, and (d) the amount by which the M&amp;E Subline Amount has been reduced in such period. Without duplication, any payments made after the Closing Date on account of any tax settlement with the Mexican Federal Tax Administration Service in excess of $11,000,000 for all such payments shall be a Fixed Charge for such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7" w:name="page38"/>
    <w:bookmarkEnd w:id="37"/>
    <w:p>
      <w:pPr>
        <w:jc w:val="both"/>
        <w:ind w:firstLine="1296"/>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Flood Laws</w:t>
      </w:r>
      <w:r>
        <w:rPr>
          <w:rFonts w:ascii="Arial" w:cs="Arial" w:eastAsia="Arial" w:hAnsi="Arial"/>
          <w:sz w:val="20"/>
          <w:szCs w:val="20"/>
          <w:color w:val="auto"/>
        </w:rPr>
        <w:t>” means the National Flood Insurance Act of 1968, Flood Disaster Protection Act of 1973, and related laws, rules and regulations, including any amendments or successor provisions.</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Floor</w:t>
      </w:r>
      <w:r>
        <w:rPr>
          <w:rFonts w:ascii="Arial" w:cs="Arial" w:eastAsia="Arial" w:hAnsi="Arial"/>
          <w:sz w:val="20"/>
          <w:szCs w:val="20"/>
          <w:color w:val="auto"/>
        </w:rPr>
        <w:t>” means a rate of interest equal to 0%.</w:t>
      </w:r>
    </w:p>
    <w:p>
      <w:pPr>
        <w:spacing w:after="0" w:line="216"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Flow of Funds Agreement</w:t>
      </w:r>
      <w:r>
        <w:rPr>
          <w:rFonts w:ascii="Arial" w:cs="Arial" w:eastAsia="Arial" w:hAnsi="Arial"/>
          <w:sz w:val="19"/>
          <w:szCs w:val="19"/>
          <w:color w:val="auto"/>
        </w:rPr>
        <w:t>” means a flow of funds agreement, dated as of even date with this Agreement, in form and substance reasonably satisfactory to Agent, executed and delivered by Borrowers and Agent.</w:t>
      </w:r>
    </w:p>
    <w:p>
      <w:pPr>
        <w:spacing w:after="0" w:line="15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means any Lender or Participant that is not a United States person within the meaning of IRC section 7701(a)(30).</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means any direct or indirect subsidiary of any Loan Party that is organized under the laws of any jurisdiction other than the United States, any state thereof or the District of Columbia.</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Funding Date</w:t>
      </w:r>
      <w:r>
        <w:rPr>
          <w:rFonts w:ascii="Arial" w:cs="Arial" w:eastAsia="Arial" w:hAnsi="Arial"/>
          <w:sz w:val="20"/>
          <w:szCs w:val="20"/>
          <w:color w:val="auto"/>
        </w:rPr>
        <w:t>” means the date on which a Borrowing occurs.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Funding Losses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2.12(b)(ii)</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means generally accepted accounting principles as in effect from time to time in the United States, consistently applied.</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Governing Documents</w:t>
      </w:r>
      <w:r>
        <w:rPr>
          <w:rFonts w:ascii="Arial" w:cs="Arial" w:eastAsia="Arial" w:hAnsi="Arial"/>
          <w:sz w:val="20"/>
          <w:szCs w:val="20"/>
          <w:color w:val="auto"/>
        </w:rPr>
        <w:t xml:space="preserve"> ” means, with respect to any Person, the certificate or articles of incorporation, by-laws, or other organizational documents of such Person.</w:t>
      </w:r>
    </w:p>
    <w:p>
      <w:pPr>
        <w:spacing w:after="0" w:line="177"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the government of any nation or any political subdivision thereof, whether at the national, state, territorial, provincial, county, municipal or any other level,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9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w:t>
      </w:r>
      <w:r>
        <w:rPr>
          <w:rFonts w:ascii="Arial" w:cs="Arial" w:eastAsia="Arial" w:hAnsi="Arial"/>
          <w:sz w:val="20"/>
          <w:szCs w:val="20"/>
          <w:color w:val="auto"/>
        </w:rPr>
        <w:t xml:space="preserve"> ” means (a) each Person that guaranties all or a portion of the Obligations, including any Person that is a "Guarantor" under the Guaranty and Security Agreement, and (b) each other Person that becomes a guarantor after the Closing Date pursuant to </w:t>
      </w:r>
      <w:r>
        <w:rPr>
          <w:rFonts w:ascii="Arial" w:cs="Arial" w:eastAsia="Arial" w:hAnsi="Arial"/>
          <w:sz w:val="20"/>
          <w:szCs w:val="20"/>
          <w:u w:val="single" w:color="auto"/>
          <w:color w:val="auto"/>
        </w:rPr>
        <w:t>Section 5.11</w:t>
      </w:r>
      <w:r>
        <w:rPr>
          <w:rFonts w:ascii="Arial" w:cs="Arial" w:eastAsia="Arial" w:hAnsi="Arial"/>
          <w:sz w:val="20"/>
          <w:szCs w:val="20"/>
          <w:color w:val="auto"/>
        </w:rPr>
        <w:t xml:space="preserve"> of this Agreement.</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 and Security Agreement</w:t>
      </w:r>
      <w:r>
        <w:rPr>
          <w:rFonts w:ascii="Arial" w:cs="Arial" w:eastAsia="Arial" w:hAnsi="Arial"/>
          <w:sz w:val="20"/>
          <w:szCs w:val="20"/>
          <w:color w:val="auto"/>
        </w:rPr>
        <w:t>” means a guaranty and security agreement, dated as of even date with this Agreement, in form and substance reasonably satisfactory to Agent, executed and delivered by each of the Loan Parties to Agent.</w:t>
      </w:r>
    </w:p>
    <w:p>
      <w:pPr>
        <w:spacing w:after="0" w:line="18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Hard Costs</w:t>
      </w:r>
      <w:r>
        <w:rPr>
          <w:rFonts w:ascii="Arial" w:cs="Arial" w:eastAsia="Arial" w:hAnsi="Arial"/>
          <w:sz w:val="19"/>
          <w:szCs w:val="19"/>
          <w:color w:val="auto"/>
        </w:rPr>
        <w:t>” shall mean, with respect to the purchase by any Borrower of an item of Eligible New Equipment, the net cash amount actually paid to acquire title to such item, net of all incentives, discounts and rebates, and exclusive of freight, delivery charges, installation costs and charges, software costs, charges and fees, warranty costs, taxes, insurance and other incidental costs or expenses and all indirect costs or expenses of any kind.</w:t>
      </w:r>
    </w:p>
    <w:p>
      <w:pPr>
        <w:spacing w:after="0" w:line="17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Materials</w:t>
      </w:r>
      <w:r>
        <w:rPr>
          <w:rFonts w:ascii="Arial" w:cs="Arial" w:eastAsia="Arial" w:hAnsi="Arial"/>
          <w:sz w:val="20"/>
          <w:szCs w:val="20"/>
          <w:color w:val="auto"/>
        </w:rPr>
        <w:t>” means (a) substances that are defined or listed in, or otherwise classified pursuant to, any applicable laws or regulations as “hazardous substances,” “hazardous materials,” “hazardous wastes,” “toxic substances,” or any other formulation intended to define, list, or classify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8" w:name="page39"/>
    <w:bookmarkEnd w:id="38"/>
    <w:p>
      <w:pPr>
        <w:jc w:val="both"/>
        <w:spacing w:after="0" w:line="243" w:lineRule="auto"/>
        <w:rPr>
          <w:sz w:val="20"/>
          <w:szCs w:val="20"/>
          <w:color w:val="auto"/>
        </w:rPr>
      </w:pPr>
      <w:r>
        <w:rPr>
          <w:rFonts w:ascii="Arial" w:cs="Arial" w:eastAsia="Arial" w:hAnsi="Arial"/>
          <w:sz w:val="20"/>
          <w:szCs w:val="20"/>
          <w:color w:val="auto"/>
        </w:rPr>
        <w:t>substances by reason of deleterious properties such as ignitability, corrosivity, reactivity, carcinogenicity, reproductive toxicity, or “EP toxicity”, (b) oil, petroleum, or petroleum derived substances, natural gas, natural gas liquids, synthetic gas, drilling fluids, produced waters, and other wastes associated with the exploration, development, or production of crude oil, natural gas, or geothermal resources, (c) any flammable substances or explosives or any radioactive materials, and (d) asbestos in any form or electrical equipment that contains any oil or dielectric fluid containing levels of polychlorinated biphenyls in excess of 50 parts per million.</w:t>
      </w:r>
    </w:p>
    <w:p>
      <w:pPr>
        <w:spacing w:after="0" w:line="19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Hedge Agreement</w:t>
      </w:r>
      <w:r>
        <w:rPr>
          <w:rFonts w:ascii="Arial" w:cs="Arial" w:eastAsia="Arial" w:hAnsi="Arial"/>
          <w:sz w:val="20"/>
          <w:szCs w:val="20"/>
          <w:color w:val="auto"/>
        </w:rPr>
        <w:t>” means a “swap agreement” as that term is defined in Section 101(53B)(A) of the Bankruptcy Code.</w:t>
      </w:r>
    </w:p>
    <w:p>
      <w:pPr>
        <w:spacing w:after="0" w:line="177"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Hedge Obligations</w:t>
      </w:r>
      <w:r>
        <w:rPr>
          <w:rFonts w:ascii="Arial" w:cs="Arial" w:eastAsia="Arial" w:hAnsi="Arial"/>
          <w:sz w:val="19"/>
          <w:szCs w:val="19"/>
          <w:color w:val="auto"/>
        </w:rPr>
        <w:t>” means any and all obligations or liabilities, whether absolute or contingent, due or to become due, now existing or hereafter arising, of each Loan Party and its Subsidiaries arising under, owing pursuant to, or existing in respect of Hedge Agreements entered into with one or more of the Hedge Providers.</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Hedge Provider</w:t>
      </w:r>
      <w:r>
        <w:rPr>
          <w:rFonts w:ascii="Arial" w:cs="Arial" w:eastAsia="Arial" w:hAnsi="Arial"/>
          <w:sz w:val="20"/>
          <w:szCs w:val="20"/>
          <w:color w:val="auto"/>
        </w:rPr>
        <w:t>” means Wells Fargo or any of its Affiliates.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Immaterial Subsidiary</w:t>
      </w:r>
      <w:r>
        <w:rPr>
          <w:rFonts w:ascii="Arial" w:cs="Arial" w:eastAsia="Arial" w:hAnsi="Arial"/>
          <w:sz w:val="20"/>
          <w:szCs w:val="20"/>
          <w:color w:val="auto"/>
        </w:rPr>
        <w:t>” means each Subsidiary of a Borrower that is not a Material Subsidiary.</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 Date</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 Joinder</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Increased Reporting Event</w:t>
      </w:r>
      <w:r>
        <w:rPr>
          <w:rFonts w:ascii="Arial" w:cs="Arial" w:eastAsia="Arial" w:hAnsi="Arial"/>
          <w:sz w:val="18"/>
          <w:szCs w:val="18"/>
          <w:color w:val="auto"/>
        </w:rPr>
        <w:t>” means if at any time Availability is less than 12.5% of the Maximum Revolver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Amount.</w:t>
      </w:r>
    </w:p>
    <w:p>
      <w:pPr>
        <w:spacing w:after="0" w:line="20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Increased Reporting Period</w:t>
      </w:r>
      <w:r>
        <w:rPr>
          <w:rFonts w:ascii="Arial" w:cs="Arial" w:eastAsia="Arial" w:hAnsi="Arial"/>
          <w:sz w:val="20"/>
          <w:szCs w:val="20"/>
          <w:color w:val="auto"/>
        </w:rPr>
        <w:t>” means the period commencing after the continuance of an Increased Reporting Event and continuing until the date when Availability has been greater than 12.5% of the Maximum Revolver Amount at all times for 30 consecutive days.</w:t>
      </w:r>
    </w:p>
    <w:p>
      <w:pPr>
        <w:spacing w:after="0" w:line="18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as to any Person means (a) all obligations of such Person for borrowed money, (b) all obligations of such Person evidenced by bonds, debentures, notes, or other similar instruments and all reimbursement or other obligations in respect of letters of credit, bankers acceptances, or other financial products, (c) all obligations of such Person as a lessee under Capital Leases, (d) all obligations or liabilities of others secured by a Lien on any asset of such Person, irrespective of whether such obligation or liability is assumed, (e) all obligations of such Person to pay the deferred purchase price of assets (other than trade payables incurred in the ordinary course of business and repayable in accordance with customary trade practices and, for the avoidance of doubt, other than royalty payments payable in the ordinary course of business in respect of non-exclusive licenses) and any earn-out or similar obligations, (f) all monetary obligations of such Person owing under Hedge Agreements (which amount shall be calculated based on the amount that would be payable by such Person if the Hedge Agreement were terminated on the date of determination), (g) any Disqualified Equity Interests of such Person, and (h) any obligation of such Person guaranteeing or intended to guarantee (whether directly or indirectly guaranteed, endorsed, co-made, discounted, or sold with recourse) any obligation of any other Person that constitutes Indebtedness under any of clauses (a) through (g) above. For purposes of this definition, (i) the amount of any Indebtedness represented by a guaranty or other similar instrument shall be the lesser of the principal amount of the obligations guaranteed and still outstanding and the maximum amount for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39" w:name="page40"/>
    <w:bookmarkEnd w:id="39"/>
    <w:p>
      <w:pPr>
        <w:jc w:val="both"/>
        <w:spacing w:after="0" w:line="246" w:lineRule="auto"/>
        <w:rPr>
          <w:sz w:val="20"/>
          <w:szCs w:val="20"/>
          <w:color w:val="auto"/>
        </w:rPr>
      </w:pPr>
      <w:r>
        <w:rPr>
          <w:rFonts w:ascii="Arial" w:cs="Arial" w:eastAsia="Arial" w:hAnsi="Arial"/>
          <w:sz w:val="20"/>
          <w:szCs w:val="20"/>
          <w:color w:val="auto"/>
        </w:rPr>
        <w:t>guaranteeing Person may be liable pursuant to the terms of the instrument embodying such Indebtedness, and (ii) the amount of any Indebtedness which is limited or is non-recourse to a Person or for which recourse is limited to an identified asset shall be valued at the lesser of (A) if applicable, the limited amount of such obligations, and (B) if applicable, the fair market value of such assets securing such obligation.</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Liabilities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10.3</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Person</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10.3</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Taxes</w:t>
      </w:r>
      <w:r>
        <w:rPr>
          <w:rFonts w:ascii="Arial" w:cs="Arial" w:eastAsia="Arial" w:hAnsi="Arial"/>
          <w:sz w:val="20"/>
          <w:szCs w:val="20"/>
          <w:color w:val="auto"/>
        </w:rPr>
        <w:t xml:space="preserve"> ” means, (a) Taxes, other than Excluded Taxes, imposed on or with respect to any payment made by, or on account of any obligation of, any Loan Party under any Loan Document, and (b) to the extent not otherwise described in the foregoing clause (a), Other Taxes.</w:t>
      </w:r>
    </w:p>
    <w:p>
      <w:pPr>
        <w:spacing w:after="0" w:line="18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Insolvency Proceeding</w:t>
      </w:r>
      <w:r>
        <w:rPr>
          <w:rFonts w:ascii="Arial" w:cs="Arial" w:eastAsia="Arial" w:hAnsi="Arial"/>
          <w:sz w:val="20"/>
          <w:szCs w:val="20"/>
          <w:color w:val="auto"/>
        </w:rPr>
        <w:t>” means any proceeding commenced by or against any Person under any provision of the Bankruptcy Code or under any other state or federal bankruptcy or insolvency law, assignments for the benefit of creditors, formal or informal moratoria, compositions, extensions generally with creditors, or proceedings seeking reorganization, arrangement, or other similar relief.</w:t>
      </w:r>
    </w:p>
    <w:p>
      <w:pPr>
        <w:spacing w:after="0" w:line="19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Intercompany Subordination Agreement</w:t>
      </w:r>
      <w:r>
        <w:rPr>
          <w:rFonts w:ascii="Arial" w:cs="Arial" w:eastAsia="Arial" w:hAnsi="Arial"/>
          <w:sz w:val="20"/>
          <w:szCs w:val="20"/>
          <w:color w:val="auto"/>
        </w:rPr>
        <w:t>” means an intercompany subordination agreement, executed and delivered by each Loan Party and each of its Subsidiaries, and Agent, the form and substance of which is reasonably satisfactory to Agent.</w:t>
      </w:r>
    </w:p>
    <w:p>
      <w:pPr>
        <w:spacing w:after="0" w:line="18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Expense</w:t>
      </w:r>
      <w:r>
        <w:rPr>
          <w:rFonts w:ascii="Arial" w:cs="Arial" w:eastAsia="Arial" w:hAnsi="Arial"/>
          <w:sz w:val="20"/>
          <w:szCs w:val="20"/>
          <w:color w:val="auto"/>
        </w:rPr>
        <w:t>” means, for any period, the aggregate of the interest expense of Borrowers for such period, determined on a consolidated basis in accordance with GAAP.</w:t>
      </w:r>
    </w:p>
    <w:p>
      <w:pPr>
        <w:spacing w:after="0" w:line="177"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Interest Period</w:t>
      </w:r>
      <w:r>
        <w:rPr>
          <w:rFonts w:ascii="Arial" w:cs="Arial" w:eastAsia="Arial" w:hAnsi="Arial"/>
          <w:sz w:val="18"/>
          <w:szCs w:val="18"/>
          <w:color w:val="auto"/>
        </w:rPr>
        <w:t xml:space="preserve">” means, with respect to any SOFR Loan, a period commencing on the date of the making of such SOFR Loan (or the continuation of a SOFR Loan or the conversion of a Base Rate Loan to a SOFR Loan) and ending 1 or 3 months thereafter; </w:t>
      </w:r>
      <w:r>
        <w:rPr>
          <w:rFonts w:ascii="Arial" w:cs="Arial" w:eastAsia="Arial" w:hAnsi="Arial"/>
          <w:sz w:val="18"/>
          <w:szCs w:val="18"/>
          <w:u w:val="single" w:color="auto"/>
          <w:color w:val="auto"/>
        </w:rPr>
        <w:t>provided</w:t>
      </w:r>
      <w:r>
        <w:rPr>
          <w:rFonts w:ascii="Arial" w:cs="Arial" w:eastAsia="Arial" w:hAnsi="Arial"/>
          <w:sz w:val="18"/>
          <w:szCs w:val="18"/>
          <w:color w:val="auto"/>
        </w:rPr>
        <w:t>, that (a) interest shall accrue at the applicable rate based upon Adjusted Term SOFR from and including the first day of each Interest Period to, but excluding, the day on which any Interest Period expires, (b) any Interest Period that would end on a day that is not a Business Day shall be extended to the next succeeding Business Day unless such Business Day falls in another calendar month, in which case such Interest Period shall end on the next preceding Business Day, (c) with respect to an Interest Period that begins on the last Business Day of a calendar month (or on a day for which there is no numerically corresponding day in the calendar month at the end of such Interest Period), the Interest Period shall end on the last Business Day of the calendar month that is 1 or 3 months after the date on which the Interest Period began, as applicable, (d) Borrowers may not elect an Interest Period which will end after the Maturity Date and (e) no tenor that has been removed from this definition pursuant to Section 2.12(d)(iii)(D) shall be available for specification in any SOFR Notice or conversion or continuation notice.</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Inventory</w:t>
      </w:r>
      <w:r>
        <w:rPr>
          <w:rFonts w:ascii="Arial" w:cs="Arial" w:eastAsia="Arial" w:hAnsi="Arial"/>
          <w:sz w:val="20"/>
          <w:szCs w:val="20"/>
          <w:color w:val="auto"/>
        </w:rPr>
        <w:t>” means inventory (as that term is defined in the Code).</w:t>
      </w:r>
    </w:p>
    <w:p>
      <w:pPr>
        <w:spacing w:after="0" w:line="21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Inventory Reserves</w:t>
      </w:r>
      <w:r>
        <w:rPr>
          <w:rFonts w:ascii="Arial" w:cs="Arial" w:eastAsia="Arial" w:hAnsi="Arial"/>
          <w:sz w:val="19"/>
          <w:szCs w:val="19"/>
          <w:color w:val="auto"/>
        </w:rPr>
        <w:t xml:space="preserve">” means, as of any date of determination, (a) Landlord Reserves in respect of Inventory (unless waived by Agent in its sole discretion), and (b) those reserves that Agent deems necessary or appropriate, in its Permitted Discretion and subject to </w:t>
      </w:r>
      <w:r>
        <w:rPr>
          <w:rFonts w:ascii="Arial" w:cs="Arial" w:eastAsia="Arial" w:hAnsi="Arial"/>
          <w:sz w:val="19"/>
          <w:szCs w:val="19"/>
          <w:u w:val="single" w:color="auto"/>
          <w:color w:val="auto"/>
        </w:rPr>
        <w:t>Section 2.1(c)</w:t>
      </w:r>
      <w:r>
        <w:rPr>
          <w:rFonts w:ascii="Arial" w:cs="Arial" w:eastAsia="Arial" w:hAnsi="Arial"/>
          <w:sz w:val="19"/>
          <w:szCs w:val="19"/>
          <w:color w:val="auto"/>
        </w:rPr>
        <w:t>, to establish and maintain (including reserves for slow moving Inventory and Inventory shrinkage) with respect to Eligible Inventory, in each case against the Borrowing Base (including with respect to any reserves for shrinkage or for spoiled, obsolete, returned or slow moving Eligible Inventory) or the Maximum Revolver Amount, including based on the results of appraisals.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40" w:name="page41"/>
    <w:bookmarkEnd w:id="40"/>
    <w:p>
      <w:pPr>
        <w:jc w:val="both"/>
        <w:ind w:firstLine="1296"/>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xml:space="preserve">” means, with respect to any Person, any investment by such Person in any other Person (including Affiliates) in the form of loans, guarantees, advances, capital contributions (excluding (a) commission, travel, and similar advances to officers and employees of such Person made in the ordinary course of business, and (b)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accounts receivable arising in the ordinary course of business), or acquisitions of Indebtedness, Equity Interests, or all or substantially all of the assets of such other Person (or of any division or business line of such other Person), and any other items that are or would be classified as investments on a balance sheet prepared in accordance with GAAP. The amount of any Investment shall be the original cost of such Investment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the cost of all additions thereto, without any adjustment for increases or decreases in value, or write-ups, write-downs, or write-offs with respect to such Investment.</w:t>
      </w:r>
    </w:p>
    <w:p>
      <w:pPr>
        <w:spacing w:after="0" w:line="170"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Grade Account Debtor</w:t>
      </w:r>
      <w:r>
        <w:rPr>
          <w:rFonts w:ascii="Arial" w:cs="Arial" w:eastAsia="Arial" w:hAnsi="Arial"/>
          <w:sz w:val="18"/>
          <w:szCs w:val="18"/>
          <w:color w:val="auto"/>
        </w:rPr>
        <w:t>” means an Account Debtor that, at any time of determination, has a corporate credit rating equal to or higher than Baa3 (or the equivalent) by Moody’s or BBB- (or the equivalent) by S&amp;P.</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IRC</w:t>
      </w:r>
      <w:r>
        <w:rPr>
          <w:rFonts w:ascii="Arial" w:cs="Arial" w:eastAsia="Arial" w:hAnsi="Arial"/>
          <w:sz w:val="20"/>
          <w:szCs w:val="20"/>
          <w:color w:val="auto"/>
        </w:rPr>
        <w:t>” means the Internal Revenue Code of 1986, as in effect from time to time.</w:t>
      </w:r>
    </w:p>
    <w:p>
      <w:pPr>
        <w:spacing w:after="0" w:line="216"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(International Chamber of Commerce Publication No. 590) and any version or revision thereof accepted by the Issuing Bank for use.</w:t>
      </w:r>
    </w:p>
    <w:p>
      <w:pPr>
        <w:spacing w:after="0" w:line="13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Issuer Document</w:t>
      </w:r>
      <w:r>
        <w:rPr>
          <w:rFonts w:ascii="Arial" w:cs="Arial" w:eastAsia="Arial" w:hAnsi="Arial"/>
          <w:sz w:val="20"/>
          <w:szCs w:val="20"/>
          <w:color w:val="auto"/>
        </w:rPr>
        <w:t>” means, with respect to any Letter of Credit, a letter of credit application, a letter of credit agreement, or any other document, agreement or instrument entered into (or to be entered into) by a Borrower in favor of Issuing Bank and relating to such Letter of Credit.</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Issuing Bank</w:t>
      </w:r>
      <w:r>
        <w:rPr>
          <w:rFonts w:ascii="Arial" w:cs="Arial" w:eastAsia="Arial" w:hAnsi="Arial"/>
          <w:sz w:val="20"/>
          <w:szCs w:val="20"/>
          <w:color w:val="auto"/>
        </w:rPr>
        <w:t xml:space="preserve">” means Wells Fargo or any other Lender that, at the request of Borrowers and with the consent of Agent, agrees, in such Lender’s sole discretion, to become an Issuing Bank for the purpose of issuing Letters of Credit pursuant to </w:t>
      </w: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of this Agreement, and Issuing Bank shall be a Lender.</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Joinder</w:t>
      </w:r>
      <w:r>
        <w:rPr>
          <w:rFonts w:ascii="Arial" w:cs="Arial" w:eastAsia="Arial" w:hAnsi="Arial"/>
          <w:sz w:val="20"/>
          <w:szCs w:val="20"/>
          <w:color w:val="auto"/>
        </w:rPr>
        <w:t xml:space="preserve">” means a joinder agreement substantially in the form of </w:t>
      </w:r>
      <w:r>
        <w:rPr>
          <w:rFonts w:ascii="Arial" w:cs="Arial" w:eastAsia="Arial" w:hAnsi="Arial"/>
          <w:sz w:val="20"/>
          <w:szCs w:val="20"/>
          <w:u w:val="single" w:color="auto"/>
          <w:color w:val="auto"/>
        </w:rPr>
        <w:t>Exhibit J-1</w:t>
      </w:r>
      <w:r>
        <w:rPr>
          <w:rFonts w:ascii="Arial" w:cs="Arial" w:eastAsia="Arial" w:hAnsi="Arial"/>
          <w:sz w:val="20"/>
          <w:szCs w:val="20"/>
          <w:color w:val="auto"/>
        </w:rPr>
        <w:t xml:space="preserve"> to this Agreement.</w:t>
      </w:r>
    </w:p>
    <w:p>
      <w:pPr>
        <w:spacing w:after="0" w:line="216"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Landlord Reserve</w:t>
      </w:r>
      <w:r>
        <w:rPr>
          <w:rFonts w:ascii="Arial" w:cs="Arial" w:eastAsia="Arial" w:hAnsi="Arial"/>
          <w:sz w:val="19"/>
          <w:szCs w:val="19"/>
          <w:color w:val="auto"/>
        </w:rPr>
        <w:t>” means, as to each location at which a Loan Party has Inventory, M&amp;E or books and records located at such location and as to which a Collateral Access Agreement has not been received by Agent, a reserve in an amount equal to 3 months’ rent, storage charges, fees or other amounts under the lease or other applicable agreement relative to such location or, if greater and Agent so elects in its Permitted Discretion, the number of months’ rent, storage charges, fees or other amounts for which the landlord, bailee, warehouseman, or other property owner will have, under applicable law, a Lien in the Inventory or M&amp;E of such Loan Party to secure the payment of such amounts under the lease or other applicable agreement relative to such location.</w:t>
      </w:r>
    </w:p>
    <w:p>
      <w:pPr>
        <w:spacing w:after="0" w:line="18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w:t>
      </w:r>
      <w:r>
        <w:rPr>
          <w:rFonts w:ascii="Arial" w:cs="Arial" w:eastAsia="Arial" w:hAnsi="Arial"/>
          <w:sz w:val="19"/>
          <w:szCs w:val="19"/>
          <w:color w:val="auto"/>
        </w:rPr>
        <w:t xml:space="preserve">” has the meaning set forth in the preamble to this Agreement, shall include Issuing Bank and the Swing Lender, and shall also include any other Person made a party to this Agreement pursuant to the provisions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13.1</w:t>
      </w:r>
      <w:r>
        <w:rPr>
          <w:rFonts w:ascii="Arial" w:cs="Arial" w:eastAsia="Arial" w:hAnsi="Arial"/>
          <w:sz w:val="19"/>
          <w:szCs w:val="19"/>
          <w:color w:val="auto"/>
        </w:rPr>
        <w:t xml:space="preserve"> of this Agreement and “</w:t>
      </w:r>
      <w:r>
        <w:rPr>
          <w:rFonts w:ascii="Arial" w:cs="Arial" w:eastAsia="Arial" w:hAnsi="Arial"/>
          <w:sz w:val="19"/>
          <w:szCs w:val="19"/>
          <w:u w:val="single" w:color="auto"/>
          <w:color w:val="auto"/>
        </w:rPr>
        <w:t>Lenders</w:t>
      </w:r>
      <w:r>
        <w:rPr>
          <w:rFonts w:ascii="Arial" w:cs="Arial" w:eastAsia="Arial" w:hAnsi="Arial"/>
          <w:sz w:val="19"/>
          <w:szCs w:val="19"/>
          <w:color w:val="auto"/>
        </w:rPr>
        <w:t>” means each of the Lenders or any one or more of them.</w:t>
      </w:r>
    </w:p>
    <w:p>
      <w:pPr>
        <w:spacing w:after="0" w:line="17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 Group</w:t>
      </w:r>
      <w:r>
        <w:rPr>
          <w:rFonts w:ascii="Arial" w:cs="Arial" w:eastAsia="Arial" w:hAnsi="Arial"/>
          <w:sz w:val="20"/>
          <w:szCs w:val="20"/>
          <w:color w:val="auto"/>
        </w:rPr>
        <w:t>” means each of the Lenders (including Issuing Bank and the Swing Lender) and Agent, or any one or more of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41" w:name="page42"/>
    <w:bookmarkEnd w:id="41"/>
    <w:p>
      <w:pPr>
        <w:jc w:val="both"/>
        <w:ind w:firstLine="1296"/>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 Group Expenses</w:t>
      </w:r>
      <w:r>
        <w:rPr>
          <w:rFonts w:ascii="Arial" w:cs="Arial" w:eastAsia="Arial" w:hAnsi="Arial"/>
          <w:sz w:val="18"/>
          <w:szCs w:val="18"/>
          <w:color w:val="auto"/>
        </w:rPr>
        <w:t xml:space="preserve">” means all (a) costs or expenses (including taxes and insurance premiums) required to be paid by any Loan Party or its Subsidiaries under any of the Loan Documents that are paid, advanced, or incurred by the Lender Group, (b) reasonable and documented out-of-pocket fees or charges paid or incurred by Agent in connection with the Lender Group’s transactions with each Loan Party and its Subsidiaries under any of the Loan Documents, including, photocopying, notarization, couriers and messengers, telecommunication, public record searches, filing fees, recording fees, publication, real estate surveys, real estate title policies and endorsements, and environmental audits, (c) Agent’s reasonable and customary fees and charges imposed or incurred in connection with any background checks or OFAC/PEP searches related to any Loan Party or its Subsidiaries, (d) Agent’s customary fees and charges (as adjusted from time to time) with respect to the disbursement of funds (or the receipt of funds) to or for the account of any Borrower (whether by wire transfer or otherwise), together with any out-of-pocket costs and expenses incurred in connection therewith, (e) customary charges imposed or incurred by Agent resulting from the dishonor of checks payable by or to any Loan Party, (f) reasonable, documented out-of-pocket costs and expenses paid or incurred by the Lender Group to correct any default or enforce any provision of the Loan Documents, or during the continuance of an Event of Default, in gaining possession of, maintaining, handling, preserving, storing, shipping, selling, preparing for sale, or advertising to sell the Collateral, or any portion thereof, irrespective of whether a sale is consummated, (g) field examination, appraisal, and valuation fees and expenses of Agent related to any field examinations, appraisals, or valuation to the extent of the fees and charges (and up to the amount of any limitation) provided in </w:t>
      </w:r>
      <w:r>
        <w:rPr>
          <w:rFonts w:ascii="Arial" w:cs="Arial" w:eastAsia="Arial" w:hAnsi="Arial"/>
          <w:sz w:val="18"/>
          <w:szCs w:val="18"/>
          <w:u w:val="single" w:color="auto"/>
          <w:color w:val="auto"/>
        </w:rPr>
        <w:t>Section 5.7(c)</w:t>
      </w:r>
      <w:r>
        <w:rPr>
          <w:rFonts w:ascii="Arial" w:cs="Arial" w:eastAsia="Arial" w:hAnsi="Arial"/>
          <w:sz w:val="18"/>
          <w:szCs w:val="18"/>
          <w:color w:val="auto"/>
        </w:rPr>
        <w:t xml:space="preserve"> of this Agreement, (h) Agent’s and Lenders’ reasonable, documented out of pocket costs and expenses (including reasonable and documented attorneys’ fees and expenses) relative to third party claims or any other lawsuit or adverse proceeding paid or incurred, whether in enforcing or defending the Loan Documents or otherwise in connection with the transactions contemplated by the Loan Documents, Agent’s Liens in and to the Collateral, or the Lender Group’s relationship with any Loan Party or any of its Subsidiaries in connection therewith, (i) Agent’s reasonable and documented costs and expenses (including reasonable and documented out of pocket attorneys’ fees and due diligence expenses) incurred in advising, structuring, drafting, reviewing, administering (including travel, meals, and lodging), syndicating (including reasonable costs and expenses relative to the rating of the Capex Advance, CUSIP, DXSyndicate™, SyndTrak or other communication costs incurred in connection with a syndication of the loan facilities), or amending, waiving, or modifying the Loan Documents, and (j) Agent’s and each Lender’s reasonable and documented costs and expenses (including reasonable and documented out of pocket attorneys, accountants, consultants, and other advisors fees and expenses) incurred in terminating, enforcing (including attorneys, accountants, consultants, and other advisors fees and expenses incurred in connection with a “workout,” a “restructuring,” or an Insolvency Proceeding concerning any Loan Party or any of its Subsidiaries or in exercising rights or remedies under the Loan Documents), or defending the Loan Documents, irrespective of whether a lawsuit or other adverse proceeding is brought, or in taking any enforcement action or any Remedial Action with respect to the Collateral.</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 Group Representatives</w:t>
      </w:r>
      <w:r>
        <w:rPr>
          <w:rFonts w:ascii="Arial" w:cs="Arial" w:eastAsia="Arial" w:hAnsi="Arial"/>
          <w:sz w:val="19"/>
          <w:szCs w:val="19"/>
          <w:color w:val="auto"/>
        </w:rPr>
        <w:t xml:space="preserve">” has the meaning specified therefor in </w:t>
      </w:r>
      <w:r>
        <w:rPr>
          <w:rFonts w:ascii="Arial" w:cs="Arial" w:eastAsia="Arial" w:hAnsi="Arial"/>
          <w:sz w:val="19"/>
          <w:szCs w:val="19"/>
          <w:u w:val="single" w:color="auto"/>
          <w:color w:val="auto"/>
        </w:rPr>
        <w:t>Section 17.9</w:t>
      </w:r>
      <w:r>
        <w:rPr>
          <w:rFonts w:ascii="Arial" w:cs="Arial" w:eastAsia="Arial" w:hAnsi="Arial"/>
          <w:sz w:val="19"/>
          <w:szCs w:val="19"/>
          <w:color w:val="auto"/>
        </w:rPr>
        <w:t xml:space="preserve"> of this Agreement.</w:t>
      </w:r>
    </w:p>
    <w:p>
      <w:pPr>
        <w:spacing w:after="0" w:line="22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Lender-Related Person</w:t>
      </w:r>
      <w:r>
        <w:rPr>
          <w:rFonts w:ascii="Arial" w:cs="Arial" w:eastAsia="Arial" w:hAnsi="Arial"/>
          <w:sz w:val="20"/>
          <w:szCs w:val="20"/>
          <w:color w:val="auto"/>
        </w:rPr>
        <w:t xml:space="preserve"> ” means, with respect to any Lender, such Lender, together with such Lender’s Affiliates, officers, directors, employees, attorneys, and agents.</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w:t>
      </w:r>
      <w:r>
        <w:rPr>
          <w:rFonts w:ascii="Arial" w:cs="Arial" w:eastAsia="Arial" w:hAnsi="Arial"/>
          <w:sz w:val="19"/>
          <w:szCs w:val="19"/>
          <w:color w:val="auto"/>
        </w:rPr>
        <w:t>” means a letter of credit (as that term is defined in the Code) issued by Issuing Bank.</w:t>
      </w:r>
    </w:p>
    <w:p>
      <w:pPr>
        <w:spacing w:after="0" w:line="227"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Collateralization</w:t>
      </w:r>
      <w:r>
        <w:rPr>
          <w:rFonts w:ascii="Arial" w:cs="Arial" w:eastAsia="Arial" w:hAnsi="Arial"/>
          <w:sz w:val="20"/>
          <w:szCs w:val="20"/>
          <w:color w:val="auto"/>
        </w:rPr>
        <w:t xml:space="preserve">” means either (a) providing cash collateral (pursuant to documentation reasonably satisfactory to Agent (including that Agent has a first priority perfected Lien in such cash collateral), including provisions that specify that the Letter of Credit Fees and all commissions, fees, charges and expenses provided for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2.11(k)</w:t>
      </w:r>
      <w:r>
        <w:rPr>
          <w:rFonts w:ascii="Arial" w:cs="Arial" w:eastAsia="Arial" w:hAnsi="Arial"/>
          <w:sz w:val="20"/>
          <w:szCs w:val="20"/>
          <w:color w:val="auto"/>
        </w:rPr>
        <w:t xml:space="preserve"> of this Agreement (including any fronting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42" w:name="page43"/>
    <w:bookmarkEnd w:id="42"/>
    <w:p>
      <w:pPr>
        <w:jc w:val="both"/>
        <w:spacing w:after="0" w:line="273" w:lineRule="auto"/>
        <w:rPr>
          <w:sz w:val="20"/>
          <w:szCs w:val="20"/>
          <w:color w:val="auto"/>
        </w:rPr>
      </w:pPr>
      <w:r>
        <w:rPr>
          <w:rFonts w:ascii="Arial" w:cs="Arial" w:eastAsia="Arial" w:hAnsi="Arial"/>
          <w:sz w:val="18"/>
          <w:szCs w:val="18"/>
          <w:color w:val="auto"/>
        </w:rPr>
        <w:t>will continue to accrue while the Letters of Credit are outstanding) to be held by Agent for the benefit of the Revolving Lenders in an amount equal to 105% of the then existing Letter of Credit Usage, (b) delivering to Agent documentation executed by all beneficiaries under the Letters of Credit, in form and substance reasonably satisfactory to Agent and Issuing Bank, terminating all of such beneficiaries’ rights under the Letters of Credit, or (c) providing Agent with a standby letter of credit, in form and substance reasonably satisfactory to Agent, from a commercial bank acceptable to Agent (in its sole discretion) in an amount equal to 105% of the then existing Letter of Credit Usage (it being understood that the Letter of Credit Fee and all fronting fees set forth in this Agreement will continue to accrue while the Letters of Credit are outstanding and that any such fees that accrue must be an amount that can be drawn under any such standby letter of credit).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Disbursement</w:t>
      </w:r>
      <w:r>
        <w:rPr>
          <w:rFonts w:ascii="Arial" w:cs="Arial" w:eastAsia="Arial" w:hAnsi="Arial"/>
          <w:sz w:val="19"/>
          <w:szCs w:val="19"/>
          <w:color w:val="auto"/>
        </w:rPr>
        <w:t>” means a payment made by Issuing Bank pursuant to a Letter of Credit.</w:t>
      </w:r>
    </w:p>
    <w:p>
      <w:pPr>
        <w:spacing w:after="0" w:line="22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Exposure</w:t>
      </w:r>
      <w:r>
        <w:rPr>
          <w:rFonts w:ascii="Arial" w:cs="Arial" w:eastAsia="Arial" w:hAnsi="Arial"/>
          <w:sz w:val="20"/>
          <w:szCs w:val="20"/>
          <w:color w:val="auto"/>
        </w:rPr>
        <w:t xml:space="preserve"> ” means, as of any date of determination with respect to any Lender, such Lender’s participation in the Letter of Credit Usage pursuant to </w:t>
      </w:r>
      <w:r>
        <w:rPr>
          <w:rFonts w:ascii="Arial" w:cs="Arial" w:eastAsia="Arial" w:hAnsi="Arial"/>
          <w:sz w:val="20"/>
          <w:szCs w:val="20"/>
          <w:u w:val="single" w:color="auto"/>
          <w:color w:val="auto"/>
        </w:rPr>
        <w:t>Section 2.11(e)</w:t>
      </w:r>
      <w:r>
        <w:rPr>
          <w:rFonts w:ascii="Arial" w:cs="Arial" w:eastAsia="Arial" w:hAnsi="Arial"/>
          <w:sz w:val="20"/>
          <w:szCs w:val="20"/>
          <w:color w:val="auto"/>
        </w:rPr>
        <w:t xml:space="preserve"> on such date.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Fee</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2.6(b)</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Indemnified Costs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2.11(f)</w:t>
      </w:r>
      <w:r>
        <w:rPr>
          <w:rFonts w:ascii="Arial" w:cs="Arial" w:eastAsia="Arial" w:hAnsi="Arial"/>
          <w:sz w:val="20"/>
          <w:szCs w:val="20"/>
          <w:color w:val="auto"/>
        </w:rPr>
        <w:t xml:space="preserve"> of this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Related Person</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2.11(f)</w:t>
      </w:r>
      <w:r>
        <w:rPr>
          <w:rFonts w:ascii="Arial" w:cs="Arial" w:eastAsia="Arial" w:hAnsi="Arial"/>
          <w:sz w:val="18"/>
          <w:szCs w:val="18"/>
          <w:color w:val="auto"/>
        </w:rPr>
        <w:t xml:space="preserve"> of this Agreement.</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Sublimit</w:t>
      </w:r>
      <w:r>
        <w:rPr>
          <w:rFonts w:ascii="Arial" w:cs="Arial" w:eastAsia="Arial" w:hAnsi="Arial"/>
          <w:sz w:val="20"/>
          <w:szCs w:val="20"/>
          <w:color w:val="auto"/>
        </w:rPr>
        <w:t>” means $5,000,000.</w:t>
      </w:r>
    </w:p>
    <w:p>
      <w:pPr>
        <w:spacing w:after="0" w:line="21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Usage</w:t>
      </w:r>
      <w:r>
        <w:rPr>
          <w:rFonts w:ascii="Arial" w:cs="Arial" w:eastAsia="Arial" w:hAnsi="Arial"/>
          <w:sz w:val="19"/>
          <w:szCs w:val="19"/>
          <w:color w:val="auto"/>
        </w:rPr>
        <w:t xml:space="preserve">” means, as of any date of determination, the sum of (a) the aggregate undrawn amount of all outstanding Letters of Credit,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aggregate amount of outstanding reimbursement obligations with respect to Letters of Credit which remain unreimbursed or which have not been paid through a Revolving Loan.</w:t>
      </w:r>
    </w:p>
    <w:p>
      <w:pPr>
        <w:spacing w:after="0" w:line="170"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means any mortgage, deed of trust, pledge, hypothecation, assignment, charge, deposit arrangement, encumbrance, easement, lien (statutory or other), security interest, or other security arrangement and any other preference, priority, or preferential arrangement of any kind or nature whatsoever, including any conditional sale contract or other title retention agreement, the interest of a lessor under a Capital Lease and any synthetic or other financing lease having substantially the same economic effect as any of the foregoing.</w:t>
      </w:r>
    </w:p>
    <w:p>
      <w:pPr>
        <w:spacing w:after="0" w:line="194"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means any Revolving Loan, Swing Loan, Extraordinary Advance, or Capex Advance made (or to be made) hereunder.</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Account</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2.9</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Loan Documents</w:t>
      </w:r>
      <w:r>
        <w:rPr>
          <w:rFonts w:ascii="Arial" w:cs="Arial" w:eastAsia="Arial" w:hAnsi="Arial"/>
          <w:sz w:val="20"/>
          <w:szCs w:val="20"/>
          <w:color w:val="auto"/>
        </w:rPr>
        <w:t xml:space="preserve"> ” means this Agreement, the Control Agreements, the Copyright Security Agreement, any Borrowing Base Certificate, the Fee Letter, the Guaranty and Security Agreement, the Intercompany Subordination Agreement, any Issuer Documents, the Letters of Credit, the Mortgages, the Patent Security Agreement, the Trademark Security Agreement, any note or notes executed by Borrowers in connection with this Agreement and payable to any member of the Lender Group, and any other instrument or agreement entered into, now or in the future, by any Loan Party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43" w:name="page44"/>
    <w:bookmarkEnd w:id="43"/>
    <w:p>
      <w:pPr>
        <w:jc w:val="both"/>
        <w:spacing w:after="0" w:line="261" w:lineRule="auto"/>
        <w:rPr>
          <w:sz w:val="20"/>
          <w:szCs w:val="20"/>
          <w:color w:val="auto"/>
        </w:rPr>
      </w:pPr>
      <w:r>
        <w:rPr>
          <w:rFonts w:ascii="Arial" w:cs="Arial" w:eastAsia="Arial" w:hAnsi="Arial"/>
          <w:sz w:val="20"/>
          <w:szCs w:val="20"/>
          <w:color w:val="auto"/>
        </w:rPr>
        <w:t>and any member of the Lender Group in connection with this Agreement (but specifically excluding Bank Product Agreements).</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Party</w:t>
      </w:r>
      <w:r>
        <w:rPr>
          <w:rFonts w:ascii="Arial" w:cs="Arial" w:eastAsia="Arial" w:hAnsi="Arial"/>
          <w:sz w:val="20"/>
          <w:szCs w:val="20"/>
          <w:color w:val="auto"/>
        </w:rPr>
        <w:t>” means any Borrower or any Guarantor.</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M&amp;E</w:t>
      </w:r>
      <w:r>
        <w:rPr>
          <w:rFonts w:ascii="Arial" w:cs="Arial" w:eastAsia="Arial" w:hAnsi="Arial"/>
          <w:sz w:val="20"/>
          <w:szCs w:val="20"/>
          <w:color w:val="auto"/>
        </w:rPr>
        <w:t>” means all Equipment (as defined in the Code).</w:t>
      </w:r>
    </w:p>
    <w:p>
      <w:pPr>
        <w:spacing w:after="0" w:line="21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M&amp;E Reserves</w:t>
      </w:r>
      <w:r>
        <w:rPr>
          <w:rFonts w:ascii="Arial" w:cs="Arial" w:eastAsia="Arial" w:hAnsi="Arial"/>
          <w:sz w:val="20"/>
          <w:szCs w:val="20"/>
          <w:color w:val="auto"/>
        </w:rPr>
        <w:t xml:space="preserve">” means, as of any date of determination, (a) Landlord Reserves in respect of M&amp;E, and (b) those reserves that Agent deems necessary or appropriate, in its Permitted Discretion and subject to </w:t>
      </w:r>
      <w:r>
        <w:rPr>
          <w:rFonts w:ascii="Arial" w:cs="Arial" w:eastAsia="Arial" w:hAnsi="Arial"/>
          <w:sz w:val="20"/>
          <w:szCs w:val="20"/>
          <w:u w:val="single" w:color="auto"/>
          <w:color w:val="auto"/>
        </w:rPr>
        <w:t>Section 2.1(c)</w:t>
      </w:r>
      <w:r>
        <w:rPr>
          <w:rFonts w:ascii="Arial" w:cs="Arial" w:eastAsia="Arial" w:hAnsi="Arial"/>
          <w:sz w:val="20"/>
          <w:szCs w:val="20"/>
          <w:color w:val="auto"/>
        </w:rPr>
        <w:t>, to establish and maintain with respect to Eligible M&amp;E, Eligible New Equipment, the M&amp;E Subline Amount or the Maximum Revolver Amount, including based on the results of appraisals.</w:t>
      </w:r>
    </w:p>
    <w:p>
      <w:pPr>
        <w:spacing w:after="0" w:line="191"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M&amp;E Subline Amount</w:t>
      </w:r>
      <w:r>
        <w:rPr>
          <w:rFonts w:ascii="Arial" w:cs="Arial" w:eastAsia="Arial" w:hAnsi="Arial"/>
          <w:sz w:val="19"/>
          <w:szCs w:val="19"/>
          <w:color w:val="auto"/>
        </w:rPr>
        <w:t>” means $6,800,000; provided, that such amount shall be permanently reduced by an amount equal to $80,952.38 on July 1, 2023 and on the first day of each month ending thereafter.</w:t>
      </w:r>
    </w:p>
    <w:p>
      <w:pPr>
        <w:spacing w:after="0" w:line="15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Margin Stock</w:t>
      </w:r>
      <w:r>
        <w:rPr>
          <w:rFonts w:ascii="Arial" w:cs="Arial" w:eastAsia="Arial" w:hAnsi="Arial"/>
          <w:sz w:val="19"/>
          <w:szCs w:val="19"/>
          <w:color w:val="auto"/>
        </w:rPr>
        <w:t>” as defined in Regulation U of the Board of Governors as in effect from time to time.</w:t>
      </w:r>
    </w:p>
    <w:p>
      <w:pPr>
        <w:spacing w:after="0" w:line="227"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means (a) a material adverse effect in the business, operations, results of operations, assets, liabilities or financial condition of the Loan Parties and their Subsidiaries, taken as a whole, (b) a material impairment of the Loan Parties’ and their Subsidiaries’ ability to perform their payment and other material obligations under the Loan Documents to which they are parties or of the Lender Group’s ability to enforce the Obligations or realize upon the Collateral (other than as a result of an action taken or not taken that is solely in the control of Agent), or (c) a material impairment of the enforceability or priority of Agent’s Liens with respect to all or a material portion of the Collateral.</w:t>
      </w:r>
    </w:p>
    <w:p>
      <w:pPr>
        <w:spacing w:after="0" w:line="165"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Subsidiary</w:t>
      </w:r>
      <w:r>
        <w:rPr>
          <w:rFonts w:ascii="Arial" w:cs="Arial" w:eastAsia="Arial" w:hAnsi="Arial"/>
          <w:sz w:val="16"/>
          <w:szCs w:val="16"/>
          <w:color w:val="auto"/>
        </w:rPr>
        <w:t>” means (a) each Borrower, and (b) each Subsidiary of a Loan Party that (i) owns at least 2.50% of the consolidated total assets of the Loan Parties and their Subsidiaries, (ii) generates at least 2.50% of the consolidated revenues of the Loan Parties and their Subsidiaries, (iii) is the owner of Equity Interests of any Subsidiary of a Loan Party that otherwise constitutes a Material Subsidiary, or (iv) any group comprising Subsidiaries of a Loan Party that each would not have been a Material Subsidiary under clauses (i), (ii), or (iii) but that, taken together, had revenues or total assets in excess of 5% of the consolidated revenues or total assets, as applicable, of the Loan Parties and their Subsidiaries.</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means June 26, 2028.</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Revolver Amount</w:t>
      </w:r>
      <w:r>
        <w:rPr>
          <w:rFonts w:ascii="Arial" w:cs="Arial" w:eastAsia="Arial" w:hAnsi="Arial"/>
          <w:sz w:val="20"/>
          <w:szCs w:val="20"/>
          <w:color w:val="auto"/>
        </w:rPr>
        <w:t xml:space="preserve">” means $90,000,000, decreased by the amount of reductions in the Revolver Commitments made in accordance with </w:t>
      </w:r>
      <w:r>
        <w:rPr>
          <w:rFonts w:ascii="Arial" w:cs="Arial" w:eastAsia="Arial" w:hAnsi="Arial"/>
          <w:sz w:val="20"/>
          <w:szCs w:val="20"/>
          <w:u w:val="single" w:color="auto"/>
          <w:color w:val="auto"/>
        </w:rPr>
        <w:t>Section 2.4(c)</w:t>
      </w:r>
      <w:r>
        <w:rPr>
          <w:rFonts w:ascii="Arial" w:cs="Arial" w:eastAsia="Arial" w:hAnsi="Arial"/>
          <w:sz w:val="20"/>
          <w:szCs w:val="20"/>
          <w:color w:val="auto"/>
        </w:rPr>
        <w:t xml:space="preserve"> of this Agreement and increased by the amount of any Increase made in accordance with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of this Agreement.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has the meaning specified therefor in the definition of Cash Equivalents.</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Mortgages</w:t>
      </w:r>
      <w:r>
        <w:rPr>
          <w:rFonts w:ascii="Arial" w:cs="Arial" w:eastAsia="Arial" w:hAnsi="Arial"/>
          <w:sz w:val="20"/>
          <w:szCs w:val="20"/>
          <w:color w:val="auto"/>
        </w:rPr>
        <w:t>” means, individually and collectively, one or more mortgages, deeds of trust, or deeds to secure debt, executed and delivered by a Loan Party or one of its Subsidiaries in favor of Agent, in form and substance reasonably satisfactory to Agent, that encumber the Real Property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44" w:name="page45"/>
    <w:bookmarkEnd w:id="44"/>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Cash Proceeds</w:t>
      </w:r>
      <w:r>
        <w:rPr>
          <w:rFonts w:ascii="Arial" w:cs="Arial" w:eastAsia="Arial" w:hAnsi="Arial"/>
          <w:sz w:val="20"/>
          <w:szCs w:val="20"/>
          <w:color w:val="auto"/>
        </w:rPr>
        <w:t>” means:</w:t>
      </w:r>
    </w:p>
    <w:p>
      <w:pPr>
        <w:spacing w:after="0" w:line="217" w:lineRule="exact"/>
        <w:rPr>
          <w:sz w:val="20"/>
          <w:szCs w:val="20"/>
          <w:color w:val="auto"/>
        </w:rPr>
      </w:pPr>
    </w:p>
    <w:p>
      <w:pPr>
        <w:jc w:val="both"/>
        <w:ind w:firstLine="1304"/>
        <w:spacing w:after="0" w:line="268" w:lineRule="auto"/>
        <w:tabs>
          <w:tab w:leader="none" w:pos="1944"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with respect to any sale or disposition by any Loan Party or any of its Subsidiaries of assets, the amount of cash proceeds received (directly or indirectly) from time to time (whether as initial consideration or through the payment of deferred consideration but only as when received) by or on behalf of such Loan Party or such Subsidiary, in connection therewith after deducting therefrom only (i) the amount of any Indebtedness (including any interest or fees or premiums or penalties in connection therewith) secured by any Permitted Lien on any asset (other than (A) Indebtedness owing to Agent or any Lender under this Agreement or the other Loan Documents and (B) Indebtedness assumed by the purchaser of such asset) which is required to be, and is, repaid in connection with such sale or disposition, (ii) reasonable fees, commissions, and expenses related thereto and required to be paid by such Loan Party or such Subsidiary in connection with such sale or disposition, (iii) taxes paid or payable to any taxing authorities by such Loan Party or such Subsidiary in connection with such sale or disposition, in each case to the extent, but only to the extent, that the amounts so deducted are, at the time of receipt of such cash, actually paid or payable to a Person that is not an Affiliate of any Loan Party or any of its Subsidiaries, and are properly attributable to such transaction, and (iv) all amounts that are set aside as a reserve (A) for adjustments in respect of the purchase price of such assets, (B) for any liabilities associated with such sale or casualty, to the extent such reserve is required by GAAP, and (C) for the payment of unassumed liabilities relating to the assets sold or otherwise disposed of at the time of, or within 30 days after, the date of such sale or other disposition, to the extent that in each case the funds described above in this clause (iv) are (x) deposited into escrow with a third party escrow agent or set aside in a separate Deposit Account that is subject to a Control Agreement in favor of Agent, and (y) paid to Agent as a prepayment of the applicable Obligations in accordance with </w:t>
      </w:r>
      <w:r>
        <w:rPr>
          <w:rFonts w:ascii="Arial" w:cs="Arial" w:eastAsia="Arial" w:hAnsi="Arial"/>
          <w:sz w:val="18"/>
          <w:szCs w:val="18"/>
          <w:u w:val="single" w:color="auto"/>
          <w:color w:val="auto"/>
        </w:rPr>
        <w:t>Section 2.4(e)</w:t>
      </w:r>
      <w:r>
        <w:rPr>
          <w:rFonts w:ascii="Arial" w:cs="Arial" w:eastAsia="Arial" w:hAnsi="Arial"/>
          <w:sz w:val="18"/>
          <w:szCs w:val="18"/>
          <w:color w:val="auto"/>
        </w:rPr>
        <w:t xml:space="preserve"> of this Agreement at such time when such amounts are no longer required to be set aside as such a reserve; and</w:t>
      </w:r>
    </w:p>
    <w:p>
      <w:pPr>
        <w:spacing w:after="0" w:line="185" w:lineRule="exact"/>
        <w:rPr>
          <w:sz w:val="20"/>
          <w:szCs w:val="20"/>
          <w:color w:val="auto"/>
        </w:rPr>
      </w:pPr>
    </w:p>
    <w:p>
      <w:pPr>
        <w:jc w:val="both"/>
        <w:ind w:firstLine="1304"/>
        <w:spacing w:after="0" w:line="255" w:lineRule="auto"/>
        <w:tabs>
          <w:tab w:leader="none" w:pos="1944" w:val="left"/>
        </w:tabs>
        <w:numPr>
          <w:ilvl w:val="0"/>
          <w:numId w:val="31"/>
        </w:numPr>
        <w:rPr>
          <w:rFonts w:ascii="Arial" w:cs="Arial" w:eastAsia="Arial" w:hAnsi="Arial"/>
          <w:sz w:val="19"/>
          <w:szCs w:val="19"/>
          <w:color w:val="auto"/>
        </w:rPr>
      </w:pPr>
      <w:r>
        <w:rPr>
          <w:rFonts w:ascii="Arial" w:cs="Arial" w:eastAsia="Arial" w:hAnsi="Arial"/>
          <w:sz w:val="19"/>
          <w:szCs w:val="19"/>
          <w:color w:val="auto"/>
        </w:rPr>
        <w:t>with respect to the issuance or incurrence of any Indebtedness by any Loan Party or any of its Subsidiaries, or the issuance by any Loan Party or any of its Subsidiaries of any Equity Interests, the aggregate amount of cash received (directly or indirectly) from time to time (whether as initial consideration or through the payment or disposition of deferred consideration) by or on behalf of such Loan Party or such Subsidiary in connection with such issuance or incurrence, after deducting therefrom only (i) reasonable fees, commissions, and expenses related thereto and required to be paid by such Loan Party or such Subsidiary in connection with such issuance or incurrence, and (ii) taxes paid or payable to any taxing authorities by such Loan Party or such Subsidiary in connection with such issuance or incurrence, in each case to the extent, but only to the extent, that the amounts so deducted are, at the time of receipt of such cash, actually paid or payable to a Person that is not an Affiliate of any Loan Party or any of its Subsidiaries, and are properly attributable to such transaction.</w:t>
      </w:r>
    </w:p>
    <w:p>
      <w:pPr>
        <w:spacing w:after="0" w:line="190"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Net Recovery Percentage</w:t>
      </w:r>
      <w:r>
        <w:rPr>
          <w:rFonts w:ascii="Arial" w:cs="Arial" w:eastAsia="Arial" w:hAnsi="Arial"/>
          <w:sz w:val="20"/>
          <w:szCs w:val="20"/>
          <w:color w:val="auto"/>
        </w:rPr>
        <w:t>” means, as of any date of determination, the percentage of the book value of Borrowers’ Inventory that is estimated to be recoverable in an orderly liquidation of such Inventory net of all associated costs and expenses of such liquidation, such percentage to be determined as to each category of Inventory and to be as specified in the most recent Acceptable Appraisal of Inventory.</w:t>
      </w:r>
    </w:p>
    <w:p>
      <w:pPr>
        <w:spacing w:after="0" w:line="191"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NOLV</w:t>
      </w:r>
      <w:r>
        <w:rPr>
          <w:rFonts w:ascii="Arial" w:cs="Arial" w:eastAsia="Arial" w:hAnsi="Arial"/>
          <w:sz w:val="20"/>
          <w:szCs w:val="20"/>
          <w:color w:val="auto"/>
        </w:rPr>
        <w:t xml:space="preserve"> ” means, as of any date of determination, with respect to Eligible M&amp;E of any Person, the value of such Eligible M&amp;E that is estimated to be recoverable in an orderly liquidation of such Eligible M&amp;E, net of all associated costs and expenses of such liquidation, as determined based upon the most recent Acceptable Appraisal of M&amp;E;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such Acceptable Appraisal does not provide the costs and expenses of such liquidation on an item by item basis, then costs and expenses of liquidation for each item of Eligible M&amp;E will be such amount as determined by Agent in its Permitted Discretion.</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Non-Consenting Lender</w:t>
      </w:r>
      <w:r>
        <w:rPr>
          <w:rFonts w:ascii="Arial" w:cs="Arial" w:eastAsia="Arial" w:hAnsi="Arial"/>
          <w:sz w:val="19"/>
          <w:szCs w:val="19"/>
          <w:color w:val="auto"/>
        </w:rPr>
        <w:t xml:space="preserve">” has the meaning specified therefor in </w:t>
      </w:r>
      <w:r>
        <w:rPr>
          <w:rFonts w:ascii="Arial" w:cs="Arial" w:eastAsia="Arial" w:hAnsi="Arial"/>
          <w:sz w:val="19"/>
          <w:szCs w:val="19"/>
          <w:u w:val="single" w:color="auto"/>
          <w:color w:val="auto"/>
        </w:rPr>
        <w:t>Section 14.2(a)</w:t>
      </w:r>
      <w:r>
        <w:rPr>
          <w:rFonts w:ascii="Arial" w:cs="Arial" w:eastAsia="Arial" w:hAnsi="Arial"/>
          <w:sz w:val="19"/>
          <w:szCs w:val="19"/>
          <w:color w:val="auto"/>
        </w:rPr>
        <w:t xml:space="preserv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45" w:name="page46"/>
    <w:bookmarkEnd w:id="45"/>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means each Lender other than a Defaulting Lender.</w:t>
      </w:r>
    </w:p>
    <w:p>
      <w:pPr>
        <w:spacing w:after="0" w:line="217"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xml:space="preserve">” means (a) all loans (including the Capex Advances and the Revolving Loans (inclusive of Extraordinary Advances and Swing Loans)), debts, principal, interest (including any interest that accrues after the commencement of an Insolvency Proceeding, regardless of whether allowed or allowable in whole or in part as a claim in any such Insolvency Proceeding), reimbursement or indemnification obligations with respect to Letters of Credit (irrespective of whether contingent), premiums, liabilities (including all amounts charged to the Loan Account pursuant to this Agreement), obligations (including indemnification obligations), fees (including the fees provided for in the Fee Letter), Lender Group Expenses (including any fees or expenses that accrue after the commencement of an Insolvency Proceeding, regardless of whether allowed or allowable in whole or in part as a claim in any such Insolvency Proceeding), guaranties, and all covenants and duties of any other kind and description owing by any Loan Party arising out of, under, pursuant to, in connection with, or evidenced by this Agreement or any of the other Loan Documents and irrespective of whether for the payment of money, whether direct or indirect, absolute or contingent, due or to become due, now existing or hereafter arising, and including all interest not paid when due and all other expenses or other amounts that any Loan Party is required to pay or reimburse by the Loan Documents or by law or otherwise in connection with the Loan Documents, and (b) all Bank Product Obligations;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anything to the contrary contained in the foregoing notwithstanding, the Obligations shall exclude any Excluded Swap Obligation. Without limiting the generality of the foregoing, the Obligations of Borrowers under the Loan Documents include the obligation to pay (i) the principal of the Revolving Loans and the Capex Advances, (ii) interest accrued on the Revolving Loans and the Capex Advances, (iii) the amount necessary to reimburse Issuing Bank for amounts paid or payable pursuant to Letters of Credit, (iv) Letter of Credit commissions, fees (including fronting fees) and charges, (v) Lender Group Expenses, (vi) fees payable under this Agreement or any of the other Loan Documents, and (vii) indemnities and other amounts payable by any Loan Party under any Loan Document. Any reference in this Agreement or in the Loan Documents to the Obligations shall include all or any portion thereof and any extensions, modifications, renewals, or alterations thereof, both prior and subsequent to any Insolvency Proceeding.</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Office of Foreign Assets Control of the U.S. Department of the Treasury.</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Originating Lender</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13.1(e)</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Taxes</w:t>
      </w:r>
      <w:r>
        <w:rPr>
          <w:rFonts w:ascii="Arial" w:cs="Arial" w:eastAsia="Arial" w:hAnsi="Arial"/>
          <w:sz w:val="20"/>
          <w:szCs w:val="20"/>
          <w:color w:val="auto"/>
        </w:rPr>
        <w:t>” means all present or future stamp, court, excise, value added, or documentary, intangible, recording, filing or similar Taxes that arise from any payment made under, from the execution, delivery, performance, enforcement or registration of, from the receipt or perfection of a security interest under, or otherwise with respect to, any Loan Document.</w:t>
      </w:r>
    </w:p>
    <w:p>
      <w:pPr>
        <w:spacing w:after="0" w:line="124"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Overadvance</w:t>
      </w:r>
      <w:r>
        <w:rPr>
          <w:rFonts w:ascii="Arial" w:cs="Arial" w:eastAsia="Arial" w:hAnsi="Arial"/>
          <w:sz w:val="20"/>
          <w:szCs w:val="20"/>
          <w:color w:val="auto"/>
        </w:rPr>
        <w:t xml:space="preserve"> ” means, as of any date of determination, that the Revolver Usage is greater than any of the limitations set forth in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of this Agreement.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13.1(e)</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13.1(i)</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Security Agreement</w:t>
      </w:r>
      <w:r>
        <w:rPr>
          <w:rFonts w:ascii="Arial" w:cs="Arial" w:eastAsia="Arial" w:hAnsi="Arial"/>
          <w:sz w:val="18"/>
          <w:szCs w:val="18"/>
          <w:color w:val="auto"/>
        </w:rPr>
        <w:t>” has the meaning specified therefor in the Guaranty and Security Agreement.</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4.13</w:t>
      </w:r>
      <w:r>
        <w:rPr>
          <w:rFonts w:ascii="Arial" w:cs="Arial" w:eastAsia="Arial" w:hAnsi="Arial"/>
          <w:sz w:val="20"/>
          <w:szCs w:val="20"/>
          <w:color w:val="auto"/>
        </w:rPr>
        <w:t xml:space="preserv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46" w:name="page47"/>
    <w:bookmarkEnd w:id="46"/>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Payment Conditions</w:t>
      </w:r>
      <w:r>
        <w:rPr>
          <w:rFonts w:ascii="Arial" w:cs="Arial" w:eastAsia="Arial" w:hAnsi="Arial"/>
          <w:sz w:val="18"/>
          <w:szCs w:val="18"/>
          <w:color w:val="auto"/>
        </w:rPr>
        <w:t>” means, at the time of determination with respect to a proposed payment to fund a</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Specified Transaction, that:</w:t>
      </w:r>
    </w:p>
    <w:p>
      <w:pPr>
        <w:spacing w:after="0" w:line="200" w:lineRule="exact"/>
        <w:rPr>
          <w:sz w:val="20"/>
          <w:szCs w:val="20"/>
          <w:color w:val="auto"/>
        </w:rPr>
      </w:pPr>
    </w:p>
    <w:p>
      <w:pPr>
        <w:ind w:left="1960" w:hanging="656"/>
        <w:spacing w:after="0"/>
        <w:tabs>
          <w:tab w:leader="none" w:pos="1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 Event of Default then exists or would arise as a result of the consummation of such Specified</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Transaction,</w:t>
      </w:r>
    </w:p>
    <w:p>
      <w:pPr>
        <w:spacing w:after="0" w:line="200" w:lineRule="exact"/>
        <w:rPr>
          <w:sz w:val="20"/>
          <w:szCs w:val="20"/>
          <w:color w:val="auto"/>
        </w:rPr>
      </w:pPr>
    </w:p>
    <w:p>
      <w:pPr>
        <w:ind w:left="1960" w:hanging="656"/>
        <w:spacing w:after="0"/>
        <w:tabs>
          <w:tab w:leader="none" w:pos="1960" w:val="left"/>
        </w:tabs>
        <w:numPr>
          <w:ilvl w:val="1"/>
          <w:numId w:val="33"/>
        </w:numPr>
        <w:rPr>
          <w:rFonts w:ascii="Arial" w:cs="Arial" w:eastAsia="Arial" w:hAnsi="Arial"/>
          <w:sz w:val="20"/>
          <w:szCs w:val="20"/>
          <w:color w:val="auto"/>
        </w:rPr>
      </w:pPr>
      <w:r>
        <w:rPr>
          <w:rFonts w:ascii="Arial" w:cs="Arial" w:eastAsia="Arial" w:hAnsi="Arial"/>
          <w:sz w:val="20"/>
          <w:szCs w:val="20"/>
          <w:color w:val="auto"/>
        </w:rPr>
        <w:t>either</w:t>
      </w:r>
    </w:p>
    <w:p>
      <w:pPr>
        <w:spacing w:after="0" w:line="215" w:lineRule="exact"/>
        <w:rPr>
          <w:rFonts w:ascii="Arial" w:cs="Arial" w:eastAsia="Arial" w:hAnsi="Arial"/>
          <w:sz w:val="20"/>
          <w:szCs w:val="20"/>
          <w:color w:val="auto"/>
        </w:rPr>
      </w:pPr>
    </w:p>
    <w:p>
      <w:pPr>
        <w:jc w:val="both"/>
        <w:ind w:firstLine="1952"/>
        <w:spacing w:after="0" w:line="306" w:lineRule="auto"/>
        <w:tabs>
          <w:tab w:leader="none" w:pos="2592" w:val="left"/>
        </w:tabs>
        <w:numPr>
          <w:ilvl w:val="2"/>
          <w:numId w:val="33"/>
        </w:numPr>
        <w:rPr>
          <w:rFonts w:ascii="Arial" w:cs="Arial" w:eastAsia="Arial" w:hAnsi="Arial"/>
          <w:sz w:val="16"/>
          <w:szCs w:val="16"/>
          <w:color w:val="auto"/>
        </w:rPr>
      </w:pPr>
      <w:r>
        <w:rPr>
          <w:rFonts w:ascii="Arial" w:cs="Arial" w:eastAsia="Arial" w:hAnsi="Arial"/>
          <w:sz w:val="16"/>
          <w:szCs w:val="16"/>
          <w:color w:val="auto"/>
        </w:rPr>
        <w:t xml:space="preserve">Excess Availability (x) at all times during the 30 consecutive days immediately preceding the date of such proposed payment and the consummation of such Specified Transaction, calculated on a </w:t>
      </w:r>
      <w:r>
        <w:rPr>
          <w:rFonts w:ascii="Arial" w:cs="Arial" w:eastAsia="Arial" w:hAnsi="Arial"/>
          <w:sz w:val="16"/>
          <w:szCs w:val="16"/>
          <w:i w:val="1"/>
          <w:iCs w:val="1"/>
          <w:color w:val="auto"/>
        </w:rPr>
        <w:t>pro forma basis</w:t>
      </w:r>
      <w:r>
        <w:rPr>
          <w:rFonts w:ascii="Arial" w:cs="Arial" w:eastAsia="Arial" w:hAnsi="Arial"/>
          <w:sz w:val="16"/>
          <w:szCs w:val="16"/>
          <w:color w:val="auto"/>
        </w:rPr>
        <w:t xml:space="preserve"> as if such proposed payment was made, and the Specified Transaction was consummated, on the first day of such period, and</w:t>
      </w:r>
    </w:p>
    <w:p>
      <w:pPr>
        <w:ind w:firstLine="8"/>
        <w:spacing w:after="0" w:line="244" w:lineRule="auto"/>
        <w:tabs>
          <w:tab w:leader="none" w:pos="318" w:val="left"/>
        </w:tabs>
        <w:numPr>
          <w:ilvl w:val="0"/>
          <w:numId w:val="34"/>
        </w:numPr>
        <w:rPr>
          <w:rFonts w:ascii="Arial" w:cs="Arial" w:eastAsia="Arial" w:hAnsi="Arial"/>
          <w:sz w:val="20"/>
          <w:szCs w:val="20"/>
          <w:color w:val="auto"/>
        </w:rPr>
      </w:pPr>
      <w:r>
        <w:rPr>
          <w:rFonts w:ascii="Arial" w:cs="Arial" w:eastAsia="Arial" w:hAnsi="Arial"/>
          <w:sz w:val="20"/>
          <w:szCs w:val="20"/>
          <w:color w:val="auto"/>
        </w:rPr>
        <w:t>after giving effect to such proposed payment and Specified Transaction, in each case, is not less than 20% of the Maximum Revolver Amount, or</w:t>
      </w:r>
    </w:p>
    <w:p>
      <w:pPr>
        <w:spacing w:after="0" w:line="191" w:lineRule="exact"/>
        <w:rPr>
          <w:rFonts w:ascii="Arial" w:cs="Arial" w:eastAsia="Arial" w:hAnsi="Arial"/>
          <w:sz w:val="20"/>
          <w:szCs w:val="20"/>
          <w:color w:val="auto"/>
        </w:rPr>
      </w:pPr>
    </w:p>
    <w:p>
      <w:pPr>
        <w:jc w:val="both"/>
        <w:ind w:firstLine="1952"/>
        <w:spacing w:after="0" w:line="271" w:lineRule="auto"/>
        <w:tabs>
          <w:tab w:leader="none" w:pos="2592" w:val="left"/>
        </w:tabs>
        <w:numPr>
          <w:ilvl w:val="2"/>
          <w:numId w:val="34"/>
        </w:numPr>
        <w:rPr>
          <w:rFonts w:ascii="Arial" w:cs="Arial" w:eastAsia="Arial" w:hAnsi="Arial"/>
          <w:sz w:val="18"/>
          <w:szCs w:val="18"/>
          <w:color w:val="auto"/>
        </w:rPr>
      </w:pPr>
      <w:r>
        <w:rPr>
          <w:rFonts w:ascii="Arial" w:cs="Arial" w:eastAsia="Arial" w:hAnsi="Arial"/>
          <w:sz w:val="18"/>
          <w:szCs w:val="18"/>
          <w:color w:val="auto"/>
        </w:rPr>
        <w:t xml:space="preserve">both (A) the Fixed Charge Coverage Ratio of the Loan Parties and their Subsidiaries is equal to or greater than 1.20:1.00 for the trailing 12 month period most recently ended for which financial statements are required to have been delivered to Agent pursuant to </w:t>
      </w:r>
      <w:r>
        <w:rPr>
          <w:rFonts w:ascii="Arial" w:cs="Arial" w:eastAsia="Arial" w:hAnsi="Arial"/>
          <w:sz w:val="18"/>
          <w:szCs w:val="18"/>
          <w:u w:val="single" w:color="auto"/>
          <w:color w:val="auto"/>
        </w:rPr>
        <w:t>Schedule 5.1</w:t>
      </w:r>
      <w:r>
        <w:rPr>
          <w:rFonts w:ascii="Arial" w:cs="Arial" w:eastAsia="Arial" w:hAnsi="Arial"/>
          <w:sz w:val="18"/>
          <w:szCs w:val="18"/>
          <w:color w:val="auto"/>
        </w:rPr>
        <w:t xml:space="preserve"> to this Agreement (calculated on a pro forma basis as if such proposed payment is made on the last day of such 12 month period (it being understood that such proposed payment shall also be made on the last day of such 12 month period for purposes of calculating the Fixed Charge Coverage Ratio under this clause (ii) for any subsequent proposed payment to fund a Specified Transaction)), and (B) Excess Availability, (x) at all times during the 30 consecutive days immediately preceding the date of such proposed payment and the consummation of such Specified Transaction, calculated on a </w:t>
      </w:r>
      <w:r>
        <w:rPr>
          <w:rFonts w:ascii="Arial" w:cs="Arial" w:eastAsia="Arial" w:hAnsi="Arial"/>
          <w:sz w:val="18"/>
          <w:szCs w:val="18"/>
          <w:i w:val="1"/>
          <w:iCs w:val="1"/>
          <w:color w:val="auto"/>
        </w:rPr>
        <w:t>pro forma basis</w:t>
      </w:r>
      <w:r>
        <w:rPr>
          <w:rFonts w:ascii="Arial" w:cs="Arial" w:eastAsia="Arial" w:hAnsi="Arial"/>
          <w:sz w:val="18"/>
          <w:szCs w:val="18"/>
          <w:color w:val="auto"/>
        </w:rPr>
        <w:t xml:space="preserve"> as if such proposed payment was made, and the Specified Transaction was consummated, on the first day of such period, and (y) after giving effect to such proposed payment and Specified Transaction, in each case, is not less than 17.5% of the Maximum Revolver Amount, and</w:t>
      </w:r>
    </w:p>
    <w:p>
      <w:pPr>
        <w:spacing w:after="0" w:line="173" w:lineRule="exact"/>
        <w:rPr>
          <w:rFonts w:ascii="Arial" w:cs="Arial" w:eastAsia="Arial" w:hAnsi="Arial"/>
          <w:sz w:val="18"/>
          <w:szCs w:val="18"/>
          <w:color w:val="auto"/>
        </w:rPr>
      </w:pPr>
    </w:p>
    <w:p>
      <w:pPr>
        <w:ind w:firstLine="1304"/>
        <w:spacing w:after="0" w:line="260" w:lineRule="auto"/>
        <w:tabs>
          <w:tab w:leader="none" w:pos="1944" w:val="left"/>
        </w:tabs>
        <w:numPr>
          <w:ilvl w:val="1"/>
          <w:numId w:val="34"/>
        </w:numPr>
        <w:rPr>
          <w:rFonts w:ascii="Arial" w:cs="Arial" w:eastAsia="Arial" w:hAnsi="Arial"/>
          <w:sz w:val="20"/>
          <w:szCs w:val="20"/>
          <w:color w:val="auto"/>
        </w:rPr>
      </w:pPr>
      <w:r>
        <w:rPr>
          <w:rFonts w:ascii="Arial" w:cs="Arial" w:eastAsia="Arial" w:hAnsi="Arial"/>
          <w:sz w:val="20"/>
          <w:szCs w:val="20"/>
          <w:color w:val="auto"/>
        </w:rPr>
        <w:t>Administrative Borrower has delivered a certificate to Agent certifying that all conditions described in clauses (a) and (b) above have been satisfied.</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Payment Recipient</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17.16</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Perfection Certificate</w:t>
      </w:r>
      <w:r>
        <w:rPr>
          <w:rFonts w:ascii="Arial" w:cs="Arial" w:eastAsia="Arial" w:hAnsi="Arial"/>
          <w:sz w:val="20"/>
          <w:szCs w:val="20"/>
          <w:color w:val="auto"/>
        </w:rPr>
        <w:t xml:space="preserve">” means a certificate in the form of </w:t>
      </w:r>
      <w:r>
        <w:rPr>
          <w:rFonts w:ascii="Arial" w:cs="Arial" w:eastAsia="Arial" w:hAnsi="Arial"/>
          <w:sz w:val="20"/>
          <w:szCs w:val="20"/>
          <w:u w:val="single" w:color="auto"/>
          <w:color w:val="auto"/>
        </w:rPr>
        <w:t>Exhibit P-1</w:t>
      </w:r>
      <w:r>
        <w:rPr>
          <w:rFonts w:ascii="Arial" w:cs="Arial" w:eastAsia="Arial" w:hAnsi="Arial"/>
          <w:sz w:val="20"/>
          <w:szCs w:val="20"/>
          <w:color w:val="auto"/>
        </w:rPr>
        <w:t xml:space="preserve"> to this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Acquisition</w:t>
      </w:r>
      <w:r>
        <w:rPr>
          <w:rFonts w:ascii="Arial" w:cs="Arial" w:eastAsia="Arial" w:hAnsi="Arial"/>
          <w:sz w:val="20"/>
          <w:szCs w:val="20"/>
          <w:color w:val="auto"/>
        </w:rPr>
        <w:t>” means any Acquisition so long as:</w:t>
      </w:r>
    </w:p>
    <w:p>
      <w:pPr>
        <w:spacing w:after="0" w:line="216" w:lineRule="exact"/>
        <w:rPr>
          <w:sz w:val="20"/>
          <w:szCs w:val="20"/>
          <w:color w:val="auto"/>
        </w:rPr>
      </w:pPr>
    </w:p>
    <w:p>
      <w:pPr>
        <w:ind w:firstLine="1304"/>
        <w:spacing w:after="0" w:line="260" w:lineRule="auto"/>
        <w:tabs>
          <w:tab w:leader="none" w:pos="1944" w:val="left"/>
        </w:tabs>
        <w:numPr>
          <w:ilvl w:val="0"/>
          <w:numId w:val="35"/>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 or would result from the consummation of the proposed Acquisition and the proposed Acquisition is consensual,</w:t>
      </w:r>
    </w:p>
    <w:p>
      <w:pPr>
        <w:spacing w:after="0" w:line="176" w:lineRule="exact"/>
        <w:rPr>
          <w:rFonts w:ascii="Arial" w:cs="Arial" w:eastAsia="Arial" w:hAnsi="Arial"/>
          <w:sz w:val="20"/>
          <w:szCs w:val="20"/>
          <w:color w:val="auto"/>
        </w:rPr>
      </w:pPr>
    </w:p>
    <w:p>
      <w:pPr>
        <w:jc w:val="both"/>
        <w:ind w:firstLine="1304"/>
        <w:spacing w:after="0" w:line="246" w:lineRule="auto"/>
        <w:tabs>
          <w:tab w:leader="none" w:pos="1944" w:val="left"/>
        </w:tabs>
        <w:numPr>
          <w:ilvl w:val="0"/>
          <w:numId w:val="35"/>
        </w:numPr>
        <w:rPr>
          <w:rFonts w:ascii="Arial" w:cs="Arial" w:eastAsia="Arial" w:hAnsi="Arial"/>
          <w:sz w:val="20"/>
          <w:szCs w:val="20"/>
          <w:color w:val="auto"/>
        </w:rPr>
      </w:pPr>
      <w:r>
        <w:rPr>
          <w:rFonts w:ascii="Arial" w:cs="Arial" w:eastAsia="Arial" w:hAnsi="Arial"/>
          <w:sz w:val="20"/>
          <w:szCs w:val="20"/>
          <w:color w:val="auto"/>
        </w:rPr>
        <w:t>no Indebtedness will be incurred, assumed, or would exist with respect to any Loan Party or its Subsidiaries as a result of such Acquisition, other than Indebtedness permitted under clauses (f) or (g) of the definition of Permitted Indebtedness and no Liens will be incurred, assumed, or would exist with respect to the assets of any Loan Party or its Subsidiaries as a result of such Acquisition other than Permitted Liens,</w:t>
      </w:r>
    </w:p>
    <w:p>
      <w:pPr>
        <w:spacing w:after="0" w:line="191" w:lineRule="exact"/>
        <w:rPr>
          <w:rFonts w:ascii="Arial" w:cs="Arial" w:eastAsia="Arial" w:hAnsi="Arial"/>
          <w:sz w:val="20"/>
          <w:szCs w:val="20"/>
          <w:color w:val="auto"/>
        </w:rPr>
      </w:pPr>
    </w:p>
    <w:p>
      <w:pPr>
        <w:jc w:val="both"/>
        <w:ind w:firstLine="1304"/>
        <w:spacing w:after="0" w:line="246" w:lineRule="auto"/>
        <w:tabs>
          <w:tab w:leader="none" w:pos="1944" w:val="left"/>
        </w:tabs>
        <w:numPr>
          <w:ilvl w:val="0"/>
          <w:numId w:val="35"/>
        </w:numPr>
        <w:rPr>
          <w:rFonts w:ascii="Arial" w:cs="Arial" w:eastAsia="Arial" w:hAnsi="Arial"/>
          <w:sz w:val="20"/>
          <w:szCs w:val="20"/>
          <w:color w:val="auto"/>
        </w:rPr>
      </w:pPr>
      <w:r>
        <w:rPr>
          <w:rFonts w:ascii="Arial" w:cs="Arial" w:eastAsia="Arial" w:hAnsi="Arial"/>
          <w:sz w:val="20"/>
          <w:szCs w:val="20"/>
          <w:color w:val="auto"/>
        </w:rPr>
        <w:t xml:space="preserve">Borrowers have provided Agent with written confirmation, supported by reasonably detailed calculations, that on a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basis (including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adjustments arising out of events which are directly attributable to such proposed Acquisition, are factually supportable, and are expected to have a continuing impact, in each case, determined as if the combination had been accomplished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47" w:name="page48"/>
    <w:bookmarkEnd w:id="47"/>
    <w:p>
      <w:pPr>
        <w:jc w:val="both"/>
        <w:spacing w:after="0" w:line="255" w:lineRule="auto"/>
        <w:rPr>
          <w:sz w:val="20"/>
          <w:szCs w:val="20"/>
          <w:color w:val="auto"/>
        </w:rPr>
      </w:pPr>
      <w:r>
        <w:rPr>
          <w:rFonts w:ascii="Arial" w:cs="Arial" w:eastAsia="Arial" w:hAnsi="Arial"/>
          <w:sz w:val="19"/>
          <w:szCs w:val="19"/>
          <w:color w:val="auto"/>
        </w:rPr>
        <w:t xml:space="preserve">at the beginning of the relevant period; such eliminations and inclusions to be mutually and reasonably agreed upon by Borrowers and Agent) created by adding the historical combined financial statements of Borrowers (including the combined financial statements of any other Person or assets that were the subject of a prior Permitted Acquisition during the relevant period) to the historical consolidated financial statements of the Person to be acquired (or the historical financial statements related to the assets to be acquired) pursuant to the proposed Acquisition, the Loan Parties and their Subsidiaries (i) would have been in compliance with the financial covenant(s) in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of this Agreement for the fiscal month ended immediately prior to the proposed date of consummation of such proposed Acquisition regardless of whether such financial covenant(s) are required to be tested for such fiscal month, and (ii) are projected to be in compliance with the financial covenant(s) in </w:t>
      </w:r>
      <w:r>
        <w:rPr>
          <w:rFonts w:ascii="Arial" w:cs="Arial" w:eastAsia="Arial" w:hAnsi="Arial"/>
          <w:sz w:val="19"/>
          <w:szCs w:val="19"/>
          <w:u w:val="single" w:color="auto"/>
          <w:color w:val="auto"/>
        </w:rPr>
        <w:t>Section 7</w:t>
      </w:r>
      <w:r>
        <w:rPr>
          <w:rFonts w:ascii="Arial" w:cs="Arial" w:eastAsia="Arial" w:hAnsi="Arial"/>
          <w:sz w:val="19"/>
          <w:szCs w:val="19"/>
          <w:color w:val="auto"/>
        </w:rPr>
        <w:t xml:space="preserve"> of this Agreement for each of the twelve fiscal months in the period ended one year after the proposed date of consummation of such proposed Acquisition assuming that such financial covenant(s) will be required to be tested in each such fiscal month,</w:t>
      </w:r>
    </w:p>
    <w:p>
      <w:pPr>
        <w:spacing w:after="0" w:line="188" w:lineRule="exact"/>
        <w:rPr>
          <w:sz w:val="20"/>
          <w:szCs w:val="20"/>
          <w:color w:val="auto"/>
        </w:rPr>
      </w:pPr>
    </w:p>
    <w:p>
      <w:pPr>
        <w:jc w:val="both"/>
        <w:ind w:firstLine="1304"/>
        <w:spacing w:after="0" w:line="243" w:lineRule="auto"/>
        <w:tabs>
          <w:tab w:leader="none" w:pos="1944" w:val="left"/>
        </w:tabs>
        <w:numPr>
          <w:ilvl w:val="0"/>
          <w:numId w:val="36"/>
        </w:numPr>
        <w:rPr>
          <w:rFonts w:ascii="Arial" w:cs="Arial" w:eastAsia="Arial" w:hAnsi="Arial"/>
          <w:sz w:val="20"/>
          <w:szCs w:val="20"/>
          <w:color w:val="auto"/>
        </w:rPr>
      </w:pPr>
      <w:r>
        <w:rPr>
          <w:rFonts w:ascii="Arial" w:cs="Arial" w:eastAsia="Arial" w:hAnsi="Arial"/>
          <w:sz w:val="20"/>
          <w:szCs w:val="20"/>
          <w:color w:val="auto"/>
        </w:rPr>
        <w:t>Borrowers have provided Agent with its due diligence package relative to the proposed Acquisition, including forecasted balance sheets, profit and loss statements, and cash flow statements of the Person or assets to be acquired, all prepared on a basis consistent with such Person’s (or assets’) historical financial statements, together with appropriate supporting details and a statement of underlying assumptions for the one year period following the date of the proposed Acquisition, on a quarter by quarter basis), in form and substance (including as to scope and underlying assumptions) reasonably satisfactory to Agent,</w:t>
      </w:r>
    </w:p>
    <w:p>
      <w:pPr>
        <w:spacing w:after="0" w:line="195"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assets being acquired or the Person whose Equity Interests are being acquired did not have negative EBITDA during the 12 consecutive month period most recently concluded prior to the date of the proposed Acquisition,</w:t>
      </w:r>
    </w:p>
    <w:p>
      <w:pPr>
        <w:spacing w:after="0" w:line="185" w:lineRule="exact"/>
        <w:rPr>
          <w:rFonts w:ascii="Arial" w:cs="Arial" w:eastAsia="Arial" w:hAnsi="Arial"/>
          <w:sz w:val="20"/>
          <w:szCs w:val="20"/>
          <w:color w:val="auto"/>
        </w:rPr>
      </w:pPr>
    </w:p>
    <w:p>
      <w:pPr>
        <w:jc w:val="both"/>
        <w:ind w:firstLine="1304"/>
        <w:spacing w:after="0" w:line="282" w:lineRule="auto"/>
        <w:tabs>
          <w:tab w:leader="none" w:pos="19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Borrowers have provided Agent with written notice of the proposed Acquisition at least 15 Business Days prior to the anticipated closing date of the proposed Acquisition and, not later than five Business Days prior to the anticipated closing date of the proposed Acquisition, copies of the acquisition agreement and other material documents relative to the proposed Acquisition, which agreement and documents must be reasonably acceptable to Agent,</w:t>
      </w:r>
    </w:p>
    <w:p>
      <w:pPr>
        <w:spacing w:after="0" w:line="161" w:lineRule="exact"/>
        <w:rPr>
          <w:rFonts w:ascii="Arial" w:cs="Arial" w:eastAsia="Arial" w:hAnsi="Arial"/>
          <w:sz w:val="18"/>
          <w:szCs w:val="18"/>
          <w:color w:val="auto"/>
        </w:rPr>
      </w:pPr>
    </w:p>
    <w:p>
      <w:pPr>
        <w:jc w:val="both"/>
        <w:ind w:firstLine="1304"/>
        <w:spacing w:after="0" w:line="291" w:lineRule="auto"/>
        <w:tabs>
          <w:tab w:leader="none" w:pos="1944"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the assets being acquired (other than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of assets in relation to Borrowers’ and their Subsidiaries’ total assets), or the Person whose Equity Interests are being acquired, are useful in or engaged in, as applicable, the business of the Loan Parties and their Subsidiaries or a business reasonably related thereto,</w:t>
      </w:r>
    </w:p>
    <w:p>
      <w:pPr>
        <w:spacing w:after="0" w:line="151" w:lineRule="exact"/>
        <w:rPr>
          <w:rFonts w:ascii="Arial" w:cs="Arial" w:eastAsia="Arial" w:hAnsi="Arial"/>
          <w:sz w:val="18"/>
          <w:szCs w:val="18"/>
          <w:color w:val="auto"/>
        </w:rPr>
      </w:pPr>
    </w:p>
    <w:p>
      <w:pPr>
        <w:jc w:val="both"/>
        <w:ind w:firstLine="1304"/>
        <w:spacing w:after="0" w:line="250" w:lineRule="auto"/>
        <w:tabs>
          <w:tab w:leader="none" w:pos="1944" w:val="left"/>
        </w:tabs>
        <w:numPr>
          <w:ilvl w:val="0"/>
          <w:numId w:val="36"/>
        </w:numPr>
        <w:rPr>
          <w:rFonts w:ascii="Arial" w:cs="Arial" w:eastAsia="Arial" w:hAnsi="Arial"/>
          <w:sz w:val="20"/>
          <w:szCs w:val="20"/>
          <w:color w:val="auto"/>
        </w:rPr>
      </w:pPr>
      <w:r>
        <w:rPr>
          <w:rFonts w:ascii="Arial" w:cs="Arial" w:eastAsia="Arial" w:hAnsi="Arial"/>
          <w:sz w:val="20"/>
          <w:szCs w:val="20"/>
          <w:color w:val="auto"/>
        </w:rPr>
        <w:t xml:space="preserve">the assets being acquired (other than a </w:t>
      </w:r>
      <w:r>
        <w:rPr>
          <w:rFonts w:ascii="Arial" w:cs="Arial" w:eastAsia="Arial" w:hAnsi="Arial"/>
          <w:sz w:val="20"/>
          <w:szCs w:val="20"/>
          <w:i w:val="1"/>
          <w:iCs w:val="1"/>
          <w:color w:val="auto"/>
        </w:rPr>
        <w:t>de minimis</w:t>
      </w:r>
      <w:r>
        <w:rPr>
          <w:rFonts w:ascii="Arial" w:cs="Arial" w:eastAsia="Arial" w:hAnsi="Arial"/>
          <w:sz w:val="20"/>
          <w:szCs w:val="20"/>
          <w:color w:val="auto"/>
        </w:rPr>
        <w:t xml:space="preserve"> amount of assets in relation to the assets being acquired) are located within the United States or the Person whose Equity Interests are being acquired is organized in a jurisdiction located within the United States,</w:t>
      </w:r>
    </w:p>
    <w:p>
      <w:pPr>
        <w:spacing w:after="0" w:line="185" w:lineRule="exact"/>
        <w:rPr>
          <w:rFonts w:ascii="Arial" w:cs="Arial" w:eastAsia="Arial" w:hAnsi="Arial"/>
          <w:sz w:val="20"/>
          <w:szCs w:val="20"/>
          <w:color w:val="auto"/>
        </w:rPr>
      </w:pPr>
    </w:p>
    <w:p>
      <w:pPr>
        <w:jc w:val="both"/>
        <w:ind w:firstLine="1304"/>
        <w:spacing w:after="0" w:line="243" w:lineRule="auto"/>
        <w:tabs>
          <w:tab w:leader="none" w:pos="1944" w:val="left"/>
        </w:tabs>
        <w:numPr>
          <w:ilvl w:val="0"/>
          <w:numId w:val="36"/>
        </w:numPr>
        <w:rPr>
          <w:rFonts w:ascii="Arial" w:cs="Arial" w:eastAsia="Arial" w:hAnsi="Arial"/>
          <w:sz w:val="20"/>
          <w:szCs w:val="20"/>
          <w:color w:val="auto"/>
        </w:rPr>
      </w:pPr>
      <w:r>
        <w:rPr>
          <w:rFonts w:ascii="Arial" w:cs="Arial" w:eastAsia="Arial" w:hAnsi="Arial"/>
          <w:sz w:val="20"/>
          <w:szCs w:val="20"/>
          <w:color w:val="auto"/>
        </w:rPr>
        <w:t xml:space="preserve">the subject assets or Equity Interests, as applicable, are being acquired directly by a Borrower or one of its Subsidiaries that is a Loan Party, and, in connection therewith, the applicable Loan Party shall have complied with </w:t>
      </w:r>
      <w:r>
        <w:rPr>
          <w:rFonts w:ascii="Arial" w:cs="Arial" w:eastAsia="Arial" w:hAnsi="Arial"/>
          <w:sz w:val="20"/>
          <w:szCs w:val="20"/>
          <w:u w:val="single" w:color="auto"/>
          <w:color w:val="auto"/>
        </w:rPr>
        <w:t>Section 5.11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5.12</w:t>
      </w:r>
      <w:r>
        <w:rPr>
          <w:rFonts w:ascii="Arial" w:cs="Arial" w:eastAsia="Arial" w:hAnsi="Arial"/>
          <w:sz w:val="20"/>
          <w:szCs w:val="20"/>
          <w:color w:val="auto"/>
        </w:rPr>
        <w:t xml:space="preserve"> of this Agreement, as applicable, of this Agreement and, in the case of an acquisition of Equity Interests, the Person whose Equity Interests are acquired shall become a Loan Party and the applicable Loan Party shall have demonstrated to Agent that the new Loan Parties have received consideration sufficient to make the joinder documents binding and enforceable against such new Loan Parties,</w:t>
      </w:r>
    </w:p>
    <w:p>
      <w:pPr>
        <w:spacing w:after="0" w:line="195" w:lineRule="exact"/>
        <w:rPr>
          <w:rFonts w:ascii="Arial" w:cs="Arial" w:eastAsia="Arial" w:hAnsi="Arial"/>
          <w:sz w:val="20"/>
          <w:szCs w:val="20"/>
          <w:color w:val="auto"/>
        </w:rPr>
      </w:pPr>
    </w:p>
    <w:p>
      <w:pPr>
        <w:ind w:firstLine="1304"/>
        <w:spacing w:after="0" w:line="260" w:lineRule="auto"/>
        <w:tabs>
          <w:tab w:leader="none" w:pos="1944" w:val="left"/>
        </w:tabs>
        <w:numPr>
          <w:ilvl w:val="0"/>
          <w:numId w:val="36"/>
        </w:numPr>
        <w:rPr>
          <w:rFonts w:ascii="Arial" w:cs="Arial" w:eastAsia="Arial" w:hAnsi="Arial"/>
          <w:sz w:val="20"/>
          <w:szCs w:val="20"/>
          <w:color w:val="auto"/>
        </w:rPr>
      </w:pPr>
      <w:r>
        <w:rPr>
          <w:rFonts w:ascii="Arial" w:cs="Arial" w:eastAsia="Arial" w:hAnsi="Arial"/>
          <w:sz w:val="20"/>
          <w:szCs w:val="20"/>
          <w:color w:val="auto"/>
        </w:rPr>
        <w:t>the purchase consideration payable in respect of all Permitted Acquisitions (including the proposed Acquisition and including deferred payment obligations) shall not exceed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48" w:name="page49"/>
    <w:bookmarkEnd w:id="48"/>
    <w:p>
      <w:pPr>
        <w:spacing w:after="0" w:line="261" w:lineRule="auto"/>
        <w:rPr>
          <w:sz w:val="20"/>
          <w:szCs w:val="20"/>
          <w:color w:val="auto"/>
        </w:rPr>
      </w:pPr>
      <w:r>
        <w:rPr>
          <w:rFonts w:ascii="Arial" w:cs="Arial" w:eastAsia="Arial" w:hAnsi="Arial"/>
          <w:sz w:val="20"/>
          <w:szCs w:val="20"/>
          <w:color w:val="auto"/>
        </w:rPr>
        <w:t xml:space="preserve">$100,000,000 in the aggregate; </w:t>
      </w:r>
      <w:r>
        <w:rPr>
          <w:rFonts w:ascii="Arial" w:cs="Arial" w:eastAsia="Arial" w:hAnsi="Arial"/>
          <w:sz w:val="20"/>
          <w:szCs w:val="20"/>
          <w:u w:val="single" w:color="auto"/>
          <w:color w:val="auto"/>
        </w:rPr>
        <w:t>provided</w:t>
      </w:r>
      <w:r>
        <w:rPr>
          <w:rFonts w:ascii="Arial" w:cs="Arial" w:eastAsia="Arial" w:hAnsi="Arial"/>
          <w:sz w:val="20"/>
          <w:szCs w:val="20"/>
          <w:color w:val="auto"/>
        </w:rPr>
        <w:t>, that the purchase consideration payable in respect of any single Acquisition or series of related Acquisitions shall not exceed $50,000,000 in the aggregate, and</w:t>
      </w:r>
    </w:p>
    <w:p>
      <w:pPr>
        <w:spacing w:after="0" w:line="176" w:lineRule="exact"/>
        <w:rPr>
          <w:sz w:val="20"/>
          <w:szCs w:val="20"/>
          <w:color w:val="auto"/>
        </w:rPr>
      </w:pPr>
    </w:p>
    <w:p>
      <w:pPr>
        <w:ind w:left="1960" w:hanging="656"/>
        <w:spacing w:after="0"/>
        <w:tabs>
          <w:tab w:leader="none" w:pos="1960" w:val="left"/>
        </w:tabs>
        <w:numPr>
          <w:ilvl w:val="0"/>
          <w:numId w:val="37"/>
        </w:numPr>
        <w:rPr>
          <w:rFonts w:ascii="Arial" w:cs="Arial" w:eastAsia="Arial" w:hAnsi="Arial"/>
          <w:sz w:val="20"/>
          <w:szCs w:val="20"/>
          <w:color w:val="auto"/>
        </w:rPr>
      </w:pPr>
      <w:r>
        <w:rPr>
          <w:rFonts w:ascii="Arial" w:cs="Arial" w:eastAsia="Arial" w:hAnsi="Arial"/>
          <w:sz w:val="20"/>
          <w:szCs w:val="20"/>
          <w:color w:val="auto"/>
        </w:rPr>
        <w:t>the Payment Conditions are satisfied.</w:t>
      </w:r>
    </w:p>
    <w:p>
      <w:pPr>
        <w:spacing w:after="0" w:line="216"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Borrowing Base Liens</w:t>
      </w:r>
      <w:r>
        <w:rPr>
          <w:rFonts w:ascii="Arial" w:cs="Arial" w:eastAsia="Arial" w:hAnsi="Arial"/>
          <w:sz w:val="20"/>
          <w:szCs w:val="20"/>
          <w:color w:val="auto"/>
        </w:rPr>
        <w:t>” means in each case, solely to the extent any such Lien arises by operation of law:</w:t>
      </w:r>
    </w:p>
    <w:p>
      <w:pPr>
        <w:spacing w:after="0" w:line="177" w:lineRule="exact"/>
        <w:rPr>
          <w:sz w:val="20"/>
          <w:szCs w:val="20"/>
          <w:color w:val="auto"/>
        </w:rPr>
      </w:pPr>
    </w:p>
    <w:p>
      <w:pPr>
        <w:jc w:val="both"/>
        <w:ind w:firstLine="1304"/>
        <w:spacing w:after="0" w:line="269" w:lineRule="auto"/>
        <w:tabs>
          <w:tab w:leader="none" w:pos="1944" w:val="left"/>
        </w:tabs>
        <w:numPr>
          <w:ilvl w:val="0"/>
          <w:numId w:val="38"/>
        </w:numPr>
        <w:rPr>
          <w:rFonts w:ascii="Arial" w:cs="Arial" w:eastAsia="Arial" w:hAnsi="Arial"/>
          <w:sz w:val="19"/>
          <w:szCs w:val="19"/>
          <w:color w:val="auto"/>
        </w:rPr>
      </w:pPr>
      <w:r>
        <w:rPr>
          <w:rFonts w:ascii="Arial" w:cs="Arial" w:eastAsia="Arial" w:hAnsi="Arial"/>
          <w:sz w:val="19"/>
          <w:szCs w:val="19"/>
          <w:color w:val="auto"/>
        </w:rPr>
        <w:t>solely with respect to Inventory and M&amp;E, Liens imposed by law in favor of carriers, warehousemen, landlords, materialmen, customs brokers, laborers, or suppliers, incurred in the ordinary course of business and not in connection with the borrowing of money, and which Liens are for sums not yet delinquent;</w:t>
      </w:r>
    </w:p>
    <w:p>
      <w:pPr>
        <w:spacing w:after="0" w:line="169" w:lineRule="exact"/>
        <w:rPr>
          <w:rFonts w:ascii="Arial" w:cs="Arial" w:eastAsia="Arial" w:hAnsi="Arial"/>
          <w:sz w:val="19"/>
          <w:szCs w:val="19"/>
          <w:color w:val="auto"/>
        </w:rPr>
      </w:pPr>
    </w:p>
    <w:p>
      <w:pPr>
        <w:ind w:left="1960" w:hanging="656"/>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Liens for Taxes, assessments or other governmental charges or levies which are not yet due or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payable; and</w:t>
      </w:r>
    </w:p>
    <w:p>
      <w:pPr>
        <w:spacing w:after="0" w:line="199" w:lineRule="exact"/>
        <w:rPr>
          <w:rFonts w:ascii="Arial" w:cs="Arial" w:eastAsia="Arial" w:hAnsi="Arial"/>
          <w:sz w:val="18"/>
          <w:szCs w:val="18"/>
          <w:color w:val="auto"/>
        </w:rPr>
      </w:pPr>
    </w:p>
    <w:p>
      <w:pPr>
        <w:jc w:val="both"/>
        <w:ind w:firstLine="1304"/>
        <w:spacing w:after="0" w:line="250" w:lineRule="auto"/>
        <w:tabs>
          <w:tab w:leader="none" w:pos="1944" w:val="left"/>
        </w:tabs>
        <w:numPr>
          <w:ilvl w:val="0"/>
          <w:numId w:val="38"/>
        </w:numPr>
        <w:rPr>
          <w:rFonts w:ascii="Arial" w:cs="Arial" w:eastAsia="Arial" w:hAnsi="Arial"/>
          <w:sz w:val="20"/>
          <w:szCs w:val="20"/>
          <w:color w:val="auto"/>
        </w:rPr>
      </w:pPr>
      <w:r>
        <w:rPr>
          <w:rFonts w:ascii="Arial" w:cs="Arial" w:eastAsia="Arial" w:hAnsi="Arial"/>
          <w:sz w:val="20"/>
          <w:szCs w:val="20"/>
          <w:color w:val="auto"/>
        </w:rPr>
        <w:t>solely with respect to Inventory, any Liens in favor of customs and revenue authorities arising as a matter of law to secure payment of customs duties in connection with the importation of goods in the ordinary course of business.</w:t>
      </w:r>
    </w:p>
    <w:p>
      <w:pPr>
        <w:spacing w:after="0" w:line="186" w:lineRule="exact"/>
        <w:rPr>
          <w:sz w:val="20"/>
          <w:szCs w:val="20"/>
          <w:color w:val="auto"/>
        </w:rPr>
      </w:pPr>
    </w:p>
    <w:p>
      <w:pPr>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Discretion</w:t>
      </w:r>
      <w:r>
        <w:rPr>
          <w:rFonts w:ascii="Arial" w:cs="Arial" w:eastAsia="Arial" w:hAnsi="Arial"/>
          <w:sz w:val="20"/>
          <w:szCs w:val="20"/>
          <w:color w:val="auto"/>
        </w:rPr>
        <w:t>” means a determination made in good faith and the exercise of reasonable (from the perspective of a secured asset-based lender) business judgment.</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Dispositions</w:t>
      </w:r>
      <w:r>
        <w:rPr>
          <w:rFonts w:ascii="Arial" w:cs="Arial" w:eastAsia="Arial" w:hAnsi="Arial"/>
          <w:sz w:val="20"/>
          <w:szCs w:val="20"/>
          <w:color w:val="auto"/>
        </w:rPr>
        <w:t>” means:</w:t>
      </w:r>
    </w:p>
    <w:p>
      <w:pPr>
        <w:spacing w:after="0" w:line="216" w:lineRule="exact"/>
        <w:rPr>
          <w:sz w:val="20"/>
          <w:szCs w:val="20"/>
          <w:color w:val="auto"/>
        </w:rPr>
      </w:pPr>
    </w:p>
    <w:p>
      <w:pPr>
        <w:jc w:val="both"/>
        <w:ind w:firstLine="1304"/>
        <w:spacing w:after="0" w:line="246" w:lineRule="auto"/>
        <w:tabs>
          <w:tab w:leader="none" w:pos="1944" w:val="left"/>
        </w:tabs>
        <w:numPr>
          <w:ilvl w:val="0"/>
          <w:numId w:val="39"/>
        </w:numPr>
        <w:rPr>
          <w:rFonts w:ascii="Arial" w:cs="Arial" w:eastAsia="Arial" w:hAnsi="Arial"/>
          <w:sz w:val="20"/>
          <w:szCs w:val="20"/>
          <w:color w:val="auto"/>
        </w:rPr>
      </w:pPr>
      <w:r>
        <w:rPr>
          <w:rFonts w:ascii="Arial" w:cs="Arial" w:eastAsia="Arial" w:hAnsi="Arial"/>
          <w:sz w:val="20"/>
          <w:szCs w:val="20"/>
          <w:color w:val="auto"/>
        </w:rPr>
        <w:t>sales, abandonment, or other dispositions of Equipment that is substantially worn, damaged, surplus or obsolete or no longer used or useful in the ordinary course of business (other than Eligible M&amp;E and Eligible New Equipment) and leases or subleases of Real Property not useful in the conduct of the business of the Loan Parties and their Subsidiaries,</w:t>
      </w:r>
    </w:p>
    <w:p>
      <w:pPr>
        <w:spacing w:after="0" w:line="191" w:lineRule="exact"/>
        <w:rPr>
          <w:rFonts w:ascii="Arial" w:cs="Arial" w:eastAsia="Arial" w:hAnsi="Arial"/>
          <w:sz w:val="20"/>
          <w:szCs w:val="20"/>
          <w:color w:val="auto"/>
        </w:rPr>
      </w:pPr>
    </w:p>
    <w:p>
      <w:pPr>
        <w:ind w:left="1960" w:hanging="656"/>
        <w:spacing w:after="0"/>
        <w:tabs>
          <w:tab w:leader="none" w:pos="19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sales of Inventory to buyers in the ordinary course of business,</w:t>
      </w:r>
    </w:p>
    <w:p>
      <w:pPr>
        <w:spacing w:after="0" w:line="215" w:lineRule="exact"/>
        <w:rPr>
          <w:rFonts w:ascii="Arial" w:cs="Arial" w:eastAsia="Arial" w:hAnsi="Arial"/>
          <w:sz w:val="20"/>
          <w:szCs w:val="20"/>
          <w:color w:val="auto"/>
        </w:rPr>
      </w:pPr>
    </w:p>
    <w:p>
      <w:pPr>
        <w:ind w:firstLine="1304"/>
        <w:spacing w:after="0" w:line="260" w:lineRule="auto"/>
        <w:tabs>
          <w:tab w:leader="none" w:pos="1944"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use or transfer of money or Cash Equivalents in a manner that is not prohibited by the terms of this Agreement or the other Loan Documents,</w:t>
      </w:r>
    </w:p>
    <w:p>
      <w:pPr>
        <w:spacing w:after="0" w:line="176" w:lineRule="exact"/>
        <w:rPr>
          <w:rFonts w:ascii="Arial" w:cs="Arial" w:eastAsia="Arial" w:hAnsi="Arial"/>
          <w:sz w:val="20"/>
          <w:szCs w:val="20"/>
          <w:color w:val="auto"/>
        </w:rPr>
      </w:pPr>
    </w:p>
    <w:p>
      <w:pPr>
        <w:ind w:firstLine="1304"/>
        <w:spacing w:after="0" w:line="260" w:lineRule="auto"/>
        <w:tabs>
          <w:tab w:leader="none" w:pos="1944"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licensing, on a non-exclusive basis, of patents, trademarks, copyrights, and other intellectual property rights in the ordinary course of business,</w:t>
      </w:r>
    </w:p>
    <w:p>
      <w:pPr>
        <w:spacing w:after="0" w:line="176" w:lineRule="exact"/>
        <w:rPr>
          <w:rFonts w:ascii="Arial" w:cs="Arial" w:eastAsia="Arial" w:hAnsi="Arial"/>
          <w:sz w:val="20"/>
          <w:szCs w:val="20"/>
          <w:color w:val="auto"/>
        </w:rPr>
      </w:pPr>
    </w:p>
    <w:p>
      <w:pPr>
        <w:ind w:left="1960" w:hanging="656"/>
        <w:spacing w:after="0"/>
        <w:tabs>
          <w:tab w:leader="none" w:pos="19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granting of Permitted Liens,</w:t>
      </w:r>
    </w:p>
    <w:p>
      <w:pPr>
        <w:spacing w:after="0" w:line="215" w:lineRule="exact"/>
        <w:rPr>
          <w:rFonts w:ascii="Arial" w:cs="Arial" w:eastAsia="Arial" w:hAnsi="Arial"/>
          <w:sz w:val="20"/>
          <w:szCs w:val="20"/>
          <w:color w:val="auto"/>
        </w:rPr>
      </w:pPr>
    </w:p>
    <w:p>
      <w:pPr>
        <w:ind w:firstLine="1304"/>
        <w:spacing w:after="0" w:line="287" w:lineRule="auto"/>
        <w:tabs>
          <w:tab w:leader="none" w:pos="1944"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sale or discount, in each case without recourse, of accounts receivable (other than Eligible Accounts) arising in the ordinary course of business, but only in connection with the compromise or collection thereof,</w:t>
      </w:r>
    </w:p>
    <w:p>
      <w:pPr>
        <w:spacing w:after="0" w:line="152" w:lineRule="exact"/>
        <w:rPr>
          <w:rFonts w:ascii="Arial" w:cs="Arial" w:eastAsia="Arial" w:hAnsi="Arial"/>
          <w:sz w:val="19"/>
          <w:szCs w:val="19"/>
          <w:color w:val="auto"/>
        </w:rPr>
      </w:pPr>
    </w:p>
    <w:p>
      <w:pPr>
        <w:ind w:left="1960" w:hanging="656"/>
        <w:spacing w:after="0"/>
        <w:tabs>
          <w:tab w:leader="none" w:pos="1960" w:val="left"/>
        </w:tabs>
        <w:numPr>
          <w:ilvl w:val="0"/>
          <w:numId w:val="39"/>
        </w:numPr>
        <w:rPr>
          <w:rFonts w:ascii="Arial" w:cs="Arial" w:eastAsia="Arial" w:hAnsi="Arial"/>
          <w:sz w:val="20"/>
          <w:szCs w:val="20"/>
          <w:color w:val="auto"/>
        </w:rPr>
      </w:pPr>
      <w:r>
        <w:rPr>
          <w:rFonts w:ascii="Arial" w:cs="Arial" w:eastAsia="Arial" w:hAnsi="Arial"/>
          <w:sz w:val="20"/>
          <w:szCs w:val="20"/>
          <w:color w:val="auto"/>
        </w:rPr>
        <w:t>any involuntary loss, damage or destruction of property,</w:t>
      </w:r>
    </w:p>
    <w:p>
      <w:pPr>
        <w:spacing w:after="0" w:line="215" w:lineRule="exact"/>
        <w:rPr>
          <w:rFonts w:ascii="Arial" w:cs="Arial" w:eastAsia="Arial" w:hAnsi="Arial"/>
          <w:sz w:val="20"/>
          <w:szCs w:val="20"/>
          <w:color w:val="auto"/>
        </w:rPr>
      </w:pPr>
    </w:p>
    <w:p>
      <w:pPr>
        <w:ind w:firstLine="1304"/>
        <w:spacing w:after="0" w:line="260" w:lineRule="auto"/>
        <w:tabs>
          <w:tab w:leader="none" w:pos="1944" w:val="left"/>
        </w:tabs>
        <w:numPr>
          <w:ilvl w:val="0"/>
          <w:numId w:val="39"/>
        </w:numPr>
        <w:rPr>
          <w:rFonts w:ascii="Arial" w:cs="Arial" w:eastAsia="Arial" w:hAnsi="Arial"/>
          <w:sz w:val="20"/>
          <w:szCs w:val="20"/>
          <w:color w:val="auto"/>
        </w:rPr>
      </w:pPr>
      <w:r>
        <w:rPr>
          <w:rFonts w:ascii="Arial" w:cs="Arial" w:eastAsia="Arial" w:hAnsi="Arial"/>
          <w:sz w:val="20"/>
          <w:szCs w:val="20"/>
          <w:color w:val="auto"/>
        </w:rPr>
        <w:t>any involuntary condemnation, seizure or taking, by exercise of the power of eminent domain or otherwise, or confiscation or requisition of use of property,</w:t>
      </w:r>
    </w:p>
    <w:p>
      <w:pPr>
        <w:spacing w:after="0" w:line="176" w:lineRule="exact"/>
        <w:rPr>
          <w:rFonts w:ascii="Arial" w:cs="Arial" w:eastAsia="Arial" w:hAnsi="Arial"/>
          <w:sz w:val="20"/>
          <w:szCs w:val="20"/>
          <w:color w:val="auto"/>
        </w:rPr>
      </w:pPr>
    </w:p>
    <w:p>
      <w:pPr>
        <w:ind w:firstLine="1304"/>
        <w:spacing w:after="0" w:line="260" w:lineRule="auto"/>
        <w:tabs>
          <w:tab w:leader="none" w:pos="1944" w:val="left"/>
        </w:tabs>
        <w:numPr>
          <w:ilvl w:val="0"/>
          <w:numId w:val="39"/>
        </w:numPr>
        <w:rPr>
          <w:rFonts w:ascii="Arial" w:cs="Arial" w:eastAsia="Arial" w:hAnsi="Arial"/>
          <w:sz w:val="20"/>
          <w:szCs w:val="20"/>
          <w:color w:val="auto"/>
        </w:rPr>
      </w:pPr>
      <w:r>
        <w:rPr>
          <w:rFonts w:ascii="Arial" w:cs="Arial" w:eastAsia="Arial" w:hAnsi="Arial"/>
          <w:sz w:val="20"/>
          <w:szCs w:val="20"/>
          <w:color w:val="auto"/>
        </w:rPr>
        <w:t>the leasing or subleasing of assets of any Loan Party or its Subsidiaries in the ordinary course of business (other than Eligible M&amp;E and Eligible New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49" w:name="page50"/>
    <w:bookmarkEnd w:id="49"/>
    <w:p>
      <w:pPr>
        <w:ind w:left="1300"/>
        <w:spacing w:after="0"/>
        <w:tabs>
          <w:tab w:leader="none" w:pos="1940" w:val="left"/>
        </w:tabs>
        <w:rPr>
          <w:sz w:val="20"/>
          <w:szCs w:val="20"/>
          <w:color w:val="auto"/>
        </w:rPr>
      </w:pPr>
      <w:r>
        <w:rPr>
          <w:rFonts w:ascii="Arial" w:cs="Arial" w:eastAsia="Arial" w:hAnsi="Arial"/>
          <w:sz w:val="18"/>
          <w:szCs w:val="18"/>
          <w:color w:val="auto"/>
        </w:rPr>
        <w:t>(j)</w:t>
      </w:r>
      <w:r>
        <w:rPr>
          <w:sz w:val="20"/>
          <w:szCs w:val="20"/>
          <w:color w:val="auto"/>
        </w:rPr>
        <w:tab/>
      </w:r>
      <w:r>
        <w:rPr>
          <w:rFonts w:ascii="Arial" w:cs="Arial" w:eastAsia="Arial" w:hAnsi="Arial"/>
          <w:sz w:val="18"/>
          <w:szCs w:val="18"/>
          <w:color w:val="auto"/>
        </w:rPr>
        <w:t>the sale or issuance of Equity Interests (other than Disqualified Equity Interests) of Administrative</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Borrower,</w:t>
      </w:r>
    </w:p>
    <w:p>
      <w:pPr>
        <w:spacing w:after="0" w:line="200" w:lineRule="exact"/>
        <w:rPr>
          <w:sz w:val="20"/>
          <w:szCs w:val="20"/>
          <w:color w:val="auto"/>
        </w:rPr>
      </w:pPr>
    </w:p>
    <w:p>
      <w:pPr>
        <w:jc w:val="both"/>
        <w:ind w:firstLine="1304"/>
        <w:spacing w:after="0" w:line="278" w:lineRule="auto"/>
        <w:tabs>
          <w:tab w:leader="none" w:pos="1944"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the lapse of registered patents, trademarks, copyrights and other intellectual property of any Loan Party or any of its Subsidiaries to the extent not economically desirable in the conduct of its business, or (ii) the abandonment of patents, trademarks, copyrights, or other intellectual property rights in the ordinary course of business so long as (in each case under clauses (i) and (ii)), (A) with respect to copyrights, such copyrights are not material revenue generating copyrights, and (B) such lapse is not materially adverse to the interests of the Lender Group,</w:t>
      </w:r>
    </w:p>
    <w:p>
      <w:pPr>
        <w:spacing w:after="0" w:line="164" w:lineRule="exact"/>
        <w:rPr>
          <w:rFonts w:ascii="Arial" w:cs="Arial" w:eastAsia="Arial" w:hAnsi="Arial"/>
          <w:sz w:val="18"/>
          <w:szCs w:val="18"/>
          <w:color w:val="auto"/>
        </w:rPr>
      </w:pPr>
    </w:p>
    <w:p>
      <w:pPr>
        <w:ind w:left="1960" w:hanging="656"/>
        <w:spacing w:after="0"/>
        <w:tabs>
          <w:tab w:leader="none" w:pos="1960" w:val="left"/>
        </w:tabs>
        <w:numPr>
          <w:ilvl w:val="0"/>
          <w:numId w:val="40"/>
        </w:numPr>
        <w:rPr>
          <w:rFonts w:ascii="Arial" w:cs="Arial" w:eastAsia="Arial" w:hAnsi="Arial"/>
          <w:sz w:val="19"/>
          <w:szCs w:val="19"/>
          <w:color w:val="auto"/>
        </w:rPr>
      </w:pPr>
      <w:r>
        <w:rPr>
          <w:rFonts w:ascii="Arial" w:cs="Arial" w:eastAsia="Arial" w:hAnsi="Arial"/>
          <w:sz w:val="19"/>
          <w:szCs w:val="19"/>
          <w:color w:val="auto"/>
        </w:rPr>
        <w:t>the making of Restricted Payments that are expressly permitted to be made pursuant to this</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Agreement,</w:t>
      </w:r>
    </w:p>
    <w:p>
      <w:pPr>
        <w:spacing w:after="0" w:line="199" w:lineRule="exact"/>
        <w:rPr>
          <w:rFonts w:ascii="Arial" w:cs="Arial" w:eastAsia="Arial" w:hAnsi="Arial"/>
          <w:sz w:val="19"/>
          <w:szCs w:val="19"/>
          <w:color w:val="auto"/>
        </w:rPr>
      </w:pPr>
    </w:p>
    <w:p>
      <w:pPr>
        <w:ind w:left="1960" w:hanging="656"/>
        <w:spacing w:after="0"/>
        <w:tabs>
          <w:tab w:leader="none" w:pos="1960"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making of Permitted Investments,</w:t>
      </w:r>
    </w:p>
    <w:p>
      <w:pPr>
        <w:spacing w:after="0" w:line="215" w:lineRule="exact"/>
        <w:rPr>
          <w:rFonts w:ascii="Arial" w:cs="Arial" w:eastAsia="Arial" w:hAnsi="Arial"/>
          <w:sz w:val="20"/>
          <w:szCs w:val="20"/>
          <w:color w:val="auto"/>
        </w:rPr>
      </w:pPr>
    </w:p>
    <w:p>
      <w:pPr>
        <w:jc w:val="both"/>
        <w:ind w:firstLine="1304"/>
        <w:spacing w:after="0" w:line="263" w:lineRule="auto"/>
        <w:tabs>
          <w:tab w:leader="none" w:pos="1944" w:val="left"/>
        </w:tabs>
        <w:numPr>
          <w:ilvl w:val="0"/>
          <w:numId w:val="40"/>
        </w:numPr>
        <w:rPr>
          <w:rFonts w:ascii="Arial" w:cs="Arial" w:eastAsia="Arial" w:hAnsi="Arial"/>
          <w:sz w:val="19"/>
          <w:szCs w:val="19"/>
          <w:color w:val="auto"/>
        </w:rPr>
      </w:pPr>
      <w:r>
        <w:rPr>
          <w:rFonts w:ascii="Arial" w:cs="Arial" w:eastAsia="Arial" w:hAnsi="Arial"/>
          <w:sz w:val="19"/>
          <w:szCs w:val="19"/>
          <w:color w:val="auto"/>
        </w:rPr>
        <w:t>so long as no Event of Default has occurred and is continuing or would immediately result therefrom, transfers of assets (i) from any Loan Party or any of its Subsidiaries (other than any Borrower with respect to any Eligible Inventory, Eligible Accounts, Eligible M&amp;E or Eligible New Equipment) to a Loan Party, and (ii) from any Subsidiary of any Loan Party that is not a Loan Party to any other Subsidiary of any Loan Party,</w:t>
      </w:r>
    </w:p>
    <w:p>
      <w:pPr>
        <w:spacing w:after="0" w:line="176" w:lineRule="exact"/>
        <w:rPr>
          <w:rFonts w:ascii="Arial" w:cs="Arial" w:eastAsia="Arial" w:hAnsi="Arial"/>
          <w:sz w:val="19"/>
          <w:szCs w:val="19"/>
          <w:color w:val="auto"/>
        </w:rPr>
      </w:pPr>
    </w:p>
    <w:p>
      <w:pPr>
        <w:jc w:val="both"/>
        <w:ind w:firstLine="1304"/>
        <w:spacing w:after="0" w:line="282" w:lineRule="auto"/>
        <w:tabs>
          <w:tab w:leader="none" w:pos="1944"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dispositions of Equipment or Real Property (other than Eligible M&amp;E and Eligible New Equipment) to the extent that (i) such property is exchanged for credit against the purchase price of similar replacement property, or (ii) the proceeds of such disposition are promptly applied to the purchase price of such replacement property; </w:t>
      </w:r>
      <w:r>
        <w:rPr>
          <w:rFonts w:ascii="Arial" w:cs="Arial" w:eastAsia="Arial" w:hAnsi="Arial"/>
          <w:sz w:val="18"/>
          <w:szCs w:val="18"/>
          <w:u w:val="single" w:color="auto"/>
          <w:color w:val="auto"/>
        </w:rPr>
        <w:t>provided</w:t>
      </w:r>
      <w:r>
        <w:rPr>
          <w:rFonts w:ascii="Arial" w:cs="Arial" w:eastAsia="Arial" w:hAnsi="Arial"/>
          <w:sz w:val="18"/>
          <w:szCs w:val="18"/>
          <w:color w:val="auto"/>
        </w:rPr>
        <w:t>, that to the extent the property being transferred constitutes Collateral, such replacement property shall constitute Collateral,</w:t>
      </w:r>
    </w:p>
    <w:p>
      <w:pPr>
        <w:spacing w:after="0" w:line="161" w:lineRule="exact"/>
        <w:rPr>
          <w:rFonts w:ascii="Arial" w:cs="Arial" w:eastAsia="Arial" w:hAnsi="Arial"/>
          <w:sz w:val="18"/>
          <w:szCs w:val="18"/>
          <w:color w:val="auto"/>
        </w:rPr>
      </w:pPr>
    </w:p>
    <w:p>
      <w:pPr>
        <w:jc w:val="both"/>
        <w:ind w:firstLine="1304"/>
        <w:spacing w:after="0" w:line="278" w:lineRule="auto"/>
        <w:tabs>
          <w:tab w:leader="none" w:pos="1944"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dispositions of assets acquired by the Loan Parties and their Subsidiaries pursuant to a Permitted Acquisition consummated within 12 months of the date of the proposed disposition so long as (i) the consideration received for the assets to be so disposed is at least equal to the fair market value of such assets, (ii) the assets to be so disposed are not necessary or economically desirable in connection with the business of the Loan Parties and their Subsidiaries, and (iii) the assets to be so disposed are readily identifiable as assets acquired pursuant to the subject Permitted Acquisition,</w:t>
      </w:r>
    </w:p>
    <w:p>
      <w:pPr>
        <w:spacing w:after="0" w:line="164" w:lineRule="exact"/>
        <w:rPr>
          <w:rFonts w:ascii="Arial" w:cs="Arial" w:eastAsia="Arial" w:hAnsi="Arial"/>
          <w:sz w:val="18"/>
          <w:szCs w:val="18"/>
          <w:color w:val="auto"/>
        </w:rPr>
      </w:pPr>
    </w:p>
    <w:p>
      <w:pPr>
        <w:jc w:val="both"/>
        <w:ind w:firstLine="1304"/>
        <w:spacing w:after="0" w:line="244" w:lineRule="auto"/>
        <w:tabs>
          <w:tab w:leader="none" w:pos="1944" w:val="left"/>
        </w:tabs>
        <w:numPr>
          <w:ilvl w:val="0"/>
          <w:numId w:val="40"/>
        </w:numPr>
        <w:rPr>
          <w:rFonts w:ascii="Arial" w:cs="Arial" w:eastAsia="Arial" w:hAnsi="Arial"/>
          <w:sz w:val="20"/>
          <w:szCs w:val="20"/>
          <w:color w:val="auto"/>
        </w:rPr>
      </w:pPr>
      <w:r>
        <w:rPr>
          <w:rFonts w:ascii="Arial" w:cs="Arial" w:eastAsia="Arial" w:hAnsi="Arial"/>
          <w:sz w:val="20"/>
          <w:szCs w:val="20"/>
          <w:color w:val="auto"/>
        </w:rPr>
        <w:t>the sale of Real Property that is not subject to Agent’s Lien (and any related fixtures) so long as (i) written notice thereof shall be provided to the Agent at least ten (10) days in advance thereof, (ii) such sale shall be on commercially reasonable prices and terms (including receiving consideration no less than the current market value) in a bona fide arm’s length transaction, and (iii) no Event of Default shall have then occurred and be continuing or would result therefrom, and</w:t>
      </w:r>
    </w:p>
    <w:p>
      <w:pPr>
        <w:spacing w:after="0" w:line="194" w:lineRule="exact"/>
        <w:rPr>
          <w:rFonts w:ascii="Arial" w:cs="Arial" w:eastAsia="Arial" w:hAnsi="Arial"/>
          <w:sz w:val="20"/>
          <w:szCs w:val="20"/>
          <w:color w:val="auto"/>
        </w:rPr>
      </w:pPr>
    </w:p>
    <w:p>
      <w:pPr>
        <w:jc w:val="both"/>
        <w:ind w:firstLine="1304"/>
        <w:spacing w:after="0" w:line="269" w:lineRule="auto"/>
        <w:tabs>
          <w:tab w:leader="none" w:pos="1944" w:val="left"/>
        </w:tabs>
        <w:numPr>
          <w:ilvl w:val="0"/>
          <w:numId w:val="40"/>
        </w:numPr>
        <w:rPr>
          <w:rFonts w:ascii="Arial" w:cs="Arial" w:eastAsia="Arial" w:hAnsi="Arial"/>
          <w:sz w:val="19"/>
          <w:szCs w:val="19"/>
          <w:color w:val="auto"/>
        </w:rPr>
      </w:pPr>
      <w:r>
        <w:rPr>
          <w:rFonts w:ascii="Arial" w:cs="Arial" w:eastAsia="Arial" w:hAnsi="Arial"/>
          <w:sz w:val="19"/>
          <w:szCs w:val="19"/>
          <w:color w:val="auto"/>
        </w:rPr>
        <w:t>sales or dispositions of fixed assets (including intangible property related to such fixed assets) not otherwise permitted in clauses (a) through (p) above so long as made at fair market value and the aggregate fair market value of all assets disposed of in fiscal year (including the proposed disposition) would not exceed $1,000,000;</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Indebtedness</w:t>
      </w:r>
      <w:r>
        <w:rPr>
          <w:rFonts w:ascii="Arial" w:cs="Arial" w:eastAsia="Arial" w:hAnsi="Arial"/>
          <w:sz w:val="20"/>
          <w:szCs w:val="20"/>
          <w:color w:val="auto"/>
        </w:rPr>
        <w:t>” means:</w:t>
      </w:r>
    </w:p>
    <w:p>
      <w:pPr>
        <w:spacing w:after="0" w:line="216" w:lineRule="exact"/>
        <w:rPr>
          <w:sz w:val="20"/>
          <w:szCs w:val="20"/>
          <w:color w:val="auto"/>
        </w:rPr>
      </w:pPr>
    </w:p>
    <w:p>
      <w:pPr>
        <w:ind w:left="1960" w:hanging="656"/>
        <w:spacing w:after="0"/>
        <w:tabs>
          <w:tab w:leader="none" w:pos="1960" w:val="left"/>
        </w:tabs>
        <w:numPr>
          <w:ilvl w:val="0"/>
          <w:numId w:val="41"/>
        </w:numPr>
        <w:rPr>
          <w:rFonts w:ascii="Arial" w:cs="Arial" w:eastAsia="Arial" w:hAnsi="Arial"/>
          <w:sz w:val="20"/>
          <w:szCs w:val="20"/>
          <w:color w:val="auto"/>
        </w:rPr>
      </w:pPr>
      <w:r>
        <w:rPr>
          <w:rFonts w:ascii="Arial" w:cs="Arial" w:eastAsia="Arial" w:hAnsi="Arial"/>
          <w:sz w:val="20"/>
          <w:szCs w:val="20"/>
          <w:color w:val="auto"/>
        </w:rPr>
        <w:t>Indebtedness in respect of the Obligations,</w:t>
      </w:r>
    </w:p>
    <w:p>
      <w:pPr>
        <w:spacing w:after="0" w:line="215" w:lineRule="exact"/>
        <w:rPr>
          <w:rFonts w:ascii="Arial" w:cs="Arial" w:eastAsia="Arial" w:hAnsi="Arial"/>
          <w:sz w:val="20"/>
          <w:szCs w:val="20"/>
          <w:color w:val="auto"/>
        </w:rPr>
      </w:pPr>
    </w:p>
    <w:p>
      <w:pPr>
        <w:ind w:firstLine="1304"/>
        <w:spacing w:after="0" w:line="260" w:lineRule="auto"/>
        <w:tabs>
          <w:tab w:leader="none" w:pos="1944" w:val="left"/>
        </w:tabs>
        <w:numPr>
          <w:ilvl w:val="0"/>
          <w:numId w:val="41"/>
        </w:numPr>
        <w:rPr>
          <w:rFonts w:ascii="Arial" w:cs="Arial" w:eastAsia="Arial" w:hAnsi="Arial"/>
          <w:sz w:val="20"/>
          <w:szCs w:val="20"/>
          <w:color w:val="auto"/>
        </w:rPr>
      </w:pPr>
      <w:r>
        <w:rPr>
          <w:rFonts w:ascii="Arial" w:cs="Arial" w:eastAsia="Arial" w:hAnsi="Arial"/>
          <w:sz w:val="20"/>
          <w:szCs w:val="20"/>
          <w:color w:val="auto"/>
        </w:rPr>
        <w:t xml:space="preserve">Indebtedness as of the Closing Date set forth on </w:t>
      </w:r>
      <w:r>
        <w:rPr>
          <w:rFonts w:ascii="Arial" w:cs="Arial" w:eastAsia="Arial" w:hAnsi="Arial"/>
          <w:sz w:val="20"/>
          <w:szCs w:val="20"/>
          <w:u w:val="single" w:color="auto"/>
          <w:color w:val="auto"/>
        </w:rPr>
        <w:t>Schedule 4.14</w:t>
      </w:r>
      <w:r>
        <w:rPr>
          <w:rFonts w:ascii="Arial" w:cs="Arial" w:eastAsia="Arial" w:hAnsi="Arial"/>
          <w:sz w:val="20"/>
          <w:szCs w:val="20"/>
          <w:color w:val="auto"/>
        </w:rPr>
        <w:t xml:space="preserve"> to this Agreement and any Refinancing Indebtedness in respect of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50" w:name="page51"/>
    <w:bookmarkEnd w:id="50"/>
    <w:p>
      <w:pPr>
        <w:ind w:left="1300"/>
        <w:spacing w:after="0"/>
        <w:tabs>
          <w:tab w:leader="none" w:pos="194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color w:val="auto"/>
        </w:rPr>
        <w:t>Permitted Purchase Money Indebtedness and any Refinancing Indebtedness in respect of such</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Indebtedness,</w:t>
      </w:r>
    </w:p>
    <w:p>
      <w:pPr>
        <w:spacing w:after="0" w:line="200" w:lineRule="exact"/>
        <w:rPr>
          <w:sz w:val="20"/>
          <w:szCs w:val="20"/>
          <w:color w:val="auto"/>
        </w:rPr>
      </w:pPr>
    </w:p>
    <w:p>
      <w:pPr>
        <w:ind w:left="1960" w:hanging="656"/>
        <w:spacing w:after="0"/>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Indebtedness arising in connection with the endorsement of instruments or other payment items for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deposit,</w:t>
      </w:r>
    </w:p>
    <w:p>
      <w:pPr>
        <w:spacing w:after="0" w:line="200" w:lineRule="exact"/>
        <w:rPr>
          <w:sz w:val="20"/>
          <w:szCs w:val="20"/>
          <w:color w:val="auto"/>
        </w:rPr>
      </w:pPr>
    </w:p>
    <w:p>
      <w:pPr>
        <w:jc w:val="both"/>
        <w:ind w:firstLine="1304"/>
        <w:spacing w:after="0" w:line="243" w:lineRule="auto"/>
        <w:tabs>
          <w:tab w:leader="none" w:pos="1944" w:val="left"/>
        </w:tabs>
        <w:numPr>
          <w:ilvl w:val="1"/>
          <w:numId w:val="43"/>
        </w:numPr>
        <w:rPr>
          <w:rFonts w:ascii="Arial" w:cs="Arial" w:eastAsia="Arial" w:hAnsi="Arial"/>
          <w:sz w:val="20"/>
          <w:szCs w:val="20"/>
          <w:color w:val="auto"/>
        </w:rPr>
      </w:pPr>
      <w:r>
        <w:rPr>
          <w:rFonts w:ascii="Arial" w:cs="Arial" w:eastAsia="Arial" w:hAnsi="Arial"/>
          <w:sz w:val="20"/>
          <w:szCs w:val="20"/>
          <w:color w:val="auto"/>
        </w:rPr>
        <w:t>Indebtedness consisting of (i) unsecured guarantees incurred in the ordinary course of business with respect to surety and appeal bonds, performance bonds, bid bonds, appeal bonds, completion guarantee and similar obligations; (ii) unsecured guarantees arising with respect to customary indemnification obligations to purchasers in connection with Permitted Dispositions; and (iii) unsecured guarantees with respect to Indebtedness of any Loan Party or one of its Subsidiaries, to the extent that the Person that is obligated under such guaranty could have incurred such underlying Indebtedness,</w:t>
      </w:r>
    </w:p>
    <w:p>
      <w:pPr>
        <w:spacing w:after="0" w:line="195" w:lineRule="exact"/>
        <w:rPr>
          <w:rFonts w:ascii="Arial" w:cs="Arial" w:eastAsia="Arial" w:hAnsi="Arial"/>
          <w:sz w:val="20"/>
          <w:szCs w:val="20"/>
          <w:color w:val="auto"/>
        </w:rPr>
      </w:pPr>
    </w:p>
    <w:p>
      <w:pPr>
        <w:jc w:val="both"/>
        <w:ind w:firstLine="1304"/>
        <w:spacing w:after="0" w:line="270" w:lineRule="auto"/>
        <w:tabs>
          <w:tab w:leader="none" w:pos="1944" w:val="left"/>
        </w:tabs>
        <w:numPr>
          <w:ilvl w:val="1"/>
          <w:numId w:val="43"/>
        </w:numPr>
        <w:rPr>
          <w:rFonts w:ascii="Arial" w:cs="Arial" w:eastAsia="Arial" w:hAnsi="Arial"/>
          <w:sz w:val="18"/>
          <w:szCs w:val="18"/>
          <w:color w:val="auto"/>
        </w:rPr>
      </w:pPr>
      <w:r>
        <w:rPr>
          <w:rFonts w:ascii="Arial" w:cs="Arial" w:eastAsia="Arial" w:hAnsi="Arial"/>
          <w:sz w:val="18"/>
          <w:szCs w:val="18"/>
          <w:color w:val="auto"/>
        </w:rPr>
        <w:t>unsecured Indebtedness of any Loan Party that is incurred on the date of the consummation of a Permitted Acquisition solely for the purpose of consummating such Permitted Acquisition so long as (i) no Event of Default has occurred and is continuing or would result therefrom, (ii) such unsecured Indebtedness is not incurred for working capital purposes, (iii) such unsecured Indebtedness does not mature prior to the date that is 6 months after the Maturity Date,</w:t>
      </w:r>
    </w:p>
    <w:p>
      <w:pPr>
        <w:spacing w:after="0" w:line="2" w:lineRule="exact"/>
        <w:rPr>
          <w:rFonts w:ascii="Arial" w:cs="Arial" w:eastAsia="Arial" w:hAnsi="Arial"/>
          <w:sz w:val="18"/>
          <w:szCs w:val="18"/>
          <w:color w:val="auto"/>
        </w:rPr>
      </w:pPr>
    </w:p>
    <w:p>
      <w:pPr>
        <w:jc w:val="both"/>
        <w:ind w:firstLine="8"/>
        <w:spacing w:after="0"/>
        <w:tabs>
          <w:tab w:leader="none" w:pos="340" w:val="left"/>
        </w:tabs>
        <w:numPr>
          <w:ilvl w:val="0"/>
          <w:numId w:val="44"/>
        </w:numPr>
        <w:rPr>
          <w:rFonts w:ascii="Arial" w:cs="Arial" w:eastAsia="Arial" w:hAnsi="Arial"/>
          <w:sz w:val="20"/>
          <w:szCs w:val="20"/>
          <w:color w:val="auto"/>
        </w:rPr>
      </w:pPr>
      <w:r>
        <w:rPr>
          <w:rFonts w:ascii="Arial" w:cs="Arial" w:eastAsia="Arial" w:hAnsi="Arial"/>
          <w:sz w:val="20"/>
          <w:szCs w:val="20"/>
          <w:color w:val="auto"/>
        </w:rPr>
        <w:t>such unsecured Indebtedness does not amortize until 6 months after the Maturity Date, (v) such unsecured Indebtedness does not provide for the payment of interest thereon in cash or Cash Equivalents prior to the date that is 6 months after the Maturity Date, and (vi) such Indebtedness is subordinated in right of payment to the Obligations on terms and conditions reasonably satisfactory to Agent and is otherwise on terms and conditions (including economic terms and absence of covenants) reasonably satisfactory to Agent,</w:t>
      </w:r>
    </w:p>
    <w:p>
      <w:pPr>
        <w:spacing w:after="0" w:line="197" w:lineRule="exact"/>
        <w:rPr>
          <w:rFonts w:ascii="Arial" w:cs="Arial" w:eastAsia="Arial" w:hAnsi="Arial"/>
          <w:sz w:val="20"/>
          <w:szCs w:val="20"/>
          <w:color w:val="auto"/>
        </w:rPr>
      </w:pPr>
    </w:p>
    <w:p>
      <w:pPr>
        <w:ind w:left="1960" w:hanging="656"/>
        <w:spacing w:after="0"/>
        <w:tabs>
          <w:tab w:leader="none" w:pos="1960" w:val="left"/>
        </w:tabs>
        <w:numPr>
          <w:ilvl w:val="1"/>
          <w:numId w:val="44"/>
        </w:numPr>
        <w:rPr>
          <w:rFonts w:ascii="Arial" w:cs="Arial" w:eastAsia="Arial" w:hAnsi="Arial"/>
          <w:sz w:val="19"/>
          <w:szCs w:val="19"/>
          <w:color w:val="auto"/>
        </w:rPr>
      </w:pPr>
      <w:r>
        <w:rPr>
          <w:rFonts w:ascii="Arial" w:cs="Arial" w:eastAsia="Arial" w:hAnsi="Arial"/>
          <w:sz w:val="19"/>
          <w:szCs w:val="19"/>
          <w:color w:val="auto"/>
        </w:rPr>
        <w:t>Acquired Indebtedness in an amount not to exceed $25,000,000 outstanding at any one time,</w:t>
      </w:r>
    </w:p>
    <w:p>
      <w:pPr>
        <w:spacing w:after="0" w:line="227" w:lineRule="exact"/>
        <w:rPr>
          <w:rFonts w:ascii="Arial" w:cs="Arial" w:eastAsia="Arial" w:hAnsi="Arial"/>
          <w:sz w:val="19"/>
          <w:szCs w:val="19"/>
          <w:color w:val="auto"/>
        </w:rPr>
      </w:pPr>
    </w:p>
    <w:p>
      <w:pPr>
        <w:ind w:firstLine="1304"/>
        <w:spacing w:after="0" w:line="260" w:lineRule="auto"/>
        <w:tabs>
          <w:tab w:leader="none" w:pos="1944" w:val="left"/>
        </w:tabs>
        <w:numPr>
          <w:ilvl w:val="1"/>
          <w:numId w:val="44"/>
        </w:numPr>
        <w:rPr>
          <w:rFonts w:ascii="Arial" w:cs="Arial" w:eastAsia="Arial" w:hAnsi="Arial"/>
          <w:sz w:val="20"/>
          <w:szCs w:val="20"/>
          <w:color w:val="auto"/>
        </w:rPr>
      </w:pPr>
      <w:r>
        <w:rPr>
          <w:rFonts w:ascii="Arial" w:cs="Arial" w:eastAsia="Arial" w:hAnsi="Arial"/>
          <w:sz w:val="20"/>
          <w:szCs w:val="20"/>
          <w:color w:val="auto"/>
        </w:rPr>
        <w:t>Indebtedness incurred in the ordinary course of business under surety and appeal bonds, performance bonds, bid bonds, completion guarantee and similar obligations,</w:t>
      </w:r>
    </w:p>
    <w:p>
      <w:pPr>
        <w:spacing w:after="0" w:line="176" w:lineRule="exact"/>
        <w:rPr>
          <w:rFonts w:ascii="Arial" w:cs="Arial" w:eastAsia="Arial" w:hAnsi="Arial"/>
          <w:sz w:val="20"/>
          <w:szCs w:val="20"/>
          <w:color w:val="auto"/>
        </w:rPr>
      </w:pPr>
    </w:p>
    <w:p>
      <w:pPr>
        <w:jc w:val="both"/>
        <w:ind w:firstLine="1304"/>
        <w:spacing w:after="0" w:line="246" w:lineRule="auto"/>
        <w:tabs>
          <w:tab w:leader="none" w:pos="1944" w:val="left"/>
        </w:tabs>
        <w:numPr>
          <w:ilvl w:val="1"/>
          <w:numId w:val="44"/>
        </w:numPr>
        <w:rPr>
          <w:rFonts w:ascii="Arial" w:cs="Arial" w:eastAsia="Arial" w:hAnsi="Arial"/>
          <w:sz w:val="20"/>
          <w:szCs w:val="20"/>
          <w:color w:val="auto"/>
        </w:rPr>
      </w:pPr>
      <w:r>
        <w:rPr>
          <w:rFonts w:ascii="Arial" w:cs="Arial" w:eastAsia="Arial" w:hAnsi="Arial"/>
          <w:sz w:val="20"/>
          <w:szCs w:val="20"/>
          <w:color w:val="auto"/>
        </w:rPr>
        <w:t>Indebtedness owed to any Person providing property, casualty, liability, or other insurance to any Loan Party or any of its Subsidiaries, so long as the amount of such Indebtedness is not in excess of the amount of the unpaid cost of, and shall be incurred only to defer the cost of, such insurance for the year in which such Indebtedness is incurred and such Indebtedness is outstanding only during such year,</w:t>
      </w:r>
    </w:p>
    <w:p>
      <w:pPr>
        <w:spacing w:after="0" w:line="191" w:lineRule="exact"/>
        <w:rPr>
          <w:rFonts w:ascii="Arial" w:cs="Arial" w:eastAsia="Arial" w:hAnsi="Arial"/>
          <w:sz w:val="20"/>
          <w:szCs w:val="20"/>
          <w:color w:val="auto"/>
        </w:rPr>
      </w:pPr>
    </w:p>
    <w:p>
      <w:pPr>
        <w:jc w:val="both"/>
        <w:ind w:firstLine="1304"/>
        <w:spacing w:after="0" w:line="269" w:lineRule="auto"/>
        <w:tabs>
          <w:tab w:leader="none" w:pos="1944" w:val="left"/>
        </w:tabs>
        <w:numPr>
          <w:ilvl w:val="1"/>
          <w:numId w:val="44"/>
        </w:numPr>
        <w:rPr>
          <w:rFonts w:ascii="Arial" w:cs="Arial" w:eastAsia="Arial" w:hAnsi="Arial"/>
          <w:sz w:val="19"/>
          <w:szCs w:val="19"/>
          <w:color w:val="auto"/>
        </w:rPr>
      </w:pPr>
      <w:r>
        <w:rPr>
          <w:rFonts w:ascii="Arial" w:cs="Arial" w:eastAsia="Arial" w:hAnsi="Arial"/>
          <w:sz w:val="19"/>
          <w:szCs w:val="19"/>
          <w:color w:val="auto"/>
        </w:rPr>
        <w:t>the incurrence by any Loan Party or its Subsidiaries of Indebtedness under Hedge Agreements that is incurred for the bona fide purpose of hedging the interest rate, commodity, or foreign currency risks associated with such Loan Party’s or such Subsidiary’s operations and not for speculative purposes,</w:t>
      </w:r>
    </w:p>
    <w:p>
      <w:pPr>
        <w:spacing w:after="0" w:line="169" w:lineRule="exact"/>
        <w:rPr>
          <w:rFonts w:ascii="Arial" w:cs="Arial" w:eastAsia="Arial" w:hAnsi="Arial"/>
          <w:sz w:val="19"/>
          <w:szCs w:val="19"/>
          <w:color w:val="auto"/>
        </w:rPr>
      </w:pPr>
    </w:p>
    <w:p>
      <w:pPr>
        <w:jc w:val="both"/>
        <w:ind w:firstLine="1304"/>
        <w:spacing w:after="0" w:line="250" w:lineRule="auto"/>
        <w:tabs>
          <w:tab w:leader="none" w:pos="1944" w:val="left"/>
        </w:tabs>
        <w:numPr>
          <w:ilvl w:val="1"/>
          <w:numId w:val="44"/>
        </w:numPr>
        <w:rPr>
          <w:rFonts w:ascii="Arial" w:cs="Arial" w:eastAsia="Arial" w:hAnsi="Arial"/>
          <w:sz w:val="20"/>
          <w:szCs w:val="20"/>
          <w:color w:val="auto"/>
        </w:rPr>
      </w:pPr>
      <w:r>
        <w:rPr>
          <w:rFonts w:ascii="Arial" w:cs="Arial" w:eastAsia="Arial" w:hAnsi="Arial"/>
          <w:sz w:val="20"/>
          <w:szCs w:val="20"/>
          <w:color w:val="auto"/>
        </w:rPr>
        <w:t>Indebtedness incurred in the ordinary course of business in respect of credit cards, credit card processing services, debit cards, stored value cards, commercial cards (including so-called “purchase cards”, “procurement cards” or “p-cards”), or Cash Management Services,</w:t>
      </w:r>
    </w:p>
    <w:p>
      <w:pPr>
        <w:spacing w:after="0" w:line="185" w:lineRule="exact"/>
        <w:rPr>
          <w:rFonts w:ascii="Arial" w:cs="Arial" w:eastAsia="Arial" w:hAnsi="Arial"/>
          <w:sz w:val="20"/>
          <w:szCs w:val="20"/>
          <w:color w:val="auto"/>
        </w:rPr>
      </w:pPr>
    </w:p>
    <w:p>
      <w:pPr>
        <w:jc w:val="both"/>
        <w:ind w:firstLine="1304"/>
        <w:spacing w:after="0" w:line="243" w:lineRule="auto"/>
        <w:tabs>
          <w:tab w:leader="none" w:pos="1944" w:val="left"/>
        </w:tabs>
        <w:numPr>
          <w:ilvl w:val="1"/>
          <w:numId w:val="44"/>
        </w:numPr>
        <w:rPr>
          <w:rFonts w:ascii="Arial" w:cs="Arial" w:eastAsia="Arial" w:hAnsi="Arial"/>
          <w:sz w:val="20"/>
          <w:szCs w:val="20"/>
          <w:color w:val="auto"/>
        </w:rPr>
      </w:pPr>
      <w:r>
        <w:rPr>
          <w:rFonts w:ascii="Arial" w:cs="Arial" w:eastAsia="Arial" w:hAnsi="Arial"/>
          <w:sz w:val="20"/>
          <w:szCs w:val="20"/>
          <w:color w:val="auto"/>
        </w:rPr>
        <w:t>unsecured Indebtedness of any Loan Party owing to employees, former employees, former officers, directors, or former directors (or any spouses, ex-spouses, or estates of any of the foregoing) incurred in connection with the repurchase or redemption by such Loan Party of the Equity Interests of Administrative Borrower that has been issued to such Persons, so long as (i) no Default or Event of Default has occurred and is continuing or would result from the incurrence of such Indebtedness, (ii) the aggregate amount of all such Indebtedness outstanding at any one time does not exceed $500,000, and (iii)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Indebtedness is subordinated in right of payment to the Obligations on terms and conditions reasonably acceptable to Agent,</w:t>
      </w:r>
    </w:p>
    <w:p>
      <w:pPr>
        <w:spacing w:after="0" w:line="240" w:lineRule="exact"/>
        <w:rPr>
          <w:sz w:val="20"/>
          <w:szCs w:val="20"/>
          <w:color w:val="auto"/>
        </w:rPr>
      </w:pPr>
    </w:p>
    <w:p>
      <w:pPr>
        <w:jc w:val="both"/>
        <w:ind w:firstLine="1304"/>
        <w:spacing w:after="0" w:line="250" w:lineRule="auto"/>
        <w:tabs>
          <w:tab w:leader="none" w:pos="1944" w:val="left"/>
        </w:tabs>
        <w:numPr>
          <w:ilvl w:val="0"/>
          <w:numId w:val="45"/>
        </w:numPr>
        <w:rPr>
          <w:rFonts w:ascii="Arial" w:cs="Arial" w:eastAsia="Arial" w:hAnsi="Arial"/>
          <w:sz w:val="20"/>
          <w:szCs w:val="20"/>
          <w:color w:val="auto"/>
        </w:rPr>
      </w:pPr>
      <w:r>
        <w:rPr>
          <w:rFonts w:ascii="Arial" w:cs="Arial" w:eastAsia="Arial" w:hAnsi="Arial"/>
          <w:sz w:val="20"/>
          <w:szCs w:val="20"/>
          <w:color w:val="auto"/>
        </w:rPr>
        <w:t>contingent liabilities in respect of any indemnification obligation, adjustment of purchase price, non-compete, or similar obligation of any Loan Party incurred in connection with the consummation of one or more Permitted Acquisitions,</w:t>
      </w:r>
    </w:p>
    <w:p>
      <w:pPr>
        <w:spacing w:after="0" w:line="185" w:lineRule="exact"/>
        <w:rPr>
          <w:rFonts w:ascii="Arial" w:cs="Arial" w:eastAsia="Arial" w:hAnsi="Arial"/>
          <w:sz w:val="20"/>
          <w:szCs w:val="20"/>
          <w:color w:val="auto"/>
        </w:rPr>
      </w:pPr>
    </w:p>
    <w:p>
      <w:pPr>
        <w:ind w:left="1960" w:hanging="656"/>
        <w:spacing w:after="0"/>
        <w:tabs>
          <w:tab w:leader="none" w:pos="19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Indebtedness comprising Permitted Investments,</w:t>
      </w:r>
    </w:p>
    <w:p>
      <w:pPr>
        <w:spacing w:after="0" w:line="215" w:lineRule="exact"/>
        <w:rPr>
          <w:rFonts w:ascii="Arial" w:cs="Arial" w:eastAsia="Arial" w:hAnsi="Arial"/>
          <w:sz w:val="20"/>
          <w:szCs w:val="20"/>
          <w:color w:val="auto"/>
        </w:rPr>
      </w:pPr>
    </w:p>
    <w:p>
      <w:pPr>
        <w:jc w:val="both"/>
        <w:ind w:firstLine="1304"/>
        <w:spacing w:after="0" w:line="269" w:lineRule="auto"/>
        <w:tabs>
          <w:tab w:leader="none" w:pos="1944" w:val="left"/>
        </w:tabs>
        <w:numPr>
          <w:ilvl w:val="0"/>
          <w:numId w:val="45"/>
        </w:numPr>
        <w:rPr>
          <w:rFonts w:ascii="Arial" w:cs="Arial" w:eastAsia="Arial" w:hAnsi="Arial"/>
          <w:sz w:val="19"/>
          <w:szCs w:val="19"/>
          <w:color w:val="auto"/>
        </w:rPr>
      </w:pPr>
      <w:r>
        <w:rPr>
          <w:rFonts w:ascii="Arial" w:cs="Arial" w:eastAsia="Arial" w:hAnsi="Arial"/>
          <w:sz w:val="19"/>
          <w:szCs w:val="19"/>
          <w:color w:val="auto"/>
        </w:rPr>
        <w:t>Indebtedness incurred in respect of netting services, overdraft protection, and other like services, in each case, incurred in the ordinary course of business; provided, that to the extent such Indebtedness is secured, such Liens shall be limited to those set forth in clauses (n) and (s) of the definition of Permitted Liens,</w:t>
      </w:r>
    </w:p>
    <w:p>
      <w:pPr>
        <w:spacing w:after="0" w:line="169" w:lineRule="exact"/>
        <w:rPr>
          <w:rFonts w:ascii="Arial" w:cs="Arial" w:eastAsia="Arial" w:hAnsi="Arial"/>
          <w:sz w:val="19"/>
          <w:szCs w:val="19"/>
          <w:color w:val="auto"/>
        </w:rPr>
      </w:pPr>
    </w:p>
    <w:p>
      <w:pPr>
        <w:jc w:val="both"/>
        <w:ind w:firstLine="1304"/>
        <w:spacing w:after="0" w:line="246" w:lineRule="auto"/>
        <w:tabs>
          <w:tab w:leader="none" w:pos="1944" w:val="left"/>
        </w:tabs>
        <w:numPr>
          <w:ilvl w:val="0"/>
          <w:numId w:val="45"/>
        </w:numPr>
        <w:rPr>
          <w:rFonts w:ascii="Arial" w:cs="Arial" w:eastAsia="Arial" w:hAnsi="Arial"/>
          <w:sz w:val="20"/>
          <w:szCs w:val="20"/>
          <w:color w:val="auto"/>
        </w:rPr>
      </w:pPr>
      <w:r>
        <w:rPr>
          <w:rFonts w:ascii="Arial" w:cs="Arial" w:eastAsia="Arial" w:hAnsi="Arial"/>
          <w:sz w:val="20"/>
          <w:szCs w:val="20"/>
          <w:color w:val="auto"/>
        </w:rPr>
        <w:t>unsecured Indebtedness of any Loan Party or its Subsidiaries in respect of Earn-Outs owing to sellers of assets or Equity Interests to such Loan Party or its Subsidiaries that is incurred in connection with the consummation of one or more Permitted Acquisitions so long as such unsecured Indebtedness is Subordinated Indebtedness or otherwise on terms and conditions reasonably acceptable to Agent,</w:t>
      </w:r>
    </w:p>
    <w:p>
      <w:pPr>
        <w:spacing w:after="0" w:line="191"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45"/>
        </w:numPr>
        <w:rPr>
          <w:rFonts w:ascii="Arial" w:cs="Arial" w:eastAsia="Arial" w:hAnsi="Arial"/>
          <w:sz w:val="20"/>
          <w:szCs w:val="20"/>
          <w:color w:val="auto"/>
        </w:rPr>
      </w:pPr>
      <w:r>
        <w:rPr>
          <w:rFonts w:ascii="Arial" w:cs="Arial" w:eastAsia="Arial" w:hAnsi="Arial"/>
          <w:sz w:val="20"/>
          <w:szCs w:val="20"/>
          <w:color w:val="auto"/>
        </w:rPr>
        <w:t xml:space="preserve">Indebtedness in an aggregate outstanding principal amount not to exceed $10,000,000 at any time outstanding for all Subsidiaries of each Loan Party that are CFCs; </w:t>
      </w:r>
      <w:r>
        <w:rPr>
          <w:rFonts w:ascii="Arial" w:cs="Arial" w:eastAsia="Arial" w:hAnsi="Arial"/>
          <w:sz w:val="20"/>
          <w:szCs w:val="20"/>
          <w:u w:val="single" w:color="auto"/>
          <w:color w:val="auto"/>
        </w:rPr>
        <w:t>provided</w:t>
      </w:r>
      <w:r>
        <w:rPr>
          <w:rFonts w:ascii="Arial" w:cs="Arial" w:eastAsia="Arial" w:hAnsi="Arial"/>
          <w:sz w:val="20"/>
          <w:szCs w:val="20"/>
          <w:color w:val="auto"/>
        </w:rPr>
        <w:t>, that such Indebtedness is not directly or indirectly recourse to any of the Loan Parties or of their respective assets,</w:t>
      </w:r>
    </w:p>
    <w:p>
      <w:pPr>
        <w:spacing w:after="0" w:line="185" w:lineRule="exact"/>
        <w:rPr>
          <w:rFonts w:ascii="Arial" w:cs="Arial" w:eastAsia="Arial" w:hAnsi="Arial"/>
          <w:sz w:val="20"/>
          <w:szCs w:val="20"/>
          <w:color w:val="auto"/>
        </w:rPr>
      </w:pPr>
    </w:p>
    <w:p>
      <w:pPr>
        <w:ind w:left="1960" w:hanging="656"/>
        <w:spacing w:after="0"/>
        <w:tabs>
          <w:tab w:leader="none" w:pos="1960" w:val="left"/>
        </w:tabs>
        <w:numPr>
          <w:ilvl w:val="0"/>
          <w:numId w:val="45"/>
        </w:numPr>
        <w:rPr>
          <w:rFonts w:ascii="Arial" w:cs="Arial" w:eastAsia="Arial" w:hAnsi="Arial"/>
          <w:sz w:val="20"/>
          <w:szCs w:val="20"/>
          <w:color w:val="auto"/>
        </w:rPr>
      </w:pPr>
      <w:r>
        <w:rPr>
          <w:rFonts w:ascii="Arial" w:cs="Arial" w:eastAsia="Arial" w:hAnsi="Arial"/>
          <w:sz w:val="20"/>
          <w:szCs w:val="20"/>
          <w:color w:val="auto"/>
        </w:rPr>
        <w:t>Subordinated Indebtedness,</w:t>
      </w:r>
    </w:p>
    <w:p>
      <w:pPr>
        <w:spacing w:after="0" w:line="215" w:lineRule="exact"/>
        <w:rPr>
          <w:rFonts w:ascii="Arial" w:cs="Arial" w:eastAsia="Arial" w:hAnsi="Arial"/>
          <w:sz w:val="20"/>
          <w:szCs w:val="20"/>
          <w:color w:val="auto"/>
        </w:rPr>
      </w:pPr>
    </w:p>
    <w:p>
      <w:pPr>
        <w:jc w:val="both"/>
        <w:ind w:firstLine="1304"/>
        <w:spacing w:after="0" w:line="246" w:lineRule="auto"/>
        <w:tabs>
          <w:tab w:leader="none" w:pos="1944" w:val="left"/>
        </w:tabs>
        <w:numPr>
          <w:ilvl w:val="0"/>
          <w:numId w:val="45"/>
        </w:numPr>
        <w:rPr>
          <w:rFonts w:ascii="Arial" w:cs="Arial" w:eastAsia="Arial" w:hAnsi="Arial"/>
          <w:sz w:val="20"/>
          <w:szCs w:val="20"/>
          <w:color w:val="auto"/>
        </w:rPr>
      </w:pPr>
      <w:r>
        <w:rPr>
          <w:rFonts w:ascii="Arial" w:cs="Arial" w:eastAsia="Arial" w:hAnsi="Arial"/>
          <w:sz w:val="20"/>
          <w:szCs w:val="20"/>
          <w:color w:val="auto"/>
        </w:rPr>
        <w:t>(i) the accretion or amortization of original issue discount on Indebtedness that is otherwise permitted under this Agreement and (ii) interest payments relative to existing Indebtedness that is otherwise permitted under this Agreement and that is capitalized to the principal amount of, or paid in the form of an additional issuance of, the underlying Indebtedness, and</w:t>
      </w:r>
    </w:p>
    <w:p>
      <w:pPr>
        <w:spacing w:after="0" w:line="191" w:lineRule="exact"/>
        <w:rPr>
          <w:rFonts w:ascii="Arial" w:cs="Arial" w:eastAsia="Arial" w:hAnsi="Arial"/>
          <w:sz w:val="20"/>
          <w:szCs w:val="20"/>
          <w:color w:val="auto"/>
        </w:rPr>
      </w:pPr>
    </w:p>
    <w:p>
      <w:pPr>
        <w:ind w:firstLine="1304"/>
        <w:spacing w:after="0" w:line="260" w:lineRule="auto"/>
        <w:tabs>
          <w:tab w:leader="none" w:pos="1944" w:val="left"/>
        </w:tabs>
        <w:numPr>
          <w:ilvl w:val="0"/>
          <w:numId w:val="45"/>
        </w:numPr>
        <w:rPr>
          <w:rFonts w:ascii="Arial" w:cs="Arial" w:eastAsia="Arial" w:hAnsi="Arial"/>
          <w:sz w:val="20"/>
          <w:szCs w:val="20"/>
          <w:color w:val="auto"/>
        </w:rPr>
      </w:pPr>
      <w:r>
        <w:rPr>
          <w:rFonts w:ascii="Arial" w:cs="Arial" w:eastAsia="Arial" w:hAnsi="Arial"/>
          <w:sz w:val="20"/>
          <w:szCs w:val="20"/>
          <w:color w:val="auto"/>
        </w:rPr>
        <w:t>any other unsecured Indebtedness incurred by any Loan Party or any of its Subsidiaries in an aggregate outstanding amount not to exceed $1,000,000 at any one time.</w:t>
      </w:r>
    </w:p>
    <w:p>
      <w:pPr>
        <w:spacing w:after="0" w:line="177" w:lineRule="exact"/>
        <w:rPr>
          <w:sz w:val="20"/>
          <w:szCs w:val="20"/>
          <w:color w:val="auto"/>
        </w:rPr>
      </w:pPr>
    </w:p>
    <w:p>
      <w:pPr>
        <w:jc w:val="both"/>
        <w:ind w:firstLine="1296"/>
        <w:spacing w:after="0" w:line="30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Intercompany Advances</w:t>
      </w:r>
      <w:r>
        <w:rPr>
          <w:rFonts w:ascii="Arial" w:cs="Arial" w:eastAsia="Arial" w:hAnsi="Arial"/>
          <w:sz w:val="16"/>
          <w:szCs w:val="16"/>
          <w:color w:val="auto"/>
        </w:rPr>
        <w:t>” means loans or Investments made by (a) a Loan Party to another Loan Party, (b) a Subsidiary of a Loan Party that is not a Loan Party to another Subsidiary of a Loan Party that is not a Loan Party,</w:t>
      </w:r>
    </w:p>
    <w:p>
      <w:pPr>
        <w:spacing w:after="0" w:line="1" w:lineRule="exact"/>
        <w:rPr>
          <w:sz w:val="20"/>
          <w:szCs w:val="20"/>
          <w:color w:val="auto"/>
        </w:rPr>
      </w:pPr>
    </w:p>
    <w:p>
      <w:pPr>
        <w:jc w:val="both"/>
        <w:ind w:firstLine="8"/>
        <w:spacing w:after="0" w:line="254" w:lineRule="auto"/>
        <w:tabs>
          <w:tab w:leader="none" w:pos="294" w:val="left"/>
        </w:tabs>
        <w:numPr>
          <w:ilvl w:val="0"/>
          <w:numId w:val="46"/>
        </w:numPr>
        <w:rPr>
          <w:rFonts w:ascii="Arial" w:cs="Arial" w:eastAsia="Arial" w:hAnsi="Arial"/>
          <w:sz w:val="19"/>
          <w:szCs w:val="19"/>
          <w:color w:val="auto"/>
        </w:rPr>
      </w:pPr>
      <w:r>
        <w:rPr>
          <w:rFonts w:ascii="Arial" w:cs="Arial" w:eastAsia="Arial" w:hAnsi="Arial"/>
          <w:sz w:val="19"/>
          <w:szCs w:val="19"/>
          <w:color w:val="auto"/>
        </w:rPr>
        <w:t>a Subsidiary of a Loan Party that is not a Loan Party to a Loan Party, so long as the parties thereto are party to the Intercompany Subordination Agreement, and (d) a Loan Party to a Subsidiary of a Loan Party that is not a Loan Party so long as (i) (A) other than the advance set forth in clause (B) below, the aggregate amount of all such loans or Investments (by type, not by the borrower) does not exceed $2,500,000 outstanding at any one time and (B) a one-time advance to Calavo de Mexico, S.A. de C.V. in an aggregate amount not to exceed $11,000,000 to be used solely for a tax settlement with the Mexican Federal Tax Administration Service, and (ii) in each case, at the time of the making of any such loan or Investment, no Event of Default has occurred and is continuing or would result therefrom.</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Investments</w:t>
      </w:r>
      <w:r>
        <w:rPr>
          <w:rFonts w:ascii="Arial" w:cs="Arial" w:eastAsia="Arial" w:hAnsi="Arial"/>
          <w:sz w:val="20"/>
          <w:szCs w:val="20"/>
          <w:color w:val="auto"/>
        </w:rPr>
        <w:t>” means:</w:t>
      </w:r>
    </w:p>
    <w:p>
      <w:pPr>
        <w:spacing w:after="0" w:line="216" w:lineRule="exact"/>
        <w:rPr>
          <w:sz w:val="20"/>
          <w:szCs w:val="20"/>
          <w:color w:val="auto"/>
        </w:rPr>
      </w:pPr>
    </w:p>
    <w:p>
      <w:pPr>
        <w:ind w:left="1960" w:hanging="656"/>
        <w:spacing w:after="0"/>
        <w:tabs>
          <w:tab w:leader="none" w:pos="1960" w:val="left"/>
        </w:tabs>
        <w:numPr>
          <w:ilvl w:val="0"/>
          <w:numId w:val="47"/>
        </w:numPr>
        <w:rPr>
          <w:rFonts w:ascii="Arial" w:cs="Arial" w:eastAsia="Arial" w:hAnsi="Arial"/>
          <w:sz w:val="20"/>
          <w:szCs w:val="20"/>
          <w:color w:val="auto"/>
        </w:rPr>
      </w:pPr>
      <w:r>
        <w:rPr>
          <w:rFonts w:ascii="Arial" w:cs="Arial" w:eastAsia="Arial" w:hAnsi="Arial"/>
          <w:sz w:val="20"/>
          <w:szCs w:val="20"/>
          <w:color w:val="auto"/>
        </w:rPr>
        <w:t>Investments in cash and Cash Equivalents,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77" w:lineRule="exact"/>
        <w:rPr>
          <w:rFonts w:ascii="Arial" w:cs="Arial" w:eastAsia="Arial" w:hAnsi="Arial"/>
          <w:sz w:val="20"/>
          <w:szCs w:val="20"/>
          <w:color w:val="auto"/>
        </w:rPr>
      </w:pPr>
    </w:p>
    <w:p>
      <w:pPr>
        <w:ind w:left="4800"/>
        <w:spacing w:after="0"/>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52" w:name="page53"/>
    <w:bookmarkEnd w:id="52"/>
    <w:p>
      <w:pPr>
        <w:ind w:left="1960" w:hanging="656"/>
        <w:spacing w:after="0"/>
        <w:tabs>
          <w:tab w:leader="none" w:pos="1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Investments in negotiable instruments deposited or to be deposited for collection in the ordinary</w:t>
      </w:r>
    </w:p>
    <w:p>
      <w:pPr>
        <w:spacing w:after="0" w:line="3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course of business,</w:t>
      </w:r>
    </w:p>
    <w:p>
      <w:pPr>
        <w:spacing w:after="0" w:line="199" w:lineRule="exact"/>
        <w:rPr>
          <w:rFonts w:ascii="Arial" w:cs="Arial" w:eastAsia="Arial" w:hAnsi="Arial"/>
          <w:sz w:val="18"/>
          <w:szCs w:val="18"/>
          <w:color w:val="auto"/>
        </w:rPr>
      </w:pPr>
    </w:p>
    <w:p>
      <w:pPr>
        <w:ind w:left="1960" w:hanging="656"/>
        <w:spacing w:after="0"/>
        <w:tabs>
          <w:tab w:leader="none" w:pos="19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advances made in connection with purchases of goods or services in the ordinary course of business,</w:t>
      </w:r>
    </w:p>
    <w:p>
      <w:pPr>
        <w:spacing w:after="0" w:line="261" w:lineRule="exact"/>
        <w:rPr>
          <w:rFonts w:ascii="Arial" w:cs="Arial" w:eastAsia="Arial" w:hAnsi="Arial"/>
          <w:sz w:val="16"/>
          <w:szCs w:val="16"/>
          <w:color w:val="auto"/>
        </w:rPr>
      </w:pPr>
    </w:p>
    <w:p>
      <w:pPr>
        <w:jc w:val="both"/>
        <w:ind w:firstLine="1304"/>
        <w:spacing w:after="0" w:line="246" w:lineRule="auto"/>
        <w:tabs>
          <w:tab w:leader="none" w:pos="1944" w:val="left"/>
        </w:tabs>
        <w:numPr>
          <w:ilvl w:val="0"/>
          <w:numId w:val="48"/>
        </w:numPr>
        <w:rPr>
          <w:rFonts w:ascii="Arial" w:cs="Arial" w:eastAsia="Arial" w:hAnsi="Arial"/>
          <w:sz w:val="20"/>
          <w:szCs w:val="20"/>
          <w:color w:val="auto"/>
        </w:rPr>
      </w:pPr>
      <w:r>
        <w:rPr>
          <w:rFonts w:ascii="Arial" w:cs="Arial" w:eastAsia="Arial" w:hAnsi="Arial"/>
          <w:sz w:val="20"/>
          <w:szCs w:val="20"/>
          <w:color w:val="auto"/>
        </w:rPr>
        <w:t>Investments received in settlement of amounts due to any Loan Party or any of its Subsidiaries effected in the ordinary course of business or owing to any Loan Party or any of its Subsidiaries as a result of Insolvency Proceedings involving an account debtor or upon the foreclosure or enforcement of any Lien in favor of a Loan Party or its Subsidiaries,</w:t>
      </w:r>
    </w:p>
    <w:p>
      <w:pPr>
        <w:spacing w:after="0" w:line="191" w:lineRule="exact"/>
        <w:rPr>
          <w:rFonts w:ascii="Arial" w:cs="Arial" w:eastAsia="Arial" w:hAnsi="Arial"/>
          <w:sz w:val="20"/>
          <w:szCs w:val="20"/>
          <w:color w:val="auto"/>
        </w:rPr>
      </w:pPr>
    </w:p>
    <w:p>
      <w:pPr>
        <w:ind w:firstLine="1304"/>
        <w:spacing w:after="0" w:line="260" w:lineRule="auto"/>
        <w:tabs>
          <w:tab w:leader="none" w:pos="1944" w:val="left"/>
        </w:tabs>
        <w:numPr>
          <w:ilvl w:val="0"/>
          <w:numId w:val="48"/>
        </w:numPr>
        <w:rPr>
          <w:rFonts w:ascii="Arial" w:cs="Arial" w:eastAsia="Arial" w:hAnsi="Arial"/>
          <w:sz w:val="20"/>
          <w:szCs w:val="20"/>
          <w:color w:val="auto"/>
        </w:rPr>
      </w:pPr>
      <w:r>
        <w:rPr>
          <w:rFonts w:ascii="Arial" w:cs="Arial" w:eastAsia="Arial" w:hAnsi="Arial"/>
          <w:sz w:val="20"/>
          <w:szCs w:val="20"/>
          <w:color w:val="auto"/>
        </w:rPr>
        <w:t xml:space="preserve">Investments owned by any Loan Party or any of its Subsidiaries on the Closing Date and set forth on </w:t>
      </w:r>
      <w:r>
        <w:rPr>
          <w:rFonts w:ascii="Arial" w:cs="Arial" w:eastAsia="Arial" w:hAnsi="Arial"/>
          <w:sz w:val="20"/>
          <w:szCs w:val="20"/>
          <w:u w:val="single" w:color="auto"/>
          <w:color w:val="auto"/>
        </w:rPr>
        <w:t>Schedule P-1</w:t>
      </w:r>
      <w:r>
        <w:rPr>
          <w:rFonts w:ascii="Arial" w:cs="Arial" w:eastAsia="Arial" w:hAnsi="Arial"/>
          <w:sz w:val="20"/>
          <w:szCs w:val="20"/>
          <w:color w:val="auto"/>
        </w:rPr>
        <w:t xml:space="preserve"> to this Agreement,</w:t>
      </w:r>
    </w:p>
    <w:p>
      <w:pPr>
        <w:spacing w:after="0" w:line="176" w:lineRule="exact"/>
        <w:rPr>
          <w:rFonts w:ascii="Arial" w:cs="Arial" w:eastAsia="Arial" w:hAnsi="Arial"/>
          <w:sz w:val="20"/>
          <w:szCs w:val="20"/>
          <w:color w:val="auto"/>
        </w:rPr>
      </w:pPr>
    </w:p>
    <w:p>
      <w:pPr>
        <w:ind w:left="1960" w:hanging="656"/>
        <w:spacing w:after="0"/>
        <w:tabs>
          <w:tab w:leader="none" w:pos="19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guarantees permitted under the definition of Permitted Indebtedness,</w:t>
      </w:r>
    </w:p>
    <w:p>
      <w:pPr>
        <w:spacing w:after="0" w:line="215" w:lineRule="exact"/>
        <w:rPr>
          <w:rFonts w:ascii="Arial" w:cs="Arial" w:eastAsia="Arial" w:hAnsi="Arial"/>
          <w:sz w:val="20"/>
          <w:szCs w:val="20"/>
          <w:color w:val="auto"/>
        </w:rPr>
      </w:pPr>
    </w:p>
    <w:p>
      <w:pPr>
        <w:ind w:left="1960" w:hanging="656"/>
        <w:spacing w:after="0"/>
        <w:tabs>
          <w:tab w:leader="none" w:pos="19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Permitted Intercompany Advances,</w:t>
      </w:r>
    </w:p>
    <w:p>
      <w:pPr>
        <w:spacing w:after="0" w:line="215" w:lineRule="exact"/>
        <w:rPr>
          <w:rFonts w:ascii="Arial" w:cs="Arial" w:eastAsia="Arial" w:hAnsi="Arial"/>
          <w:sz w:val="20"/>
          <w:szCs w:val="20"/>
          <w:color w:val="auto"/>
        </w:rPr>
      </w:pPr>
    </w:p>
    <w:p>
      <w:pPr>
        <w:jc w:val="both"/>
        <w:ind w:firstLine="1304"/>
        <w:spacing w:after="0" w:line="269" w:lineRule="auto"/>
        <w:tabs>
          <w:tab w:leader="none" w:pos="1944" w:val="left"/>
        </w:tabs>
        <w:numPr>
          <w:ilvl w:val="0"/>
          <w:numId w:val="48"/>
        </w:numPr>
        <w:rPr>
          <w:rFonts w:ascii="Arial" w:cs="Arial" w:eastAsia="Arial" w:hAnsi="Arial"/>
          <w:sz w:val="19"/>
          <w:szCs w:val="19"/>
          <w:color w:val="auto"/>
        </w:rPr>
      </w:pPr>
      <w:r>
        <w:rPr>
          <w:rFonts w:ascii="Arial" w:cs="Arial" w:eastAsia="Arial" w:hAnsi="Arial"/>
          <w:sz w:val="19"/>
          <w:szCs w:val="19"/>
          <w:color w:val="auto"/>
        </w:rPr>
        <w:t>Equity Interests, notes payable or other securities acquired in connection with the satisfaction or enforcement of Indebtedness or claims due or owing to a Loan Party or its Subsidiaries (in bankruptcy of customers or suppliers or otherwise outside the ordinary course of business) or as security for any such Indebtedness or claims,</w:t>
      </w:r>
    </w:p>
    <w:p>
      <w:pPr>
        <w:spacing w:after="0" w:line="169" w:lineRule="exact"/>
        <w:rPr>
          <w:rFonts w:ascii="Arial" w:cs="Arial" w:eastAsia="Arial" w:hAnsi="Arial"/>
          <w:sz w:val="19"/>
          <w:szCs w:val="19"/>
          <w:color w:val="auto"/>
        </w:rPr>
      </w:pPr>
    </w:p>
    <w:p>
      <w:pPr>
        <w:ind w:left="1960" w:hanging="656"/>
        <w:spacing w:after="0"/>
        <w:tabs>
          <w:tab w:leader="none" w:pos="19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deposits of cash made in the ordinary course of business to secure performance of operating leases,</w:t>
      </w:r>
    </w:p>
    <w:p>
      <w:pPr>
        <w:spacing w:after="0" w:line="261" w:lineRule="exact"/>
        <w:rPr>
          <w:rFonts w:ascii="Arial" w:cs="Arial" w:eastAsia="Arial" w:hAnsi="Arial"/>
          <w:sz w:val="16"/>
          <w:szCs w:val="16"/>
          <w:color w:val="auto"/>
        </w:rPr>
      </w:pPr>
    </w:p>
    <w:p>
      <w:pPr>
        <w:jc w:val="both"/>
        <w:ind w:firstLine="1304"/>
        <w:spacing w:after="0" w:line="260" w:lineRule="auto"/>
        <w:tabs>
          <w:tab w:leader="none" w:pos="1944" w:val="left"/>
        </w:tabs>
        <w:numPr>
          <w:ilvl w:val="0"/>
          <w:numId w:val="48"/>
        </w:numPr>
        <w:rPr>
          <w:rFonts w:ascii="Arial" w:cs="Arial" w:eastAsia="Arial" w:hAnsi="Arial"/>
          <w:sz w:val="19"/>
          <w:szCs w:val="19"/>
          <w:color w:val="auto"/>
        </w:rPr>
      </w:pPr>
      <w:r>
        <w:rPr>
          <w:rFonts w:ascii="Arial" w:cs="Arial" w:eastAsia="Arial" w:hAnsi="Arial"/>
          <w:sz w:val="19"/>
          <w:szCs w:val="19"/>
          <w:color w:val="auto"/>
        </w:rPr>
        <w:t>(i) non-cash loans and advances to employees, officers, and directors of a Loan Party or any of its Subsidiaries for the purpose of purchasing Equity Interests in Administrative Borrower so long as the proceeds of such loans are used in their entirety to purchase such Equity Interests in Administrative Borrower, and (ii) loans and advances to employees and officers of a Loan Party or any of its Subsidiaries in the ordinary course of business for any other business purpose and in an aggregate amount not to exceed $1,000,000 at any one time,</w:t>
      </w:r>
    </w:p>
    <w:p>
      <w:pPr>
        <w:spacing w:after="0" w:line="180" w:lineRule="exact"/>
        <w:rPr>
          <w:rFonts w:ascii="Arial" w:cs="Arial" w:eastAsia="Arial" w:hAnsi="Arial"/>
          <w:sz w:val="19"/>
          <w:szCs w:val="19"/>
          <w:color w:val="auto"/>
        </w:rPr>
      </w:pPr>
    </w:p>
    <w:p>
      <w:pPr>
        <w:ind w:left="1960" w:hanging="656"/>
        <w:spacing w:after="0"/>
        <w:tabs>
          <w:tab w:leader="none" w:pos="19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Permitted Acquisitions,</w:t>
      </w:r>
    </w:p>
    <w:p>
      <w:pPr>
        <w:spacing w:after="0" w:line="215"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48"/>
        </w:numPr>
        <w:rPr>
          <w:rFonts w:ascii="Arial" w:cs="Arial" w:eastAsia="Arial" w:hAnsi="Arial"/>
          <w:sz w:val="20"/>
          <w:szCs w:val="20"/>
          <w:color w:val="auto"/>
        </w:rPr>
      </w:pPr>
      <w:r>
        <w:rPr>
          <w:rFonts w:ascii="Arial" w:cs="Arial" w:eastAsia="Arial" w:hAnsi="Arial"/>
          <w:sz w:val="20"/>
          <w:szCs w:val="20"/>
          <w:color w:val="auto"/>
        </w:rPr>
        <w:t>Investments in the form of capital contributions and the acquisition of Equity Interests made by any Loan Party in any other Loan Party (other than capital contributions to or the acquisition of Equity Interests of Administrative Borrower),</w:t>
      </w:r>
    </w:p>
    <w:p>
      <w:pPr>
        <w:spacing w:after="0" w:line="185" w:lineRule="exact"/>
        <w:rPr>
          <w:rFonts w:ascii="Arial" w:cs="Arial" w:eastAsia="Arial" w:hAnsi="Arial"/>
          <w:sz w:val="20"/>
          <w:szCs w:val="20"/>
          <w:color w:val="auto"/>
        </w:rPr>
      </w:pPr>
    </w:p>
    <w:p>
      <w:pPr>
        <w:ind w:firstLine="1304"/>
        <w:spacing w:after="0" w:line="260" w:lineRule="auto"/>
        <w:tabs>
          <w:tab w:leader="none" w:pos="1944" w:val="left"/>
        </w:tabs>
        <w:numPr>
          <w:ilvl w:val="0"/>
          <w:numId w:val="48"/>
        </w:numPr>
        <w:rPr>
          <w:rFonts w:ascii="Arial" w:cs="Arial" w:eastAsia="Arial" w:hAnsi="Arial"/>
          <w:sz w:val="20"/>
          <w:szCs w:val="20"/>
          <w:color w:val="auto"/>
        </w:rPr>
      </w:pPr>
      <w:r>
        <w:rPr>
          <w:rFonts w:ascii="Arial" w:cs="Arial" w:eastAsia="Arial" w:hAnsi="Arial"/>
          <w:sz w:val="20"/>
          <w:szCs w:val="20"/>
          <w:color w:val="auto"/>
        </w:rPr>
        <w:t>Investments resulting from entering into (i) Bank Product Agreements, or (ii) agreements relative to obligations permitted under clause (j) of the definition of Permitted Indebtedness,</w:t>
      </w:r>
    </w:p>
    <w:p>
      <w:pPr>
        <w:spacing w:after="0" w:line="176" w:lineRule="exact"/>
        <w:rPr>
          <w:rFonts w:ascii="Arial" w:cs="Arial" w:eastAsia="Arial" w:hAnsi="Arial"/>
          <w:sz w:val="20"/>
          <w:szCs w:val="20"/>
          <w:color w:val="auto"/>
        </w:rPr>
      </w:pPr>
    </w:p>
    <w:p>
      <w:pPr>
        <w:ind w:firstLine="1304"/>
        <w:spacing w:after="0" w:line="287" w:lineRule="auto"/>
        <w:tabs>
          <w:tab w:leader="none" w:pos="1944" w:val="left"/>
        </w:tabs>
        <w:numPr>
          <w:ilvl w:val="0"/>
          <w:numId w:val="48"/>
        </w:numPr>
        <w:rPr>
          <w:rFonts w:ascii="Arial" w:cs="Arial" w:eastAsia="Arial" w:hAnsi="Arial"/>
          <w:sz w:val="19"/>
          <w:szCs w:val="19"/>
          <w:color w:val="auto"/>
        </w:rPr>
      </w:pPr>
      <w:r>
        <w:rPr>
          <w:rFonts w:ascii="Arial" w:cs="Arial" w:eastAsia="Arial" w:hAnsi="Arial"/>
          <w:sz w:val="19"/>
          <w:szCs w:val="19"/>
          <w:color w:val="auto"/>
        </w:rPr>
        <w:t>equity Investments by any Loan Party in any Subsidiary of such Loan Party which is required by law to maintain a minimum net capital requirement or as may be otherwise required by applicable law,</w:t>
      </w:r>
    </w:p>
    <w:p>
      <w:pPr>
        <w:spacing w:after="0" w:line="152" w:lineRule="exact"/>
        <w:rPr>
          <w:rFonts w:ascii="Arial" w:cs="Arial" w:eastAsia="Arial" w:hAnsi="Arial"/>
          <w:sz w:val="19"/>
          <w:szCs w:val="19"/>
          <w:color w:val="auto"/>
        </w:rPr>
      </w:pPr>
    </w:p>
    <w:p>
      <w:pPr>
        <w:jc w:val="both"/>
        <w:ind w:firstLine="1304"/>
        <w:spacing w:after="0" w:line="250" w:lineRule="auto"/>
        <w:tabs>
          <w:tab w:leader="none" w:pos="1944" w:val="left"/>
        </w:tabs>
        <w:numPr>
          <w:ilvl w:val="0"/>
          <w:numId w:val="48"/>
        </w:numPr>
        <w:rPr>
          <w:rFonts w:ascii="Arial" w:cs="Arial" w:eastAsia="Arial" w:hAnsi="Arial"/>
          <w:sz w:val="20"/>
          <w:szCs w:val="20"/>
          <w:color w:val="auto"/>
        </w:rPr>
      </w:pPr>
      <w:r>
        <w:rPr>
          <w:rFonts w:ascii="Arial" w:cs="Arial" w:eastAsia="Arial" w:hAnsi="Arial"/>
          <w:sz w:val="20"/>
          <w:szCs w:val="20"/>
          <w:color w:val="auto"/>
        </w:rPr>
        <w:t>Investments held by a Person acquired in a Permitted Acquisition to the extent that such Investments were not made in contemplation of or in connection with such Permitted Acquisition and were in existence on the date of such Permitted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53" w:name="page54"/>
    <w:bookmarkEnd w:id="53"/>
    <w:p>
      <w:pPr>
        <w:ind w:firstLine="1304"/>
        <w:spacing w:after="0" w:line="261" w:lineRule="auto"/>
        <w:tabs>
          <w:tab w:leader="none" w:pos="1944" w:val="left"/>
        </w:tabs>
        <w:numPr>
          <w:ilvl w:val="0"/>
          <w:numId w:val="49"/>
        </w:numPr>
        <w:rPr>
          <w:rFonts w:ascii="Arial" w:cs="Arial" w:eastAsia="Arial" w:hAnsi="Arial"/>
          <w:sz w:val="20"/>
          <w:szCs w:val="20"/>
          <w:color w:val="auto"/>
        </w:rPr>
      </w:pPr>
      <w:r>
        <w:rPr>
          <w:rFonts w:ascii="Arial" w:cs="Arial" w:eastAsia="Arial" w:hAnsi="Arial"/>
          <w:sz w:val="20"/>
          <w:szCs w:val="20"/>
          <w:color w:val="auto"/>
        </w:rPr>
        <w:t>so long as no Event of Default has occurred and is continuing or would result therefrom, any other Investments in an aggregate amount not to exceed $5,000,000 during the term of this Agreement,</w:t>
      </w:r>
    </w:p>
    <w:p>
      <w:pPr>
        <w:spacing w:after="0" w:line="175"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49"/>
        </w:numPr>
        <w:rPr>
          <w:rFonts w:ascii="Arial" w:cs="Arial" w:eastAsia="Arial" w:hAnsi="Arial"/>
          <w:sz w:val="20"/>
          <w:szCs w:val="20"/>
          <w:color w:val="auto"/>
        </w:rPr>
      </w:pPr>
      <w:r>
        <w:rPr>
          <w:rFonts w:ascii="Arial" w:cs="Arial" w:eastAsia="Arial" w:hAnsi="Arial"/>
          <w:sz w:val="20"/>
          <w:szCs w:val="20"/>
          <w:color w:val="auto"/>
        </w:rPr>
        <w:t>Investments consisting of non-cash consideration received in connection with Permitted Dispositions, so long as the non-cash consideration received in connection with any Permitted Disposition does not exceed 25% of the total consideration received in connection with such Permitted Disposition,</w:t>
      </w:r>
    </w:p>
    <w:p>
      <w:pPr>
        <w:spacing w:after="0" w:line="185" w:lineRule="exact"/>
        <w:rPr>
          <w:rFonts w:ascii="Arial" w:cs="Arial" w:eastAsia="Arial" w:hAnsi="Arial"/>
          <w:sz w:val="20"/>
          <w:szCs w:val="20"/>
          <w:color w:val="auto"/>
        </w:rPr>
      </w:pPr>
    </w:p>
    <w:p>
      <w:pPr>
        <w:ind w:firstLine="1304"/>
        <w:spacing w:after="0" w:line="260" w:lineRule="auto"/>
        <w:tabs>
          <w:tab w:leader="none" w:pos="1944" w:val="left"/>
        </w:tabs>
        <w:numPr>
          <w:ilvl w:val="0"/>
          <w:numId w:val="49"/>
        </w:numPr>
        <w:rPr>
          <w:rFonts w:ascii="Arial" w:cs="Arial" w:eastAsia="Arial" w:hAnsi="Arial"/>
          <w:sz w:val="20"/>
          <w:szCs w:val="20"/>
          <w:color w:val="auto"/>
        </w:rPr>
      </w:pPr>
      <w:r>
        <w:rPr>
          <w:rFonts w:ascii="Arial" w:cs="Arial" w:eastAsia="Arial" w:hAnsi="Arial"/>
          <w:sz w:val="20"/>
          <w:szCs w:val="20"/>
          <w:color w:val="auto"/>
        </w:rPr>
        <w:t>Investments consisting of extensions of credit in the nature of accounts receivable or notes receivable arising from the grant of trade credit in the ordinary course of business,</w:t>
      </w:r>
    </w:p>
    <w:p>
      <w:pPr>
        <w:spacing w:after="0" w:line="176"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49"/>
        </w:numPr>
        <w:rPr>
          <w:rFonts w:ascii="Arial" w:cs="Arial" w:eastAsia="Arial" w:hAnsi="Arial"/>
          <w:sz w:val="20"/>
          <w:szCs w:val="20"/>
          <w:color w:val="auto"/>
        </w:rPr>
      </w:pPr>
      <w:r>
        <w:rPr>
          <w:rFonts w:ascii="Arial" w:cs="Arial" w:eastAsia="Arial" w:hAnsi="Arial"/>
          <w:sz w:val="20"/>
          <w:szCs w:val="20"/>
          <w:color w:val="auto"/>
        </w:rPr>
        <w:t>so long as no Default or Event of Default has occurred and is continuing or would result therefrom, Investments in the form of advances in third parties such as joint ventures and minority ownerships, in an aggregate amount not to exceed $3,000,000 at any time,</w:t>
      </w:r>
    </w:p>
    <w:p>
      <w:pPr>
        <w:spacing w:after="0" w:line="185"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49"/>
        </w:numPr>
        <w:rPr>
          <w:rFonts w:ascii="Arial" w:cs="Arial" w:eastAsia="Arial" w:hAnsi="Arial"/>
          <w:sz w:val="20"/>
          <w:szCs w:val="20"/>
          <w:color w:val="auto"/>
        </w:rPr>
      </w:pPr>
      <w:r>
        <w:rPr>
          <w:rFonts w:ascii="Arial" w:cs="Arial" w:eastAsia="Arial" w:hAnsi="Arial"/>
          <w:sz w:val="20"/>
          <w:szCs w:val="20"/>
          <w:color w:val="auto"/>
        </w:rPr>
        <w:t>so long as no Default or Event of Default has occurred and is continuing or would result therefrom, Investments in the form of short term advances made in the ordinary course of business to growers from which Borrowers obtain products, not to exceed $12,000,000 in the aggregate at any time,</w:t>
      </w:r>
    </w:p>
    <w:p>
      <w:pPr>
        <w:spacing w:after="0" w:line="185" w:lineRule="exact"/>
        <w:rPr>
          <w:rFonts w:ascii="Arial" w:cs="Arial" w:eastAsia="Arial" w:hAnsi="Arial"/>
          <w:sz w:val="20"/>
          <w:szCs w:val="20"/>
          <w:color w:val="auto"/>
        </w:rPr>
      </w:pPr>
    </w:p>
    <w:p>
      <w:pPr>
        <w:ind w:firstLine="1304"/>
        <w:spacing w:after="0" w:line="260" w:lineRule="auto"/>
        <w:tabs>
          <w:tab w:leader="none" w:pos="1944" w:val="left"/>
        </w:tabs>
        <w:numPr>
          <w:ilvl w:val="0"/>
          <w:numId w:val="49"/>
        </w:numPr>
        <w:rPr>
          <w:rFonts w:ascii="Arial" w:cs="Arial" w:eastAsia="Arial" w:hAnsi="Arial"/>
          <w:sz w:val="20"/>
          <w:szCs w:val="20"/>
          <w:color w:val="auto"/>
        </w:rPr>
      </w:pPr>
      <w:r>
        <w:rPr>
          <w:rFonts w:ascii="Arial" w:cs="Arial" w:eastAsia="Arial" w:hAnsi="Arial"/>
          <w:sz w:val="20"/>
          <w:szCs w:val="20"/>
          <w:color w:val="auto"/>
        </w:rPr>
        <w:t>deposits of cash to secure performance of (i) operating leases and (ii) other contractual obligations that do not constitute Indebtedness, in each case, in the ordinary course of business, and</w:t>
      </w:r>
    </w:p>
    <w:p>
      <w:pPr>
        <w:spacing w:after="0" w:line="176" w:lineRule="exact"/>
        <w:rPr>
          <w:rFonts w:ascii="Arial" w:cs="Arial" w:eastAsia="Arial" w:hAnsi="Arial"/>
          <w:sz w:val="20"/>
          <w:szCs w:val="20"/>
          <w:color w:val="auto"/>
        </w:rPr>
      </w:pPr>
    </w:p>
    <w:p>
      <w:pPr>
        <w:ind w:left="1960" w:hanging="656"/>
        <w:spacing w:after="0"/>
        <w:tabs>
          <w:tab w:leader="none" w:pos="1960" w:val="left"/>
        </w:tabs>
        <w:numPr>
          <w:ilvl w:val="0"/>
          <w:numId w:val="49"/>
        </w:numPr>
        <w:rPr>
          <w:rFonts w:ascii="Arial" w:cs="Arial" w:eastAsia="Arial" w:hAnsi="Arial"/>
          <w:sz w:val="19"/>
          <w:szCs w:val="19"/>
          <w:color w:val="auto"/>
        </w:rPr>
      </w:pPr>
      <w:r>
        <w:rPr>
          <w:rFonts w:ascii="Arial" w:cs="Arial" w:eastAsia="Arial" w:hAnsi="Arial"/>
          <w:sz w:val="19"/>
          <w:szCs w:val="19"/>
          <w:color w:val="auto"/>
        </w:rPr>
        <w:t>other Investments (other than Acquisitions) so long as the Payment Conditions are satisfied.</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means:</w:t>
      </w:r>
    </w:p>
    <w:p>
      <w:pPr>
        <w:spacing w:after="0" w:line="216" w:lineRule="exact"/>
        <w:rPr>
          <w:sz w:val="20"/>
          <w:szCs w:val="20"/>
          <w:color w:val="auto"/>
        </w:rPr>
      </w:pPr>
    </w:p>
    <w:p>
      <w:pPr>
        <w:ind w:left="1960" w:hanging="656"/>
        <w:spacing w:after="0"/>
        <w:tabs>
          <w:tab w:leader="none" w:pos="1960" w:val="left"/>
        </w:tabs>
        <w:numPr>
          <w:ilvl w:val="0"/>
          <w:numId w:val="50"/>
        </w:numPr>
        <w:rPr>
          <w:rFonts w:ascii="Arial" w:cs="Arial" w:eastAsia="Arial" w:hAnsi="Arial"/>
          <w:sz w:val="20"/>
          <w:szCs w:val="20"/>
          <w:color w:val="auto"/>
        </w:rPr>
      </w:pPr>
      <w:r>
        <w:rPr>
          <w:rFonts w:ascii="Arial" w:cs="Arial" w:eastAsia="Arial" w:hAnsi="Arial"/>
          <w:sz w:val="20"/>
          <w:szCs w:val="20"/>
          <w:color w:val="auto"/>
        </w:rPr>
        <w:t>Liens granted to, or for the benefit of, Agent to secure the Obligations,</w:t>
      </w:r>
    </w:p>
    <w:p>
      <w:pPr>
        <w:spacing w:after="0" w:line="215"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50"/>
        </w:numPr>
        <w:rPr>
          <w:rFonts w:ascii="Arial" w:cs="Arial" w:eastAsia="Arial" w:hAnsi="Arial"/>
          <w:sz w:val="20"/>
          <w:szCs w:val="20"/>
          <w:color w:val="auto"/>
        </w:rPr>
      </w:pPr>
      <w:r>
        <w:rPr>
          <w:rFonts w:ascii="Arial" w:cs="Arial" w:eastAsia="Arial" w:hAnsi="Arial"/>
          <w:sz w:val="20"/>
          <w:szCs w:val="20"/>
          <w:color w:val="auto"/>
        </w:rPr>
        <w:t>Liens for unpaid taxes, assessments, or other governmental charges or levies that either (i) are not yet delinquent, or (ii) do not have priority over Agent’s Liens and the underlying taxes, assessments, or charges or levies are the subject of Permitted Protests,</w:t>
      </w:r>
    </w:p>
    <w:p>
      <w:pPr>
        <w:spacing w:after="0" w:line="185" w:lineRule="exact"/>
        <w:rPr>
          <w:rFonts w:ascii="Arial" w:cs="Arial" w:eastAsia="Arial" w:hAnsi="Arial"/>
          <w:sz w:val="20"/>
          <w:szCs w:val="20"/>
          <w:color w:val="auto"/>
        </w:rPr>
      </w:pPr>
    </w:p>
    <w:p>
      <w:pPr>
        <w:ind w:firstLine="1304"/>
        <w:spacing w:after="0" w:line="260" w:lineRule="auto"/>
        <w:tabs>
          <w:tab w:leader="none" w:pos="1944" w:val="left"/>
        </w:tabs>
        <w:numPr>
          <w:ilvl w:val="0"/>
          <w:numId w:val="50"/>
        </w:numPr>
        <w:rPr>
          <w:rFonts w:ascii="Arial" w:cs="Arial" w:eastAsia="Arial" w:hAnsi="Arial"/>
          <w:sz w:val="20"/>
          <w:szCs w:val="20"/>
          <w:color w:val="auto"/>
        </w:rPr>
      </w:pPr>
      <w:r>
        <w:rPr>
          <w:rFonts w:ascii="Arial" w:cs="Arial" w:eastAsia="Arial" w:hAnsi="Arial"/>
          <w:sz w:val="20"/>
          <w:szCs w:val="20"/>
          <w:color w:val="auto"/>
        </w:rPr>
        <w:t xml:space="preserve">judgment Liens arising solely as a result of the existence of judgments, orders, or awards that do not constitute an Event of Default under </w:t>
      </w:r>
      <w:r>
        <w:rPr>
          <w:rFonts w:ascii="Arial" w:cs="Arial" w:eastAsia="Arial" w:hAnsi="Arial"/>
          <w:sz w:val="20"/>
          <w:szCs w:val="20"/>
          <w:u w:val="single" w:color="auto"/>
          <w:color w:val="auto"/>
        </w:rPr>
        <w:t>Section 8.3</w:t>
      </w:r>
      <w:r>
        <w:rPr>
          <w:rFonts w:ascii="Arial" w:cs="Arial" w:eastAsia="Arial" w:hAnsi="Arial"/>
          <w:sz w:val="20"/>
          <w:szCs w:val="20"/>
          <w:color w:val="auto"/>
        </w:rPr>
        <w:t xml:space="preserve"> of this Agreement,</w:t>
      </w:r>
    </w:p>
    <w:p>
      <w:pPr>
        <w:spacing w:after="0" w:line="176"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50"/>
        </w:numPr>
        <w:rPr>
          <w:rFonts w:ascii="Arial" w:cs="Arial" w:eastAsia="Arial" w:hAnsi="Arial"/>
          <w:sz w:val="20"/>
          <w:szCs w:val="20"/>
          <w:color w:val="auto"/>
        </w:rPr>
      </w:pPr>
      <w:r>
        <w:rPr>
          <w:rFonts w:ascii="Arial" w:cs="Arial" w:eastAsia="Arial" w:hAnsi="Arial"/>
          <w:sz w:val="20"/>
          <w:szCs w:val="20"/>
          <w:color w:val="auto"/>
        </w:rPr>
        <w:t xml:space="preserve">Liens set forth on </w:t>
      </w:r>
      <w:r>
        <w:rPr>
          <w:rFonts w:ascii="Arial" w:cs="Arial" w:eastAsia="Arial" w:hAnsi="Arial"/>
          <w:sz w:val="20"/>
          <w:szCs w:val="20"/>
          <w:u w:val="single" w:color="auto"/>
          <w:color w:val="auto"/>
        </w:rPr>
        <w:t>Schedule P-2</w:t>
      </w:r>
      <w:r>
        <w:rPr>
          <w:rFonts w:ascii="Arial" w:cs="Arial" w:eastAsia="Arial" w:hAnsi="Arial"/>
          <w:sz w:val="20"/>
          <w:szCs w:val="20"/>
          <w:color w:val="auto"/>
        </w:rPr>
        <w:t xml:space="preserve"> to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to qualify as a Permitted Lien, any such Lien described on </w:t>
      </w:r>
      <w:r>
        <w:rPr>
          <w:rFonts w:ascii="Arial" w:cs="Arial" w:eastAsia="Arial" w:hAnsi="Arial"/>
          <w:sz w:val="20"/>
          <w:szCs w:val="20"/>
          <w:u w:val="single" w:color="auto"/>
          <w:color w:val="auto"/>
        </w:rPr>
        <w:t>Schedule P-2</w:t>
      </w:r>
      <w:r>
        <w:rPr>
          <w:rFonts w:ascii="Arial" w:cs="Arial" w:eastAsia="Arial" w:hAnsi="Arial"/>
          <w:sz w:val="20"/>
          <w:szCs w:val="20"/>
          <w:color w:val="auto"/>
        </w:rPr>
        <w:t xml:space="preserve"> to this Agreement shall only secure the Indebtedness that it secures on the Closing Date and any Refinancing Indebtedness in respect thereof,</w:t>
      </w:r>
    </w:p>
    <w:p>
      <w:pPr>
        <w:spacing w:after="0" w:line="185" w:lineRule="exact"/>
        <w:rPr>
          <w:rFonts w:ascii="Arial" w:cs="Arial" w:eastAsia="Arial" w:hAnsi="Arial"/>
          <w:sz w:val="20"/>
          <w:szCs w:val="20"/>
          <w:color w:val="auto"/>
        </w:rPr>
      </w:pPr>
    </w:p>
    <w:p>
      <w:pPr>
        <w:ind w:left="1960" w:hanging="656"/>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interests of lessors or sublessors under operating leases and non-exclusive licensors under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license agreements,</w:t>
      </w:r>
    </w:p>
    <w:p>
      <w:pPr>
        <w:spacing w:after="0" w:line="199" w:lineRule="exact"/>
        <w:rPr>
          <w:rFonts w:ascii="Arial" w:cs="Arial" w:eastAsia="Arial" w:hAnsi="Arial"/>
          <w:sz w:val="18"/>
          <w:szCs w:val="18"/>
          <w:color w:val="auto"/>
        </w:rPr>
      </w:pPr>
    </w:p>
    <w:p>
      <w:pPr>
        <w:jc w:val="both"/>
        <w:ind w:firstLine="1304"/>
        <w:spacing w:after="0" w:line="243" w:lineRule="auto"/>
        <w:tabs>
          <w:tab w:leader="none" w:pos="1944" w:val="left"/>
        </w:tabs>
        <w:numPr>
          <w:ilvl w:val="0"/>
          <w:numId w:val="50"/>
        </w:numPr>
        <w:rPr>
          <w:rFonts w:ascii="Arial" w:cs="Arial" w:eastAsia="Arial" w:hAnsi="Arial"/>
          <w:sz w:val="20"/>
          <w:szCs w:val="20"/>
          <w:color w:val="auto"/>
        </w:rPr>
      </w:pPr>
      <w:r>
        <w:rPr>
          <w:rFonts w:ascii="Arial" w:cs="Arial" w:eastAsia="Arial" w:hAnsi="Arial"/>
          <w:sz w:val="20"/>
          <w:szCs w:val="20"/>
          <w:color w:val="auto"/>
        </w:rPr>
        <w:t>purchase money Liens on fixed assets or the interests of lessors under Capital Leases and any constructions, designs, installments or improvements thereto, to the extent that such Liens or interests secure Permitted Purchase Money Indebtedness and so long as (i) such Lien attaches only to the fixed asset purchased, acquired, constructed, designed, installed or improved and the proceeds thereof, and (ii) such Lien only secures the Indebtedness that was incurred to acquire, purchase, construct, design, install or improve such fixed asset or any Refinancing Indebtedness in respect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54" w:name="page55"/>
    <w:bookmarkEnd w:id="54"/>
    <w:p>
      <w:pPr>
        <w:jc w:val="both"/>
        <w:ind w:firstLine="1304"/>
        <w:spacing w:after="0" w:line="246" w:lineRule="auto"/>
        <w:tabs>
          <w:tab w:leader="none" w:pos="1944" w:val="left"/>
        </w:tabs>
        <w:numPr>
          <w:ilvl w:val="0"/>
          <w:numId w:val="51"/>
        </w:numPr>
        <w:rPr>
          <w:rFonts w:ascii="Arial" w:cs="Arial" w:eastAsia="Arial" w:hAnsi="Arial"/>
          <w:sz w:val="20"/>
          <w:szCs w:val="20"/>
          <w:color w:val="auto"/>
        </w:rPr>
      </w:pPr>
      <w:r>
        <w:rPr>
          <w:rFonts w:ascii="Arial" w:cs="Arial" w:eastAsia="Arial" w:hAnsi="Arial"/>
          <w:sz w:val="20"/>
          <w:szCs w:val="20"/>
          <w:color w:val="auto"/>
        </w:rPr>
        <w:t>Liens arising by operation of law in favor of warehousemen, landlords, carriers, mechanics, materialmen, customs broker, laborers, or suppliers, incurred in the ordinary course of business and not in connection with the borrowing of money, and which Liens either (i) are for sums not yet delinquent, or (ii) are the subject of Permitted Protests,</w:t>
      </w:r>
    </w:p>
    <w:p>
      <w:pPr>
        <w:spacing w:after="0" w:line="192" w:lineRule="exact"/>
        <w:rPr>
          <w:rFonts w:ascii="Arial" w:cs="Arial" w:eastAsia="Arial" w:hAnsi="Arial"/>
          <w:sz w:val="20"/>
          <w:szCs w:val="20"/>
          <w:color w:val="auto"/>
        </w:rPr>
      </w:pPr>
    </w:p>
    <w:p>
      <w:pPr>
        <w:ind w:firstLine="1304"/>
        <w:spacing w:after="0" w:line="260" w:lineRule="auto"/>
        <w:tabs>
          <w:tab w:leader="none" w:pos="1944" w:val="left"/>
        </w:tabs>
        <w:numPr>
          <w:ilvl w:val="0"/>
          <w:numId w:val="51"/>
        </w:numPr>
        <w:rPr>
          <w:rFonts w:ascii="Arial" w:cs="Arial" w:eastAsia="Arial" w:hAnsi="Arial"/>
          <w:sz w:val="20"/>
          <w:szCs w:val="20"/>
          <w:color w:val="auto"/>
        </w:rPr>
      </w:pPr>
      <w:r>
        <w:rPr>
          <w:rFonts w:ascii="Arial" w:cs="Arial" w:eastAsia="Arial" w:hAnsi="Arial"/>
          <w:sz w:val="20"/>
          <w:szCs w:val="20"/>
          <w:color w:val="auto"/>
        </w:rPr>
        <w:t>Liens on amounts deposited to secure any Borrower’s and its Subsidiaries’ obligations in connection with worker’s compensation or other unemployment insurance or other social security legislation,</w:t>
      </w:r>
    </w:p>
    <w:p>
      <w:pPr>
        <w:spacing w:after="0" w:line="176"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51"/>
        </w:numPr>
        <w:rPr>
          <w:rFonts w:ascii="Arial" w:cs="Arial" w:eastAsia="Arial" w:hAnsi="Arial"/>
          <w:sz w:val="20"/>
          <w:szCs w:val="20"/>
          <w:color w:val="auto"/>
        </w:rPr>
      </w:pPr>
      <w:r>
        <w:rPr>
          <w:rFonts w:ascii="Arial" w:cs="Arial" w:eastAsia="Arial" w:hAnsi="Arial"/>
          <w:sz w:val="20"/>
          <w:szCs w:val="20"/>
          <w:color w:val="auto"/>
        </w:rPr>
        <w:t>Liens on amounts deposited to secure any Borrower’s and its Subsidiaries’ obligations in connection with the making or entering into of bids, trade contracts, tenders, or leases in the ordinary course of business and not in connection with the borrowing of money,</w:t>
      </w:r>
    </w:p>
    <w:p>
      <w:pPr>
        <w:spacing w:after="0" w:line="185"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51"/>
        </w:numPr>
        <w:rPr>
          <w:rFonts w:ascii="Arial" w:cs="Arial" w:eastAsia="Arial" w:hAnsi="Arial"/>
          <w:sz w:val="20"/>
          <w:szCs w:val="20"/>
          <w:color w:val="auto"/>
        </w:rPr>
      </w:pPr>
      <w:r>
        <w:rPr>
          <w:rFonts w:ascii="Arial" w:cs="Arial" w:eastAsia="Arial" w:hAnsi="Arial"/>
          <w:sz w:val="20"/>
          <w:szCs w:val="20"/>
          <w:color w:val="auto"/>
        </w:rPr>
        <w:t>Liens on amounts deposited to secure any Borrower’s and its Subsidiaries’ reimbursement obligations with respect to surety or appeal bonds, performance bonds and other obligations of a like nature, in each case, obtained in the ordinary course of business,</w:t>
      </w:r>
    </w:p>
    <w:p>
      <w:pPr>
        <w:spacing w:after="0" w:line="185" w:lineRule="exact"/>
        <w:rPr>
          <w:rFonts w:ascii="Arial" w:cs="Arial" w:eastAsia="Arial" w:hAnsi="Arial"/>
          <w:sz w:val="20"/>
          <w:szCs w:val="20"/>
          <w:color w:val="auto"/>
        </w:rPr>
      </w:pPr>
    </w:p>
    <w:p>
      <w:pPr>
        <w:ind w:firstLine="1304"/>
        <w:spacing w:after="0" w:line="260" w:lineRule="auto"/>
        <w:tabs>
          <w:tab w:leader="none" w:pos="1944" w:val="left"/>
        </w:tabs>
        <w:numPr>
          <w:ilvl w:val="0"/>
          <w:numId w:val="51"/>
        </w:numPr>
        <w:rPr>
          <w:rFonts w:ascii="Arial" w:cs="Arial" w:eastAsia="Arial" w:hAnsi="Arial"/>
          <w:sz w:val="20"/>
          <w:szCs w:val="20"/>
          <w:color w:val="auto"/>
        </w:rPr>
      </w:pPr>
      <w:r>
        <w:rPr>
          <w:rFonts w:ascii="Arial" w:cs="Arial" w:eastAsia="Arial" w:hAnsi="Arial"/>
          <w:sz w:val="20"/>
          <w:szCs w:val="20"/>
          <w:color w:val="auto"/>
        </w:rPr>
        <w:t>with respect to any Real Property, easements, rights of way, zoning restrictions and similar encumbrances that do not materially interfere with or impair the use or operation thereof,</w:t>
      </w:r>
    </w:p>
    <w:p>
      <w:pPr>
        <w:spacing w:after="0" w:line="176" w:lineRule="exact"/>
        <w:rPr>
          <w:rFonts w:ascii="Arial" w:cs="Arial" w:eastAsia="Arial" w:hAnsi="Arial"/>
          <w:sz w:val="20"/>
          <w:szCs w:val="20"/>
          <w:color w:val="auto"/>
        </w:rPr>
      </w:pPr>
    </w:p>
    <w:p>
      <w:pPr>
        <w:ind w:firstLine="1304"/>
        <w:spacing w:after="0" w:line="260" w:lineRule="auto"/>
        <w:tabs>
          <w:tab w:leader="none" w:pos="1944" w:val="left"/>
        </w:tabs>
        <w:numPr>
          <w:ilvl w:val="0"/>
          <w:numId w:val="51"/>
        </w:numPr>
        <w:rPr>
          <w:rFonts w:ascii="Arial" w:cs="Arial" w:eastAsia="Arial" w:hAnsi="Arial"/>
          <w:sz w:val="20"/>
          <w:szCs w:val="20"/>
          <w:color w:val="auto"/>
        </w:rPr>
      </w:pPr>
      <w:r>
        <w:rPr>
          <w:rFonts w:ascii="Arial" w:cs="Arial" w:eastAsia="Arial" w:hAnsi="Arial"/>
          <w:sz w:val="20"/>
          <w:szCs w:val="20"/>
          <w:color w:val="auto"/>
        </w:rPr>
        <w:t>non-exclusive licenses of patents, trademarks, copyrights, and other intellectual property rights in the ordinary course of business,</w:t>
      </w:r>
    </w:p>
    <w:p>
      <w:pPr>
        <w:spacing w:after="0" w:line="176"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51"/>
        </w:numPr>
        <w:rPr>
          <w:rFonts w:ascii="Arial" w:cs="Arial" w:eastAsia="Arial" w:hAnsi="Arial"/>
          <w:sz w:val="20"/>
          <w:szCs w:val="20"/>
          <w:color w:val="auto"/>
        </w:rPr>
      </w:pPr>
      <w:r>
        <w:rPr>
          <w:rFonts w:ascii="Arial" w:cs="Arial" w:eastAsia="Arial" w:hAnsi="Arial"/>
          <w:sz w:val="20"/>
          <w:szCs w:val="20"/>
          <w:color w:val="auto"/>
        </w:rPr>
        <w:t>Liens that are replacements of Permitted Liens to the extent that the original Indebtedness is the subject of permitted Refinancing Indebtedness and so long as the replacement Liens only encumber those assets that secured the original Indebtedness,</w:t>
      </w:r>
    </w:p>
    <w:p>
      <w:pPr>
        <w:spacing w:after="0" w:line="185"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51"/>
        </w:numPr>
        <w:rPr>
          <w:rFonts w:ascii="Arial" w:cs="Arial" w:eastAsia="Arial" w:hAnsi="Arial"/>
          <w:sz w:val="20"/>
          <w:szCs w:val="20"/>
          <w:color w:val="auto"/>
        </w:rPr>
      </w:pPr>
      <w:r>
        <w:rPr>
          <w:rFonts w:ascii="Arial" w:cs="Arial" w:eastAsia="Arial" w:hAnsi="Arial"/>
          <w:sz w:val="20"/>
          <w:szCs w:val="20"/>
          <w:color w:val="auto"/>
        </w:rPr>
        <w:t>rights of setoff or bankers’ liens upon deposits of funds in favor of banks or other depository institutions, solely to the extent incurred in connection with the maintenance of such Deposit Accounts in the ordinary course of business,</w:t>
      </w:r>
    </w:p>
    <w:p>
      <w:pPr>
        <w:spacing w:after="0" w:line="185"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51"/>
        </w:numPr>
        <w:rPr>
          <w:rFonts w:ascii="Arial" w:cs="Arial" w:eastAsia="Arial" w:hAnsi="Arial"/>
          <w:sz w:val="20"/>
          <w:szCs w:val="20"/>
          <w:color w:val="auto"/>
        </w:rPr>
      </w:pPr>
      <w:r>
        <w:rPr>
          <w:rFonts w:ascii="Arial" w:cs="Arial" w:eastAsia="Arial" w:hAnsi="Arial"/>
          <w:sz w:val="20"/>
          <w:szCs w:val="20"/>
          <w:color w:val="auto"/>
        </w:rPr>
        <w:t>Liens granted in the ordinary course of business on the unearned portion of insurance premiums securing the financing of insurance premiums to the extent the financing is permitted under the definition of Permitted Indebtedness,</w:t>
      </w:r>
    </w:p>
    <w:p>
      <w:pPr>
        <w:spacing w:after="0" w:line="185" w:lineRule="exact"/>
        <w:rPr>
          <w:rFonts w:ascii="Arial" w:cs="Arial" w:eastAsia="Arial" w:hAnsi="Arial"/>
          <w:sz w:val="20"/>
          <w:szCs w:val="20"/>
          <w:color w:val="auto"/>
        </w:rPr>
      </w:pPr>
    </w:p>
    <w:p>
      <w:pPr>
        <w:ind w:firstLine="1304"/>
        <w:spacing w:after="0" w:line="260" w:lineRule="auto"/>
        <w:tabs>
          <w:tab w:leader="none" w:pos="1944" w:val="left"/>
        </w:tabs>
        <w:numPr>
          <w:ilvl w:val="0"/>
          <w:numId w:val="51"/>
        </w:numPr>
        <w:rPr>
          <w:rFonts w:ascii="Arial" w:cs="Arial" w:eastAsia="Arial" w:hAnsi="Arial"/>
          <w:sz w:val="20"/>
          <w:szCs w:val="20"/>
          <w:color w:val="auto"/>
        </w:rPr>
      </w:pPr>
      <w:r>
        <w:rPr>
          <w:rFonts w:ascii="Arial" w:cs="Arial" w:eastAsia="Arial" w:hAnsi="Arial"/>
          <w:sz w:val="20"/>
          <w:szCs w:val="20"/>
          <w:color w:val="auto"/>
        </w:rPr>
        <w:t>Liens in favor of customs and revenue authorities arising as a matter of law to secure payment of customs duties in connection with the importation of goods,</w:t>
      </w:r>
    </w:p>
    <w:p>
      <w:pPr>
        <w:spacing w:after="0" w:line="176" w:lineRule="exact"/>
        <w:rPr>
          <w:rFonts w:ascii="Arial" w:cs="Arial" w:eastAsia="Arial" w:hAnsi="Arial"/>
          <w:sz w:val="20"/>
          <w:szCs w:val="20"/>
          <w:color w:val="auto"/>
        </w:rPr>
      </w:pPr>
    </w:p>
    <w:p>
      <w:pPr>
        <w:ind w:firstLine="1304"/>
        <w:spacing w:after="0" w:line="287" w:lineRule="auto"/>
        <w:tabs>
          <w:tab w:leader="none" w:pos="1944" w:val="left"/>
        </w:tabs>
        <w:numPr>
          <w:ilvl w:val="0"/>
          <w:numId w:val="51"/>
        </w:numPr>
        <w:rPr>
          <w:rFonts w:ascii="Arial" w:cs="Arial" w:eastAsia="Arial" w:hAnsi="Arial"/>
          <w:sz w:val="19"/>
          <w:szCs w:val="19"/>
          <w:color w:val="auto"/>
        </w:rPr>
      </w:pPr>
      <w:r>
        <w:rPr>
          <w:rFonts w:ascii="Arial" w:cs="Arial" w:eastAsia="Arial" w:hAnsi="Arial"/>
          <w:sz w:val="19"/>
          <w:szCs w:val="19"/>
          <w:color w:val="auto"/>
        </w:rPr>
        <w:t>Liens solely on any cash earnest money deposits made by a Loan Party or any of its Subsidiaries in connection with any letter of intent or purchase agreement with respect to a Permitted Acquisition,</w:t>
      </w:r>
    </w:p>
    <w:p>
      <w:pPr>
        <w:spacing w:after="0" w:line="152" w:lineRule="exact"/>
        <w:rPr>
          <w:rFonts w:ascii="Arial" w:cs="Arial" w:eastAsia="Arial" w:hAnsi="Arial"/>
          <w:sz w:val="19"/>
          <w:szCs w:val="19"/>
          <w:color w:val="auto"/>
        </w:rPr>
      </w:pPr>
    </w:p>
    <w:p>
      <w:pPr>
        <w:ind w:firstLine="1304"/>
        <w:spacing w:after="0" w:line="260" w:lineRule="auto"/>
        <w:tabs>
          <w:tab w:leader="none" w:pos="1944" w:val="left"/>
        </w:tabs>
        <w:numPr>
          <w:ilvl w:val="0"/>
          <w:numId w:val="51"/>
        </w:numPr>
        <w:rPr>
          <w:rFonts w:ascii="Arial" w:cs="Arial" w:eastAsia="Arial" w:hAnsi="Arial"/>
          <w:sz w:val="20"/>
          <w:szCs w:val="20"/>
          <w:color w:val="auto"/>
        </w:rPr>
      </w:pPr>
      <w:r>
        <w:rPr>
          <w:rFonts w:ascii="Arial" w:cs="Arial" w:eastAsia="Arial" w:hAnsi="Arial"/>
          <w:sz w:val="20"/>
          <w:szCs w:val="20"/>
          <w:color w:val="auto"/>
        </w:rPr>
        <w:t>Liens assumed by any Loan Party or its Subsidiaries in connection with a Permitted Acquisition that secure Acquired Indebtedness that is Permitted Indebtedness,</w:t>
      </w:r>
    </w:p>
    <w:p>
      <w:pPr>
        <w:spacing w:after="0" w:line="176" w:lineRule="exact"/>
        <w:rPr>
          <w:rFonts w:ascii="Arial" w:cs="Arial" w:eastAsia="Arial" w:hAnsi="Arial"/>
          <w:sz w:val="20"/>
          <w:szCs w:val="20"/>
          <w:color w:val="auto"/>
        </w:rPr>
      </w:pPr>
    </w:p>
    <w:p>
      <w:pPr>
        <w:ind w:firstLine="1304"/>
        <w:spacing w:after="0" w:line="260" w:lineRule="auto"/>
        <w:tabs>
          <w:tab w:leader="none" w:pos="1944" w:val="left"/>
        </w:tabs>
        <w:numPr>
          <w:ilvl w:val="0"/>
          <w:numId w:val="51"/>
        </w:numPr>
        <w:rPr>
          <w:rFonts w:ascii="Arial" w:cs="Arial" w:eastAsia="Arial" w:hAnsi="Arial"/>
          <w:sz w:val="20"/>
          <w:szCs w:val="20"/>
          <w:color w:val="auto"/>
        </w:rPr>
      </w:pPr>
      <w:r>
        <w:rPr>
          <w:rFonts w:ascii="Arial" w:cs="Arial" w:eastAsia="Arial" w:hAnsi="Arial"/>
          <w:sz w:val="20"/>
          <w:szCs w:val="20"/>
          <w:color w:val="auto"/>
        </w:rPr>
        <w:t>Liens of a collection bank arising in the ordinary course of business under Section 4-210 of the UCC covering only the items being collected on,</w:t>
      </w:r>
    </w:p>
    <w:p>
      <w:pPr>
        <w:spacing w:after="0" w:line="176" w:lineRule="exact"/>
        <w:rPr>
          <w:rFonts w:ascii="Arial" w:cs="Arial" w:eastAsia="Arial" w:hAnsi="Arial"/>
          <w:sz w:val="20"/>
          <w:szCs w:val="20"/>
          <w:color w:val="auto"/>
        </w:rPr>
      </w:pPr>
    </w:p>
    <w:p>
      <w:pPr>
        <w:ind w:firstLine="1304"/>
        <w:spacing w:after="0" w:line="260" w:lineRule="auto"/>
        <w:tabs>
          <w:tab w:leader="none" w:pos="1944" w:val="left"/>
        </w:tabs>
        <w:numPr>
          <w:ilvl w:val="0"/>
          <w:numId w:val="51"/>
        </w:numPr>
        <w:rPr>
          <w:rFonts w:ascii="Arial" w:cs="Arial" w:eastAsia="Arial" w:hAnsi="Arial"/>
          <w:sz w:val="20"/>
          <w:szCs w:val="20"/>
          <w:color w:val="auto"/>
        </w:rPr>
      </w:pPr>
      <w:r>
        <w:rPr>
          <w:rFonts w:ascii="Arial" w:cs="Arial" w:eastAsia="Arial" w:hAnsi="Arial"/>
          <w:sz w:val="20"/>
          <w:szCs w:val="20"/>
          <w:color w:val="auto"/>
        </w:rPr>
        <w:t>Liens arising out of conditional sale, title retention, consignment or similar arrangements for the sale of goods entered into by the Borrowers or any Subsidiary in the ordinary course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55" w:name="page56"/>
    <w:bookmarkEnd w:id="55"/>
    <w:p>
      <w:pPr>
        <w:spacing w:after="0" w:line="261" w:lineRule="auto"/>
        <w:rPr>
          <w:sz w:val="20"/>
          <w:szCs w:val="20"/>
          <w:color w:val="auto"/>
        </w:rPr>
      </w:pPr>
      <w:r>
        <w:rPr>
          <w:rFonts w:ascii="Arial" w:cs="Arial" w:eastAsia="Arial" w:hAnsi="Arial"/>
          <w:sz w:val="20"/>
          <w:szCs w:val="20"/>
          <w:color w:val="auto"/>
        </w:rPr>
        <w:t>of business, provided that (i) such Liens shall not apply to any Eligible Inventory and (ii) any Inventory that is subject to any of such Liens shall be identified in a Borrowing Base Certificate received by Agent,</w:t>
      </w:r>
    </w:p>
    <w:p>
      <w:pPr>
        <w:spacing w:after="0" w:line="176" w:lineRule="exact"/>
        <w:rPr>
          <w:sz w:val="20"/>
          <w:szCs w:val="20"/>
          <w:color w:val="auto"/>
        </w:rPr>
      </w:pPr>
    </w:p>
    <w:p>
      <w:pPr>
        <w:ind w:firstLine="1304"/>
        <w:spacing w:after="0" w:line="260" w:lineRule="auto"/>
        <w:tabs>
          <w:tab w:leader="none" w:pos="1944" w:val="left"/>
        </w:tabs>
        <w:numPr>
          <w:ilvl w:val="0"/>
          <w:numId w:val="52"/>
        </w:numPr>
        <w:rPr>
          <w:rFonts w:ascii="Arial" w:cs="Arial" w:eastAsia="Arial" w:hAnsi="Arial"/>
          <w:sz w:val="20"/>
          <w:szCs w:val="20"/>
          <w:color w:val="auto"/>
        </w:rPr>
      </w:pPr>
      <w:r>
        <w:rPr>
          <w:rFonts w:ascii="Arial" w:cs="Arial" w:eastAsia="Arial" w:hAnsi="Arial"/>
          <w:sz w:val="20"/>
          <w:szCs w:val="20"/>
          <w:color w:val="auto"/>
        </w:rPr>
        <w:t>Liens that are contractual rights of set-off relating to purchase orders and other agreements entered into in the ordinary course of business, and</w:t>
      </w:r>
    </w:p>
    <w:p>
      <w:pPr>
        <w:spacing w:after="0" w:line="176" w:lineRule="exact"/>
        <w:rPr>
          <w:rFonts w:ascii="Arial" w:cs="Arial" w:eastAsia="Arial" w:hAnsi="Arial"/>
          <w:sz w:val="20"/>
          <w:szCs w:val="20"/>
          <w:color w:val="auto"/>
        </w:rPr>
      </w:pPr>
    </w:p>
    <w:p>
      <w:pPr>
        <w:ind w:firstLine="1304"/>
        <w:spacing w:after="0" w:line="260" w:lineRule="auto"/>
        <w:tabs>
          <w:tab w:leader="none" w:pos="1944" w:val="left"/>
        </w:tabs>
        <w:numPr>
          <w:ilvl w:val="0"/>
          <w:numId w:val="52"/>
        </w:numPr>
        <w:rPr>
          <w:rFonts w:ascii="Arial" w:cs="Arial" w:eastAsia="Arial" w:hAnsi="Arial"/>
          <w:sz w:val="20"/>
          <w:szCs w:val="20"/>
          <w:color w:val="auto"/>
        </w:rPr>
      </w:pPr>
      <w:r>
        <w:rPr>
          <w:rFonts w:ascii="Arial" w:cs="Arial" w:eastAsia="Arial" w:hAnsi="Arial"/>
          <w:sz w:val="20"/>
          <w:szCs w:val="20"/>
          <w:color w:val="auto"/>
        </w:rPr>
        <w:t>other Liens which do not secure Indebtedness for borrowed money or letters of credit and as to which the aggregate amount of the obligations secured thereby does not exceed $500,000.</w:t>
      </w:r>
    </w:p>
    <w:p>
      <w:pPr>
        <w:spacing w:after="0" w:line="177"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Protest</w:t>
      </w:r>
      <w:r>
        <w:rPr>
          <w:rFonts w:ascii="Arial" w:cs="Arial" w:eastAsia="Arial" w:hAnsi="Arial"/>
          <w:sz w:val="20"/>
          <w:szCs w:val="20"/>
          <w:color w:val="auto"/>
        </w:rPr>
        <w:t xml:space="preserve">” means the right of any Loan Party or any of its Subsidiaries to protest any Lien (other than any Lien that secures the Obligations), taxes (other than payroll taxes or taxes that are the subject of a United States federal tax lien), or rental payment; </w:t>
      </w:r>
      <w:r>
        <w:rPr>
          <w:rFonts w:ascii="Arial" w:cs="Arial" w:eastAsia="Arial" w:hAnsi="Arial"/>
          <w:sz w:val="20"/>
          <w:szCs w:val="20"/>
          <w:u w:val="single" w:color="auto"/>
          <w:color w:val="auto"/>
        </w:rPr>
        <w:t>provided</w:t>
      </w:r>
      <w:r>
        <w:rPr>
          <w:rFonts w:ascii="Arial" w:cs="Arial" w:eastAsia="Arial" w:hAnsi="Arial"/>
          <w:sz w:val="20"/>
          <w:szCs w:val="20"/>
          <w:color w:val="auto"/>
        </w:rPr>
        <w:t>, that (a) a reserve with respect to such obligation is established on such Loan Party’s or its Subsidiaries’ books and records in such amount as is required under GAAP, (b) any such protest is instituted promptly and prosecuted diligently by such Loan Party or its Subsidiary, as applicable, in good faith, and (c) Agent is reasonably satisfied that, while any such protest is pending, there will be no impairment of the enforceability, validity, or priority of any of Agent’s Liens.</w:t>
      </w:r>
    </w:p>
    <w:p>
      <w:pPr>
        <w:spacing w:after="0" w:line="193"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Purchase Money Indebtedness</w:t>
      </w:r>
      <w:r>
        <w:rPr>
          <w:rFonts w:ascii="Arial" w:cs="Arial" w:eastAsia="Arial" w:hAnsi="Arial"/>
          <w:sz w:val="19"/>
          <w:szCs w:val="19"/>
          <w:color w:val="auto"/>
        </w:rPr>
        <w:t>” means, as of any date of determination, Indebtedness (other than the Obligations, but including Capitalized Lease Obligations), incurred after the Closing Date and at the time of, or within 90 days after, the acquisition of any fixed assets for the purpose of financing all or any part of the acquisition cost thereof, in an aggregate principal amount outstanding at any one time not in excess of $35,000,000.</w:t>
      </w:r>
    </w:p>
    <w:p>
      <w:pPr>
        <w:spacing w:after="0" w:line="17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natural persons, corporations, limited liability companies, limited partnerships, general partnerships, limited liability partnerships, joint ventures, trusts, land trusts, business trusts, or other organizations, irrespective of whether they are legal entities, and governments and agencies and political subdivisions thereof.</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17.9(c)</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Post-Increase Revolver Lenders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of this Agreement.</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Pre-Increase Revolver Lenders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of this Agreement.</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Rata Share</w:t>
      </w:r>
      <w:r>
        <w:rPr>
          <w:rFonts w:ascii="Arial" w:cs="Arial" w:eastAsia="Arial" w:hAnsi="Arial"/>
          <w:sz w:val="20"/>
          <w:szCs w:val="20"/>
          <w:color w:val="auto"/>
        </w:rPr>
        <w:t>” means, as of any date of determination:</w:t>
      </w:r>
    </w:p>
    <w:p>
      <w:pPr>
        <w:spacing w:after="0" w:line="216" w:lineRule="exact"/>
        <w:rPr>
          <w:sz w:val="20"/>
          <w:szCs w:val="20"/>
          <w:color w:val="auto"/>
        </w:rPr>
      </w:pPr>
    </w:p>
    <w:p>
      <w:pPr>
        <w:jc w:val="both"/>
        <w:ind w:firstLine="1304"/>
        <w:spacing w:after="0" w:line="244" w:lineRule="auto"/>
        <w:tabs>
          <w:tab w:leader="none" w:pos="1944" w:val="left"/>
        </w:tabs>
        <w:numPr>
          <w:ilvl w:val="0"/>
          <w:numId w:val="53"/>
        </w:numPr>
        <w:rPr>
          <w:rFonts w:ascii="Arial" w:cs="Arial" w:eastAsia="Arial" w:hAnsi="Arial"/>
          <w:sz w:val="20"/>
          <w:szCs w:val="20"/>
          <w:color w:val="auto"/>
        </w:rPr>
      </w:pPr>
      <w:r>
        <w:rPr>
          <w:rFonts w:ascii="Arial" w:cs="Arial" w:eastAsia="Arial" w:hAnsi="Arial"/>
          <w:sz w:val="20"/>
          <w:szCs w:val="20"/>
          <w:color w:val="auto"/>
        </w:rPr>
        <w:t>with respect to a Lender’s obligation to make all or a portion of the Revolving Loans, with respect to such Lender’s right to receive payments of interest, fees, and principal with respect to the Revolving Loans, and with respect to all other computations and other matters related to the Revolver Commitments or the Revolving Loans, the percentage obtained by dividing (i) the Revolving Loan Exposure of such Lender, by (ii) the aggregate Revolving Loan Exposure of all Lenders,</w:t>
      </w:r>
    </w:p>
    <w:p>
      <w:pPr>
        <w:spacing w:after="0" w:line="194" w:lineRule="exact"/>
        <w:rPr>
          <w:rFonts w:ascii="Arial" w:cs="Arial" w:eastAsia="Arial" w:hAnsi="Arial"/>
          <w:sz w:val="20"/>
          <w:szCs w:val="20"/>
          <w:color w:val="auto"/>
        </w:rPr>
      </w:pPr>
    </w:p>
    <w:p>
      <w:pPr>
        <w:jc w:val="both"/>
        <w:ind w:firstLine="1304"/>
        <w:spacing w:after="0" w:line="243" w:lineRule="auto"/>
        <w:tabs>
          <w:tab w:leader="none" w:pos="1944" w:val="left"/>
        </w:tabs>
        <w:numPr>
          <w:ilvl w:val="0"/>
          <w:numId w:val="53"/>
        </w:numPr>
        <w:rPr>
          <w:rFonts w:ascii="Arial" w:cs="Arial" w:eastAsia="Arial" w:hAnsi="Arial"/>
          <w:sz w:val="20"/>
          <w:szCs w:val="20"/>
          <w:color w:val="auto"/>
        </w:rPr>
      </w:pPr>
      <w:r>
        <w:rPr>
          <w:rFonts w:ascii="Arial" w:cs="Arial" w:eastAsia="Arial" w:hAnsi="Arial"/>
          <w:sz w:val="20"/>
          <w:szCs w:val="20"/>
          <w:color w:val="auto"/>
        </w:rPr>
        <w:t xml:space="preserve">with respect to a Lender’s obligation to participate in the Letters of Credit, with respect to such Lender’s obligation to reimburse Issuing Bank, and with respect to such Lender’s right to receive payments of Letter of Credit Fees, and with respect to all other computations and other matters related to the Letters of Credit, the percentage obtained by dividing (i) the Revolving Loan Exposure of such Lender, by (ii) the aggregate Revolving Loan Exposure of all Lenders; </w:t>
      </w:r>
      <w:r>
        <w:rPr>
          <w:rFonts w:ascii="Arial" w:cs="Arial" w:eastAsia="Arial" w:hAnsi="Arial"/>
          <w:sz w:val="20"/>
          <w:szCs w:val="20"/>
          <w:u w:val="single" w:color="auto"/>
          <w:color w:val="auto"/>
        </w:rPr>
        <w:t>provided</w:t>
      </w:r>
      <w:r>
        <w:rPr>
          <w:rFonts w:ascii="Arial" w:cs="Arial" w:eastAsia="Arial" w:hAnsi="Arial"/>
          <w:sz w:val="20"/>
          <w:szCs w:val="20"/>
          <w:color w:val="auto"/>
        </w:rPr>
        <w:t>, that if all of the Revolving Loans have been repaid in full and all Revolver Commitments have been terminated, but Letters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56" w:name="page57"/>
    <w:bookmarkEnd w:id="56"/>
    <w:p>
      <w:pPr>
        <w:spacing w:after="0" w:line="261" w:lineRule="auto"/>
        <w:rPr>
          <w:sz w:val="20"/>
          <w:szCs w:val="20"/>
          <w:color w:val="auto"/>
        </w:rPr>
      </w:pPr>
      <w:r>
        <w:rPr>
          <w:rFonts w:ascii="Arial" w:cs="Arial" w:eastAsia="Arial" w:hAnsi="Arial"/>
          <w:sz w:val="20"/>
          <w:szCs w:val="20"/>
          <w:color w:val="auto"/>
        </w:rPr>
        <w:t>of Credit remain outstanding, Pro Rata Share under this clause shall be the percentage obtained by dividing (A) the Letter of Credit Exposure of such Lender, by (B) the Letter of Credit Exposure of all Lenders,</w:t>
      </w:r>
    </w:p>
    <w:p>
      <w:pPr>
        <w:spacing w:after="0" w:line="176" w:lineRule="exact"/>
        <w:rPr>
          <w:sz w:val="20"/>
          <w:szCs w:val="20"/>
          <w:color w:val="auto"/>
        </w:rPr>
      </w:pPr>
    </w:p>
    <w:p>
      <w:pPr>
        <w:jc w:val="both"/>
        <w:ind w:firstLine="1304"/>
        <w:spacing w:after="0" w:line="244" w:lineRule="auto"/>
        <w:tabs>
          <w:tab w:leader="none" w:pos="1944" w:val="left"/>
        </w:tabs>
        <w:numPr>
          <w:ilvl w:val="0"/>
          <w:numId w:val="54"/>
        </w:numPr>
        <w:rPr>
          <w:rFonts w:ascii="Arial" w:cs="Arial" w:eastAsia="Arial" w:hAnsi="Arial"/>
          <w:sz w:val="20"/>
          <w:szCs w:val="20"/>
          <w:color w:val="auto"/>
        </w:rPr>
      </w:pPr>
      <w:r>
        <w:rPr>
          <w:rFonts w:ascii="Arial" w:cs="Arial" w:eastAsia="Arial" w:hAnsi="Arial"/>
          <w:sz w:val="20"/>
          <w:szCs w:val="20"/>
          <w:color w:val="auto"/>
        </w:rPr>
        <w:t>with respect to a Lender’s obligation to make all or a portion of the Capex Advances, with respect to such Lender’s right to receive payments of interest, fees, and principal with respect to the Capex Advances, and with respect to all other computations and other matters related to the Capex Commitments or the Capex Advances, the percentage obtained by dividing (i) the Capex Loan Exposure of such Lender, by (ii) the aggregate Capex Loan Exposure of all Lenders, and</w:t>
      </w:r>
    </w:p>
    <w:p>
      <w:pPr>
        <w:spacing w:after="0" w:line="194" w:lineRule="exact"/>
        <w:rPr>
          <w:rFonts w:ascii="Arial" w:cs="Arial" w:eastAsia="Arial" w:hAnsi="Arial"/>
          <w:sz w:val="20"/>
          <w:szCs w:val="20"/>
          <w:color w:val="auto"/>
        </w:rPr>
      </w:pPr>
    </w:p>
    <w:p>
      <w:pPr>
        <w:jc w:val="both"/>
        <w:ind w:firstLine="1304"/>
        <w:spacing w:after="0" w:line="257" w:lineRule="auto"/>
        <w:tabs>
          <w:tab w:leader="none" w:pos="1944"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with respect to all other matters and for all other matters as to a particular Lender (including the indemnification obligations arising under </w:t>
      </w:r>
      <w:r>
        <w:rPr>
          <w:rFonts w:ascii="Arial" w:cs="Arial" w:eastAsia="Arial" w:hAnsi="Arial"/>
          <w:sz w:val="19"/>
          <w:szCs w:val="19"/>
          <w:u w:val="single" w:color="auto"/>
          <w:color w:val="auto"/>
        </w:rPr>
        <w:t>Section 15.7</w:t>
      </w:r>
      <w:r>
        <w:rPr>
          <w:rFonts w:ascii="Arial" w:cs="Arial" w:eastAsia="Arial" w:hAnsi="Arial"/>
          <w:sz w:val="19"/>
          <w:szCs w:val="19"/>
          <w:color w:val="auto"/>
        </w:rPr>
        <w:t xml:space="preserve"> of this Agreement), the percentage obtained by dividing (i) the Revolving Loan Exposure and Capex Loan Exposure of such Lender, by (ii) the aggregate Revolving Loan Exposure and Capex Loan Exposure of all Lenders, in any such case as the applicable percentage may be adjusted by assignments permitted pursuant to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if all of the Loans have been repaid in full and all Commitments have been terminated, Pro Rata Share under this clause shall be the percentage obtained by dividing (A) the Letter of Credit Exposure of such Lender, by (B) the Letter of Credit Exposure of all Lenders.</w:t>
      </w:r>
    </w:p>
    <w:p>
      <w:pPr>
        <w:spacing w:after="0" w:line="18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Projections</w:t>
      </w:r>
      <w:r>
        <w:rPr>
          <w:rFonts w:ascii="Arial" w:cs="Arial" w:eastAsia="Arial" w:hAnsi="Arial"/>
          <w:sz w:val="20"/>
          <w:szCs w:val="20"/>
          <w:color w:val="auto"/>
        </w:rPr>
        <w:t>” means Borrowers’ forecasted (a) balance sheets, (b) profit and loss statements, and (c) cash flow statements, all prepared on a basis consistent with Borrowers’ historical financial statements, together with appropriate supporting details and a statement of underlying assumptions.</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Protective Advances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2.3(d)(i)</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17.9(c)</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means, with respect to any Acquisition, an amount equal to the aggregate consideration, whether cash, property or securities (including the fair market value of any Equity Interests of Administrative Borrower issued in connection with such Acquisition and including the maximum amount of Earn-Outs), paid or delivered by a Loan Party or one of its Subsidiaries in connection with such Acquisition (whether paid at the closing thereof or payable thereafter and whether fixed or contingent), but excluding therefrom (a) any cash of the seller and its Affiliates used to fund any portion of such consideration, and (b) any cash or Cash Equivalents acquired in connection with such Acquisition.</w:t>
      </w:r>
    </w:p>
    <w:p>
      <w:pPr>
        <w:spacing w:after="0" w:line="165"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QFC</w:t>
      </w:r>
      <w:r>
        <w:rPr>
          <w:rFonts w:ascii="Arial" w:cs="Arial" w:eastAsia="Arial" w:hAnsi="Arial"/>
          <w:sz w:val="20"/>
          <w:szCs w:val="20"/>
          <w:color w:val="auto"/>
        </w:rPr>
        <w:t>” has the meaning assigned to the term “qualified financial contract” in, and shall be interpreted in accordance with, 12 U.S.C. § 5390(c)(8)(D).</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 Credit Support</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17.15</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Qualified Equity Interests</w:t>
      </w:r>
      <w:r>
        <w:rPr>
          <w:rFonts w:ascii="Arial" w:cs="Arial" w:eastAsia="Arial" w:hAnsi="Arial"/>
          <w:sz w:val="20"/>
          <w:szCs w:val="20"/>
          <w:color w:val="auto"/>
        </w:rPr>
        <w:t xml:space="preserve"> ” means and refers to any Equity Interests issued by Administrative Borrower (and not by one or more of its Subsidiaries) that is not a Disqualified Equity Interest.</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Real Property</w:t>
      </w:r>
      <w:r>
        <w:rPr>
          <w:rFonts w:ascii="Arial" w:cs="Arial" w:eastAsia="Arial" w:hAnsi="Arial"/>
          <w:sz w:val="20"/>
          <w:szCs w:val="20"/>
          <w:color w:val="auto"/>
        </w:rPr>
        <w:t>” means any estates or interests in real property now owned or hereafter acquired by any Loan Party or one of its Subsidiaries and the improvements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57" w:name="page58"/>
    <w:bookmarkEnd w:id="57"/>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Real Property Collateral</w:t>
      </w:r>
      <w:r>
        <w:rPr>
          <w:rFonts w:ascii="Arial" w:cs="Arial" w:eastAsia="Arial" w:hAnsi="Arial"/>
          <w:sz w:val="20"/>
          <w:szCs w:val="20"/>
          <w:color w:val="auto"/>
        </w:rPr>
        <w:t xml:space="preserve">” means (a) the Real Property identified on </w:t>
      </w:r>
      <w:r>
        <w:rPr>
          <w:rFonts w:ascii="Arial" w:cs="Arial" w:eastAsia="Arial" w:hAnsi="Arial"/>
          <w:sz w:val="20"/>
          <w:szCs w:val="20"/>
          <w:u w:val="single" w:color="auto"/>
          <w:color w:val="auto"/>
        </w:rPr>
        <w:t>Schedule R-1</w:t>
      </w:r>
      <w:r>
        <w:rPr>
          <w:rFonts w:ascii="Arial" w:cs="Arial" w:eastAsia="Arial" w:hAnsi="Arial"/>
          <w:sz w:val="20"/>
          <w:szCs w:val="20"/>
          <w:color w:val="auto"/>
        </w:rPr>
        <w:t xml:space="preserve"> to this Agreement, and</w:t>
      </w:r>
    </w:p>
    <w:p>
      <w:pPr>
        <w:spacing w:after="0" w:line="17" w:lineRule="exact"/>
        <w:rPr>
          <w:sz w:val="20"/>
          <w:szCs w:val="20"/>
          <w:color w:val="auto"/>
        </w:rPr>
      </w:pPr>
    </w:p>
    <w:p>
      <w:pPr>
        <w:ind w:firstLine="8"/>
        <w:spacing w:after="0" w:line="244" w:lineRule="auto"/>
        <w:tabs>
          <w:tab w:leader="none" w:pos="293" w:val="left"/>
        </w:tabs>
        <w:numPr>
          <w:ilvl w:val="0"/>
          <w:numId w:val="55"/>
        </w:numPr>
        <w:rPr>
          <w:rFonts w:ascii="Arial" w:cs="Arial" w:eastAsia="Arial" w:hAnsi="Arial"/>
          <w:sz w:val="20"/>
          <w:szCs w:val="20"/>
          <w:color w:val="auto"/>
        </w:rPr>
      </w:pPr>
      <w:r>
        <w:rPr>
          <w:rFonts w:ascii="Arial" w:cs="Arial" w:eastAsia="Arial" w:hAnsi="Arial"/>
          <w:sz w:val="20"/>
          <w:szCs w:val="20"/>
          <w:color w:val="auto"/>
        </w:rPr>
        <w:t>any Real Property hereafter acquired by any Loan Party or one of its Subsidiaries with a fair market value in excess of $5,000,000.</w:t>
      </w:r>
    </w:p>
    <w:p>
      <w:pPr>
        <w:spacing w:after="0" w:line="191"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Receivable Reserves</w:t>
      </w:r>
      <w:r>
        <w:rPr>
          <w:rFonts w:ascii="Arial" w:cs="Arial" w:eastAsia="Arial" w:hAnsi="Arial"/>
          <w:sz w:val="20"/>
          <w:szCs w:val="20"/>
          <w:color w:val="auto"/>
        </w:rPr>
        <w:t xml:space="preserve">” means, as of any date of determination, those reserves that Agent deems necessary or appropriate, in its Permitted Discretion and subject to </w:t>
      </w:r>
      <w:r>
        <w:rPr>
          <w:rFonts w:ascii="Arial" w:cs="Arial" w:eastAsia="Arial" w:hAnsi="Arial"/>
          <w:sz w:val="20"/>
          <w:szCs w:val="20"/>
          <w:u w:val="single" w:color="auto"/>
          <w:color w:val="auto"/>
        </w:rPr>
        <w:t>Section 2.1(c)</w:t>
      </w:r>
      <w:r>
        <w:rPr>
          <w:rFonts w:ascii="Arial" w:cs="Arial" w:eastAsia="Arial" w:hAnsi="Arial"/>
          <w:sz w:val="20"/>
          <w:szCs w:val="20"/>
          <w:color w:val="auto"/>
        </w:rPr>
        <w:t>, to establish and maintain (including, without duplication of any Inventory Reserves or M&amp;E Reserves constituting Landlord Reserves, Landlord Reserves for books and records locations and reserves for rebates, discounts, warranty claims, and returns) with respect to the Eligible Accounts, in each case against the Borrowing Base (including with respect to any reserves for rights of recoupment or offset against any Eligible Accounts or for any rebates, discounts, credits, claims or disputes against any Eligible Accounts) or the Maximum Revolver Amount.</w:t>
      </w:r>
    </w:p>
    <w:p>
      <w:pPr>
        <w:spacing w:after="0" w:line="193"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Record</w:t>
      </w:r>
      <w:r>
        <w:rPr>
          <w:rFonts w:ascii="Arial" w:cs="Arial" w:eastAsia="Arial" w:hAnsi="Arial"/>
          <w:sz w:val="20"/>
          <w:szCs w:val="20"/>
          <w:color w:val="auto"/>
        </w:rPr>
        <w:t>” means information that is inscribed on a tangible medium or that is stored in an electronic or other medium and is retrievable in perceivable form.</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Reference Period</w:t>
      </w:r>
      <w:r>
        <w:rPr>
          <w:rFonts w:ascii="Arial" w:cs="Arial" w:eastAsia="Arial" w:hAnsi="Arial"/>
          <w:sz w:val="20"/>
          <w:szCs w:val="20"/>
          <w:color w:val="auto"/>
        </w:rPr>
        <w:t>” has the meaning set forth in the definition of EBITDA.</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Refinancing Indebtedness</w:t>
      </w:r>
      <w:r>
        <w:rPr>
          <w:rFonts w:ascii="Arial" w:cs="Arial" w:eastAsia="Arial" w:hAnsi="Arial"/>
          <w:sz w:val="19"/>
          <w:szCs w:val="19"/>
          <w:color w:val="auto"/>
        </w:rPr>
        <w:t>” means refinancings, renewals, or extensions of Indebtedness so long as:</w:t>
      </w:r>
    </w:p>
    <w:p>
      <w:pPr>
        <w:spacing w:after="0" w:line="227" w:lineRule="exact"/>
        <w:rPr>
          <w:sz w:val="20"/>
          <w:szCs w:val="20"/>
          <w:color w:val="auto"/>
        </w:rPr>
      </w:pPr>
    </w:p>
    <w:p>
      <w:pPr>
        <w:jc w:val="both"/>
        <w:ind w:firstLine="1304"/>
        <w:spacing w:after="0" w:line="246" w:lineRule="auto"/>
        <w:tabs>
          <w:tab w:leader="none" w:pos="1944" w:val="left"/>
        </w:tabs>
        <w:numPr>
          <w:ilvl w:val="0"/>
          <w:numId w:val="56"/>
        </w:numPr>
        <w:rPr>
          <w:rFonts w:ascii="Arial" w:cs="Arial" w:eastAsia="Arial" w:hAnsi="Arial"/>
          <w:sz w:val="20"/>
          <w:szCs w:val="20"/>
          <w:color w:val="auto"/>
        </w:rPr>
      </w:pPr>
      <w:r>
        <w:rPr>
          <w:rFonts w:ascii="Arial" w:cs="Arial" w:eastAsia="Arial" w:hAnsi="Arial"/>
          <w:sz w:val="20"/>
          <w:szCs w:val="20"/>
          <w:color w:val="auto"/>
        </w:rPr>
        <w:t>such refinancings, renewals, or extensions do not result in an increase in the principal amount of the Indebtedness so refinanced, renewed, or extended, other than by the amount of premiums paid thereon, unpaid accrued interest, original issue discount and upfront fees, and the fees and expenses incurred in connection therewith and by the amount of unfunded commitments with respect thereto,</w:t>
      </w:r>
    </w:p>
    <w:p>
      <w:pPr>
        <w:spacing w:after="0" w:line="191" w:lineRule="exact"/>
        <w:rPr>
          <w:rFonts w:ascii="Arial" w:cs="Arial" w:eastAsia="Arial" w:hAnsi="Arial"/>
          <w:sz w:val="20"/>
          <w:szCs w:val="20"/>
          <w:color w:val="auto"/>
        </w:rPr>
      </w:pPr>
    </w:p>
    <w:p>
      <w:pPr>
        <w:jc w:val="both"/>
        <w:ind w:firstLine="1304"/>
        <w:spacing w:after="0" w:line="246" w:lineRule="auto"/>
        <w:tabs>
          <w:tab w:leader="none" w:pos="1944" w:val="left"/>
        </w:tabs>
        <w:numPr>
          <w:ilvl w:val="0"/>
          <w:numId w:val="56"/>
        </w:numPr>
        <w:rPr>
          <w:rFonts w:ascii="Arial" w:cs="Arial" w:eastAsia="Arial" w:hAnsi="Arial"/>
          <w:sz w:val="20"/>
          <w:szCs w:val="20"/>
          <w:color w:val="auto"/>
        </w:rPr>
      </w:pPr>
      <w:r>
        <w:rPr>
          <w:rFonts w:ascii="Arial" w:cs="Arial" w:eastAsia="Arial" w:hAnsi="Arial"/>
          <w:sz w:val="20"/>
          <w:szCs w:val="20"/>
          <w:color w:val="auto"/>
        </w:rPr>
        <w:t>such refinancings, renewals, or extensions do not result in a shortening of the final stated maturity or the average weighted maturity (measured as of the refinancing, renewal, or extension) of the Indebtedness so refinanced, renewed, or extended, nor are they on terms or conditions that, taken as a whole, are or could reasonably be expected to be materially adverse to the interests of the Lenders,</w:t>
      </w:r>
    </w:p>
    <w:p>
      <w:pPr>
        <w:spacing w:after="0" w:line="191" w:lineRule="exact"/>
        <w:rPr>
          <w:rFonts w:ascii="Arial" w:cs="Arial" w:eastAsia="Arial" w:hAnsi="Arial"/>
          <w:sz w:val="20"/>
          <w:szCs w:val="20"/>
          <w:color w:val="auto"/>
        </w:rPr>
      </w:pPr>
    </w:p>
    <w:p>
      <w:pPr>
        <w:jc w:val="both"/>
        <w:ind w:firstLine="1304"/>
        <w:spacing w:after="0" w:line="246" w:lineRule="auto"/>
        <w:tabs>
          <w:tab w:leader="none" w:pos="1944" w:val="left"/>
        </w:tabs>
        <w:numPr>
          <w:ilvl w:val="0"/>
          <w:numId w:val="56"/>
        </w:numPr>
        <w:rPr>
          <w:rFonts w:ascii="Arial" w:cs="Arial" w:eastAsia="Arial" w:hAnsi="Arial"/>
          <w:sz w:val="20"/>
          <w:szCs w:val="20"/>
          <w:color w:val="auto"/>
        </w:rPr>
      </w:pPr>
      <w:r>
        <w:rPr>
          <w:rFonts w:ascii="Arial" w:cs="Arial" w:eastAsia="Arial" w:hAnsi="Arial"/>
          <w:sz w:val="20"/>
          <w:szCs w:val="20"/>
          <w:color w:val="auto"/>
        </w:rPr>
        <w:t>if the Indebtedness that is refinanced, renewed, or extended was subordinated in right of payment to the Obligations, then the terms and conditions of the refinancing, renewal, or extension must include subordination terms and conditions that are at least as favorable to the Lender Group as those that were applicable to the refinanced, renewed, or extended Indebtedness,</w:t>
      </w:r>
    </w:p>
    <w:p>
      <w:pPr>
        <w:spacing w:after="0" w:line="191"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Indebtedness that is refinanced, renewed, or extended is not recourse to any Person that is liable on account of the Obligations other than those Persons which were obligated with respect to the Indebtedness that was refinanced, renewed, or extended,</w:t>
      </w:r>
    </w:p>
    <w:p>
      <w:pPr>
        <w:spacing w:after="0" w:line="185" w:lineRule="exact"/>
        <w:rPr>
          <w:rFonts w:ascii="Arial" w:cs="Arial" w:eastAsia="Arial" w:hAnsi="Arial"/>
          <w:sz w:val="20"/>
          <w:szCs w:val="20"/>
          <w:color w:val="auto"/>
        </w:rPr>
      </w:pPr>
    </w:p>
    <w:p>
      <w:pPr>
        <w:ind w:firstLine="1304"/>
        <w:spacing w:after="0" w:line="260" w:lineRule="auto"/>
        <w:tabs>
          <w:tab w:leader="none" w:pos="1944" w:val="left"/>
        </w:tabs>
        <w:numPr>
          <w:ilvl w:val="0"/>
          <w:numId w:val="56"/>
        </w:numPr>
        <w:rPr>
          <w:rFonts w:ascii="Arial" w:cs="Arial" w:eastAsia="Arial" w:hAnsi="Arial"/>
          <w:sz w:val="20"/>
          <w:szCs w:val="20"/>
          <w:color w:val="auto"/>
        </w:rPr>
      </w:pPr>
      <w:r>
        <w:rPr>
          <w:rFonts w:ascii="Arial" w:cs="Arial" w:eastAsia="Arial" w:hAnsi="Arial"/>
          <w:sz w:val="20"/>
          <w:szCs w:val="20"/>
          <w:color w:val="auto"/>
        </w:rPr>
        <w:t>if the Indebtedness that is refinanced, renewed or extended was unsecured, such refinancing, renewal or extension shall be unsecured, and</w:t>
      </w:r>
    </w:p>
    <w:p>
      <w:pPr>
        <w:spacing w:after="0" w:line="176" w:lineRule="exact"/>
        <w:rPr>
          <w:rFonts w:ascii="Arial" w:cs="Arial" w:eastAsia="Arial" w:hAnsi="Arial"/>
          <w:sz w:val="20"/>
          <w:szCs w:val="20"/>
          <w:color w:val="auto"/>
        </w:rPr>
      </w:pPr>
    </w:p>
    <w:p>
      <w:pPr>
        <w:jc w:val="both"/>
        <w:ind w:firstLine="1304"/>
        <w:spacing w:after="0" w:line="244" w:lineRule="auto"/>
        <w:tabs>
          <w:tab w:leader="none" w:pos="1944" w:val="left"/>
        </w:tabs>
        <w:numPr>
          <w:ilvl w:val="0"/>
          <w:numId w:val="56"/>
        </w:numPr>
        <w:rPr>
          <w:rFonts w:ascii="Arial" w:cs="Arial" w:eastAsia="Arial" w:hAnsi="Arial"/>
          <w:sz w:val="20"/>
          <w:szCs w:val="20"/>
          <w:color w:val="auto"/>
        </w:rPr>
      </w:pPr>
      <w:r>
        <w:rPr>
          <w:rFonts w:ascii="Arial" w:cs="Arial" w:eastAsia="Arial" w:hAnsi="Arial"/>
          <w:sz w:val="20"/>
          <w:szCs w:val="20"/>
          <w:color w:val="auto"/>
        </w:rPr>
        <w:t>if the Indebtedness that is refinanced, renewed, or extended was secured (i) such refinancing, renewal, or extension shall be secured by substantially the same or less collateral as secured such refinanced, renewed or extended Indebtedness on terms no less favorable to Agent or the Lender Group and (ii) the Liens securing such refinancing, renewal or extension shall not have a priority more senior than the Liens securing such Indebtedness that is refinanced, renewed or extended.</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13.1(h)</w:t>
      </w:r>
      <w:r>
        <w:rPr>
          <w:rFonts w:ascii="Arial" w:cs="Arial" w:eastAsia="Arial" w:hAnsi="Arial"/>
          <w:sz w:val="20"/>
          <w:szCs w:val="20"/>
          <w:color w:val="auto"/>
        </w:rPr>
        <w:t xml:space="preserv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58" w:name="page59"/>
    <w:bookmarkEnd w:id="58"/>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Registered Loan</w:t>
      </w:r>
      <w:r>
        <w:rPr>
          <w:rFonts w:ascii="Arial" w:cs="Arial" w:eastAsia="Arial" w:hAnsi="Arial"/>
          <w:sz w:val="20"/>
          <w:szCs w:val="20"/>
          <w:color w:val="auto"/>
        </w:rPr>
        <w:t xml:space="preserve">” has the meaning set forth in </w:t>
      </w:r>
      <w:r>
        <w:rPr>
          <w:rFonts w:ascii="Arial" w:cs="Arial" w:eastAsia="Arial" w:hAnsi="Arial"/>
          <w:sz w:val="20"/>
          <w:szCs w:val="20"/>
          <w:u w:val="single" w:color="auto"/>
          <w:color w:val="auto"/>
        </w:rPr>
        <w:t>Section 13.1(h)</w:t>
      </w:r>
      <w:r>
        <w:rPr>
          <w:rFonts w:ascii="Arial" w:cs="Arial" w:eastAsia="Arial" w:hAnsi="Arial"/>
          <w:sz w:val="20"/>
          <w:szCs w:val="20"/>
          <w:color w:val="auto"/>
        </w:rPr>
        <w:t xml:space="preserve"> of this Agreement.</w:t>
      </w:r>
    </w:p>
    <w:p>
      <w:pPr>
        <w:spacing w:after="0" w:line="217" w:lineRule="exact"/>
        <w:rPr>
          <w:sz w:val="20"/>
          <w:szCs w:val="20"/>
          <w:color w:val="auto"/>
        </w:rPr>
      </w:pPr>
    </w:p>
    <w:p>
      <w:pPr>
        <w:jc w:val="both"/>
        <w:ind w:firstLine="1296"/>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Fund</w:t>
      </w:r>
      <w:r>
        <w:rPr>
          <w:rFonts w:ascii="Arial" w:cs="Arial" w:eastAsia="Arial" w:hAnsi="Arial"/>
          <w:sz w:val="20"/>
          <w:szCs w:val="20"/>
          <w:color w:val="auto"/>
        </w:rPr>
        <w:t>” means any Person (other than a natural person) that is engaged in making, purchasing, holding or investing in bank loans and similar extensions of credit in the ordinary course and that is administered, advised or managed by (a) a Lender, (b) an Affiliate of a Lender, or (c) an entity or an Affiliate of an entity that administers, advises or manages a Lender.</w:t>
      </w:r>
    </w:p>
    <w:p>
      <w:pPr>
        <w:spacing w:after="0" w:line="191"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Relevant Governmental Body</w:t>
      </w:r>
      <w:r>
        <w:rPr>
          <w:rFonts w:ascii="Arial" w:cs="Arial" w:eastAsia="Arial" w:hAnsi="Arial"/>
          <w:sz w:val="20"/>
          <w:szCs w:val="20"/>
          <w:color w:val="auto"/>
        </w:rPr>
        <w:t xml:space="preserve"> ” means the Board of Governors or the Federal Reserve Bank of New York, or a committee officially endorsed or convened by the Board of Governors or the Federal Reserve Bank of New York, or any successor thereto.</w:t>
      </w:r>
    </w:p>
    <w:p>
      <w:pPr>
        <w:spacing w:after="0" w:line="18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Remedial Action</w:t>
      </w:r>
      <w:r>
        <w:rPr>
          <w:rFonts w:ascii="Arial" w:cs="Arial" w:eastAsia="Arial" w:hAnsi="Arial"/>
          <w:sz w:val="19"/>
          <w:szCs w:val="19"/>
          <w:color w:val="auto"/>
        </w:rPr>
        <w:t>” means all actions taken to (a) clean up, remove, remediate, contain, treat, monitor, assess, evaluate, or in any way address Hazardous Materials in the indoor or outdoor environment, (b) prevent or minimize a release or threatened release of Hazardous Materials so they do not migrate or endanger or threaten to endanger public health or welfare or the indoor or outdoor environment, (c) restore or reclaim natural resources or the environment, (d) perform any pre-remedial studies, investigations, or post-remedial operation and maintenance activities, or (e) conduct any other actions with respect to Hazardous Materials required by Environmental Laws.</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Replacement Lender</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2.13(b)</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15.16</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Availability</w:t>
      </w:r>
      <w:r>
        <w:rPr>
          <w:rFonts w:ascii="Arial" w:cs="Arial" w:eastAsia="Arial" w:hAnsi="Arial"/>
          <w:sz w:val="20"/>
          <w:szCs w:val="20"/>
          <w:color w:val="auto"/>
        </w:rPr>
        <w:t>” means that Excess Availability exceeds $18,000,000.</w:t>
      </w:r>
    </w:p>
    <w:p>
      <w:pPr>
        <w:spacing w:after="0" w:line="216"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Required Lenders</w:t>
      </w:r>
      <w:r>
        <w:rPr>
          <w:rFonts w:ascii="Arial" w:cs="Arial" w:eastAsia="Arial" w:hAnsi="Arial"/>
          <w:sz w:val="20"/>
          <w:szCs w:val="20"/>
          <w:color w:val="auto"/>
        </w:rPr>
        <w:t xml:space="preserve">” means, at any time, Lenders having or holding more than 50% of the sum of (a) the aggregate Revolving Loan Exposure of all Lenders, </w:t>
      </w:r>
      <w:r>
        <w:rPr>
          <w:rFonts w:ascii="Arial" w:cs="Arial" w:eastAsia="Arial" w:hAnsi="Arial"/>
          <w:sz w:val="20"/>
          <w:szCs w:val="20"/>
          <w:i w:val="1"/>
          <w:iCs w:val="1"/>
          <w:u w:val="single" w:color="auto"/>
          <w:color w:val="auto"/>
        </w:rPr>
        <w:t>plus</w:t>
      </w:r>
      <w:r>
        <w:rPr>
          <w:rFonts w:ascii="Arial" w:cs="Arial" w:eastAsia="Arial" w:hAnsi="Arial"/>
          <w:sz w:val="20"/>
          <w:szCs w:val="20"/>
          <w:color w:val="auto"/>
        </w:rPr>
        <w:t xml:space="preserve"> (b) the aggregate Capex Loan Exposure of all Lenders; </w:t>
      </w:r>
      <w:r>
        <w:rPr>
          <w:rFonts w:ascii="Arial" w:cs="Arial" w:eastAsia="Arial" w:hAnsi="Arial"/>
          <w:sz w:val="20"/>
          <w:szCs w:val="20"/>
          <w:u w:val="single" w:color="auto"/>
          <w:color w:val="auto"/>
        </w:rPr>
        <w:t>provided</w:t>
      </w:r>
      <w:r>
        <w:rPr>
          <w:rFonts w:ascii="Arial" w:cs="Arial" w:eastAsia="Arial" w:hAnsi="Arial"/>
          <w:sz w:val="20"/>
          <w:szCs w:val="20"/>
          <w:color w:val="auto"/>
        </w:rPr>
        <w:t>, that (i) the Revolving Loan Exposure and Capex Loan Exposure of any Defaulting Lender shall be disregarded in the determination of the Required Lenders, and (ii) at any time there are two or more Lenders (who are not Affiliates of one another or Defaulting Lenders), “Required Lenders” must include at least two Lenders (who are not Affiliates of one another).</w:t>
      </w:r>
    </w:p>
    <w:p>
      <w:pPr>
        <w:spacing w:after="0" w:line="196"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Reserves</w:t>
      </w:r>
      <w:r>
        <w:rPr>
          <w:rFonts w:ascii="Arial" w:cs="Arial" w:eastAsia="Arial" w:hAnsi="Arial"/>
          <w:sz w:val="18"/>
          <w:szCs w:val="18"/>
          <w:color w:val="auto"/>
        </w:rPr>
        <w:t xml:space="preserve">” means, as of any date of determination, Inventory Reserves, M&amp;E Reserves, Receivables Reserves, Bank Product Reserves, Agricultural Reserves, and those other reserves (other than the Dilution Reserve) that Agent deems necessary or appropriate, in its Permitted Discretion and subject to </w:t>
      </w:r>
      <w:r>
        <w:rPr>
          <w:rFonts w:ascii="Arial" w:cs="Arial" w:eastAsia="Arial" w:hAnsi="Arial"/>
          <w:sz w:val="18"/>
          <w:szCs w:val="18"/>
          <w:u w:val="single" w:color="auto"/>
          <w:color w:val="auto"/>
        </w:rPr>
        <w:t>Section 2.1(c)</w:t>
      </w:r>
      <w:r>
        <w:rPr>
          <w:rFonts w:ascii="Arial" w:cs="Arial" w:eastAsia="Arial" w:hAnsi="Arial"/>
          <w:sz w:val="18"/>
          <w:szCs w:val="18"/>
          <w:color w:val="auto"/>
        </w:rPr>
        <w:t>, to establish and maintain (including reserves with respect to (a) sums that any Loan Party or its Subsidiaries are required to pay under any Section of this Agreement or any other Loan Document (such as taxes, assessments, insurance premiums, or, in the case of leased assets, rents or other amounts payable under such leases) and has failed to pay, and (b) amounts owing by any Loan Party or its Subsidiaries to any Person to the extent secured by a Lien on, or trust over, any of the Collateral (other than a Permitted Lien), which Lien or trust, in the Permitted Discretion of Agent likely would have a priority superior to Agent’s Liens (such as Liens or trusts in favor of landlords, warehousemen, carriers, mechanics, customs brokers, materialmen, laborers, or suppliers for which Agent has not received a Collateral Access Agreement or other like agreement reasonably satisfactory to Agent pursuant to which the holder of such lien either waives or subordinates such Liens to Agent’s Liens, or Liens or trusts for ad valorem, excise, sales, or other taxes where given priority under applicable law) in and to such item of the Collateral) with respect to the Borrowing Base or the Maximum Revolver Amount.</w:t>
      </w:r>
    </w:p>
    <w:p>
      <w:pPr>
        <w:spacing w:after="0" w:line="17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Resolution Authority</w:t>
      </w:r>
      <w:r>
        <w:rPr>
          <w:rFonts w:ascii="Arial" w:cs="Arial" w:eastAsia="Arial" w:hAnsi="Arial"/>
          <w:sz w:val="20"/>
          <w:szCs w:val="20"/>
          <w:color w:val="auto"/>
        </w:rPr>
        <w:t>” means an EEA Resolution Authority or, with respect to any UK Financial Institution, a UK Resolution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59" w:name="page60"/>
    <w:bookmarkEnd w:id="59"/>
    <w:p>
      <w:pPr>
        <w:jc w:val="both"/>
        <w:ind w:firstLine="1296"/>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 any declaration or payment of any dividend or the making of any other payment or distribution, directly or indirectly, on account of Equity Interests issued by Administrative Borrower or any of its Subsidiaries (including any payment in connection with any merger or consolidation involving Administrative Borrower or any of its Subsidiaries) or to the direct or indirect holders of Equity Interests issued by Administrative Borrower or any of its Subsidiaries in their capacity as such (other than dividends or distributions payable in Qualified Equity Interests issued by Administrative Borrower or any of its Subsidiaries, or (b) any purchase, redemption, making of any sinking fund or similar payment, or other acquisition or retirement for value (including in connection with any merger or consolidation involving Administrative Borrower or any of its Subsidiaries) any Equity Interests issued by Administrative Borrower or any of its Subsidiaries, or (c) any making of any payment to retire, or to obtain the surrender of, any outstanding warrants, options, or other rights to acquire Equity Interests of Administrative Borrower or any of its Subsidiaries now or hereafter outstanding.</w:t>
      </w:r>
    </w:p>
    <w:p>
      <w:pPr>
        <w:spacing w:after="0" w:line="17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Revolver Commitment</w:t>
      </w:r>
      <w:r>
        <w:rPr>
          <w:rFonts w:ascii="Arial" w:cs="Arial" w:eastAsia="Arial" w:hAnsi="Arial"/>
          <w:sz w:val="19"/>
          <w:szCs w:val="19"/>
          <w:color w:val="auto"/>
        </w:rPr>
        <w:t xml:space="preserve">” means, with respect to each Revolving Lender, its Revolver Commitment, and, with respect to all Revolving Lenders, their Revolver Commitments, in each case as such Dollar amounts are set forth beside such Revolving Lender’s name under the applicable heading on </w:t>
      </w:r>
      <w:r>
        <w:rPr>
          <w:rFonts w:ascii="Arial" w:cs="Arial" w:eastAsia="Arial" w:hAnsi="Arial"/>
          <w:sz w:val="19"/>
          <w:szCs w:val="19"/>
          <w:u w:val="single" w:color="auto"/>
          <w:color w:val="auto"/>
        </w:rPr>
        <w:t>Schedule C-1</w:t>
      </w:r>
      <w:r>
        <w:rPr>
          <w:rFonts w:ascii="Arial" w:cs="Arial" w:eastAsia="Arial" w:hAnsi="Arial"/>
          <w:sz w:val="19"/>
          <w:szCs w:val="19"/>
          <w:color w:val="auto"/>
        </w:rPr>
        <w:t xml:space="preserve"> to this Agreement or in the Assignment and Acceptance or Increase Joinder pursuant to which such Revolving Lender became a Revolving Lender under this Agreement, as such amounts may be reduced or increased from time to time pursuant to assignments made in accordance with the provisions of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of this Agreement, and as such amounts may be decreased by the amount of reductions in the Revolver Commitments made in accordance with </w:t>
      </w:r>
      <w:r>
        <w:rPr>
          <w:rFonts w:ascii="Arial" w:cs="Arial" w:eastAsia="Arial" w:hAnsi="Arial"/>
          <w:sz w:val="19"/>
          <w:szCs w:val="19"/>
          <w:u w:val="single" w:color="auto"/>
          <w:color w:val="auto"/>
        </w:rPr>
        <w:t>Section 2.4(c)</w:t>
      </w:r>
      <w:r>
        <w:rPr>
          <w:rFonts w:ascii="Arial" w:cs="Arial" w:eastAsia="Arial" w:hAnsi="Arial"/>
          <w:sz w:val="19"/>
          <w:szCs w:val="19"/>
          <w:color w:val="auto"/>
        </w:rPr>
        <w:t xml:space="preserve"> hereof.</w:t>
      </w:r>
    </w:p>
    <w:p>
      <w:pPr>
        <w:spacing w:after="0" w:line="185"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u w:val="single" w:color="auto"/>
          <w:color w:val="auto"/>
        </w:rPr>
        <w:t>Revolver Usage</w:t>
      </w:r>
      <w:r>
        <w:rPr>
          <w:rFonts w:ascii="Arial" w:cs="Arial" w:eastAsia="Arial" w:hAnsi="Arial"/>
          <w:sz w:val="18"/>
          <w:szCs w:val="18"/>
          <w:color w:val="auto"/>
        </w:rPr>
        <w:t xml:space="preserve">” means, as of any date of determination, the sum of (a) the amount of outstanding Revolving Loans (inclusive of Swing Loans and Protective Advances),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(b) the amount of the Letter of Credit Usage.</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Lender</w:t>
      </w:r>
      <w:r>
        <w:rPr>
          <w:rFonts w:ascii="Arial" w:cs="Arial" w:eastAsia="Arial" w:hAnsi="Arial"/>
          <w:sz w:val="19"/>
          <w:szCs w:val="19"/>
          <w:color w:val="auto"/>
        </w:rPr>
        <w:t>” means a Lender that has a Revolving Loan Exposure or Letter of Credit Exposure.</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Loan Base Rate Margin</w:t>
      </w:r>
      <w:r>
        <w:rPr>
          <w:rFonts w:ascii="Arial" w:cs="Arial" w:eastAsia="Arial" w:hAnsi="Arial"/>
          <w:sz w:val="19"/>
          <w:szCs w:val="19"/>
          <w:color w:val="auto"/>
        </w:rPr>
        <w:t>” has the meaning set forth in the definition of Applicable Margin.</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 Exposure</w:t>
      </w:r>
      <w:r>
        <w:rPr>
          <w:rFonts w:ascii="Arial" w:cs="Arial" w:eastAsia="Arial" w:hAnsi="Arial"/>
          <w:sz w:val="18"/>
          <w:szCs w:val="18"/>
          <w:color w:val="auto"/>
        </w:rPr>
        <w:t>” means, with respect to any Revolving Lender, as of any date of determination</w:t>
      </w:r>
    </w:p>
    <w:p>
      <w:pPr>
        <w:spacing w:after="0" w:line="39" w:lineRule="exact"/>
        <w:rPr>
          <w:sz w:val="20"/>
          <w:szCs w:val="20"/>
          <w:color w:val="auto"/>
        </w:rPr>
      </w:pPr>
    </w:p>
    <w:p>
      <w:pPr>
        <w:jc w:val="both"/>
        <w:ind w:firstLine="8"/>
        <w:spacing w:after="0" w:line="241" w:lineRule="auto"/>
        <w:tabs>
          <w:tab w:leader="none" w:pos="272" w:val="left"/>
        </w:tabs>
        <w:numPr>
          <w:ilvl w:val="0"/>
          <w:numId w:val="57"/>
        </w:numPr>
        <w:rPr>
          <w:rFonts w:ascii="Arial" w:cs="Arial" w:eastAsia="Arial" w:hAnsi="Arial"/>
          <w:sz w:val="20"/>
          <w:szCs w:val="20"/>
          <w:color w:val="auto"/>
        </w:rPr>
      </w:pPr>
      <w:r>
        <w:rPr>
          <w:rFonts w:ascii="Arial" w:cs="Arial" w:eastAsia="Arial" w:hAnsi="Arial"/>
          <w:sz w:val="20"/>
          <w:szCs w:val="20"/>
          <w:color w:val="auto"/>
        </w:rPr>
        <w:t>prior to the termination of the Revolver Commitments, the amount of such Lender’s Revolver Commitment, and (b) after the termination of the Revolver Commitments, the aggregate outstanding principal amount of the Revolving Loans of such Lender.</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 SOFR Margin</w:t>
      </w:r>
      <w:r>
        <w:rPr>
          <w:rFonts w:ascii="Arial" w:cs="Arial" w:eastAsia="Arial" w:hAnsi="Arial"/>
          <w:sz w:val="20"/>
          <w:szCs w:val="20"/>
          <w:color w:val="auto"/>
        </w:rPr>
        <w:t>” has the meaning set forth in the definition of Applicable Margin.</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Loans</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2.1(a)</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Entity</w:t>
      </w:r>
      <w:r>
        <w:rPr>
          <w:rFonts w:ascii="Arial" w:cs="Arial" w:eastAsia="Arial" w:hAnsi="Arial"/>
          <w:sz w:val="20"/>
          <w:szCs w:val="20"/>
          <w:color w:val="auto"/>
        </w:rPr>
        <w:t>” means (a) a country or territory or a government of a country or territory, (b) an agency of the government of a country or territory, (c) an organization directly or indirectly controlled by a country or territory or its government, or (d) a Person resident in or determined to be resident in a country or territory, in each case of clauses (a) through (d) that is a target of Sanctions, including a target of any country sanctions program administered and enforced by OFAC.</w:t>
      </w:r>
    </w:p>
    <w:p>
      <w:pPr>
        <w:spacing w:after="0" w:line="194"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Sanctioned Person</w:t>
      </w:r>
      <w:r>
        <w:rPr>
          <w:rFonts w:ascii="Arial" w:cs="Arial" w:eastAsia="Arial" w:hAnsi="Arial"/>
          <w:sz w:val="20"/>
          <w:szCs w:val="20"/>
          <w:color w:val="auto"/>
        </w:rPr>
        <w:t>” means, at any time (a) any Person named on the list of Specially Designated Nationals and Blocked Persons maintained by OFAC, OFAC’s consolidated Non-SDN list or any other Sanctions-related list maintained by any Governmental Authority, (b) a Person or legal entity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60" w:name="page61"/>
    <w:bookmarkEnd w:id="60"/>
    <w:p>
      <w:pPr>
        <w:jc w:val="both"/>
        <w:spacing w:after="0" w:line="250" w:lineRule="auto"/>
        <w:rPr>
          <w:sz w:val="20"/>
          <w:szCs w:val="20"/>
          <w:color w:val="auto"/>
        </w:rPr>
      </w:pPr>
      <w:r>
        <w:rPr>
          <w:rFonts w:ascii="Arial" w:cs="Arial" w:eastAsia="Arial" w:hAnsi="Arial"/>
          <w:sz w:val="20"/>
          <w:szCs w:val="20"/>
          <w:color w:val="auto"/>
        </w:rPr>
        <w:t>is a target of Sanctions, (c) any Person operating, organized or resident in a Sanctioned Entity, or (d) any Person directly or indirectly owned or controlled (individually or in the aggregate) by or acting on behalf of any such Person or Persons described in clauses (a) through (c) above.</w:t>
      </w:r>
    </w:p>
    <w:p>
      <w:pPr>
        <w:spacing w:after="0" w:line="187" w:lineRule="exact"/>
        <w:rPr>
          <w:sz w:val="20"/>
          <w:szCs w:val="20"/>
          <w:color w:val="auto"/>
        </w:rPr>
      </w:pPr>
    </w:p>
    <w:p>
      <w:pPr>
        <w:jc w:val="both"/>
        <w:ind w:firstLine="1296"/>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means individually and collectively, respectively, any and all economic sanctions, trade sanctions, financial sanctions, sectoral sanctions, secondary sanctions, trade embargoes anti-terrorism laws and other sanctions laws, regulations or embargoes, including those imposed, administered or enforced from time to time by: (a) the United States of America, including those administered by OFAC, the U.S. Department of State, the U.S. Department of Commerce, or through any existing or future executive order, (b) the United Nations Security Council, (c) the European Union or any European Union member state, (d) Her Majesty’s Treasury of the United Kingdom, or (d) any other Governmental Authority with jurisdiction over any member of Lender Group or any Loan Party or any of their respective Subsidiaries or Affiliates.</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S&amp;P</w:t>
      </w:r>
      <w:r>
        <w:rPr>
          <w:rFonts w:ascii="Arial" w:cs="Arial" w:eastAsia="Arial" w:hAnsi="Arial"/>
          <w:sz w:val="20"/>
          <w:szCs w:val="20"/>
          <w:color w:val="auto"/>
        </w:rPr>
        <w:t>” has the meaning specified therefor in the definition of Cash Equivalents.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w:t>
      </w:r>
      <w:r>
        <w:rPr>
          <w:rFonts w:ascii="Arial" w:cs="Arial" w:eastAsia="Arial" w:hAnsi="Arial"/>
          <w:sz w:val="19"/>
          <w:szCs w:val="19"/>
          <w:color w:val="auto"/>
        </w:rPr>
        <w:t>” means the United States Securities and Exchange Commission and any successor thereto.</w:t>
      </w:r>
    </w:p>
    <w:p>
      <w:pPr>
        <w:spacing w:after="0" w:line="22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Account</w:t>
      </w:r>
      <w:r>
        <w:rPr>
          <w:rFonts w:ascii="Arial" w:cs="Arial" w:eastAsia="Arial" w:hAnsi="Arial"/>
          <w:sz w:val="20"/>
          <w:szCs w:val="20"/>
          <w:color w:val="auto"/>
        </w:rPr>
        <w:t>” means a securities account (as that term is defined in the Code).</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as amended from time to time, and any successor statute.</w:t>
      </w:r>
    </w:p>
    <w:p>
      <w:pPr>
        <w:spacing w:after="0" w:line="26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Settlement</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2.3(e)(i)</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Settlement Date</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2.3(e)(i)</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w:t>
      </w:r>
      <w:r>
        <w:rPr>
          <w:rFonts w:ascii="Arial" w:cs="Arial" w:eastAsia="Arial" w:hAnsi="Arial"/>
          <w:sz w:val="20"/>
          <w:szCs w:val="20"/>
          <w:color w:val="auto"/>
        </w:rPr>
        <w:t>” means a rate equal to the secured overnight financing rate as administered by the SOFR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Administrator.</w:t>
      </w:r>
    </w:p>
    <w:p>
      <w:pPr>
        <w:spacing w:after="0" w:line="200"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Administrator</w:t>
      </w:r>
      <w:r>
        <w:rPr>
          <w:rFonts w:ascii="Arial" w:cs="Arial" w:eastAsia="Arial" w:hAnsi="Arial"/>
          <w:sz w:val="20"/>
          <w:szCs w:val="20"/>
          <w:color w:val="auto"/>
        </w:rPr>
        <w:t>” means the Federal Reserve Bank of New York (or a successor administrator of the secured overnight financing rate).</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Deadline</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2.12(b)(i)</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1296"/>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SOFR Loan</w:t>
      </w:r>
      <w:r>
        <w:rPr>
          <w:rFonts w:ascii="Arial" w:cs="Arial" w:eastAsia="Arial" w:hAnsi="Arial"/>
          <w:sz w:val="18"/>
          <w:szCs w:val="18"/>
          <w:color w:val="auto"/>
        </w:rPr>
        <w:t>” means each portion of a Revolving Loan or a Capex Advance that bears interest at a rate determined by reference to Adjusted Term SOFR (other than pursuant to clause (c) of the definition of “Base Rate”).</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 Margin</w:t>
      </w:r>
      <w:r>
        <w:rPr>
          <w:rFonts w:ascii="Arial" w:cs="Arial" w:eastAsia="Arial" w:hAnsi="Arial"/>
          <w:sz w:val="19"/>
          <w:szCs w:val="19"/>
          <w:color w:val="auto"/>
        </w:rPr>
        <w:t>” means the Revolving Loan SOFR Margin or the Capex Advance SOFR Margin, as</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applicable.</w:t>
      </w:r>
    </w:p>
    <w:p>
      <w:pPr>
        <w:spacing w:after="0" w:line="20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Notice</w:t>
      </w:r>
      <w:r>
        <w:rPr>
          <w:rFonts w:ascii="Arial" w:cs="Arial" w:eastAsia="Arial" w:hAnsi="Arial"/>
          <w:sz w:val="20"/>
          <w:szCs w:val="20"/>
          <w:color w:val="auto"/>
        </w:rPr>
        <w:t xml:space="preserve">” means a written notice in the form of </w:t>
      </w:r>
      <w:r>
        <w:rPr>
          <w:rFonts w:ascii="Arial" w:cs="Arial" w:eastAsia="Arial" w:hAnsi="Arial"/>
          <w:sz w:val="20"/>
          <w:szCs w:val="20"/>
          <w:u w:val="single" w:color="auto"/>
          <w:color w:val="auto"/>
        </w:rPr>
        <w:t>Exhibit L-1</w:t>
      </w:r>
      <w:r>
        <w:rPr>
          <w:rFonts w:ascii="Arial" w:cs="Arial" w:eastAsia="Arial" w:hAnsi="Arial"/>
          <w:sz w:val="20"/>
          <w:szCs w:val="20"/>
          <w:color w:val="auto"/>
        </w:rPr>
        <w:t xml:space="preserve"> to this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SOFR Option</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2.12(a)</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Solvent</w:t>
      </w:r>
      <w:r>
        <w:rPr>
          <w:rFonts w:ascii="Arial" w:cs="Arial" w:eastAsia="Arial" w:hAnsi="Arial"/>
          <w:sz w:val="20"/>
          <w:szCs w:val="20"/>
          <w:color w:val="auto"/>
        </w:rPr>
        <w:t>” means, with respect to any Person as of any date of determination, that (a) at fair valuations, the sum of such Person’s debts (including contingent liabilities) is less than all of such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61" w:name="page62"/>
    <w:bookmarkEnd w:id="61"/>
    <w:p>
      <w:pPr>
        <w:jc w:val="both"/>
        <w:spacing w:after="0" w:line="272" w:lineRule="auto"/>
        <w:rPr>
          <w:sz w:val="20"/>
          <w:szCs w:val="20"/>
          <w:color w:val="auto"/>
        </w:rPr>
      </w:pPr>
      <w:r>
        <w:rPr>
          <w:rFonts w:ascii="Arial" w:cs="Arial" w:eastAsia="Arial" w:hAnsi="Arial"/>
          <w:sz w:val="18"/>
          <w:szCs w:val="18"/>
          <w:color w:val="auto"/>
        </w:rPr>
        <w:t>assets, (b) such Person is not engaged or about to engage in a business or transaction for which the remaining assets of such Person are unreasonably small in relation to the business or transaction or for which the property remaining with such Person is an unreasonably small capital, (c) such Person has not incurred and does not intend to incur, or reasonably believe that it will incur, debts beyond its ability to pay such debts as they become due (whether at maturity or otherwise), and (d) such Person is “solvent” or not “insolvent”, as applicable within the meaning given those terms and similar terms under applicable laws relating to fraudulent transfers and conveyances.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Transaction</w:t>
      </w:r>
      <w:r>
        <w:rPr>
          <w:rFonts w:ascii="Arial" w:cs="Arial" w:eastAsia="Arial" w:hAnsi="Arial"/>
          <w:sz w:val="19"/>
          <w:szCs w:val="19"/>
          <w:color w:val="auto"/>
        </w:rPr>
        <w:t>” means any Investment or prepayment of Indebtedness or Restricted Payment.</w:t>
      </w:r>
    </w:p>
    <w:p>
      <w:pPr>
        <w:spacing w:after="0" w:line="227"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Standard Letter of Credit Practice</w:t>
      </w:r>
      <w:r>
        <w:rPr>
          <w:rFonts w:ascii="Arial" w:cs="Arial" w:eastAsia="Arial" w:hAnsi="Arial"/>
          <w:sz w:val="20"/>
          <w:szCs w:val="20"/>
          <w:color w:val="auto"/>
        </w:rPr>
        <w:t>” means, for Issuing Bank, any domestic or foreign law or letter of credit practices applicable in the city in which Issuing Bank issued the applicable Letter of Credit or, for its branch or correspondent, such laws and practices applicable in the city in which it has advised, confirmed or negotiated such Letter of Credit, as the case may be, in each case, (a) which letter of credit practices are of banks that regularly issue letters of credit in the particular city, and (b) which laws or letter of credit practices are required or permitted under ISP or UCP, as chosen in the applicable Letter of Credit.</w:t>
      </w:r>
    </w:p>
    <w:p>
      <w:pPr>
        <w:spacing w:after="0" w:line="19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Subordinated Indebtedness</w:t>
      </w:r>
      <w:r>
        <w:rPr>
          <w:rFonts w:ascii="Arial" w:cs="Arial" w:eastAsia="Arial" w:hAnsi="Arial"/>
          <w:sz w:val="20"/>
          <w:szCs w:val="20"/>
          <w:color w:val="auto"/>
        </w:rPr>
        <w:t>” means any Indebtedness of any Loan Party or its Subsidiaries incurred from time to time that is subordinated in right of payment to the Obligations and is subject to a Subordination Agreement or contains terms and conditions of subordination that are acceptable to Agent.</w:t>
      </w:r>
    </w:p>
    <w:p>
      <w:pPr>
        <w:spacing w:after="0" w:line="186"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Subsidiary</w:t>
      </w:r>
      <w:r>
        <w:rPr>
          <w:rFonts w:ascii="Arial" w:cs="Arial" w:eastAsia="Arial" w:hAnsi="Arial"/>
          <w:sz w:val="19"/>
          <w:szCs w:val="19"/>
          <w:color w:val="auto"/>
        </w:rPr>
        <w:t xml:space="preserve"> ” of a Person means a corporation, partnership, limited liability company, or other entity in which that Person directly or indirectly owns or controls the Equity Interests having ordinary voting power to elect a majority of the Board of Directors of such corporation, partnership, limited liability company, or other entity.</w:t>
      </w:r>
    </w:p>
    <w:p>
      <w:pPr>
        <w:spacing w:after="0" w:line="170" w:lineRule="exact"/>
        <w:rPr>
          <w:sz w:val="20"/>
          <w:szCs w:val="20"/>
          <w:color w:val="auto"/>
        </w:rPr>
      </w:pPr>
    </w:p>
    <w:p>
      <w:pPr>
        <w:jc w:val="both"/>
        <w:ind w:firstLine="1296"/>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Supermajority Lenders</w:t>
      </w:r>
      <w:r>
        <w:rPr>
          <w:rFonts w:ascii="Arial" w:cs="Arial" w:eastAsia="Arial" w:hAnsi="Arial"/>
          <w:sz w:val="20"/>
          <w:szCs w:val="20"/>
          <w:color w:val="auto"/>
        </w:rPr>
        <w:t xml:space="preserve">” means, at any time, Revolving Lenders having or holding more than 66 2/3% of the aggregate Revolving Loan Exposure of all Revolving Lenders plus the aggregate Capex Loan Exposure of all Lenders; </w:t>
      </w:r>
      <w:r>
        <w:rPr>
          <w:rFonts w:ascii="Arial" w:cs="Arial" w:eastAsia="Arial" w:hAnsi="Arial"/>
          <w:sz w:val="20"/>
          <w:szCs w:val="20"/>
          <w:u w:val="single" w:color="auto"/>
          <w:color w:val="auto"/>
        </w:rPr>
        <w:t>provided</w:t>
      </w:r>
      <w:r>
        <w:rPr>
          <w:rFonts w:ascii="Arial" w:cs="Arial" w:eastAsia="Arial" w:hAnsi="Arial"/>
          <w:sz w:val="20"/>
          <w:szCs w:val="20"/>
          <w:color w:val="auto"/>
        </w:rPr>
        <w:t>, that (i) the Revolving Loan Exposure and Capex Loan Exposure of any Defaulting Lender shall be disregarded in the determination of the Supermajority Lenders, and (ii) at any time there are two or more Revolving Lenders (who are not Affiliates of one another), “Supermajority Lenders” must include at least two Revolving Lenders (who are not Affiliates of one another or Defaulting Lenders).</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Supported QFC</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17.15</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Obligation</w:t>
      </w:r>
      <w:r>
        <w:rPr>
          <w:rFonts w:ascii="Arial" w:cs="Arial" w:eastAsia="Arial" w:hAnsi="Arial"/>
          <w:sz w:val="20"/>
          <w:szCs w:val="20"/>
          <w:color w:val="auto"/>
        </w:rPr>
        <w:t>” means, with respect to any Loan Party, any obligation to pay or perform under any agreement, contract or transaction that constitutes a “swap” within the meaning of section 1a(47) of the Commodity Exchange Act.</w:t>
      </w:r>
    </w:p>
    <w:p>
      <w:pPr>
        <w:spacing w:after="0" w:line="18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Lender</w:t>
      </w:r>
      <w:r>
        <w:rPr>
          <w:rFonts w:ascii="Arial" w:cs="Arial" w:eastAsia="Arial" w:hAnsi="Arial"/>
          <w:sz w:val="20"/>
          <w:szCs w:val="20"/>
          <w:color w:val="auto"/>
        </w:rPr>
        <w:t xml:space="preserve">” means Wells Fargo or any other Lender that, at the request of Borrowers and with the consent of Agent agrees, in such Lender’s sole discretion, to become the Swing Lender under </w:t>
      </w:r>
      <w:r>
        <w:rPr>
          <w:rFonts w:ascii="Arial" w:cs="Arial" w:eastAsia="Arial" w:hAnsi="Arial"/>
          <w:sz w:val="20"/>
          <w:szCs w:val="20"/>
          <w:u w:val="single" w:color="auto"/>
          <w:color w:val="auto"/>
        </w:rPr>
        <w:t>Section 2.3(b)</w:t>
      </w:r>
      <w:r>
        <w:rPr>
          <w:rFonts w:ascii="Arial" w:cs="Arial" w:eastAsia="Arial" w:hAnsi="Arial"/>
          <w:sz w:val="20"/>
          <w:szCs w:val="20"/>
          <w:color w:val="auto"/>
        </w:rPr>
        <w:t xml:space="preserve"> of this Agreement.</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Loan</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2.3(b)</w:t>
      </w:r>
      <w:r>
        <w:rPr>
          <w:rFonts w:ascii="Arial" w:cs="Arial" w:eastAsia="Arial" w:hAnsi="Arial"/>
          <w:sz w:val="20"/>
          <w:szCs w:val="20"/>
          <w:color w:val="auto"/>
        </w:rPr>
        <w:t xml:space="preserv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62" w:name="page63"/>
    <w:bookmarkEnd w:id="62"/>
    <w:p>
      <w:pPr>
        <w:jc w:val="both"/>
        <w:ind w:firstLine="1296"/>
        <w:spacing w:after="0" w:line="261"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 Loan Exposure</w:t>
      </w:r>
      <w:r>
        <w:rPr>
          <w:rFonts w:ascii="Arial" w:cs="Arial" w:eastAsia="Arial" w:hAnsi="Arial"/>
          <w:sz w:val="20"/>
          <w:szCs w:val="20"/>
          <w:color w:val="auto"/>
        </w:rPr>
        <w:t>” means, as of any date of determination with respect to any Lender, such Lender’s Pro Rata Share of the Swing Loans on such date.</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Lender</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14.2(a)</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any taxes, levies, imposts, duties, fees, assessments or other charges of whatever nature now or hereafter imposed by any jurisdiction or by any political subdivision or taxing authority thereof or therein, and all interest, penalties or similar liabilities with respect thereto.</w:t>
      </w:r>
    </w:p>
    <w:p>
      <w:pPr>
        <w:spacing w:after="0" w:line="18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w:t>
      </w:r>
      <w:r>
        <w:rPr>
          <w:rFonts w:ascii="Arial" w:cs="Arial" w:eastAsia="Arial" w:hAnsi="Arial"/>
          <w:sz w:val="20"/>
          <w:szCs w:val="20"/>
          <w:color w:val="auto"/>
        </w:rPr>
        <w:t>” means,</w:t>
      </w:r>
    </w:p>
    <w:p>
      <w:pPr>
        <w:spacing w:after="0" w:line="216" w:lineRule="exact"/>
        <w:rPr>
          <w:sz w:val="20"/>
          <w:szCs w:val="20"/>
          <w:color w:val="auto"/>
        </w:rPr>
      </w:pPr>
    </w:p>
    <w:p>
      <w:pPr>
        <w:jc w:val="both"/>
        <w:ind w:firstLine="1304"/>
        <w:spacing w:after="0" w:line="275" w:lineRule="auto"/>
        <w:tabs>
          <w:tab w:leader="none" w:pos="1944" w:val="left"/>
        </w:tabs>
        <w:numPr>
          <w:ilvl w:val="1"/>
          <w:numId w:val="58"/>
        </w:numPr>
        <w:rPr>
          <w:rFonts w:ascii="Arial" w:cs="Arial" w:eastAsia="Arial" w:hAnsi="Arial"/>
          <w:sz w:val="18"/>
          <w:szCs w:val="18"/>
          <w:color w:val="auto"/>
        </w:rPr>
      </w:pPr>
      <w:r>
        <w:rPr>
          <w:rFonts w:ascii="Arial" w:cs="Arial" w:eastAsia="Arial" w:hAnsi="Arial"/>
          <w:sz w:val="18"/>
          <w:szCs w:val="18"/>
          <w:color w:val="auto"/>
        </w:rPr>
        <w:t>for any calculation with respect to a SOFR Loan, the Term SOFR Reference Rate for a tenor comparable to the applicable Interest Period on the day (such day, the “</w:t>
      </w:r>
      <w:r>
        <w:rPr>
          <w:rFonts w:ascii="Arial" w:cs="Arial" w:eastAsia="Arial" w:hAnsi="Arial"/>
          <w:sz w:val="18"/>
          <w:szCs w:val="18"/>
          <w:u w:val="single" w:color="auto"/>
          <w:color w:val="auto"/>
        </w:rPr>
        <w:t>Periodic Term SOFR Determination Day</w:t>
      </w:r>
      <w:r>
        <w:rPr>
          <w:rFonts w:ascii="Arial" w:cs="Arial" w:eastAsia="Arial" w:hAnsi="Arial"/>
          <w:sz w:val="18"/>
          <w:szCs w:val="18"/>
          <w:color w:val="auto"/>
        </w:rPr>
        <w:t>”) that is two</w:t>
      </w:r>
    </w:p>
    <w:p>
      <w:pPr>
        <w:jc w:val="both"/>
        <w:ind w:firstLine="8"/>
        <w:spacing w:after="0" w:line="270" w:lineRule="auto"/>
        <w:tabs>
          <w:tab w:leader="none" w:pos="289"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U.S. Government Securities Business Days prior to the first day of such Interest Period, as such rate is published by the Term SOFR Administrator;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73" w:lineRule="exact"/>
        <w:rPr>
          <w:rFonts w:ascii="Arial" w:cs="Arial" w:eastAsia="Arial" w:hAnsi="Arial"/>
          <w:sz w:val="18"/>
          <w:szCs w:val="18"/>
          <w:color w:val="auto"/>
        </w:rPr>
      </w:pPr>
    </w:p>
    <w:p>
      <w:pPr>
        <w:jc w:val="both"/>
        <w:ind w:firstLine="1304"/>
        <w:spacing w:after="0" w:line="271" w:lineRule="auto"/>
        <w:tabs>
          <w:tab w:leader="none" w:pos="1944" w:val="left"/>
        </w:tabs>
        <w:numPr>
          <w:ilvl w:val="1"/>
          <w:numId w:val="59"/>
        </w:numPr>
        <w:rPr>
          <w:rFonts w:ascii="Arial" w:cs="Arial" w:eastAsia="Arial" w:hAnsi="Arial"/>
          <w:sz w:val="18"/>
          <w:szCs w:val="18"/>
          <w:color w:val="auto"/>
        </w:rPr>
      </w:pPr>
      <w:r>
        <w:rPr>
          <w:rFonts w:ascii="Arial" w:cs="Arial" w:eastAsia="Arial" w:hAnsi="Arial"/>
          <w:sz w:val="18"/>
          <w:szCs w:val="18"/>
          <w:color w:val="auto"/>
        </w:rPr>
        <w:t>for any calculation with respect to a Base Rate Loan on any day, the Term SOFR Reference Rate for a tenor of one month on the day (such day, the “</w:t>
      </w:r>
      <w:r>
        <w:rPr>
          <w:rFonts w:ascii="Arial" w:cs="Arial" w:eastAsia="Arial" w:hAnsi="Arial"/>
          <w:sz w:val="18"/>
          <w:szCs w:val="18"/>
          <w:u w:val="single" w:color="auto"/>
          <w:color w:val="auto"/>
        </w:rPr>
        <w:t>Base Rate Term SOFR Determination Day</w:t>
      </w:r>
      <w:r>
        <w:rPr>
          <w:rFonts w:ascii="Arial" w:cs="Arial" w:eastAsia="Arial" w:hAnsi="Arial"/>
          <w:sz w:val="18"/>
          <w:szCs w:val="18"/>
          <w:color w:val="auto"/>
        </w:rPr>
        <w:t xml:space="preserve">”) that is two (2) U.S. Government Securities Business Days prior to such day, as such rate is published by the Term SOFR Administrator;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Adjustment</w:t>
      </w:r>
      <w:r>
        <w:rPr>
          <w:rFonts w:ascii="Arial" w:cs="Arial" w:eastAsia="Arial" w:hAnsi="Arial"/>
          <w:sz w:val="20"/>
          <w:szCs w:val="20"/>
          <w:color w:val="auto"/>
        </w:rPr>
        <w:t>” means a percentage equal to 0.10% per annum.</w:t>
      </w:r>
    </w:p>
    <w:p>
      <w:pPr>
        <w:spacing w:after="0" w:line="216"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Administrator</w:t>
      </w:r>
      <w:r>
        <w:rPr>
          <w:rFonts w:ascii="Arial" w:cs="Arial" w:eastAsia="Arial" w:hAnsi="Arial"/>
          <w:sz w:val="20"/>
          <w:szCs w:val="20"/>
          <w:color w:val="auto"/>
        </w:rPr>
        <w:t>” means CME Group Benchmark Administration Limited (CBA) (or a successor administrator of the Term SOFR Reference Rate selected by Agent in its reasonable discretion).</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SOFR Reference Rate</w:t>
      </w:r>
      <w:r>
        <w:rPr>
          <w:rFonts w:ascii="Arial" w:cs="Arial" w:eastAsia="Arial" w:hAnsi="Arial"/>
          <w:sz w:val="20"/>
          <w:szCs w:val="20"/>
          <w:color w:val="auto"/>
        </w:rPr>
        <w:t>” means the forward-looking term rate based on SOFR.</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Trademark Security Agreement</w:t>
      </w:r>
      <w:r>
        <w:rPr>
          <w:rFonts w:ascii="Arial" w:cs="Arial" w:eastAsia="Arial" w:hAnsi="Arial"/>
          <w:sz w:val="19"/>
          <w:szCs w:val="19"/>
          <w:color w:val="auto"/>
        </w:rPr>
        <w:t>” has the meaning specified therefor in the Guaranty and Security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200"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UCP</w:t>
      </w:r>
      <w:r>
        <w:rPr>
          <w:rFonts w:ascii="Arial" w:cs="Arial" w:eastAsia="Arial" w:hAnsi="Arial"/>
          <w:sz w:val="20"/>
          <w:szCs w:val="20"/>
          <w:color w:val="auto"/>
        </w:rPr>
        <w:t>” means, with respect to any Letter of Credit, the Uniform Customs and Practice for Documentary Credits 2007 Revision, International Chamber of Commerce Publication No. 600 and any version or revision thereof accepted by Issuing Bank for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63" w:name="page64"/>
    <w:bookmarkEnd w:id="63"/>
    <w:p>
      <w:pPr>
        <w:jc w:val="both"/>
        <w:ind w:firstLine="1296"/>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Financial Institution</w:t>
      </w:r>
      <w:r>
        <w:rPr>
          <w:rFonts w:ascii="Arial" w:cs="Arial" w:eastAsia="Arial" w:hAnsi="Arial"/>
          <w:sz w:val="20"/>
          <w:szCs w:val="20"/>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91"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xml:space="preserve"> ” means the Bank of England or any other public administrative authority having responsibility for the resolution of any UK Financial Institution.</w:t>
      </w:r>
    </w:p>
    <w:p>
      <w:pPr>
        <w:spacing w:after="0" w:line="177"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Unadjusted Benchmark Replacement</w:t>
      </w:r>
      <w:r>
        <w:rPr>
          <w:rFonts w:ascii="Arial" w:cs="Arial" w:eastAsia="Arial" w:hAnsi="Arial"/>
          <w:sz w:val="20"/>
          <w:szCs w:val="20"/>
          <w:color w:val="auto"/>
        </w:rPr>
        <w:t>” means the applicable Benchmark Replacement excluding the related Benchmark Replacement Adjustment.</w:t>
      </w:r>
    </w:p>
    <w:p>
      <w:pPr>
        <w:spacing w:after="0" w:line="177" w:lineRule="exact"/>
        <w:rPr>
          <w:sz w:val="20"/>
          <w:szCs w:val="20"/>
          <w:color w:val="auto"/>
        </w:rPr>
      </w:pPr>
    </w:p>
    <w:p>
      <w:pPr>
        <w:jc w:val="both"/>
        <w:ind w:firstLine="1296"/>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Unfinanced Capital Expenditures</w:t>
      </w:r>
      <w:r>
        <w:rPr>
          <w:rFonts w:ascii="Arial" w:cs="Arial" w:eastAsia="Arial" w:hAnsi="Arial"/>
          <w:sz w:val="18"/>
          <w:szCs w:val="18"/>
          <w:color w:val="auto"/>
        </w:rPr>
        <w:t>” means Capital Expenditures (a) not financed with the proceeds of any incurrence of Indebtedness (other than the incurrence of any Revolving Loans), the proceeds of any sale or issuance of Equity Interests or equity contributions, the proceeds of any asset sale (other than the sale of Inventory in the ordinary course of business) or any insurance proceeds, and (b) that are not reimbursed by a third person (excluding any Loan Party or any of its Affiliates) in the period such expenditures are made pursuant to a written agreement.</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means the United States of America.</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Unused Line Fee</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2.10(b)</w:t>
      </w:r>
      <w:r>
        <w:rPr>
          <w:rFonts w:ascii="Arial" w:cs="Arial" w:eastAsia="Arial" w:hAnsi="Arial"/>
          <w:sz w:val="20"/>
          <w:szCs w:val="20"/>
          <w:color w:val="auto"/>
        </w:rPr>
        <w:t xml:space="preserve"> of this Agreement.</w:t>
      </w:r>
    </w:p>
    <w:p>
      <w:pPr>
        <w:spacing w:after="0" w:line="216" w:lineRule="exact"/>
        <w:rPr>
          <w:sz w:val="20"/>
          <w:szCs w:val="20"/>
          <w:color w:val="auto"/>
        </w:rPr>
      </w:pPr>
    </w:p>
    <w:p>
      <w:pPr>
        <w:jc w:val="both"/>
        <w:ind w:firstLine="1296"/>
        <w:spacing w:after="0" w:line="244" w:lineRule="auto"/>
        <w:rPr>
          <w:sz w:val="20"/>
          <w:szCs w:val="20"/>
          <w:color w:val="auto"/>
        </w:rPr>
      </w:pPr>
      <w:r>
        <w:rPr>
          <w:rFonts w:ascii="Arial" w:cs="Arial" w:eastAsia="Arial" w:hAnsi="Arial"/>
          <w:sz w:val="20"/>
          <w:szCs w:val="20"/>
          <w:color w:val="auto"/>
        </w:rPr>
        <w:t xml:space="preserve">“ </w:t>
      </w:r>
      <w:r>
        <w:rPr>
          <w:rFonts w:ascii="Arial" w:cs="Arial" w:eastAsia="Arial" w:hAnsi="Arial"/>
          <w:sz w:val="20"/>
          <w:szCs w:val="20"/>
          <w:u w:val="single" w:color="auto"/>
          <w:color w:val="auto"/>
        </w:rPr>
        <w:t>U.S. Government Securities Business Day</w:t>
      </w:r>
      <w:r>
        <w:rPr>
          <w:rFonts w:ascii="Arial" w:cs="Arial" w:eastAsia="Arial" w:hAnsi="Arial"/>
          <w:sz w:val="20"/>
          <w:szCs w:val="20"/>
          <w:color w:val="auto"/>
        </w:rPr>
        <w:t xml:space="preserve"> ” means any day except for (i) a Saturday, (ii) a Sunday or (iii) a day on which the Securities Industry and Financial Markets Association, or any successor thereto, recommends that the fixed income departments of its members be closed for the entire day for purposes of trading in United States government securities; provided, that for purposes of notice requirements in </w:t>
      </w:r>
      <w:r>
        <w:rPr>
          <w:rFonts w:ascii="Arial" w:cs="Arial" w:eastAsia="Arial" w:hAnsi="Arial"/>
          <w:sz w:val="20"/>
          <w:szCs w:val="20"/>
          <w:u w:val="single" w:color="auto"/>
          <w:color w:val="auto"/>
        </w:rPr>
        <w:t>Sections 2.3(a)</w:t>
      </w:r>
      <w:r>
        <w:rPr>
          <w:rFonts w:ascii="Arial" w:cs="Arial" w:eastAsia="Arial" w:hAnsi="Arial"/>
          <w:sz w:val="20"/>
          <w:szCs w:val="20"/>
          <w:color w:val="auto"/>
        </w:rPr>
        <w:t xml:space="preserve">, </w:t>
      </w:r>
      <w:r>
        <w:rPr>
          <w:rFonts w:ascii="Arial" w:cs="Arial" w:eastAsia="Arial" w:hAnsi="Arial"/>
          <w:sz w:val="20"/>
          <w:szCs w:val="20"/>
          <w:u w:val="single" w:color="auto"/>
          <w:color w:val="auto"/>
        </w:rPr>
        <w:t>2.3(c)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2.12(b)</w:t>
      </w:r>
      <w:r>
        <w:rPr>
          <w:rFonts w:ascii="Arial" w:cs="Arial" w:eastAsia="Arial" w:hAnsi="Arial"/>
          <w:sz w:val="20"/>
          <w:szCs w:val="20"/>
          <w:color w:val="auto"/>
        </w:rPr>
        <w:t>, in each case, such day is also a Business Day.</w:t>
      </w:r>
    </w:p>
    <w:p>
      <w:pPr>
        <w:spacing w:after="0" w:line="19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xml:space="preserve">” has the meaning specified therefor in </w:t>
      </w:r>
      <w:r>
        <w:rPr>
          <w:rFonts w:ascii="Arial" w:cs="Arial" w:eastAsia="Arial" w:hAnsi="Arial"/>
          <w:sz w:val="18"/>
          <w:szCs w:val="18"/>
          <w:u w:val="single" w:color="auto"/>
          <w:color w:val="auto"/>
        </w:rPr>
        <w:t>Section 17.15</w:t>
      </w:r>
      <w:r>
        <w:rPr>
          <w:rFonts w:ascii="Arial" w:cs="Arial" w:eastAsia="Arial" w:hAnsi="Arial"/>
          <w:sz w:val="18"/>
          <w:szCs w:val="18"/>
          <w:color w:val="auto"/>
        </w:rPr>
        <w:t xml:space="preserve"> of this Agreement.</w:t>
      </w:r>
    </w:p>
    <w:p>
      <w:pPr>
        <w:spacing w:after="0" w:line="23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Voidable Transfer</w:t>
      </w:r>
      <w:r>
        <w:rPr>
          <w:rFonts w:ascii="Arial" w:cs="Arial" w:eastAsia="Arial" w:hAnsi="Arial"/>
          <w:sz w:val="20"/>
          <w:szCs w:val="20"/>
          <w:color w:val="auto"/>
        </w:rPr>
        <w:t xml:space="preserve">” has the meaning specified therefor in </w:t>
      </w:r>
      <w:r>
        <w:rPr>
          <w:rFonts w:ascii="Arial" w:cs="Arial" w:eastAsia="Arial" w:hAnsi="Arial"/>
          <w:sz w:val="20"/>
          <w:szCs w:val="20"/>
          <w:u w:val="single" w:color="auto"/>
          <w:color w:val="auto"/>
        </w:rPr>
        <w:t>Section 17.8</w:t>
      </w:r>
      <w:r>
        <w:rPr>
          <w:rFonts w:ascii="Arial" w:cs="Arial" w:eastAsia="Arial" w:hAnsi="Arial"/>
          <w:sz w:val="20"/>
          <w:szCs w:val="20"/>
          <w:color w:val="auto"/>
        </w:rPr>
        <w:t xml:space="preserve"> of this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Wells Fargo</w:t>
      </w:r>
      <w:r>
        <w:rPr>
          <w:rFonts w:ascii="Arial" w:cs="Arial" w:eastAsia="Arial" w:hAnsi="Arial"/>
          <w:sz w:val="20"/>
          <w:szCs w:val="20"/>
          <w:color w:val="auto"/>
        </w:rPr>
        <w:t>” means Wells Fargo Bank, National Association, a national banking association.</w:t>
      </w:r>
    </w:p>
    <w:p>
      <w:pPr>
        <w:spacing w:after="0" w:line="216" w:lineRule="exact"/>
        <w:rPr>
          <w:sz w:val="20"/>
          <w:szCs w:val="20"/>
          <w:color w:val="auto"/>
        </w:rPr>
      </w:pPr>
    </w:p>
    <w:p>
      <w:pPr>
        <w:jc w:val="both"/>
        <w:ind w:firstLine="1296"/>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7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b w:val="1"/>
          <w:bCs w:val="1"/>
          <w:u w:val="single" w:color="auto"/>
          <w:color w:val="auto"/>
        </w:rPr>
        <w:t>Accounting Terms</w:t>
      </w:r>
      <w:r>
        <w:rPr>
          <w:rFonts w:ascii="Arial" w:cs="Arial" w:eastAsia="Arial" w:hAnsi="Arial"/>
          <w:sz w:val="20"/>
          <w:szCs w:val="20"/>
          <w:color w:val="auto"/>
        </w:rPr>
        <w:t xml:space="preserve">. All accounting terms not specifically defined herein shall be construed in accordance with GAAP; </w:t>
      </w:r>
      <w:r>
        <w:rPr>
          <w:rFonts w:ascii="Arial" w:cs="Arial" w:eastAsia="Arial" w:hAnsi="Arial"/>
          <w:sz w:val="20"/>
          <w:szCs w:val="20"/>
          <w:u w:val="single" w:color="auto"/>
          <w:color w:val="auto"/>
        </w:rPr>
        <w:t>provided</w:t>
      </w:r>
      <w:r>
        <w:rPr>
          <w:rFonts w:ascii="Arial" w:cs="Arial" w:eastAsia="Arial" w:hAnsi="Arial"/>
          <w:sz w:val="20"/>
          <w:szCs w:val="20"/>
          <w:color w:val="auto"/>
        </w:rPr>
        <w:t>, that if Administrative Borrower notifies Agent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64" w:name="page65"/>
    <w:bookmarkEnd w:id="64"/>
    <w:p>
      <w:pPr>
        <w:jc w:val="both"/>
        <w:spacing w:after="0" w:line="268" w:lineRule="auto"/>
        <w:rPr>
          <w:sz w:val="20"/>
          <w:szCs w:val="20"/>
          <w:color w:val="auto"/>
        </w:rPr>
      </w:pPr>
      <w:r>
        <w:rPr>
          <w:rFonts w:ascii="Arial" w:cs="Arial" w:eastAsia="Arial" w:hAnsi="Arial"/>
          <w:sz w:val="18"/>
          <w:szCs w:val="18"/>
          <w:color w:val="auto"/>
        </w:rPr>
        <w:t>Borrowers request an amendment to any provision hereof to eliminate the effect of any Accounting Change occurring after the Closing Date or in the application thereof on the operation of such provision (or if Agent notifies Administrative Borrower that the Required Lenders request an amendment to any provision hereof for such purpose), regardless of whether any such notice is given before or after such Accounting Change or in the application thereof, then Agent and Borrowers agree that they will negotiate in good faith amendments to the provisions of this Agreement that are directly affected by such Accounting Change with the intent of having the respective positions of the Lenders and Borrowers after such Accounting Change conform as nearly as possible to their respective positions immediately before such Accounting Change took effect and, until any such amendments have been agreed upon and agreed to by the Required Lenders, the provisions in this Agreement shall be calculated as if no such Accounting Change had occurred. When used herein, the term “financial statements” shall include the notes and schedules thereto. Whenever the term “Borrowers” is used in respect of a financial covenant or a related definition, it shall be understood to mean the Loan Parties and their Subsidiaries on a consolidated basis, unless the context clearly requires otherwise. Notwithstanding anything to the contrary contained herein, (a) all financial statements delivered hereunder shall be prepared, and all financial covenants contained herein shall be calculated, without giving effect to any election under the Statement of Financial Accounting Standards Board’s Accounting Standards Codification Topic 825 (or any similar accounting principle) permitting a Person to value its financial liabilities or Indebtedness at the fair value thereof, and (b) the term “unqualified opinion” as used herein to refer to opinions or reports provided by accountants shall mean an opinion or report that is (i) unqualified, and (ii) does not include any explanation, supplemental comment, or other comment concerning the ability of the applicable Person to continue as a going concern or concerning the scope of the audit.</w:t>
      </w:r>
    </w:p>
    <w:p>
      <w:pPr>
        <w:spacing w:after="0" w:line="18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1.3 </w:t>
      </w:r>
      <w:r>
        <w:rPr>
          <w:rFonts w:ascii="Arial" w:cs="Arial" w:eastAsia="Arial" w:hAnsi="Arial"/>
          <w:sz w:val="20"/>
          <w:szCs w:val="20"/>
          <w:b w:val="1"/>
          <w:bCs w:val="1"/>
          <w:u w:val="single" w:color="auto"/>
          <w:color w:val="auto"/>
        </w:rPr>
        <w:t>Code</w:t>
      </w:r>
      <w:r>
        <w:rPr>
          <w:rFonts w:ascii="Arial" w:cs="Arial" w:eastAsia="Arial" w:hAnsi="Arial"/>
          <w:sz w:val="20"/>
          <w:szCs w:val="20"/>
          <w:color w:val="auto"/>
        </w:rPr>
        <w:t xml:space="preserve">. Any terms used in this Agreement that are defined in the Code shall be construed and defined as set forth in the Code unless otherwise defined herein; </w:t>
      </w:r>
      <w:r>
        <w:rPr>
          <w:rFonts w:ascii="Arial" w:cs="Arial" w:eastAsia="Arial" w:hAnsi="Arial"/>
          <w:sz w:val="20"/>
          <w:szCs w:val="20"/>
          <w:u w:val="single" w:color="auto"/>
          <w:color w:val="auto"/>
        </w:rPr>
        <w:t>provided</w:t>
      </w:r>
      <w:r>
        <w:rPr>
          <w:rFonts w:ascii="Arial" w:cs="Arial" w:eastAsia="Arial" w:hAnsi="Arial"/>
          <w:sz w:val="20"/>
          <w:szCs w:val="20"/>
          <w:color w:val="auto"/>
        </w:rPr>
        <w:t>, that to the extent that the Code is used to define any term herein and such term is defined differently in different Articles of the Code, the definition of such term contained in Article 9 of the Code shall govern.</w:t>
      </w:r>
    </w:p>
    <w:p>
      <w:pPr>
        <w:spacing w:after="0" w:line="18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u w:val="single" w:color="auto"/>
          <w:color w:val="auto"/>
        </w:rPr>
        <w:t>Construction</w:t>
      </w:r>
      <w:r>
        <w:rPr>
          <w:rFonts w:ascii="Arial" w:cs="Arial" w:eastAsia="Arial" w:hAnsi="Arial"/>
          <w:sz w:val="18"/>
          <w:szCs w:val="18"/>
          <w:color w:val="auto"/>
        </w:rPr>
        <w:t>. Unless the context of this Agreement or any other Loan Document clearly requires otherwise, references to the plural include the singular, references to the singular include the plural, the terms “includes” and “including” are not limiting, and the term “or” has, except where otherwise indicated, the inclusive meaning represented by the phrase “and/or.” The words “hereof,” “herein,” “hereby,” “hereunder,” and similar terms in this Agreement or any other Loan Document refer to this Agreement or such other Loan Document, as the case may be, as a whole and not to any particular provision of this Agreement or such other Loan Document, as the case may be. Section, subsection, clause, schedule, and exhibit references herein are to this Agreement unless otherwise specified. Any reference in this Agreement or in any other Loan Document to any agreement, instrument, or document shall include all alterations, amendments, changes, extensions, modifications, renewals, replacements, substitutions, joinders, and supplements, thereto and thereof, as applicable (subject to any restrictions on such alterations, amendments, changes, extensions, modifications, renewals, replacements, substitutions, joinders, and supplements set forth herein). The words “asset” and “property” shall be construed to have the same meaning and effect and to refer to any and all tangible and intangible assets and properties. Any reference herein or in any other Loan Document to the satisfaction, repayment, or payment in full of the Obligations shall mean (a) the payment or repayment in full in immediately available funds of (i) the principal amount of, and interest accrued and unpaid with respect to, all outstanding Loans, together with the payment of any premium applicable to the repayment of the Loans, (ii) all Lender Group Expenses that have accrued and are unpaid regardless of whether demand has been made therefor, and (iii) all fees or charges that have accrued hereunder or under any other Loan Document (including the Letter of Credit Fee and the Unused Line Fee) and are unpaid, (b) in the case of contingent reimbursement obligations with respect to Letters of Credit, providing Letter of Credit Collateralization, (c) in the case of obligations with respect to Bank Products (other than Hedge Obligations), providing Bank Product Collateralization, (d) the receipt by Agent of cash collateral in order to secure any other contingent Obligations for which a claim or demand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65" w:name="page66"/>
    <w:bookmarkEnd w:id="65"/>
    <w:p>
      <w:pPr>
        <w:jc w:val="both"/>
        <w:spacing w:after="0" w:line="270" w:lineRule="auto"/>
        <w:rPr>
          <w:sz w:val="20"/>
          <w:szCs w:val="20"/>
          <w:color w:val="auto"/>
        </w:rPr>
      </w:pPr>
      <w:r>
        <w:rPr>
          <w:rFonts w:ascii="Arial" w:cs="Arial" w:eastAsia="Arial" w:hAnsi="Arial"/>
          <w:sz w:val="18"/>
          <w:szCs w:val="18"/>
          <w:color w:val="auto"/>
        </w:rPr>
        <w:t>payment has been made on or prior to such time or in respect of matters or circumstances known to Agent or a Lender at such time that are reasonably expected to result in any loss, cost, damage, or expense (including reasonable and documented out of pocket attorneys’ fees and legal expenses), such cash collateral to be in such amount as Agent reasonably determines is appropriate to secure such contingent Obligations, (e) the payment or repayment in full in immediately available funds of all other outstanding Obligations (including the payment of any termination amount then applicable (or which would or could become applicable as a result of the repayment of the other Obligations) under Hedge Agreements provided by Hedge Providers) other than (i) unasserted contingent indemnification Obligations, (ii) any Bank Product Obligations (other than Hedge Obligations) that, at such time, are allowed by the applicable Bank Product Provider to remain outstanding without being required to be repaid or cash collateralized, and (iii) any Hedge Obligations that, at such time, are allowed by the applicable Hedge Provider to remain outstanding without being required to be repaid, and (f) the termination of all of the Commitments of the Lenders. Any reference herein to any Person shall be construed to include such Person’s successors and assigns. Any requirement of a writing contained herein or in any other Loan Document shall be satisfied by the transmission of a Record.</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1.5 </w:t>
      </w:r>
      <w:r>
        <w:rPr>
          <w:rFonts w:ascii="Arial" w:cs="Arial" w:eastAsia="Arial" w:hAnsi="Arial"/>
          <w:sz w:val="19"/>
          <w:szCs w:val="19"/>
          <w:b w:val="1"/>
          <w:bCs w:val="1"/>
          <w:u w:val="single" w:color="auto"/>
          <w:color w:val="auto"/>
        </w:rPr>
        <w:t>Time References</w:t>
      </w:r>
      <w:r>
        <w:rPr>
          <w:rFonts w:ascii="Arial" w:cs="Arial" w:eastAsia="Arial" w:hAnsi="Arial"/>
          <w:sz w:val="19"/>
          <w:szCs w:val="19"/>
          <w:color w:val="auto"/>
        </w:rPr>
        <w:t xml:space="preserve">. Unless the context of this Agreement or any other Loan Document clearly requires otherwise, all references to time of day refer to Pacific standard time or Pacific daylight saving time, as in effect in Los Angeles, California on such day. For purposes of the computation of a period of time from a specified date to a later specified date, unless otherwise expressly provided, the word “from” means “from and including” and the words “to” and “until” each means “to and including”; </w:t>
      </w:r>
      <w:r>
        <w:rPr>
          <w:rFonts w:ascii="Arial" w:cs="Arial" w:eastAsia="Arial" w:hAnsi="Arial"/>
          <w:sz w:val="19"/>
          <w:szCs w:val="19"/>
          <w:u w:val="single" w:color="auto"/>
          <w:color w:val="auto"/>
        </w:rPr>
        <w:t>provided</w:t>
      </w:r>
      <w:r>
        <w:rPr>
          <w:rFonts w:ascii="Arial" w:cs="Arial" w:eastAsia="Arial" w:hAnsi="Arial"/>
          <w:sz w:val="19"/>
          <w:szCs w:val="19"/>
          <w:color w:val="auto"/>
        </w:rPr>
        <w:t>, that with respect to a computation of fees or interest payable to Agent or any Lender, such period shall in any event consist of at least one full day.</w:t>
      </w:r>
    </w:p>
    <w:p>
      <w:pPr>
        <w:spacing w:after="0" w:line="173"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1.6 </w:t>
      </w:r>
      <w:r>
        <w:rPr>
          <w:rFonts w:ascii="Arial" w:cs="Arial" w:eastAsia="Arial" w:hAnsi="Arial"/>
          <w:sz w:val="20"/>
          <w:szCs w:val="20"/>
          <w:b w:val="1"/>
          <w:bCs w:val="1"/>
          <w:u w:val="single" w:color="auto"/>
          <w:color w:val="auto"/>
        </w:rPr>
        <w:t>Schedules and Exhibits</w:t>
      </w:r>
      <w:r>
        <w:rPr>
          <w:rFonts w:ascii="Arial" w:cs="Arial" w:eastAsia="Arial" w:hAnsi="Arial"/>
          <w:sz w:val="20"/>
          <w:szCs w:val="20"/>
          <w:color w:val="auto"/>
        </w:rPr>
        <w:t>. All of the schedules and exhibits attached to this Agreement shall be deemed incorporated herein by reference.</w:t>
      </w:r>
    </w:p>
    <w:p>
      <w:pPr>
        <w:spacing w:after="0" w:line="163"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 xml:space="preserve">1.7 </w:t>
      </w:r>
      <w:r>
        <w:rPr>
          <w:rFonts w:ascii="Arial" w:cs="Arial" w:eastAsia="Arial" w:hAnsi="Arial"/>
          <w:sz w:val="20"/>
          <w:szCs w:val="20"/>
          <w:b w:val="1"/>
          <w:bCs w:val="1"/>
          <w:u w:val="single" w:color="auto"/>
          <w:color w:val="auto"/>
        </w:rPr>
        <w:t>Divisions</w:t>
      </w:r>
      <w:r>
        <w:rPr>
          <w:rFonts w:ascii="Arial" w:cs="Arial" w:eastAsia="Arial" w:hAnsi="Arial"/>
          <w:sz w:val="20"/>
          <w:szCs w:val="20"/>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u w:val="single" w:color="auto"/>
          <w:color w:val="auto"/>
        </w:rPr>
        <w:t>Rates</w:t>
      </w:r>
      <w:r>
        <w:rPr>
          <w:rFonts w:ascii="Arial" w:cs="Arial" w:eastAsia="Arial" w:hAnsi="Arial"/>
          <w:sz w:val="18"/>
          <w:szCs w:val="18"/>
          <w:color w:val="auto"/>
        </w:rPr>
        <w:t xml:space="preserve">. Agent does not warrant or accept any responsibility for, and shall not have any liability with respect to, (a) the continuation of, administration of, submission of, calculation of or any other matter related to the Term SOFR Reference Rate, Adjusted Term SOFR, Term SOFR or any other Benchmark, any component definition thereof or rates referred to in the definition thereof, or with respect to any alternative, successor or replacement rate thereto (including any then-current Benchmark or any Benchmark Replacement), including whether the composition or characteristics of any such alternative, successor or replacement rate (including any Benchmark Replacement), as it may or may not be adjusted pursuant to </w:t>
      </w:r>
      <w:r>
        <w:rPr>
          <w:rFonts w:ascii="Arial" w:cs="Arial" w:eastAsia="Arial" w:hAnsi="Arial"/>
          <w:sz w:val="18"/>
          <w:szCs w:val="18"/>
          <w:u w:val="single" w:color="auto"/>
          <w:color w:val="auto"/>
        </w:rPr>
        <w:t>Section 2.12(d)(iii)</w:t>
      </w:r>
      <w:r>
        <w:rPr>
          <w:rFonts w:ascii="Arial" w:cs="Arial" w:eastAsia="Arial" w:hAnsi="Arial"/>
          <w:sz w:val="18"/>
          <w:szCs w:val="18"/>
          <w:color w:val="auto"/>
        </w:rPr>
        <w:t>, will be similar to, or produce the same value or economic equivalence of, or have the same volume or liquidity as, the Term SOFR Reference Rate, Adjusted Term SOFR, Term SOFR or any other Benchmark, prior to its discontinuance or unavailability, or (b) the effect, implementation or composition of any Conforming Changes. Agent and its affiliates or other related entities may engage in transactions that affect the calculation of the Term SOFR Reference Rate, Adjusted Term SOFR, Term SOFR, any alternative, successor or replacement rate (including any Benchmark Replacement) or any relevant adjustments thereto and such transactions may be adverse to a Borrower. Agent may select information sources or services in its reasonable discretion to ascertain the Term SOFR Reference Rate, Adjusted Term SOFR or Term SOFR, or any other Benchmark, any component definition thereof or rates referred to in the definition thereof, in each case pursuant to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66" w:name="page67"/>
    <w:bookmarkEnd w:id="66"/>
    <w:p>
      <w:pPr>
        <w:jc w:val="both"/>
        <w:spacing w:after="0" w:line="246" w:lineRule="auto"/>
        <w:rPr>
          <w:sz w:val="20"/>
          <w:szCs w:val="20"/>
          <w:color w:val="auto"/>
        </w:rPr>
      </w:pPr>
      <w:r>
        <w:rPr>
          <w:rFonts w:ascii="Arial" w:cs="Arial" w:eastAsia="Arial" w:hAnsi="Arial"/>
          <w:sz w:val="20"/>
          <w:szCs w:val="20"/>
          <w:color w:val="auto"/>
        </w:rPr>
        <w:t>and shall have no liability to any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1.9 </w:t>
      </w:r>
      <w:r>
        <w:rPr>
          <w:rFonts w:ascii="Arial" w:cs="Arial" w:eastAsia="Arial" w:hAnsi="Arial"/>
          <w:sz w:val="20"/>
          <w:szCs w:val="20"/>
          <w:b w:val="1"/>
          <w:bCs w:val="1"/>
          <w:u w:val="single" w:color="auto"/>
          <w:color w:val="auto"/>
        </w:rPr>
        <w:t>Conversion of Foreign Currencies</w:t>
      </w:r>
      <w:r>
        <w:rPr>
          <w:rFonts w:ascii="Arial" w:cs="Arial" w:eastAsia="Arial" w:hAnsi="Arial"/>
          <w:sz w:val="20"/>
          <w:szCs w:val="20"/>
          <w:b w:val="1"/>
          <w:bCs w:val="1"/>
          <w:color w:val="auto"/>
        </w:rPr>
        <w:t>.</w:t>
      </w:r>
      <w:r>
        <w:rPr>
          <w:rFonts w:ascii="Arial" w:cs="Arial" w:eastAsia="Arial" w:hAnsi="Arial"/>
          <w:sz w:val="20"/>
          <w:szCs w:val="20"/>
          <w:color w:val="auto"/>
        </w:rPr>
        <w:t xml:space="preserve"> Agent shall determine the Dollar Equivalent of any amount as required under any Loan Document, and a determination thereof by Agent shall be conclusive absent manifest error. Agent may, but shall not be obligated to, rely on any determination made by any Loan Party in any document or certificate delivered to Agent. Agent may determine or redetermine the Dollar Equivalent of any amount on any date in its sole discretion.</w:t>
      </w:r>
    </w:p>
    <w:p>
      <w:pPr>
        <w:spacing w:after="0" w:line="185" w:lineRule="exact"/>
        <w:rPr>
          <w:sz w:val="20"/>
          <w:szCs w:val="20"/>
          <w:color w:val="auto"/>
        </w:rPr>
      </w:pPr>
    </w:p>
    <w:p>
      <w:pPr>
        <w:ind w:left="660" w:hanging="652"/>
        <w:spacing w:after="0"/>
        <w:tabs>
          <w:tab w:leader="none" w:pos="660" w:val="left"/>
        </w:tabs>
        <w:numPr>
          <w:ilvl w:val="0"/>
          <w:numId w:val="60"/>
        </w:numPr>
        <w:rPr>
          <w:rFonts w:ascii="Arial" w:cs="Arial" w:eastAsia="Arial" w:hAnsi="Arial"/>
          <w:sz w:val="20"/>
          <w:szCs w:val="20"/>
          <w:b w:val="1"/>
          <w:bCs w:val="1"/>
          <w:color w:val="auto"/>
        </w:rPr>
      </w:pPr>
      <w:r>
        <w:rPr>
          <w:rFonts w:ascii="Arial" w:cs="Arial" w:eastAsia="Arial" w:hAnsi="Arial"/>
          <w:sz w:val="20"/>
          <w:szCs w:val="20"/>
          <w:b w:val="1"/>
          <w:bCs w:val="1"/>
          <w:color w:val="auto"/>
        </w:rPr>
        <w:t>LOANS AND TERMS OF PAYMENT.</w:t>
      </w:r>
    </w:p>
    <w:p>
      <w:pPr>
        <w:spacing w:after="0" w:line="215"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2.1</w:t>
      </w:r>
      <w:r>
        <w:rPr>
          <w:rFonts w:ascii="Arial" w:cs="Arial" w:eastAsia="Arial" w:hAnsi="Arial"/>
          <w:sz w:val="16"/>
          <w:szCs w:val="16"/>
          <w:b w:val="1"/>
          <w:bCs w:val="1"/>
          <w:u w:val="single" w:color="auto"/>
          <w:color w:val="auto"/>
        </w:rPr>
        <w:t>Revolving Loans</w:t>
      </w:r>
      <w:r>
        <w:rPr>
          <w:rFonts w:ascii="Arial" w:cs="Arial" w:eastAsia="Arial" w:hAnsi="Arial"/>
          <w:sz w:val="16"/>
          <w:szCs w:val="16"/>
          <w:b w:val="1"/>
          <w:bCs w:val="1"/>
          <w:color w:val="auto"/>
        </w:rPr>
        <w:t>.</w:t>
      </w:r>
    </w:p>
    <w:p>
      <w:pPr>
        <w:spacing w:after="0" w:line="221" w:lineRule="exact"/>
        <w:rPr>
          <w:rFonts w:ascii="Arial" w:cs="Arial" w:eastAsia="Arial" w:hAnsi="Arial"/>
          <w:sz w:val="20"/>
          <w:szCs w:val="20"/>
          <w:b w:val="1"/>
          <w:bCs w:val="1"/>
          <w:color w:val="auto"/>
        </w:rPr>
      </w:pPr>
    </w:p>
    <w:p>
      <w:pPr>
        <w:jc w:val="both"/>
        <w:ind w:firstLine="1304"/>
        <w:spacing w:after="0" w:line="250" w:lineRule="auto"/>
        <w:tabs>
          <w:tab w:leader="none" w:pos="1944" w:val="left"/>
        </w:tabs>
        <w:numPr>
          <w:ilvl w:val="1"/>
          <w:numId w:val="60"/>
        </w:numPr>
        <w:rPr>
          <w:rFonts w:ascii="Arial" w:cs="Arial" w:eastAsia="Arial" w:hAnsi="Arial"/>
          <w:sz w:val="20"/>
          <w:szCs w:val="20"/>
          <w:color w:val="auto"/>
        </w:rPr>
      </w:pPr>
      <w:r>
        <w:rPr>
          <w:rFonts w:ascii="Arial" w:cs="Arial" w:eastAsia="Arial" w:hAnsi="Arial"/>
          <w:sz w:val="20"/>
          <w:szCs w:val="20"/>
          <w:color w:val="auto"/>
        </w:rPr>
        <w:t>Subject to the terms and conditions of this Agreement, and during the term of this Agreement, each Revolving Lender agrees (severally, not jointly or jointly and severally) to make revolving loans (“</w:t>
      </w:r>
      <w:r>
        <w:rPr>
          <w:rFonts w:ascii="Arial" w:cs="Arial" w:eastAsia="Arial" w:hAnsi="Arial"/>
          <w:sz w:val="20"/>
          <w:szCs w:val="20"/>
          <w:u w:val="single" w:color="auto"/>
          <w:color w:val="auto"/>
        </w:rPr>
        <w:t>Revolving Loans</w:t>
      </w:r>
      <w:r>
        <w:rPr>
          <w:rFonts w:ascii="Arial" w:cs="Arial" w:eastAsia="Arial" w:hAnsi="Arial"/>
          <w:sz w:val="20"/>
          <w:szCs w:val="20"/>
          <w:color w:val="auto"/>
        </w:rPr>
        <w:t xml:space="preserve">”) to Borrowers in an amount at any one time outstanding not to exceed </w:t>
      </w:r>
      <w:r>
        <w:rPr>
          <w:rFonts w:ascii="Arial" w:cs="Arial" w:eastAsia="Arial" w:hAnsi="Arial"/>
          <w:sz w:val="20"/>
          <w:szCs w:val="20"/>
          <w:i w:val="1"/>
          <w:iCs w:val="1"/>
          <w:color w:val="auto"/>
        </w:rPr>
        <w:t>the lesser of</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ind w:left="2600" w:hanging="648"/>
        <w:spacing w:after="0"/>
        <w:tabs>
          <w:tab w:leader="none" w:pos="2600" w:val="left"/>
        </w:tabs>
        <w:numPr>
          <w:ilvl w:val="2"/>
          <w:numId w:val="60"/>
        </w:numPr>
        <w:rPr>
          <w:rFonts w:ascii="Arial" w:cs="Arial" w:eastAsia="Arial" w:hAnsi="Arial"/>
          <w:sz w:val="20"/>
          <w:szCs w:val="20"/>
          <w:color w:val="auto"/>
        </w:rPr>
      </w:pPr>
      <w:r>
        <w:rPr>
          <w:rFonts w:ascii="Arial" w:cs="Arial" w:eastAsia="Arial" w:hAnsi="Arial"/>
          <w:sz w:val="20"/>
          <w:szCs w:val="20"/>
          <w:color w:val="auto"/>
        </w:rPr>
        <w:t>such Lender’s Revolver Commitment, or</w:t>
      </w:r>
    </w:p>
    <w:p>
      <w:pPr>
        <w:spacing w:after="0" w:line="215" w:lineRule="exact"/>
        <w:rPr>
          <w:rFonts w:ascii="Arial" w:cs="Arial" w:eastAsia="Arial" w:hAnsi="Arial"/>
          <w:sz w:val="20"/>
          <w:szCs w:val="20"/>
          <w:color w:val="auto"/>
        </w:rPr>
      </w:pPr>
    </w:p>
    <w:p>
      <w:pPr>
        <w:ind w:left="2600" w:hanging="648"/>
        <w:spacing w:after="0"/>
        <w:tabs>
          <w:tab w:leader="none" w:pos="2600" w:val="left"/>
        </w:tabs>
        <w:numPr>
          <w:ilvl w:val="2"/>
          <w:numId w:val="60"/>
        </w:numPr>
        <w:rPr>
          <w:rFonts w:ascii="Arial" w:cs="Arial" w:eastAsia="Arial" w:hAnsi="Arial"/>
          <w:sz w:val="20"/>
          <w:szCs w:val="20"/>
          <w:color w:val="auto"/>
        </w:rPr>
      </w:pPr>
      <w:r>
        <w:rPr>
          <w:rFonts w:ascii="Arial" w:cs="Arial" w:eastAsia="Arial" w:hAnsi="Arial"/>
          <w:sz w:val="20"/>
          <w:szCs w:val="20"/>
          <w:color w:val="auto"/>
        </w:rPr>
        <w:t xml:space="preserve">such Lender’s Pro Rata Share of an amount equal to </w:t>
      </w:r>
      <w:r>
        <w:rPr>
          <w:rFonts w:ascii="Arial" w:cs="Arial" w:eastAsia="Arial" w:hAnsi="Arial"/>
          <w:sz w:val="20"/>
          <w:szCs w:val="20"/>
          <w:i w:val="1"/>
          <w:iCs w:val="1"/>
          <w:color w:val="auto"/>
        </w:rPr>
        <w:t>the lesser of</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3240" w:hanging="640"/>
        <w:spacing w:after="0"/>
        <w:tabs>
          <w:tab w:leader="none" w:pos="3240" w:val="left"/>
        </w:tabs>
        <w:numPr>
          <w:ilvl w:val="3"/>
          <w:numId w:val="60"/>
        </w:numPr>
        <w:rPr>
          <w:rFonts w:ascii="Arial" w:cs="Arial" w:eastAsia="Arial" w:hAnsi="Arial"/>
          <w:sz w:val="18"/>
          <w:szCs w:val="18"/>
          <w:color w:val="auto"/>
        </w:rPr>
      </w:pPr>
      <w:r>
        <w:rPr>
          <w:rFonts w:ascii="Arial" w:cs="Arial" w:eastAsia="Arial" w:hAnsi="Arial"/>
          <w:sz w:val="18"/>
          <w:szCs w:val="18"/>
          <w:color w:val="auto"/>
        </w:rPr>
        <w:t xml:space="preserve">the amount equal to (1) the Maximum Revolver Amount,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xml:space="preserve"> (2) the sum of (y) the</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 xml:space="preserve">Letter of Credit Usage at such time, </w:t>
      </w:r>
      <w:r>
        <w:rPr>
          <w:rFonts w:ascii="Arial" w:cs="Arial" w:eastAsia="Arial" w:hAnsi="Arial"/>
          <w:sz w:val="20"/>
          <w:szCs w:val="20"/>
          <w:i w:val="1"/>
          <w:iCs w:val="1"/>
          <w:u w:val="single" w:color="auto"/>
          <w:color w:val="auto"/>
        </w:rPr>
        <w:t>plus</w:t>
      </w:r>
      <w:r>
        <w:rPr>
          <w:rFonts w:ascii="Arial" w:cs="Arial" w:eastAsia="Arial" w:hAnsi="Arial"/>
          <w:sz w:val="20"/>
          <w:szCs w:val="20"/>
          <w:color w:val="auto"/>
        </w:rPr>
        <w:t xml:space="preserve"> (z) the principal amount of Swing Loans outstanding at such time, and</w:t>
      </w:r>
    </w:p>
    <w:p>
      <w:pPr>
        <w:spacing w:after="0" w:line="199" w:lineRule="exact"/>
        <w:rPr>
          <w:rFonts w:ascii="Arial" w:cs="Arial" w:eastAsia="Arial" w:hAnsi="Arial"/>
          <w:sz w:val="18"/>
          <w:szCs w:val="18"/>
          <w:color w:val="auto"/>
        </w:rPr>
      </w:pPr>
    </w:p>
    <w:p>
      <w:pPr>
        <w:jc w:val="both"/>
        <w:ind w:firstLine="2600"/>
        <w:spacing w:after="0" w:line="246" w:lineRule="auto"/>
        <w:tabs>
          <w:tab w:leader="none" w:pos="3240" w:val="left"/>
        </w:tabs>
        <w:numPr>
          <w:ilvl w:val="3"/>
          <w:numId w:val="60"/>
        </w:numPr>
        <w:rPr>
          <w:rFonts w:ascii="Arial" w:cs="Arial" w:eastAsia="Arial" w:hAnsi="Arial"/>
          <w:sz w:val="20"/>
          <w:szCs w:val="20"/>
          <w:color w:val="auto"/>
        </w:rPr>
      </w:pPr>
      <w:r>
        <w:rPr>
          <w:rFonts w:ascii="Arial" w:cs="Arial" w:eastAsia="Arial" w:hAnsi="Arial"/>
          <w:sz w:val="20"/>
          <w:szCs w:val="20"/>
          <w:color w:val="auto"/>
        </w:rPr>
        <w:t xml:space="preserve">the amount equal to (1) the Borrowing Base as of such date (based upon the most recent Borrowing Base Certificate delivered by Borrowers to Agent, as adjusted for Reserves established by Agent in accordance with </w:t>
      </w:r>
      <w:r>
        <w:rPr>
          <w:rFonts w:ascii="Arial" w:cs="Arial" w:eastAsia="Arial" w:hAnsi="Arial"/>
          <w:sz w:val="20"/>
          <w:szCs w:val="20"/>
          <w:u w:val="single" w:color="auto"/>
          <w:color w:val="auto"/>
        </w:rPr>
        <w:t>Section 2.1(c)</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less</w:t>
      </w:r>
      <w:r>
        <w:rPr>
          <w:rFonts w:ascii="Arial" w:cs="Arial" w:eastAsia="Arial" w:hAnsi="Arial"/>
          <w:sz w:val="20"/>
          <w:szCs w:val="20"/>
          <w:color w:val="auto"/>
        </w:rPr>
        <w:t xml:space="preserve"> (2) the sum of (x) the Letter of Credit Usage at such time, </w:t>
      </w:r>
      <w:r>
        <w:rPr>
          <w:rFonts w:ascii="Arial" w:cs="Arial" w:eastAsia="Arial" w:hAnsi="Arial"/>
          <w:sz w:val="20"/>
          <w:szCs w:val="20"/>
          <w:i w:val="1"/>
          <w:iCs w:val="1"/>
          <w:u w:val="single" w:color="auto"/>
          <w:color w:val="auto"/>
        </w:rPr>
        <w:t>plus</w:t>
      </w:r>
      <w:r>
        <w:rPr>
          <w:rFonts w:ascii="Arial" w:cs="Arial" w:eastAsia="Arial" w:hAnsi="Arial"/>
          <w:sz w:val="20"/>
          <w:szCs w:val="20"/>
          <w:color w:val="auto"/>
        </w:rPr>
        <w:t xml:space="preserve"> (y) the principal amount of Swing Loans outstanding at such time.</w:t>
      </w:r>
    </w:p>
    <w:p>
      <w:pPr>
        <w:spacing w:after="0" w:line="191" w:lineRule="exact"/>
        <w:rPr>
          <w:rFonts w:ascii="Arial" w:cs="Arial" w:eastAsia="Arial" w:hAnsi="Arial"/>
          <w:sz w:val="20"/>
          <w:szCs w:val="20"/>
          <w:color w:val="auto"/>
        </w:rPr>
      </w:pPr>
    </w:p>
    <w:p>
      <w:pPr>
        <w:jc w:val="both"/>
        <w:ind w:firstLine="1304"/>
        <w:spacing w:after="0" w:line="244" w:lineRule="auto"/>
        <w:tabs>
          <w:tab w:leader="none" w:pos="1944" w:val="left"/>
        </w:tabs>
        <w:numPr>
          <w:ilvl w:val="1"/>
          <w:numId w:val="60"/>
        </w:numPr>
        <w:rPr>
          <w:rFonts w:ascii="Arial" w:cs="Arial" w:eastAsia="Arial" w:hAnsi="Arial"/>
          <w:sz w:val="20"/>
          <w:szCs w:val="20"/>
          <w:color w:val="auto"/>
        </w:rPr>
      </w:pPr>
      <w:r>
        <w:rPr>
          <w:rFonts w:ascii="Arial" w:cs="Arial" w:eastAsia="Arial" w:hAnsi="Arial"/>
          <w:sz w:val="20"/>
          <w:szCs w:val="20"/>
          <w:color w:val="auto"/>
        </w:rPr>
        <w:t xml:space="preserve">Amounts borrowed pursuant to this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may be repaid and, subject to the terms and conditions of this Agreement, reborrowed at any time during the term of this Agreement. The outstanding principal amount of the Revolving Loans, together with interest accrued and unpaid thereon, shall constitute Obligations and shall be due and payable on the Maturity Date or, if earlier, on the date on which they otherwise become due and payable pursuant to the terms of this Agreement.</w:t>
      </w:r>
    </w:p>
    <w:p>
      <w:pPr>
        <w:spacing w:after="0" w:line="194" w:lineRule="exact"/>
        <w:rPr>
          <w:rFonts w:ascii="Arial" w:cs="Arial" w:eastAsia="Arial" w:hAnsi="Arial"/>
          <w:sz w:val="20"/>
          <w:szCs w:val="20"/>
          <w:color w:val="auto"/>
        </w:rPr>
      </w:pPr>
    </w:p>
    <w:p>
      <w:pPr>
        <w:jc w:val="both"/>
        <w:ind w:firstLine="1304"/>
        <w:spacing w:after="0" w:line="243" w:lineRule="auto"/>
        <w:tabs>
          <w:tab w:leader="none" w:pos="1944" w:val="left"/>
        </w:tabs>
        <w:numPr>
          <w:ilvl w:val="1"/>
          <w:numId w:val="60"/>
        </w:numPr>
        <w:rPr>
          <w:rFonts w:ascii="Arial" w:cs="Arial" w:eastAsia="Arial" w:hAnsi="Arial"/>
          <w:sz w:val="20"/>
          <w:szCs w:val="20"/>
          <w:color w:val="auto"/>
        </w:rPr>
      </w:pPr>
      <w:r>
        <w:rPr>
          <w:rFonts w:ascii="Arial" w:cs="Arial" w:eastAsia="Arial" w:hAnsi="Arial"/>
          <w:sz w:val="20"/>
          <w:szCs w:val="20"/>
          <w:color w:val="auto"/>
        </w:rPr>
        <w:t xml:space="preserve">Anything to the contrary in this </w:t>
      </w:r>
      <w:r>
        <w:rPr>
          <w:rFonts w:ascii="Arial" w:cs="Arial" w:eastAsia="Arial" w:hAnsi="Arial"/>
          <w:sz w:val="20"/>
          <w:szCs w:val="20"/>
          <w:u w:val="single" w:color="auto"/>
          <w:color w:val="auto"/>
        </w:rPr>
        <w:t>Section 2.1</w:t>
      </w:r>
      <w:r>
        <w:rPr>
          <w:rFonts w:ascii="Arial" w:cs="Arial" w:eastAsia="Arial" w:hAnsi="Arial"/>
          <w:sz w:val="20"/>
          <w:szCs w:val="20"/>
          <w:color w:val="auto"/>
        </w:rPr>
        <w:t xml:space="preserve"> notwithstanding, Agent shall have the right (but not the obligation) at any time, in the exercise of its Permitted Discretion, to establish and increase or decrease Reserves and against the Borrowing Base or the Maximum Revolver Amount. The amount of any Reserve established by Agent, and any changes to the eligibility criteria set forth in the definitions of Eligible Accounts, Eligible Inventory, Eligible New Equipment, and Eligible M&amp;E shall have a reasonable relationship to the event, condition, other circumstance, or fact that is the basis for such reserve or change in eligibility and shall not be duplicative of any other reserve established and currently maintained or eligibility criteria.</w:t>
      </w:r>
    </w:p>
    <w:p>
      <w:pPr>
        <w:spacing w:after="0" w:line="18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6"/>
          <w:szCs w:val="16"/>
          <w:b w:val="1"/>
          <w:bCs w:val="1"/>
          <w:u w:val="single" w:color="auto"/>
          <w:color w:val="auto"/>
        </w:rPr>
        <w:t>Capex Advances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67" w:name="page68"/>
    <w:bookmarkEnd w:id="67"/>
    <w:p>
      <w:pPr>
        <w:jc w:val="both"/>
        <w:ind w:firstLine="1304"/>
        <w:spacing w:after="0" w:line="274" w:lineRule="auto"/>
        <w:tabs>
          <w:tab w:leader="none" w:pos="1944"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during the period commencing the day after the Closing Date and ending on June 26, 2024, each Lender with a Capex Commitment agrees (severally, not jointly or jointly and severally) to make capex advances (“C</w:t>
      </w:r>
      <w:r>
        <w:rPr>
          <w:rFonts w:ascii="Arial" w:cs="Arial" w:eastAsia="Arial" w:hAnsi="Arial"/>
          <w:sz w:val="18"/>
          <w:szCs w:val="18"/>
          <w:u w:val="single" w:color="auto"/>
          <w:color w:val="auto"/>
        </w:rPr>
        <w:t>apex Advances</w:t>
      </w:r>
      <w:r>
        <w:rPr>
          <w:rFonts w:ascii="Arial" w:cs="Arial" w:eastAsia="Arial" w:hAnsi="Arial"/>
          <w:sz w:val="18"/>
          <w:szCs w:val="18"/>
          <w:color w:val="auto"/>
        </w:rPr>
        <w:t xml:space="preserve">”) to Borrowers in an amount equal to such Lender’s Pro Rata Share of eighty-five percent (85%) of the Hard Costs of the Eligible New Equipment purchased by a Borrower after the Closing Date; </w:t>
      </w:r>
      <w:r>
        <w:rPr>
          <w:rFonts w:ascii="Arial" w:cs="Arial" w:eastAsia="Arial" w:hAnsi="Arial"/>
          <w:sz w:val="18"/>
          <w:szCs w:val="18"/>
          <w:i w:val="1"/>
          <w:iCs w:val="1"/>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however</w:t>
      </w:r>
      <w:r>
        <w:rPr>
          <w:rFonts w:ascii="Arial" w:cs="Arial" w:eastAsia="Arial" w:hAnsi="Arial"/>
          <w:sz w:val="18"/>
          <w:szCs w:val="18"/>
          <w:color w:val="auto"/>
        </w:rPr>
        <w:t>, that no Lender shall be required to make aggregate Capex Advances in excess of an amount equal to such Lender’s Capex Commitment or in excess of such Lender’s Pro Rata Share of the Capex Amount (in each case, without giving effect to any repayments or prepayments thereof).</w:t>
      </w:r>
    </w:p>
    <w:p>
      <w:pPr>
        <w:spacing w:after="0" w:line="169" w:lineRule="exact"/>
        <w:rPr>
          <w:rFonts w:ascii="Arial" w:cs="Arial" w:eastAsia="Arial" w:hAnsi="Arial"/>
          <w:sz w:val="18"/>
          <w:szCs w:val="18"/>
          <w:color w:val="auto"/>
        </w:rPr>
      </w:pPr>
    </w:p>
    <w:p>
      <w:pPr>
        <w:ind w:firstLine="1304"/>
        <w:spacing w:after="0" w:line="271" w:lineRule="auto"/>
        <w:tabs>
          <w:tab w:leader="none" w:pos="194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proceeds of each Capex Advance shall be used solely for the payment of the purchase price (or to reimburse Borrowers for the cash payments previously paid by Borrowers for the purchase price) for the Eligible New Equipment specified in the Capex Purchase Loan Request applicable to such Capex Advance; provided, that, (i) to the extent that the proceeds of any Capex Advance are used to reimburse Borrowers for the cash payments paid by Borrowers for the purchase price of any Eligible New Equipment, Borrowers shall have taken possession of such Eligible New Equipment within 90 days (or 230 days in the case of the first Capex Advance made after the Closing Date) prior to the date of Borrowers’ request for such Capex Advance; and (ii) no CapEx Purchase Loan Request shall include any Eligible New Equipment that supports any other Capex Advance. Each Capex Advance shall be in an amount of not less than $500,000. A single Capex Advance may be used for the purchase price of one or more items constituting Eligible New Equipment specified in the Capex Purchase Loan Request required to be delivered to Agent hereunder.</w:t>
      </w:r>
    </w:p>
    <w:p>
      <w:pPr>
        <w:spacing w:after="0" w:line="173" w:lineRule="exact"/>
        <w:rPr>
          <w:rFonts w:ascii="Arial" w:cs="Arial" w:eastAsia="Arial" w:hAnsi="Arial"/>
          <w:sz w:val="18"/>
          <w:szCs w:val="18"/>
          <w:color w:val="auto"/>
        </w:rPr>
      </w:pPr>
    </w:p>
    <w:p>
      <w:pPr>
        <w:jc w:val="both"/>
        <w:ind w:firstLine="1304"/>
        <w:spacing w:after="0" w:line="250" w:lineRule="auto"/>
        <w:tabs>
          <w:tab w:leader="none" w:pos="1944" w:val="left"/>
        </w:tabs>
        <w:numPr>
          <w:ilvl w:val="0"/>
          <w:numId w:val="61"/>
        </w:numPr>
        <w:rPr>
          <w:rFonts w:ascii="Arial" w:cs="Arial" w:eastAsia="Arial" w:hAnsi="Arial"/>
          <w:sz w:val="20"/>
          <w:szCs w:val="20"/>
          <w:color w:val="auto"/>
        </w:rPr>
      </w:pPr>
      <w:r>
        <w:rPr>
          <w:rFonts w:ascii="Arial" w:cs="Arial" w:eastAsia="Arial" w:hAnsi="Arial"/>
          <w:sz w:val="20"/>
          <w:szCs w:val="20"/>
          <w:color w:val="auto"/>
        </w:rPr>
        <w:t>In addition to the other conditions precedent to any Loan set forth in this Agreement, the provision of each Capex Advance shall be subject to the satisfaction of each of the following additional conditions precedent, as determined by Agent:</w:t>
      </w:r>
    </w:p>
    <w:p>
      <w:pPr>
        <w:spacing w:after="0" w:line="185" w:lineRule="exact"/>
        <w:rPr>
          <w:rFonts w:ascii="Arial" w:cs="Arial" w:eastAsia="Arial" w:hAnsi="Arial"/>
          <w:sz w:val="20"/>
          <w:szCs w:val="20"/>
          <w:color w:val="auto"/>
        </w:rPr>
      </w:pPr>
    </w:p>
    <w:p>
      <w:pPr>
        <w:jc w:val="both"/>
        <w:ind w:firstLine="1952"/>
        <w:spacing w:after="0" w:line="255" w:lineRule="auto"/>
        <w:tabs>
          <w:tab w:leader="none" w:pos="2592" w:val="left"/>
        </w:tabs>
        <w:numPr>
          <w:ilvl w:val="1"/>
          <w:numId w:val="61"/>
        </w:numPr>
        <w:rPr>
          <w:rFonts w:ascii="Arial" w:cs="Arial" w:eastAsia="Arial" w:hAnsi="Arial"/>
          <w:sz w:val="19"/>
          <w:szCs w:val="19"/>
          <w:color w:val="auto"/>
        </w:rPr>
      </w:pPr>
      <w:r>
        <w:rPr>
          <w:rFonts w:ascii="Arial" w:cs="Arial" w:eastAsia="Arial" w:hAnsi="Arial"/>
          <w:sz w:val="19"/>
          <w:szCs w:val="19"/>
          <w:color w:val="auto"/>
        </w:rPr>
        <w:t>Agent shall have received from Borrowers not less than 3 Business Days (or U.S. Government Securities Business Days in the case of a proposed SOFR Rate Loan) and not more than 20 Business Days prior written notice of the proposed Capex Advance (each such notice being a “</w:t>
      </w:r>
      <w:r>
        <w:rPr>
          <w:rFonts w:ascii="Arial" w:cs="Arial" w:eastAsia="Arial" w:hAnsi="Arial"/>
          <w:sz w:val="19"/>
          <w:szCs w:val="19"/>
          <w:u w:val="single" w:color="auto"/>
          <w:color w:val="auto"/>
        </w:rPr>
        <w:t>Capex Purchase Loan Request</w:t>
      </w:r>
      <w:r>
        <w:rPr>
          <w:rFonts w:ascii="Arial" w:cs="Arial" w:eastAsia="Arial" w:hAnsi="Arial"/>
          <w:sz w:val="19"/>
          <w:szCs w:val="19"/>
          <w:color w:val="auto"/>
        </w:rPr>
        <w:t>”), which notice shall specify and include the following: (1) the proposed date and amount of the Capex Advance, (2) a list and description of the Eligible New Equipment (by model, make, manufacturer, serial number and/or such other identifying information as may be reasonably requested by Agent), (3) whether any of such Eligible New Equipment has been purchased prior to the date of the proposed Capex Advance and if so, the date of such purchase and identifying the specific Eligible New Equipment that has been so purchased, (4) the Hard Costs and total purchase price for such Eligible New Equipment (and the terms of payment of such purchase price), (5) whether such Capex Advance is to be a Base Rate Loan or a SOFR Rate Loan and if a SOFR Rate Loan, the Interest Period with respect thereto (failure to so identify shall be deemed to be a request for a Base Rate Loan), and (6) such other information and documents as Agent may from time to time reasonably request with respect thereto;</w:t>
      </w:r>
    </w:p>
    <w:p>
      <w:pPr>
        <w:spacing w:after="0" w:line="184" w:lineRule="exact"/>
        <w:rPr>
          <w:rFonts w:ascii="Arial" w:cs="Arial" w:eastAsia="Arial" w:hAnsi="Arial"/>
          <w:sz w:val="19"/>
          <w:szCs w:val="19"/>
          <w:color w:val="auto"/>
        </w:rPr>
      </w:pPr>
    </w:p>
    <w:p>
      <w:pPr>
        <w:jc w:val="both"/>
        <w:ind w:firstLine="1952"/>
        <w:spacing w:after="0" w:line="250" w:lineRule="auto"/>
        <w:tabs>
          <w:tab w:leader="none" w:pos="2592" w:val="left"/>
        </w:tabs>
        <w:numPr>
          <w:ilvl w:val="1"/>
          <w:numId w:val="61"/>
        </w:numPr>
        <w:rPr>
          <w:rFonts w:ascii="Arial" w:cs="Arial" w:eastAsia="Arial" w:hAnsi="Arial"/>
          <w:sz w:val="20"/>
          <w:szCs w:val="20"/>
          <w:color w:val="auto"/>
        </w:rPr>
      </w:pPr>
      <w:r>
        <w:rPr>
          <w:rFonts w:ascii="Arial" w:cs="Arial" w:eastAsia="Arial" w:hAnsi="Arial"/>
          <w:sz w:val="20"/>
          <w:szCs w:val="20"/>
          <w:color w:val="auto"/>
        </w:rPr>
        <w:t>Agent shall have a valid and perfected first priority security interest in and lien upon such Eligible New Equipment and such Eligible New Equipment shall be free and clear of all other liens, security interests, claims or other encumbrances (other than Permitted Liens); and</w:t>
      </w:r>
    </w:p>
    <w:p>
      <w:pPr>
        <w:spacing w:after="0" w:line="185" w:lineRule="exact"/>
        <w:rPr>
          <w:rFonts w:ascii="Arial" w:cs="Arial" w:eastAsia="Arial" w:hAnsi="Arial"/>
          <w:sz w:val="20"/>
          <w:szCs w:val="20"/>
          <w:color w:val="auto"/>
        </w:rPr>
      </w:pPr>
    </w:p>
    <w:p>
      <w:pPr>
        <w:jc w:val="both"/>
        <w:ind w:firstLine="1952"/>
        <w:spacing w:after="0" w:line="269" w:lineRule="auto"/>
        <w:tabs>
          <w:tab w:leader="none" w:pos="2592" w:val="left"/>
        </w:tabs>
        <w:numPr>
          <w:ilvl w:val="1"/>
          <w:numId w:val="61"/>
        </w:numPr>
        <w:rPr>
          <w:rFonts w:ascii="Arial" w:cs="Arial" w:eastAsia="Arial" w:hAnsi="Arial"/>
          <w:sz w:val="19"/>
          <w:szCs w:val="19"/>
          <w:color w:val="auto"/>
        </w:rPr>
      </w:pPr>
      <w:r>
        <w:rPr>
          <w:rFonts w:ascii="Arial" w:cs="Arial" w:eastAsia="Arial" w:hAnsi="Arial"/>
          <w:sz w:val="19"/>
          <w:szCs w:val="19"/>
          <w:color w:val="auto"/>
        </w:rPr>
        <w:t>Agent shall have received copies, or upon Agent’s reasonable request therefor, originals, of all material agreements, documents and instruments relating to the sale of the Eligible New Equipment to Borrowers, including, without limitation, any purchase orders, invoices, bills of sale or similar documents.</w:t>
      </w:r>
    </w:p>
    <w:p>
      <w:pPr>
        <w:spacing w:after="0" w:line="169" w:lineRule="exact"/>
        <w:rPr>
          <w:rFonts w:ascii="Arial" w:cs="Arial" w:eastAsia="Arial" w:hAnsi="Arial"/>
          <w:sz w:val="19"/>
          <w:szCs w:val="19"/>
          <w:color w:val="auto"/>
        </w:rPr>
      </w:pPr>
    </w:p>
    <w:p>
      <w:pPr>
        <w:ind w:firstLine="1304"/>
        <w:spacing w:after="0" w:line="260" w:lineRule="auto"/>
        <w:tabs>
          <w:tab w:leader="none" w:pos="1944" w:val="left"/>
        </w:tabs>
        <w:numPr>
          <w:ilvl w:val="0"/>
          <w:numId w:val="61"/>
        </w:numPr>
        <w:rPr>
          <w:rFonts w:ascii="Arial" w:cs="Arial" w:eastAsia="Arial" w:hAnsi="Arial"/>
          <w:sz w:val="20"/>
          <w:szCs w:val="20"/>
          <w:color w:val="auto"/>
        </w:rPr>
      </w:pPr>
      <w:r>
        <w:rPr>
          <w:rFonts w:ascii="Arial" w:cs="Arial" w:eastAsia="Arial" w:hAnsi="Arial"/>
          <w:sz w:val="20"/>
          <w:szCs w:val="20"/>
          <w:color w:val="auto"/>
        </w:rPr>
        <w:t>On each Capex Scheduled Repayment Date, the principal of the Capex Advances (regardless of the date such Capex Advances were made) shall be repaid in an amount equal to 1.67%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68" w:name="page69"/>
    <w:bookmarkEnd w:id="68"/>
    <w:p>
      <w:pPr>
        <w:jc w:val="both"/>
        <w:spacing w:after="0" w:line="243" w:lineRule="auto"/>
        <w:rPr>
          <w:sz w:val="20"/>
          <w:szCs w:val="20"/>
          <w:color w:val="auto"/>
        </w:rPr>
      </w:pPr>
      <w:r>
        <w:rPr>
          <w:rFonts w:ascii="Arial" w:cs="Arial" w:eastAsia="Arial" w:hAnsi="Arial"/>
          <w:sz w:val="20"/>
          <w:szCs w:val="20"/>
          <w:color w:val="auto"/>
        </w:rPr>
        <w:t>the original principal amount of each Capex Advance outstanding on such Capex Scheduled Repayment Date. In addition to the foregoing, the outstanding unpaid principal balance and all accrued and unpaid interest on the Capex Advances shall be due and payable on the earlier of (i) the Maturity Date, and (ii) the date of the acceleration of the Capex Advances in accordance with the terms hereof. Any principal amount of the Capex Advances that is repaid or prepaid may not be reborrowed. All principal of, interest on, and other amounts payable in respect of the Capex Advances shall constitute Obligations hereunder.</w:t>
      </w:r>
    </w:p>
    <w:p>
      <w:pPr>
        <w:spacing w:after="0" w:line="197" w:lineRule="exact"/>
        <w:rPr>
          <w:sz w:val="20"/>
          <w:szCs w:val="20"/>
          <w:color w:val="auto"/>
        </w:rPr>
      </w:pPr>
    </w:p>
    <w:p>
      <w:pPr>
        <w:jc w:val="both"/>
        <w:ind w:firstLine="1304"/>
        <w:spacing w:after="0" w:line="255" w:lineRule="auto"/>
        <w:tabs>
          <w:tab w:leader="none" w:pos="1944" w:val="left"/>
        </w:tabs>
        <w:numPr>
          <w:ilvl w:val="0"/>
          <w:numId w:val="62"/>
        </w:numPr>
        <w:rPr>
          <w:rFonts w:ascii="Arial" w:cs="Arial" w:eastAsia="Arial" w:hAnsi="Arial"/>
          <w:sz w:val="19"/>
          <w:szCs w:val="19"/>
          <w:color w:val="auto"/>
        </w:rPr>
      </w:pPr>
      <w:r>
        <w:rPr>
          <w:rFonts w:ascii="Arial" w:cs="Arial" w:eastAsia="Arial" w:hAnsi="Arial"/>
          <w:sz w:val="19"/>
          <w:szCs w:val="19"/>
          <w:color w:val="auto"/>
        </w:rPr>
        <w:t>After receipt of a request for a Capex Advance pursuant to Section 2.2(c)(i), Agent shall notify the Lenders with a Capex Commitment by telecopy, telephone, email, or other electronic form of transmission, of the requested Capex Advance; such notification to be sent on the Business Day that is 1 Business Day prior to the requested funding date. If Agent has notified the Lenders with a Capex Commitment of a requested Capex Advance on the Business Day that is 1 Business Day prior to the funding date, then each such Lender shall make the amount of such Lender’s Pro Rata Share of the requested Capex Advance available to Agent in immediately available funds, to Agent’s Account, not later than 10:00 a.m. on the Business Day that is the requested funding date. After Agent’s receipt of the proceeds of such Capex Advances from the Lenders with a Capex Commitment, Agent shall make the proceeds thereof available to Borrowers on the applicable funding date by transferring immediately available funds equal to such proceeds received by Agent to the Designated Account. All Capex Advances shall initially be Base Rate Loans or SOFR Rate Loans in accordance with the terms of this Agreement.</w:t>
      </w:r>
    </w:p>
    <w:p>
      <w:pPr>
        <w:spacing w:after="0" w:line="186" w:lineRule="exact"/>
        <w:rPr>
          <w:rFonts w:ascii="Arial" w:cs="Arial" w:eastAsia="Arial" w:hAnsi="Arial"/>
          <w:sz w:val="19"/>
          <w:szCs w:val="19"/>
          <w:color w:val="auto"/>
        </w:rPr>
      </w:pPr>
    </w:p>
    <w:p>
      <w:pPr>
        <w:jc w:val="both"/>
        <w:ind w:firstLine="1304"/>
        <w:spacing w:after="0" w:line="268" w:lineRule="auto"/>
        <w:tabs>
          <w:tab w:leader="none" w:pos="1944"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Unless Agent receives notice from a Lender prior to 9:30 a.m. on the Business Day that is the requested funding date relative to a requested Capex Advance as to which Agent has notified the Lenders with a Capex Commitment of a requested Capex Advance that such Lender will not make available as and when required hereunder to Agent for the account of Borrowers the amount of that Lender’s Pro Rata Share of the Capex Advance, Agent may assume that each Lender with a Capex Commitment has made or will make such amount available to Agent in immediately available funds on the funding date and Agent may (but shall not be so required), in reliance upon such assumption, make available to Borrowers a corresponding amount. If, on the requested funding date, any Lender with a Capex Commitment shall not have remitted the full amount that it is required to make available to Agent in immediately available funds and if Agent has made available to Borrowers such amount on the requested funding date, then such Lender shall make the amount of such Lender’s Pro Rata Share of the requested borrowing available to Agent in immediately available funds, to Agent’s Account, no later than 10:00 a.m. on the Business Day that is the first Business Day after the requested funding date (in which case, the interest accrued on such Lender’s portion of such Capex Advance for the funding date shall be for Agent’s separate account). If any Lender shall not remit the full amount that it is required to make available to Agent in immediately available funds as and when required hereby and if Agent has made available to Borrowers such amount, then that Lender shall be obligated to immediately remit such amount to Agent, together with interest at the Defaulting Lender Rate for each day until the date on which such amount is so remitted. A notice submitted by Agent to any Lender with respect to amounts owing under this Section 2.2(c)(vi) shall be conclusive, absent manifest error. If the amount that a Lender is required to remit is made available to Agent, then such payment to Agent shall constitute such Lender’s Capex Advance for all purposes of this Agreement. If such amount is not made available to Agent on the Business Day following the funding date, Agent will notify Borrowers of such failure to fund and, upon demand by Agent, Borrowers shall pay such amount to Agent for Agent’s account, together with interest thereon for each day elapsed since the date of such Capex Advance, at a rate per annum equal to the interest rate applicable at the time to such Capex Advance.</w:t>
      </w:r>
    </w:p>
    <w:p>
      <w:pPr>
        <w:spacing w:after="0" w:line="17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6"/>
          <w:szCs w:val="16"/>
          <w:b w:val="1"/>
          <w:bCs w:val="1"/>
          <w:u w:val="single" w:color="auto"/>
          <w:color w:val="auto"/>
        </w:rPr>
        <w:t>Borrowing Procedures and Settlements</w:t>
      </w:r>
      <w:r>
        <w:rPr>
          <w:rFonts w:ascii="Arial" w:cs="Arial" w:eastAsia="Arial" w:hAnsi="Arial"/>
          <w:sz w:val="16"/>
          <w:szCs w:val="16"/>
          <w:b w:val="1"/>
          <w:bCs w:val="1"/>
          <w:color w:val="auto"/>
        </w:rPr>
        <w:t>.</w:t>
      </w:r>
    </w:p>
    <w:p>
      <w:pPr>
        <w:spacing w:after="0" w:line="216" w:lineRule="exact"/>
        <w:rPr>
          <w:sz w:val="20"/>
          <w:szCs w:val="20"/>
          <w:color w:val="auto"/>
        </w:rPr>
      </w:pPr>
    </w:p>
    <w:p>
      <w:pPr>
        <w:jc w:val="both"/>
        <w:ind w:firstLine="1304"/>
        <w:spacing w:after="0" w:line="253" w:lineRule="auto"/>
        <w:tabs>
          <w:tab w:leader="none" w:pos="1944" w:val="left"/>
        </w:tabs>
        <w:numPr>
          <w:ilvl w:val="0"/>
          <w:numId w:val="63"/>
        </w:numPr>
        <w:rPr>
          <w:rFonts w:ascii="Arial" w:cs="Arial" w:eastAsia="Arial" w:hAnsi="Arial"/>
          <w:sz w:val="20"/>
          <w:szCs w:val="20"/>
          <w:color w:val="auto"/>
        </w:rPr>
      </w:pPr>
      <w:r>
        <w:rPr>
          <w:rFonts w:ascii="Arial" w:cs="Arial" w:eastAsia="Arial" w:hAnsi="Arial"/>
          <w:sz w:val="20"/>
          <w:szCs w:val="20"/>
          <w:b w:val="1"/>
          <w:bCs w:val="1"/>
          <w:color w:val="auto"/>
        </w:rPr>
        <w:t>Procedure for Borrowing Revolving Loans</w:t>
      </w:r>
      <w:r>
        <w:rPr>
          <w:rFonts w:ascii="Arial" w:cs="Arial" w:eastAsia="Arial" w:hAnsi="Arial"/>
          <w:sz w:val="20"/>
          <w:szCs w:val="20"/>
          <w:color w:val="auto"/>
        </w:rPr>
        <w:t>. Each Borrowing shall be made by a written request</w:t>
      </w:r>
      <w:r>
        <w:rPr>
          <w:rFonts w:ascii="Arial" w:cs="Arial" w:eastAsia="Arial" w:hAnsi="Arial"/>
          <w:sz w:val="20"/>
          <w:szCs w:val="20"/>
          <w:b w:val="1"/>
          <w:bCs w:val="1"/>
          <w:color w:val="auto"/>
        </w:rPr>
        <w:t xml:space="preserve"> </w:t>
      </w:r>
      <w:r>
        <w:rPr>
          <w:rFonts w:ascii="Arial" w:cs="Arial" w:eastAsia="Arial" w:hAnsi="Arial"/>
          <w:sz w:val="20"/>
          <w:szCs w:val="20"/>
          <w:color w:val="auto"/>
        </w:rPr>
        <w:t>by an Authorized Person delivered to Agent (which may be delivered through Agent’s electronic platform or portal) and received by Agent no later than 11:00 a.m. (i) on the Business Day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69" w:name="page70"/>
    <w:bookmarkEnd w:id="69"/>
    <w:p>
      <w:pPr>
        <w:jc w:val="both"/>
        <w:spacing w:after="0" w:line="256" w:lineRule="auto"/>
        <w:rPr>
          <w:sz w:val="20"/>
          <w:szCs w:val="20"/>
          <w:color w:val="auto"/>
        </w:rPr>
      </w:pPr>
      <w:r>
        <w:rPr>
          <w:rFonts w:ascii="Arial" w:cs="Arial" w:eastAsia="Arial" w:hAnsi="Arial"/>
          <w:sz w:val="19"/>
          <w:szCs w:val="19"/>
          <w:color w:val="auto"/>
        </w:rPr>
        <w:t>is the requested Funding Date in the case of a request for a Swing Loan, (ii) on the Business Day that is one Business Day prior to the requested Funding Date in the case of a request for a Base Rate Loan, and (iii) on the U.S. Government Securities Business Day that is three U.S. Government Securities Business Days prior to the requested Funding Date in the case of a request for a SOFR Loan, specifying (A) the amount of such Borrowing, and (B) the requested Funding Date (which shall be a Business Day); provided, that Agent may, in its sole discretion, elect to accept as timely requests that are received later than 11:00 a.m. on the applicable Business Day or U.S. Government Securities Business Day, as applicable. All Borrowing requests which are not made on-line via Agent’s electronic platform or portal shall be subject to (and unless Agent elects otherwise in the exercise of its sole discretion, such Borrowings shall not be made until the completion of) Agent’s authentication process (with results satisfactory to Agent) prior to the funding of any such requested Revolving Loan.</w:t>
      </w:r>
    </w:p>
    <w:p>
      <w:pPr>
        <w:spacing w:after="0" w:line="176" w:lineRule="exact"/>
        <w:rPr>
          <w:sz w:val="20"/>
          <w:szCs w:val="20"/>
          <w:color w:val="auto"/>
        </w:rPr>
      </w:pPr>
    </w:p>
    <w:p>
      <w:pPr>
        <w:jc w:val="both"/>
        <w:ind w:firstLine="1304"/>
        <w:spacing w:after="0" w:line="268" w:lineRule="auto"/>
        <w:tabs>
          <w:tab w:leader="none" w:pos="1944" w:val="left"/>
        </w:tabs>
        <w:numPr>
          <w:ilvl w:val="1"/>
          <w:numId w:val="64"/>
        </w:numPr>
        <w:rPr>
          <w:rFonts w:ascii="Arial" w:cs="Arial" w:eastAsia="Arial" w:hAnsi="Arial"/>
          <w:sz w:val="18"/>
          <w:szCs w:val="18"/>
          <w:color w:val="auto"/>
        </w:rPr>
      </w:pPr>
      <w:r>
        <w:rPr>
          <w:rFonts w:ascii="Arial" w:cs="Arial" w:eastAsia="Arial" w:hAnsi="Arial"/>
          <w:sz w:val="18"/>
          <w:szCs w:val="18"/>
          <w:b w:val="1"/>
          <w:bCs w:val="1"/>
          <w:color w:val="auto"/>
        </w:rPr>
        <w:t>Making of Swing Loans</w:t>
      </w:r>
      <w:r>
        <w:rPr>
          <w:rFonts w:ascii="Arial" w:cs="Arial" w:eastAsia="Arial" w:hAnsi="Arial"/>
          <w:sz w:val="18"/>
          <w:szCs w:val="18"/>
          <w:color w:val="auto"/>
        </w:rPr>
        <w:t>. In the case of a Revolving Loan and so long as any of (i) the aggregate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amount of Swing Loans made since the last Settlement Date, </w:t>
      </w:r>
      <w:r>
        <w:rPr>
          <w:rFonts w:ascii="Arial" w:cs="Arial" w:eastAsia="Arial" w:hAnsi="Arial"/>
          <w:sz w:val="18"/>
          <w:szCs w:val="18"/>
          <w:i w:val="1"/>
          <w:iCs w:val="1"/>
          <w:u w:val="single" w:color="auto"/>
          <w:color w:val="auto"/>
        </w:rPr>
        <w:t>minus</w:t>
      </w:r>
      <w:r>
        <w:rPr>
          <w:rFonts w:ascii="Arial" w:cs="Arial" w:eastAsia="Arial" w:hAnsi="Arial"/>
          <w:sz w:val="18"/>
          <w:szCs w:val="18"/>
          <w:color w:val="auto"/>
        </w:rPr>
        <w:t xml:space="preserve"> all payments or other amounts applied to Swing Loans since the last Settlement Date,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the amount of the requested Swing Loan does not exceed $9,000,000, or (ii) Swing Lender, in its sole discretion, agrees to make a Swing Loan notwithstanding the foregoing limitation, Swing Lender shall make a Revolving Loan (any such Revolving Loan made by Swing Lender pursuant to this </w:t>
      </w:r>
      <w:r>
        <w:rPr>
          <w:rFonts w:ascii="Arial" w:cs="Arial" w:eastAsia="Arial" w:hAnsi="Arial"/>
          <w:sz w:val="18"/>
          <w:szCs w:val="18"/>
          <w:u w:val="single" w:color="auto"/>
          <w:color w:val="auto"/>
        </w:rPr>
        <w:t>Section 2.3(b)</w:t>
      </w:r>
      <w:r>
        <w:rPr>
          <w:rFonts w:ascii="Arial" w:cs="Arial" w:eastAsia="Arial" w:hAnsi="Arial"/>
          <w:sz w:val="18"/>
          <w:szCs w:val="18"/>
          <w:color w:val="auto"/>
        </w:rPr>
        <w:t xml:space="preserve"> being referred to as a “</w:t>
      </w:r>
      <w:r>
        <w:rPr>
          <w:rFonts w:ascii="Arial" w:cs="Arial" w:eastAsia="Arial" w:hAnsi="Arial"/>
          <w:sz w:val="18"/>
          <w:szCs w:val="18"/>
          <w:u w:val="single" w:color="auto"/>
          <w:color w:val="auto"/>
        </w:rPr>
        <w:t>Swing Loan</w:t>
      </w:r>
      <w:r>
        <w:rPr>
          <w:rFonts w:ascii="Arial" w:cs="Arial" w:eastAsia="Arial" w:hAnsi="Arial"/>
          <w:sz w:val="18"/>
          <w:szCs w:val="18"/>
          <w:color w:val="auto"/>
        </w:rPr>
        <w:t>” and all such Revolving Loans being referred to as “</w:t>
      </w:r>
      <w:r>
        <w:rPr>
          <w:rFonts w:ascii="Arial" w:cs="Arial" w:eastAsia="Arial" w:hAnsi="Arial"/>
          <w:sz w:val="18"/>
          <w:szCs w:val="18"/>
          <w:u w:val="single" w:color="auto"/>
          <w:color w:val="auto"/>
        </w:rPr>
        <w:t>Swing Loans</w:t>
      </w:r>
      <w:r>
        <w:rPr>
          <w:rFonts w:ascii="Arial" w:cs="Arial" w:eastAsia="Arial" w:hAnsi="Arial"/>
          <w:sz w:val="18"/>
          <w:szCs w:val="18"/>
          <w:color w:val="auto"/>
        </w:rPr>
        <w:t xml:space="preserve">”) available to Borrowers on the Funding Date applicable thereto by transferring immediately available funds in the amount of such Borrowing to the Designated Account. Each Swing Loan shall be deemed to be a Revolving Loan hereunder and shall be subject to all the terms and conditions (including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applicable to other Revolving Loans, except that all payments (including interest) on any Swing Loan shall be payable to Swing Lender solely for its own account. Subject to the provisions of </w:t>
      </w:r>
      <w:r>
        <w:rPr>
          <w:rFonts w:ascii="Arial" w:cs="Arial" w:eastAsia="Arial" w:hAnsi="Arial"/>
          <w:sz w:val="18"/>
          <w:szCs w:val="18"/>
          <w:u w:val="single" w:color="auto"/>
          <w:color w:val="auto"/>
        </w:rPr>
        <w:t>Section 2.3(d)(ii)</w:t>
      </w:r>
      <w:r>
        <w:rPr>
          <w:rFonts w:ascii="Arial" w:cs="Arial" w:eastAsia="Arial" w:hAnsi="Arial"/>
          <w:sz w:val="18"/>
          <w:szCs w:val="18"/>
          <w:color w:val="auto"/>
        </w:rPr>
        <w:t>, Swing Lender shall not make and shall not be obligated to make any Swing Loan if Swing Lender has actual knowledge that</w:t>
      </w:r>
    </w:p>
    <w:p>
      <w:pPr>
        <w:spacing w:after="0" w:line="4" w:lineRule="exact"/>
        <w:rPr>
          <w:rFonts w:ascii="Arial" w:cs="Arial" w:eastAsia="Arial" w:hAnsi="Arial"/>
          <w:sz w:val="18"/>
          <w:szCs w:val="18"/>
          <w:color w:val="auto"/>
        </w:rPr>
      </w:pPr>
    </w:p>
    <w:p>
      <w:pPr>
        <w:jc w:val="both"/>
        <w:ind w:firstLine="8"/>
        <w:spacing w:after="0"/>
        <w:tabs>
          <w:tab w:leader="none" w:pos="251" w:val="left"/>
        </w:tabs>
        <w:numPr>
          <w:ilvl w:val="0"/>
          <w:numId w:val="65"/>
        </w:numPr>
        <w:rPr>
          <w:rFonts w:ascii="Arial" w:cs="Arial" w:eastAsia="Arial" w:hAnsi="Arial"/>
          <w:sz w:val="20"/>
          <w:szCs w:val="20"/>
          <w:color w:val="auto"/>
        </w:rPr>
      </w:pPr>
      <w:r>
        <w:rPr>
          <w:rFonts w:ascii="Arial" w:cs="Arial" w:eastAsia="Arial" w:hAnsi="Arial"/>
          <w:sz w:val="20"/>
          <w:szCs w:val="20"/>
          <w:color w:val="auto"/>
        </w:rPr>
        <w:t xml:space="preserve">one or more of the applicable conditions precedent set forth in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will not be satisfied on the requested Funding Date for the applicable Borrowing, or (ii) the requested Borrowing would exceed the Availability on such Funding Date. Swing Lender shall not otherwise be required to determine whether the applicable conditions precedent set forth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3</w:t>
      </w:r>
      <w:r>
        <w:rPr>
          <w:rFonts w:ascii="Arial" w:cs="Arial" w:eastAsia="Arial" w:hAnsi="Arial"/>
          <w:sz w:val="20"/>
          <w:szCs w:val="20"/>
          <w:color w:val="auto"/>
        </w:rPr>
        <w:t xml:space="preserve"> have been satisfied on the Funding Date applicable thereto prior to making any Swing Loan. The Swing Loans shall be secured by Agent’s Liens, constitute Revolving Loans and Obligations, and bear interest at the rate applicable from time to time to Revolving Loans that are Base Rate Loans.</w:t>
      </w:r>
    </w:p>
    <w:p>
      <w:pPr>
        <w:spacing w:after="0" w:line="191" w:lineRule="exact"/>
        <w:rPr>
          <w:rFonts w:ascii="Arial" w:cs="Arial" w:eastAsia="Arial" w:hAnsi="Arial"/>
          <w:sz w:val="20"/>
          <w:szCs w:val="20"/>
          <w:color w:val="auto"/>
        </w:rPr>
      </w:pPr>
    </w:p>
    <w:p>
      <w:pPr>
        <w:ind w:left="1960" w:hanging="656"/>
        <w:spacing w:after="0"/>
        <w:tabs>
          <w:tab w:leader="none" w:pos="1960" w:val="left"/>
        </w:tabs>
        <w:numPr>
          <w:ilvl w:val="1"/>
          <w:numId w:val="65"/>
        </w:numPr>
        <w:rPr>
          <w:rFonts w:ascii="Arial" w:cs="Arial" w:eastAsia="Arial" w:hAnsi="Arial"/>
          <w:sz w:val="20"/>
          <w:szCs w:val="20"/>
          <w:color w:val="auto"/>
        </w:rPr>
      </w:pPr>
      <w:r>
        <w:rPr>
          <w:rFonts w:ascii="Arial" w:cs="Arial" w:eastAsia="Arial" w:hAnsi="Arial"/>
          <w:sz w:val="20"/>
          <w:szCs w:val="20"/>
          <w:b w:val="1"/>
          <w:bCs w:val="1"/>
          <w:color w:val="auto"/>
        </w:rPr>
        <w:t>Making of Revolving Loans</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firstLine="1952"/>
        <w:spacing w:after="0" w:line="270" w:lineRule="auto"/>
        <w:tabs>
          <w:tab w:leader="none" w:pos="2592" w:val="left"/>
        </w:tabs>
        <w:numPr>
          <w:ilvl w:val="2"/>
          <w:numId w:val="65"/>
        </w:numPr>
        <w:rPr>
          <w:rFonts w:ascii="Arial" w:cs="Arial" w:eastAsia="Arial" w:hAnsi="Arial"/>
          <w:sz w:val="18"/>
          <w:szCs w:val="18"/>
          <w:color w:val="auto"/>
        </w:rPr>
      </w:pPr>
      <w:r>
        <w:rPr>
          <w:rFonts w:ascii="Arial" w:cs="Arial" w:eastAsia="Arial" w:hAnsi="Arial"/>
          <w:sz w:val="18"/>
          <w:szCs w:val="18"/>
          <w:color w:val="auto"/>
        </w:rPr>
        <w:t xml:space="preserve">In the event that Swing Lender is not obligated to make a Swing Loan, then after receipt of a request for a Borrowing pursuant to </w:t>
      </w:r>
      <w:r>
        <w:rPr>
          <w:rFonts w:ascii="Arial" w:cs="Arial" w:eastAsia="Arial" w:hAnsi="Arial"/>
          <w:sz w:val="18"/>
          <w:szCs w:val="18"/>
          <w:u w:val="single" w:color="auto"/>
          <w:color w:val="auto"/>
        </w:rPr>
        <w:t>Section 2.3(a)(i)</w:t>
      </w:r>
      <w:r>
        <w:rPr>
          <w:rFonts w:ascii="Arial" w:cs="Arial" w:eastAsia="Arial" w:hAnsi="Arial"/>
          <w:sz w:val="18"/>
          <w:szCs w:val="18"/>
          <w:color w:val="auto"/>
        </w:rPr>
        <w:t xml:space="preserve">, Agent shall notify the Lenders by telecopy, telephone, email, or other electronic form of transmission, of the requested Borrowing; such notification to be sent on the Business Day or U.S. Government Securities Business Day, as applicable, that is (A) in the case of a Base Rate Loan, at least one Business Day prior to the requested Funding Date, or (B) in the case of a SOFR Loan, prior to 11:00 a.m. at least three U.S. Government Securities Business Days prior to the requested Funding Date. If Agent has notified the Lenders of a requested Borrowing on the Business Day that is one Business Day prior to the Funding Date, then each Lender shall make the amount of such Lender’s Pro Rata Share of the requested Borrowing available to Agent in immediately available funds, to Agent’s Account, not later than 10:00 a.m. on the Business Day that is the requested Funding Date. After Agent’s receipt of the proceeds of such Revolving Loans from the Lenders, Agent shall make the proceeds thereof available to Borrowers on the applicable Funding Date by transferring immediately available funds equal to such proceeds received by Agent to the Designated Account;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the provisions of </w:t>
      </w:r>
      <w:r>
        <w:rPr>
          <w:rFonts w:ascii="Arial" w:cs="Arial" w:eastAsia="Arial" w:hAnsi="Arial"/>
          <w:sz w:val="18"/>
          <w:szCs w:val="18"/>
          <w:u w:val="single" w:color="auto"/>
          <w:color w:val="auto"/>
        </w:rPr>
        <w:t>Section 2.3(d)(ii)</w:t>
      </w:r>
      <w:r>
        <w:rPr>
          <w:rFonts w:ascii="Arial" w:cs="Arial" w:eastAsia="Arial" w:hAnsi="Arial"/>
          <w:sz w:val="18"/>
          <w:szCs w:val="18"/>
          <w:color w:val="auto"/>
        </w:rPr>
        <w:t xml:space="preserve">, no Lender shall have an obligation to make any Revolving Loan, if (1) one or more of the applicable conditions precedent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70" w:name="page71"/>
    <w:bookmarkEnd w:id="70"/>
    <w:p>
      <w:pPr>
        <w:spacing w:after="0" w:line="261" w:lineRule="auto"/>
        <w:rPr>
          <w:sz w:val="20"/>
          <w:szCs w:val="20"/>
          <w:color w:val="auto"/>
        </w:rPr>
      </w:pPr>
      <w:r>
        <w:rPr>
          <w:rFonts w:ascii="Arial" w:cs="Arial" w:eastAsia="Arial" w:hAnsi="Arial"/>
          <w:sz w:val="20"/>
          <w:szCs w:val="20"/>
          <w:color w:val="auto"/>
        </w:rPr>
        <w:t>not be satisfied on the requested Funding Date for the applicable Borrowing unless such condition has been waived, or (2) the requested Borrowing would exceed the Availability on such Funding Date.</w:t>
      </w:r>
    </w:p>
    <w:p>
      <w:pPr>
        <w:spacing w:after="0" w:line="176" w:lineRule="exact"/>
        <w:rPr>
          <w:sz w:val="20"/>
          <w:szCs w:val="20"/>
          <w:color w:val="auto"/>
        </w:rPr>
      </w:pPr>
    </w:p>
    <w:p>
      <w:pPr>
        <w:jc w:val="both"/>
        <w:ind w:firstLine="1952"/>
        <w:spacing w:after="0" w:line="268" w:lineRule="auto"/>
        <w:tabs>
          <w:tab w:leader="none" w:pos="2592" w:val="left"/>
        </w:tabs>
        <w:numPr>
          <w:ilvl w:val="1"/>
          <w:numId w:val="66"/>
        </w:numPr>
        <w:rPr>
          <w:rFonts w:ascii="Arial" w:cs="Arial" w:eastAsia="Arial" w:hAnsi="Arial"/>
          <w:sz w:val="18"/>
          <w:szCs w:val="18"/>
          <w:color w:val="auto"/>
        </w:rPr>
      </w:pPr>
      <w:r>
        <w:rPr>
          <w:rFonts w:ascii="Arial" w:cs="Arial" w:eastAsia="Arial" w:hAnsi="Arial"/>
          <w:sz w:val="18"/>
          <w:szCs w:val="18"/>
          <w:color w:val="auto"/>
        </w:rPr>
        <w:t xml:space="preserve">Unless Agent receives notice from a Lender prior to 9:30 a.m. on the Business Day that is the requested Funding Date relative to a requested Borrowing as to which Agent has notified the Lenders of a requested Borrowing that such Lender will not make available as and when required hereunder to Agent for the account of Borrowers the amount of that Lender’s Pro Rata Share of the Borrowing, Agent may assume that each Lender has made or will make such amount available to Agent in immediately available funds on the Funding Date and Agent may (but shall not be so required), in reliance upon such assumption, make available to Borrowers a corresponding amount. If, on the requested Funding Date, any Lender shall not have remitted the full amount that it is required to make available to Agent in immediately available funds and if Agent has made available to Borrowers such amount on the requested Funding Date, then such Lender shall make the amount of such Lender’s Pro Rata Share of the requested Borrowing available to Agent in immediately available funds, to Agent’s Account, no later than 10:00 a.m. on the Business Day that is the first Business Day after the requested Funding Date (in which case, the interest accrued on such Lender’s portion of such Borrowing for the Funding Date shall be for Agent’s separate account). If any Lender shall not remit the full amount that it is required to make available to Agent in immediately available funds as and when required hereby and if Agent has made available to Borrowers such amount, then that Lender shall be obligated to immediately remit such amount to Agent, together with interest at the Defaulting Lender Rate for each day until the date on which such amount is so remitted. A notice submitted by Agent to any Lender with respect to amounts owing under this </w:t>
      </w:r>
      <w:r>
        <w:rPr>
          <w:rFonts w:ascii="Arial" w:cs="Arial" w:eastAsia="Arial" w:hAnsi="Arial"/>
          <w:sz w:val="18"/>
          <w:szCs w:val="18"/>
          <w:u w:val="single" w:color="auto"/>
          <w:color w:val="auto"/>
        </w:rPr>
        <w:t>Section 2.3(c)(ii)</w:t>
      </w:r>
      <w:r>
        <w:rPr>
          <w:rFonts w:ascii="Arial" w:cs="Arial" w:eastAsia="Arial" w:hAnsi="Arial"/>
          <w:sz w:val="18"/>
          <w:szCs w:val="18"/>
          <w:color w:val="auto"/>
        </w:rPr>
        <w:t xml:space="preserve"> shall be conclusive, absent manifest error. If the amount that a Lender is required to remit is made available to Agent, then such payment to Agent shall constitute such Lender’s Revolving Loan for all purposes of this Agreement. If such amount is not made available to Agent on the Business Day following the Funding Date, Agent will notify Administrative Borrower of such failure to fund and, upon demand by Agent, Borrowers shall pay such amount to Agent for Agent’s account, together with interest thereon for each day elapsed since the date of such Borrowing, at a rate per annum equal to the interest rate applicable at the time to the Revolving Loans composing such Borrowing.</w:t>
      </w:r>
    </w:p>
    <w:p>
      <w:pPr>
        <w:spacing w:after="0" w:line="174" w:lineRule="exact"/>
        <w:rPr>
          <w:rFonts w:ascii="Arial" w:cs="Arial" w:eastAsia="Arial" w:hAnsi="Arial"/>
          <w:sz w:val="18"/>
          <w:szCs w:val="18"/>
          <w:color w:val="auto"/>
        </w:rPr>
      </w:pPr>
    </w:p>
    <w:p>
      <w:pPr>
        <w:ind w:left="1960" w:hanging="656"/>
        <w:spacing w:after="0"/>
        <w:tabs>
          <w:tab w:leader="none" w:pos="1960" w:val="left"/>
        </w:tabs>
        <w:numPr>
          <w:ilvl w:val="0"/>
          <w:numId w:val="67"/>
        </w:numPr>
        <w:rPr>
          <w:rFonts w:ascii="Arial" w:cs="Arial" w:eastAsia="Arial" w:hAnsi="Arial"/>
          <w:sz w:val="20"/>
          <w:szCs w:val="20"/>
          <w:color w:val="auto"/>
        </w:rPr>
      </w:pPr>
      <w:r>
        <w:rPr>
          <w:rFonts w:ascii="Arial" w:cs="Arial" w:eastAsia="Arial" w:hAnsi="Arial"/>
          <w:sz w:val="20"/>
          <w:szCs w:val="20"/>
          <w:b w:val="1"/>
          <w:bCs w:val="1"/>
          <w:color w:val="auto"/>
        </w:rPr>
        <w:t>Protective Advances and Optional Overadvances</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firstLine="1952"/>
        <w:spacing w:after="0" w:line="257" w:lineRule="auto"/>
        <w:tabs>
          <w:tab w:leader="none" w:pos="2592" w:val="left"/>
        </w:tabs>
        <w:numPr>
          <w:ilvl w:val="1"/>
          <w:numId w:val="67"/>
        </w:numPr>
        <w:rPr>
          <w:rFonts w:ascii="Arial" w:cs="Arial" w:eastAsia="Arial" w:hAnsi="Arial"/>
          <w:sz w:val="19"/>
          <w:szCs w:val="19"/>
          <w:color w:val="auto"/>
        </w:rPr>
      </w:pPr>
      <w:r>
        <w:rPr>
          <w:rFonts w:ascii="Arial" w:cs="Arial" w:eastAsia="Arial" w:hAnsi="Arial"/>
          <w:sz w:val="19"/>
          <w:szCs w:val="19"/>
          <w:color w:val="auto"/>
        </w:rPr>
        <w:t xml:space="preserve">Any contrary provision of this Agreement or any other Loan Document notwithstanding (but subject to </w:t>
      </w:r>
      <w:r>
        <w:rPr>
          <w:rFonts w:ascii="Arial" w:cs="Arial" w:eastAsia="Arial" w:hAnsi="Arial"/>
          <w:sz w:val="19"/>
          <w:szCs w:val="19"/>
          <w:u w:val="single" w:color="auto"/>
          <w:color w:val="auto"/>
        </w:rPr>
        <w:t>Section 2.3(d)(iv)</w:t>
      </w:r>
      <w:r>
        <w:rPr>
          <w:rFonts w:ascii="Arial" w:cs="Arial" w:eastAsia="Arial" w:hAnsi="Arial"/>
          <w:sz w:val="19"/>
          <w:szCs w:val="19"/>
          <w:color w:val="auto"/>
        </w:rPr>
        <w:t xml:space="preserve">), at any time (A) after the occurrence and during the continuance of a Default or an Event of Default, or (B) that any of the other applicable conditions precedent set forth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are not satisfied, Agent hereby is authorized by Borrowers and the Lenders, from time to time, in Agent’s sole discretion, to make Revolving Loans to, or for the benefit of, Borrowers, on behalf of the Revolving Lenders, that Agent, in its Permitted Discretion, deems necessary or desirable (1) to preserve or protect the Collateral, or any portion thereof, or (2) to enhance the likelihood of repayment of the Obligations (other than the Bank Product Obligations) (the Revolving Loans described in this </w:t>
      </w:r>
      <w:r>
        <w:rPr>
          <w:rFonts w:ascii="Arial" w:cs="Arial" w:eastAsia="Arial" w:hAnsi="Arial"/>
          <w:sz w:val="19"/>
          <w:szCs w:val="19"/>
          <w:u w:val="single" w:color="auto"/>
          <w:color w:val="auto"/>
        </w:rPr>
        <w:t>Section 2.3(d)(i)</w:t>
      </w:r>
      <w:r>
        <w:rPr>
          <w:rFonts w:ascii="Arial" w:cs="Arial" w:eastAsia="Arial" w:hAnsi="Arial"/>
          <w:sz w:val="19"/>
          <w:szCs w:val="19"/>
          <w:color w:val="auto"/>
        </w:rPr>
        <w:t xml:space="preserve"> shall be referred to as “</w:t>
      </w:r>
      <w:r>
        <w:rPr>
          <w:rFonts w:ascii="Arial" w:cs="Arial" w:eastAsia="Arial" w:hAnsi="Arial"/>
          <w:sz w:val="19"/>
          <w:szCs w:val="19"/>
          <w:u w:val="single" w:color="auto"/>
          <w:color w:val="auto"/>
        </w:rPr>
        <w:t>Protective Advances</w:t>
      </w:r>
      <w:r>
        <w:rPr>
          <w:rFonts w:ascii="Arial" w:cs="Arial" w:eastAsia="Arial" w:hAnsi="Arial"/>
          <w:sz w:val="19"/>
          <w:szCs w:val="19"/>
          <w:color w:val="auto"/>
        </w:rPr>
        <w:t>”).</w:t>
      </w:r>
    </w:p>
    <w:p>
      <w:pPr>
        <w:spacing w:after="0" w:line="180" w:lineRule="exact"/>
        <w:rPr>
          <w:sz w:val="20"/>
          <w:szCs w:val="20"/>
          <w:color w:val="auto"/>
        </w:rPr>
      </w:pPr>
    </w:p>
    <w:p>
      <w:pPr>
        <w:jc w:val="both"/>
        <w:ind w:firstLine="1952"/>
        <w:spacing w:after="0" w:line="303" w:lineRule="auto"/>
        <w:tabs>
          <w:tab w:leader="none" w:pos="2592" w:val="left"/>
        </w:tabs>
        <w:numPr>
          <w:ilvl w:val="1"/>
          <w:numId w:val="68"/>
        </w:numPr>
        <w:rPr>
          <w:rFonts w:ascii="Arial" w:cs="Arial" w:eastAsia="Arial" w:hAnsi="Arial"/>
          <w:sz w:val="16"/>
          <w:szCs w:val="16"/>
          <w:color w:val="auto"/>
        </w:rPr>
      </w:pPr>
      <w:r>
        <w:rPr>
          <w:rFonts w:ascii="Arial" w:cs="Arial" w:eastAsia="Arial" w:hAnsi="Arial"/>
          <w:sz w:val="16"/>
          <w:szCs w:val="16"/>
          <w:color w:val="auto"/>
        </w:rPr>
        <w:t>Any contrary provision of this Agreement or any other Loan Document notwithstanding, the Lenders hereby authorize Agent or Swing Lender, as applicable, and either Agent or Swing Lender, as applicable, may, but is not obligated to, knowingly and intentionally, continue to make Revolving Loans (including Swing Loans) to Borrowers notwithstanding that an Overadvance exists or would be created thereby, so long as (A) after giving effect to such Revolving Loans, the outstanding Revolver Usage does not exceed the Borrowing Base by more than 10 % of the Borrowing Base, and</w:t>
      </w:r>
    </w:p>
    <w:p>
      <w:pPr>
        <w:spacing w:after="0" w:line="2" w:lineRule="exact"/>
        <w:rPr>
          <w:rFonts w:ascii="Arial" w:cs="Arial" w:eastAsia="Arial" w:hAnsi="Arial"/>
          <w:sz w:val="16"/>
          <w:szCs w:val="16"/>
          <w:color w:val="auto"/>
        </w:rPr>
      </w:pPr>
    </w:p>
    <w:p>
      <w:pPr>
        <w:jc w:val="both"/>
        <w:ind w:firstLine="8"/>
        <w:spacing w:after="0" w:line="241" w:lineRule="auto"/>
        <w:tabs>
          <w:tab w:leader="none" w:pos="317" w:val="left"/>
        </w:tabs>
        <w:numPr>
          <w:ilvl w:val="0"/>
          <w:numId w:val="69"/>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2.3(d)(iv)</w:t>
      </w:r>
      <w:r>
        <w:rPr>
          <w:rFonts w:ascii="Arial" w:cs="Arial" w:eastAsia="Arial" w:hAnsi="Arial"/>
          <w:sz w:val="20"/>
          <w:szCs w:val="20"/>
          <w:color w:val="auto"/>
        </w:rPr>
        <w:t xml:space="preserve"> below, after giving effect to such Revolving Loans, the outstanding Revolver Usage (except for and excluding amounts charged to the Loan Account for interest, fees, or Lender Group Expenses) does not exceed the Maximum Revolver Amount. In the event Agent obtains actual knowledge that the Revolver Usage exceeds the amounts permitted by this </w:t>
      </w:r>
      <w:r>
        <w:rPr>
          <w:rFonts w:ascii="Arial" w:cs="Arial" w:eastAsia="Arial" w:hAnsi="Arial"/>
          <w:sz w:val="20"/>
          <w:szCs w:val="20"/>
          <w:u w:val="single" w:color="auto"/>
          <w:color w:val="auto"/>
        </w:rPr>
        <w:t>Section 2.3(d)</w:t>
      </w:r>
      <w:r>
        <w:rPr>
          <w:rFonts w:ascii="Arial" w:cs="Arial" w:eastAsia="Arial" w:hAnsi="Arial"/>
          <w:sz w:val="20"/>
          <w:szCs w:val="20"/>
          <w:color w:val="auto"/>
        </w:rPr>
        <w:t>, regardless of the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71" w:name="page72"/>
    <w:bookmarkEnd w:id="71"/>
    <w:p>
      <w:pPr>
        <w:jc w:val="both"/>
        <w:spacing w:after="0" w:line="271" w:lineRule="auto"/>
        <w:rPr>
          <w:sz w:val="20"/>
          <w:szCs w:val="20"/>
          <w:color w:val="auto"/>
        </w:rPr>
      </w:pPr>
      <w:r>
        <w:rPr>
          <w:rFonts w:ascii="Arial" w:cs="Arial" w:eastAsia="Arial" w:hAnsi="Arial"/>
          <w:sz w:val="18"/>
          <w:szCs w:val="18"/>
          <w:color w:val="auto"/>
        </w:rPr>
        <w:t xml:space="preserve">or reason for, such excess, Agent shall notify the Lenders as soon as practicable (and prior to making any (or any additional) intentional Overadvances (except for and excluding amounts charged to the Loan Account for interest, fees, or Lender Group Expenses) unless Agent determines that prior notice would result in imminent harm to the Collateral or its value, in which case Agent may make such Overadvances and provide notice as promptly as practicable thereafter), and the Lenders with Revolver Commitments thereupon shall, together with Agent, jointly determine the terms of arrangements that shall be implemented with Borrowers intended to reduce, within a reasonable time, the outstanding principal amount of the Revolving Loans to Borrowers to an amount permitted by the preceding sentence. In such circumstances, if any Lender with a Revolver Commitment objects to the proposed terms of reduction or repayment of any Overadvance, the terms of reduction or repayment thereof shall be implemented according to the determination of the Required Lenders. The foregoing provisions are meant for the benefit of the Lenders and Agent and are not meant for the benefit of Borrowers, which shall continue to be bound by the provisions of </w:t>
      </w:r>
      <w:r>
        <w:rPr>
          <w:rFonts w:ascii="Arial" w:cs="Arial" w:eastAsia="Arial" w:hAnsi="Arial"/>
          <w:sz w:val="18"/>
          <w:szCs w:val="18"/>
          <w:u w:val="single" w:color="auto"/>
          <w:color w:val="auto"/>
        </w:rPr>
        <w:t>Section 2.4(e)(1)</w:t>
      </w:r>
      <w:r>
        <w:rPr>
          <w:rFonts w:ascii="Arial" w:cs="Arial" w:eastAsia="Arial" w:hAnsi="Arial"/>
          <w:sz w:val="18"/>
          <w:szCs w:val="18"/>
          <w:color w:val="auto"/>
        </w:rPr>
        <w:t>.</w:t>
      </w:r>
    </w:p>
    <w:p>
      <w:pPr>
        <w:spacing w:after="0" w:line="171" w:lineRule="exact"/>
        <w:rPr>
          <w:sz w:val="20"/>
          <w:szCs w:val="20"/>
          <w:color w:val="auto"/>
        </w:rPr>
      </w:pPr>
    </w:p>
    <w:p>
      <w:pPr>
        <w:ind w:firstLine="1952"/>
        <w:spacing w:after="0" w:line="256" w:lineRule="auto"/>
        <w:tabs>
          <w:tab w:leader="none" w:pos="2592" w:val="left"/>
        </w:tabs>
        <w:numPr>
          <w:ilvl w:val="1"/>
          <w:numId w:val="70"/>
        </w:numPr>
        <w:rPr>
          <w:rFonts w:ascii="Arial" w:cs="Arial" w:eastAsia="Arial" w:hAnsi="Arial"/>
          <w:sz w:val="19"/>
          <w:szCs w:val="19"/>
          <w:color w:val="auto"/>
        </w:rPr>
      </w:pPr>
      <w:r>
        <w:rPr>
          <w:rFonts w:ascii="Arial" w:cs="Arial" w:eastAsia="Arial" w:hAnsi="Arial"/>
          <w:sz w:val="19"/>
          <w:szCs w:val="19"/>
          <w:color w:val="auto"/>
        </w:rPr>
        <w:t>Each Protective Advance and each Overadvance (each, an “</w:t>
      </w:r>
      <w:r>
        <w:rPr>
          <w:rFonts w:ascii="Arial" w:cs="Arial" w:eastAsia="Arial" w:hAnsi="Arial"/>
          <w:sz w:val="19"/>
          <w:szCs w:val="19"/>
          <w:u w:val="single" w:color="auto"/>
          <w:color w:val="auto"/>
        </w:rPr>
        <w:t>Extraordinary Advance</w:t>
      </w:r>
      <w:r>
        <w:rPr>
          <w:rFonts w:ascii="Arial" w:cs="Arial" w:eastAsia="Arial" w:hAnsi="Arial"/>
          <w:sz w:val="19"/>
          <w:szCs w:val="19"/>
          <w:color w:val="auto"/>
        </w:rPr>
        <w:t xml:space="preserve">”) shall be deemed to be a Revolving Loan hereunder, except that no Extraordinary Advance shall be eligible to be a SOFR Loan. Prior to Settlement of any Extraordinary Advance, all payments with respect thereto, including interest thereon, shall be payable to Agent solely for its own account. Each Revolving Lender shall be obligated to settle with Agent as provided in </w:t>
      </w:r>
      <w:r>
        <w:rPr>
          <w:rFonts w:ascii="Arial" w:cs="Arial" w:eastAsia="Arial" w:hAnsi="Arial"/>
          <w:sz w:val="19"/>
          <w:szCs w:val="19"/>
          <w:u w:val="single" w:color="auto"/>
          <w:color w:val="auto"/>
        </w:rPr>
        <w:t>Section 2.3(e)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2.3(g)</w:t>
      </w:r>
      <w:r>
        <w:rPr>
          <w:rFonts w:ascii="Arial" w:cs="Arial" w:eastAsia="Arial" w:hAnsi="Arial"/>
          <w:sz w:val="19"/>
          <w:szCs w:val="19"/>
          <w:color w:val="auto"/>
        </w:rPr>
        <w:t xml:space="preserve">, as applicable) for the amount of such Lender’s Pro Rata Share of any Extraordinary Advance. The Extraordinary Advances shall be repayable on demand, secured by Agent’s Liens, constitute Obligations hereunder, and bear interest at the rate applicable from time to time to Revolving Loans that are Base Rate Loans. The provisions of this </w:t>
      </w:r>
      <w:r>
        <w:rPr>
          <w:rFonts w:ascii="Arial" w:cs="Arial" w:eastAsia="Arial" w:hAnsi="Arial"/>
          <w:sz w:val="19"/>
          <w:szCs w:val="19"/>
          <w:u w:val="single" w:color="auto"/>
          <w:color w:val="auto"/>
        </w:rPr>
        <w:t>Section 2.3(d)</w:t>
      </w:r>
      <w:r>
        <w:rPr>
          <w:rFonts w:ascii="Arial" w:cs="Arial" w:eastAsia="Arial" w:hAnsi="Arial"/>
          <w:sz w:val="19"/>
          <w:szCs w:val="19"/>
          <w:color w:val="auto"/>
        </w:rPr>
        <w:t xml:space="preserve"> are for the exclusive benefit of Agent, Swing Lender, and the Lenders and are not intended to benefit Borrowers (or any other Loan Party) in any way.</w:t>
      </w:r>
    </w:p>
    <w:p>
      <w:pPr>
        <w:spacing w:after="0" w:line="184" w:lineRule="exact"/>
        <w:rPr>
          <w:rFonts w:ascii="Arial" w:cs="Arial" w:eastAsia="Arial" w:hAnsi="Arial"/>
          <w:sz w:val="19"/>
          <w:szCs w:val="19"/>
          <w:color w:val="auto"/>
        </w:rPr>
      </w:pPr>
    </w:p>
    <w:p>
      <w:pPr>
        <w:jc w:val="both"/>
        <w:ind w:firstLine="1952"/>
        <w:spacing w:after="0" w:line="255" w:lineRule="auto"/>
        <w:tabs>
          <w:tab w:leader="none" w:pos="2592" w:val="left"/>
        </w:tabs>
        <w:numPr>
          <w:ilvl w:val="1"/>
          <w:numId w:val="70"/>
        </w:numPr>
        <w:rPr>
          <w:rFonts w:ascii="Arial" w:cs="Arial" w:eastAsia="Arial" w:hAnsi="Arial"/>
          <w:sz w:val="19"/>
          <w:szCs w:val="19"/>
          <w:color w:val="auto"/>
        </w:rPr>
      </w:pPr>
      <w:r>
        <w:rPr>
          <w:rFonts w:ascii="Arial" w:cs="Arial" w:eastAsia="Arial" w:hAnsi="Arial"/>
          <w:sz w:val="19"/>
          <w:szCs w:val="19"/>
          <w:color w:val="auto"/>
        </w:rPr>
        <w:t xml:space="preserve">Notwithstanding anything contained in this Agreement or any other Loan Document to the contrary, no Extraordinary Advance may be made by Agent if such Extraordinary Advance would cause the aggregate Revolver Usage to exceed the Maximum Revolver Amount or any Lender’s Pro Rata Share of the Revolver Usage to exceed such Lender’s Revolver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Agent may make Extraordinary Advances in excess of the foregoing limitations so long as such Extraordinary Advances that cause the aggregate Revolver Usage to exceed the Maximum Revolver Amount or a Lender’s Pro Rata Share of the Revolver Usage to exceed such Lender’s Revolver Commitments are for Agent’s sole and separate account and not for the account of any Lender. No Lender shall have an obligation to settle with Agent for such Extraordinary Advances that cause the aggregate Revolver Usage to exceed the Maximum Revolver Amount or a Lender’s Pro Rata Share of the Revolver Usage to exceed such Lender’s Revolver Commitments as provided in </w:t>
      </w:r>
      <w:r>
        <w:rPr>
          <w:rFonts w:ascii="Arial" w:cs="Arial" w:eastAsia="Arial" w:hAnsi="Arial"/>
          <w:sz w:val="19"/>
          <w:szCs w:val="19"/>
          <w:u w:val="single" w:color="auto"/>
          <w:color w:val="auto"/>
        </w:rPr>
        <w:t>Section 2.3(e)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2.3(g)</w:t>
      </w:r>
      <w:r>
        <w:rPr>
          <w:rFonts w:ascii="Arial" w:cs="Arial" w:eastAsia="Arial" w:hAnsi="Arial"/>
          <w:sz w:val="19"/>
          <w:szCs w:val="19"/>
          <w:color w:val="auto"/>
        </w:rPr>
        <w:t>, as applicable).</w:t>
      </w:r>
    </w:p>
    <w:p>
      <w:pPr>
        <w:spacing w:after="0" w:line="183" w:lineRule="exact"/>
        <w:rPr>
          <w:rFonts w:ascii="Arial" w:cs="Arial" w:eastAsia="Arial" w:hAnsi="Arial"/>
          <w:sz w:val="19"/>
          <w:szCs w:val="19"/>
          <w:color w:val="auto"/>
        </w:rPr>
      </w:pPr>
    </w:p>
    <w:p>
      <w:pPr>
        <w:jc w:val="both"/>
        <w:ind w:firstLine="1304"/>
        <w:spacing w:after="0" w:line="245" w:lineRule="auto"/>
        <w:tabs>
          <w:tab w:leader="none" w:pos="1944" w:val="left"/>
        </w:tabs>
        <w:numPr>
          <w:ilvl w:val="0"/>
          <w:numId w:val="71"/>
        </w:numPr>
        <w:rPr>
          <w:rFonts w:ascii="Arial" w:cs="Arial" w:eastAsia="Arial" w:hAnsi="Arial"/>
          <w:sz w:val="20"/>
          <w:szCs w:val="20"/>
          <w:color w:val="auto"/>
        </w:rPr>
      </w:pPr>
      <w:r>
        <w:rPr>
          <w:rFonts w:ascii="Arial" w:cs="Arial" w:eastAsia="Arial" w:hAnsi="Arial"/>
          <w:sz w:val="20"/>
          <w:szCs w:val="20"/>
          <w:b w:val="1"/>
          <w:bCs w:val="1"/>
          <w:color w:val="auto"/>
        </w:rPr>
        <w:t>Settlement</w:t>
      </w:r>
      <w:r>
        <w:rPr>
          <w:rFonts w:ascii="Arial" w:cs="Arial" w:eastAsia="Arial" w:hAnsi="Arial"/>
          <w:sz w:val="20"/>
          <w:szCs w:val="20"/>
          <w:color w:val="auto"/>
        </w:rPr>
        <w:t>. It is agreed that each Lender’s funded portion of the Revolving Loans is intended by</w:t>
      </w:r>
      <w:r>
        <w:rPr>
          <w:rFonts w:ascii="Arial" w:cs="Arial" w:eastAsia="Arial" w:hAnsi="Arial"/>
          <w:sz w:val="20"/>
          <w:szCs w:val="20"/>
          <w:b w:val="1"/>
          <w:bCs w:val="1"/>
          <w:color w:val="auto"/>
        </w:rPr>
        <w:t xml:space="preserve"> </w:t>
      </w:r>
      <w:r>
        <w:rPr>
          <w:rFonts w:ascii="Arial" w:cs="Arial" w:eastAsia="Arial" w:hAnsi="Arial"/>
          <w:sz w:val="20"/>
          <w:szCs w:val="20"/>
          <w:color w:val="auto"/>
        </w:rPr>
        <w:t>the Lenders to equal, at all times, such Lender’s Pro Rata Share of the outstanding Revolving Loans. Such agreement notwithstanding, Agent, Swing Lender, and the other Lenders agree (which agreement shall not be for the benefit of Borrowers) that in order to facilitate the administration of this Agreement and the other Loan Documents, settlement among the Lenders as to the Revolving Loans (including Swing Loans and Extraordinary Advances) shall take place on a periodic basis in accordance with the following provisions:</w:t>
      </w:r>
    </w:p>
    <w:p>
      <w:pPr>
        <w:spacing w:after="0" w:line="190" w:lineRule="exact"/>
        <w:rPr>
          <w:rFonts w:ascii="Arial" w:cs="Arial" w:eastAsia="Arial" w:hAnsi="Arial"/>
          <w:sz w:val="20"/>
          <w:szCs w:val="20"/>
          <w:color w:val="auto"/>
        </w:rPr>
      </w:pPr>
    </w:p>
    <w:p>
      <w:pPr>
        <w:jc w:val="both"/>
        <w:ind w:firstLine="1952"/>
        <w:spacing w:after="0" w:line="243" w:lineRule="auto"/>
        <w:tabs>
          <w:tab w:leader="none" w:pos="2592" w:val="left"/>
        </w:tabs>
        <w:numPr>
          <w:ilvl w:val="1"/>
          <w:numId w:val="71"/>
        </w:numPr>
        <w:rPr>
          <w:rFonts w:ascii="Arial" w:cs="Arial" w:eastAsia="Arial" w:hAnsi="Arial"/>
          <w:sz w:val="20"/>
          <w:szCs w:val="20"/>
          <w:color w:val="auto"/>
        </w:rPr>
      </w:pPr>
      <w:r>
        <w:rPr>
          <w:rFonts w:ascii="Arial" w:cs="Arial" w:eastAsia="Arial" w:hAnsi="Arial"/>
          <w:sz w:val="20"/>
          <w:szCs w:val="20"/>
          <w:color w:val="auto"/>
        </w:rPr>
        <w:t>Agent shall request settlement (“</w:t>
      </w:r>
      <w:r>
        <w:rPr>
          <w:rFonts w:ascii="Arial" w:cs="Arial" w:eastAsia="Arial" w:hAnsi="Arial"/>
          <w:sz w:val="20"/>
          <w:szCs w:val="20"/>
          <w:u w:val="single" w:color="auto"/>
          <w:color w:val="auto"/>
        </w:rPr>
        <w:t>Settlement</w:t>
      </w:r>
      <w:r>
        <w:rPr>
          <w:rFonts w:ascii="Arial" w:cs="Arial" w:eastAsia="Arial" w:hAnsi="Arial"/>
          <w:sz w:val="20"/>
          <w:szCs w:val="20"/>
          <w:color w:val="auto"/>
        </w:rPr>
        <w:t>”) with the Lenders on a weekly basis, or on a more frequent basis if so determined by Agent in its sole discretion (1) on behalf of Swing Lender, with respect to the outstanding Swing Loans, (2) for itself, with respect to the outstanding Extraordinary Advances, and (3) with respect to any Loan Party’s or any of their Subsidiaries’ payments or other amounts received, as to each by notifying the Lenders by telecopy, telephone, or other similar form of transmission, of such requested Settlement, no later than 2:00 p.m. on the Business Day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72" w:name="page73"/>
    <w:bookmarkEnd w:id="72"/>
    <w:p>
      <w:pPr>
        <w:jc w:val="both"/>
        <w:spacing w:after="0" w:line="268" w:lineRule="auto"/>
        <w:rPr>
          <w:sz w:val="20"/>
          <w:szCs w:val="20"/>
          <w:color w:val="auto"/>
        </w:rPr>
      </w:pPr>
      <w:r>
        <w:rPr>
          <w:rFonts w:ascii="Arial" w:cs="Arial" w:eastAsia="Arial" w:hAnsi="Arial"/>
          <w:sz w:val="18"/>
          <w:szCs w:val="18"/>
          <w:color w:val="auto"/>
        </w:rPr>
        <w:t>prior to the date of such requested Settlement (the date of such requested Settlement being the “</w:t>
      </w:r>
      <w:r>
        <w:rPr>
          <w:rFonts w:ascii="Arial" w:cs="Arial" w:eastAsia="Arial" w:hAnsi="Arial"/>
          <w:sz w:val="18"/>
          <w:szCs w:val="18"/>
          <w:u w:val="single" w:color="auto"/>
          <w:color w:val="auto"/>
        </w:rPr>
        <w:t>Settlement Date</w:t>
      </w:r>
      <w:r>
        <w:rPr>
          <w:rFonts w:ascii="Arial" w:cs="Arial" w:eastAsia="Arial" w:hAnsi="Arial"/>
          <w:sz w:val="18"/>
          <w:szCs w:val="18"/>
          <w:color w:val="auto"/>
        </w:rPr>
        <w:t xml:space="preserve">”). Such notice of a Settlement Date shall include a summary statement of the amount of outstanding Revolving Loans (including Swing Loans and Extraordinary Advances) for the period since the prior Settlement Date. Subject to the terms and conditions contained herein (including </w:t>
      </w:r>
      <w:r>
        <w:rPr>
          <w:rFonts w:ascii="Arial" w:cs="Arial" w:eastAsia="Arial" w:hAnsi="Arial"/>
          <w:sz w:val="18"/>
          <w:szCs w:val="18"/>
          <w:u w:val="single" w:color="auto"/>
          <w:color w:val="auto"/>
        </w:rPr>
        <w:t>Section 2.3(g)</w:t>
      </w:r>
      <w:r>
        <w:rPr>
          <w:rFonts w:ascii="Arial" w:cs="Arial" w:eastAsia="Arial" w:hAnsi="Arial"/>
          <w:sz w:val="18"/>
          <w:szCs w:val="18"/>
          <w:color w:val="auto"/>
        </w:rPr>
        <w:t>): (y) if the amount of the Revolving Loans (including Swing Loans and Extraordinary Advances) made by a Lender that is not a Defaulting Lender exceeds such Lender’s Pro Rata Share of the Revolving Loans (including Swing Loans and Extraordinary Advances) as of a Settlement Date, then Agent shall, by no later than 12:00 p.m. on the Settlement Date, transfer in immediately available funds to a Deposit Account of such Lender (as such Lender may designate), an amount such that each such Lender shall, upon receipt of such amount, have as of the Settlement Date, its Pro Rata Share of the Revolving Loans (including Swing Loans and Extraordinary Advances), and (z) if the amount of the Revolving Loans (including Swing Loans and Extraordinary Advances) made by a Lender is less than such Lender’s Pro Rata Share of the Revolving Loans (including Swing Loans and Extraordinary Advances) as of a Settlement Date, such Lender shall no later than 12:00 p.m. on the Settlement Date transfer in immediately available funds to Agent’s Account, an amount such that each such Lender shall, upon transfer of such amount, have as of the Settlement Date, its Pro Rata Share of the Revolving Loans (including Swing Loans and Extraordinary Advances). Such amounts made available to Agent under clause (z) of the immediately preceding sentence shall be applied against the amounts of the applicable Swing Loans or Extraordinary Advances and, together with the portion of such Swing Loans or Extraordinary Advances representing Swing Lender’s Pro Rata Share thereof, shall constitute Revolving Loans of such Lenders. If any such amount is not made available to Agent by any Lender on the Settlement Date applicable thereto to the extent required by the terms hereof, Agent shall be entitled to recover for its account such amount on demand from such Lender together with interest thereon at the Defaulting Lender Rate.</w:t>
      </w:r>
    </w:p>
    <w:p>
      <w:pPr>
        <w:spacing w:after="0" w:line="185" w:lineRule="exact"/>
        <w:rPr>
          <w:sz w:val="20"/>
          <w:szCs w:val="20"/>
          <w:color w:val="auto"/>
        </w:rPr>
      </w:pPr>
    </w:p>
    <w:p>
      <w:pPr>
        <w:jc w:val="both"/>
        <w:ind w:firstLine="1952"/>
        <w:spacing w:after="0" w:line="278" w:lineRule="auto"/>
        <w:tabs>
          <w:tab w:leader="none" w:pos="2592"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determining whether a Lender’s balance of the Revolving Loans (including Swing Loans and Extraordinary Advances) is less than, equal to, or greater than such Lender’s Pro Rata Share of the Revolving Loans (including Swing Loans and Extraordinary Advances) as of a Settlement Date, Agent shall, as part of the relevant Settlement, apply to such balance the portion of payments actually received in good funds by Agent with respect to principal, interest, fees payable by Borrowers and allocable to the Lenders hereunder, and proceeds of Collateral.</w:t>
      </w:r>
    </w:p>
    <w:p>
      <w:pPr>
        <w:spacing w:after="0" w:line="164" w:lineRule="exact"/>
        <w:rPr>
          <w:rFonts w:ascii="Arial" w:cs="Arial" w:eastAsia="Arial" w:hAnsi="Arial"/>
          <w:sz w:val="18"/>
          <w:szCs w:val="18"/>
          <w:color w:val="auto"/>
        </w:rPr>
      </w:pPr>
    </w:p>
    <w:p>
      <w:pPr>
        <w:jc w:val="both"/>
        <w:ind w:firstLine="1952"/>
        <w:spacing w:after="0" w:line="305" w:lineRule="auto"/>
        <w:tabs>
          <w:tab w:leader="none" w:pos="2592"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Between Settlement Dates, Agent, to the extent Extraordinary Advances or Swing Loans are outstanding, may pay over to Agent or Swing Lender, as applicable, any payments or other amounts received by Agent, that in accordance with the terms of this Agreement would be applied to the reduction of the Revolving Loans, for application to the Extraordinary Advances or Swing Loans. Between Settlement Dates, Agent, to the extent no Extraordinary Advances or Swing Loans are outstanding, may pay over to Swing Lender any payments or other amounts received by Agent, that in accordance with the terms of this Agreement would be applied to the reduction of the Revolving Loans, for application to Swing Lender’s Pro Rata Share of the Revolving Loans. If, as of any Settlement Date, payments or other amounts of the Loan Parties or their Subsidiaries received since the then immediately preceding Settlement Date have been applied to Swing Lender’s Pro Rata Share of the Revolving Loans other than to Swing Loans, as provided for in the previous sentence, Swing Lender shall pay to Agent for the accounts of the Lenders, and Agent shall pay to the Lenders (other than a Defaulting Lender if Agent has implemented the provisions of </w:t>
      </w:r>
      <w:r>
        <w:rPr>
          <w:rFonts w:ascii="Arial" w:cs="Arial" w:eastAsia="Arial" w:hAnsi="Arial"/>
          <w:sz w:val="16"/>
          <w:szCs w:val="16"/>
          <w:u w:val="single" w:color="auto"/>
          <w:color w:val="auto"/>
        </w:rPr>
        <w:t>Section 2.3(g)</w:t>
      </w:r>
      <w:r>
        <w:rPr>
          <w:rFonts w:ascii="Arial" w:cs="Arial" w:eastAsia="Arial" w:hAnsi="Arial"/>
          <w:sz w:val="16"/>
          <w:szCs w:val="16"/>
          <w:color w:val="auto"/>
        </w:rPr>
        <w:t>), to be applied to the outstanding Revolving Loans of such Lenders, an amount such that each such Lender shall, upon receipt of such amount, have, as of such Settlement Date, its Pro Rata Share of the Revolving Loans. During the period between Settlement Dates, Swing Lender with respect to Swing Loans, Agent with respect to Extraordinary Advances, and each Lender with respect to the Revolving Loans other than Swing Loans and Extraordinary Advances, shall be entitled to interest at the applicable rate or rates payable under this Agreement on the daily amount of funds employed by Swing Lender, Agent, or the Lenders,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73" w:name="page74"/>
    <w:bookmarkEnd w:id="73"/>
    <w:p>
      <w:pPr>
        <w:jc w:val="both"/>
        <w:ind w:firstLine="1952"/>
        <w:spacing w:after="0" w:line="250" w:lineRule="auto"/>
        <w:tabs>
          <w:tab w:leader="none" w:pos="2592" w:val="left"/>
        </w:tabs>
        <w:numPr>
          <w:ilvl w:val="1"/>
          <w:numId w:val="73"/>
        </w:numPr>
        <w:rPr>
          <w:rFonts w:ascii="Arial" w:cs="Arial" w:eastAsia="Arial" w:hAnsi="Arial"/>
          <w:sz w:val="20"/>
          <w:szCs w:val="20"/>
          <w:color w:val="auto"/>
        </w:rPr>
      </w:pPr>
      <w:r>
        <w:rPr>
          <w:rFonts w:ascii="Arial" w:cs="Arial" w:eastAsia="Arial" w:hAnsi="Arial"/>
          <w:sz w:val="20"/>
          <w:szCs w:val="20"/>
          <w:color w:val="auto"/>
        </w:rPr>
        <w:t xml:space="preserve">Anything in this </w:t>
      </w:r>
      <w:r>
        <w:rPr>
          <w:rFonts w:ascii="Arial" w:cs="Arial" w:eastAsia="Arial" w:hAnsi="Arial"/>
          <w:sz w:val="20"/>
          <w:szCs w:val="20"/>
          <w:u w:val="single" w:color="auto"/>
          <w:color w:val="auto"/>
        </w:rPr>
        <w:t>Section 2.3(e)</w:t>
      </w:r>
      <w:r>
        <w:rPr>
          <w:rFonts w:ascii="Arial" w:cs="Arial" w:eastAsia="Arial" w:hAnsi="Arial"/>
          <w:sz w:val="20"/>
          <w:szCs w:val="20"/>
          <w:color w:val="auto"/>
        </w:rPr>
        <w:t xml:space="preserve"> to the contrary notwithstanding, in the event that a Lender is a Defaulting Lender, Agent shall be entitled to refrain from remitting settlement amounts to the Defaulting Lender and, instead, shall be entitled to elect to implement the provisions set forth in </w:t>
      </w:r>
      <w:r>
        <w:rPr>
          <w:rFonts w:ascii="Arial" w:cs="Arial" w:eastAsia="Arial" w:hAnsi="Arial"/>
          <w:sz w:val="20"/>
          <w:szCs w:val="20"/>
          <w:u w:val="single" w:color="auto"/>
          <w:color w:val="auto"/>
        </w:rPr>
        <w:t>Section 2.3(g)</w:t>
      </w:r>
      <w:r>
        <w:rPr>
          <w:rFonts w:ascii="Arial" w:cs="Arial" w:eastAsia="Arial" w:hAnsi="Arial"/>
          <w:sz w:val="20"/>
          <w:szCs w:val="20"/>
          <w:color w:val="auto"/>
        </w:rPr>
        <w:t>.</w:t>
      </w:r>
    </w:p>
    <w:p>
      <w:pPr>
        <w:spacing w:after="0" w:line="180" w:lineRule="exact"/>
        <w:rPr>
          <w:rFonts w:ascii="Arial" w:cs="Arial" w:eastAsia="Arial" w:hAnsi="Arial"/>
          <w:sz w:val="20"/>
          <w:szCs w:val="20"/>
          <w:color w:val="auto"/>
        </w:rPr>
      </w:pPr>
    </w:p>
    <w:p>
      <w:pPr>
        <w:jc w:val="both"/>
        <w:ind w:firstLine="1304"/>
        <w:spacing w:after="0" w:line="246" w:lineRule="auto"/>
        <w:tabs>
          <w:tab w:leader="none" w:pos="1944" w:val="left"/>
        </w:tabs>
        <w:numPr>
          <w:ilvl w:val="0"/>
          <w:numId w:val="74"/>
        </w:numPr>
        <w:rPr>
          <w:rFonts w:ascii="Arial" w:cs="Arial" w:eastAsia="Arial" w:hAnsi="Arial"/>
          <w:sz w:val="20"/>
          <w:szCs w:val="20"/>
          <w:color w:val="auto"/>
        </w:rPr>
      </w:pPr>
      <w:r>
        <w:rPr>
          <w:rFonts w:ascii="Arial" w:cs="Arial" w:eastAsia="Arial" w:hAnsi="Arial"/>
          <w:sz w:val="20"/>
          <w:szCs w:val="20"/>
          <w:b w:val="1"/>
          <w:bCs w:val="1"/>
          <w:color w:val="auto"/>
        </w:rPr>
        <w:t>Notation</w:t>
      </w:r>
      <w:r>
        <w:rPr>
          <w:rFonts w:ascii="Arial" w:cs="Arial" w:eastAsia="Arial" w:hAnsi="Arial"/>
          <w:sz w:val="20"/>
          <w:szCs w:val="20"/>
          <w:color w:val="auto"/>
        </w:rPr>
        <w:t>. Consistent with</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13.1(h)</w:t>
      </w:r>
      <w:r>
        <w:rPr>
          <w:rFonts w:ascii="Arial" w:cs="Arial" w:eastAsia="Arial" w:hAnsi="Arial"/>
          <w:sz w:val="20"/>
          <w:szCs w:val="20"/>
          <w:color w:val="auto"/>
        </w:rPr>
        <w:t>, Agent, as a non-fiduciary agent for Borrowers, shall</w:t>
      </w:r>
      <w:r>
        <w:rPr>
          <w:rFonts w:ascii="Arial" w:cs="Arial" w:eastAsia="Arial" w:hAnsi="Arial"/>
          <w:sz w:val="20"/>
          <w:szCs w:val="20"/>
          <w:b w:val="1"/>
          <w:bCs w:val="1"/>
          <w:color w:val="auto"/>
        </w:rPr>
        <w:t xml:space="preserve"> </w:t>
      </w:r>
      <w:r>
        <w:rPr>
          <w:rFonts w:ascii="Arial" w:cs="Arial" w:eastAsia="Arial" w:hAnsi="Arial"/>
          <w:sz w:val="20"/>
          <w:szCs w:val="20"/>
          <w:color w:val="auto"/>
        </w:rPr>
        <w:t>maintain a register showing the principal amount and stated interest of the Revolving Loans and Capex Advances, owing to each Lender, including the Swing Loans owing to Swing Lender, and Extraordinary Advances owing to Agent, and the interests therein of each Lender, from time to time and such register shall, absent manifest error, conclusively be presumed to be correct and accurate.</w:t>
      </w:r>
    </w:p>
    <w:p>
      <w:pPr>
        <w:spacing w:after="0" w:line="184" w:lineRule="exact"/>
        <w:rPr>
          <w:rFonts w:ascii="Arial" w:cs="Arial" w:eastAsia="Arial" w:hAnsi="Arial"/>
          <w:sz w:val="20"/>
          <w:szCs w:val="20"/>
          <w:color w:val="auto"/>
        </w:rPr>
      </w:pPr>
    </w:p>
    <w:p>
      <w:pPr>
        <w:ind w:left="1960" w:hanging="656"/>
        <w:spacing w:after="0"/>
        <w:tabs>
          <w:tab w:leader="none" w:pos="1960" w:val="left"/>
        </w:tabs>
        <w:numPr>
          <w:ilvl w:val="0"/>
          <w:numId w:val="74"/>
        </w:numPr>
        <w:rPr>
          <w:rFonts w:ascii="Arial" w:cs="Arial" w:eastAsia="Arial" w:hAnsi="Arial"/>
          <w:sz w:val="20"/>
          <w:szCs w:val="20"/>
          <w:color w:val="auto"/>
        </w:rPr>
      </w:pPr>
      <w:r>
        <w:rPr>
          <w:rFonts w:ascii="Arial" w:cs="Arial" w:eastAsia="Arial" w:hAnsi="Arial"/>
          <w:sz w:val="20"/>
          <w:szCs w:val="20"/>
          <w:b w:val="1"/>
          <w:bCs w:val="1"/>
          <w:color w:val="auto"/>
        </w:rPr>
        <w:t>Defaulting Lenders</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firstLine="1952"/>
        <w:spacing w:after="0" w:line="267" w:lineRule="auto"/>
        <w:tabs>
          <w:tab w:leader="none" w:pos="2592" w:val="left"/>
        </w:tabs>
        <w:numPr>
          <w:ilvl w:val="1"/>
          <w:numId w:val="74"/>
        </w:numPr>
        <w:rPr>
          <w:rFonts w:ascii="Arial" w:cs="Arial" w:eastAsia="Arial" w:hAnsi="Arial"/>
          <w:sz w:val="18"/>
          <w:szCs w:val="18"/>
          <w:color w:val="auto"/>
        </w:rPr>
      </w:pPr>
      <w:r>
        <w:rPr>
          <w:rFonts w:ascii="Arial" w:cs="Arial" w:eastAsia="Arial" w:hAnsi="Arial"/>
          <w:sz w:val="18"/>
          <w:szCs w:val="18"/>
          <w:color w:val="auto"/>
        </w:rPr>
        <w:t xml:space="preserve">Notwithstanding the provisions of </w:t>
      </w:r>
      <w:r>
        <w:rPr>
          <w:rFonts w:ascii="Arial" w:cs="Arial" w:eastAsia="Arial" w:hAnsi="Arial"/>
          <w:sz w:val="18"/>
          <w:szCs w:val="18"/>
          <w:u w:val="single" w:color="auto"/>
          <w:color w:val="auto"/>
        </w:rPr>
        <w:t>Section 2.4(b)(iii)</w:t>
      </w:r>
      <w:r>
        <w:rPr>
          <w:rFonts w:ascii="Arial" w:cs="Arial" w:eastAsia="Arial" w:hAnsi="Arial"/>
          <w:sz w:val="18"/>
          <w:szCs w:val="18"/>
          <w:color w:val="auto"/>
        </w:rPr>
        <w:t xml:space="preserve">, Agent shall not be obligated to transfer to a Defaulting Lender any payments made by Borrowers to Agent for the Defaulting Lender’s benefit or any proceeds of Collateral that would otherwise be remitted hereunder to the Defaulting Lender, and, in the absence of such transfer to the Defaulting Lender, Agent shall transfer any such payments (A) first, to Agent to the extent of any Extraordinary Advances that were made by Agent and that were required to be, but were not, paid by Defaulting Lender, (B) second, to Swing Lender to the extent of any Swing Loans that were made by Swing Lender and that were required to be, but were not, paid by the Defaulting Lender, (C) third, to Issuing Bank, to the extent of the portion of a Letter of Credit Disbursement that was required to be, but was not, paid by the Defaulting Lender, (D) fourth, to each Non-Defaulting Lender ratably in accordance with their Commitments (but, in each case, only to the extent that such Defaulting Lender’s portion of a Revolving Loan (or other funding obligation) was funded by such other Non-Defaulting Lender), (E) fifth, in Agent’s sole discretion, to a suspense account maintained by Agent, the proceeds of which shall be retained by Agent and may be made available to be re-advanced to or for the benefit of Borrowers (upon the request of Borrowers and subject to the conditions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 xml:space="preserve">) as if such Defaulting Lender had made its portion of Revolving Loans (or other funding obligations) hereunder, and (F) sixth, from and after the date on which all other Obligations have been paid in full, to such Defaulting Lender in accordance with tier (L) of </w:t>
      </w:r>
      <w:r>
        <w:rPr>
          <w:rFonts w:ascii="Arial" w:cs="Arial" w:eastAsia="Arial" w:hAnsi="Arial"/>
          <w:sz w:val="18"/>
          <w:szCs w:val="18"/>
          <w:u w:val="single" w:color="auto"/>
          <w:color w:val="auto"/>
        </w:rPr>
        <w:t>Section 2.4(b)(iii)</w:t>
      </w:r>
      <w:r>
        <w:rPr>
          <w:rFonts w:ascii="Arial" w:cs="Arial" w:eastAsia="Arial" w:hAnsi="Arial"/>
          <w:sz w:val="18"/>
          <w:szCs w:val="18"/>
          <w:color w:val="auto"/>
        </w:rPr>
        <w:t xml:space="preserve">. Subject to the foregoing, Agent may hold and, in its discretion, re-lend to Borrowers for the account of such Defaulting Lender the amount of all such payments received and retained by Agent for the account of such Defaulting Lender. Solely for the purposes of voting or consenting to matters with respect to the Loan Documents (including the calculation of Pro Rata Share in connection therewith) and for the purpose of calculating the fee payable under </w:t>
      </w:r>
      <w:r>
        <w:rPr>
          <w:rFonts w:ascii="Arial" w:cs="Arial" w:eastAsia="Arial" w:hAnsi="Arial"/>
          <w:sz w:val="18"/>
          <w:szCs w:val="18"/>
          <w:u w:val="single" w:color="auto"/>
          <w:color w:val="auto"/>
        </w:rPr>
        <w:t>Section 2.10(b)</w:t>
      </w:r>
      <w:r>
        <w:rPr>
          <w:rFonts w:ascii="Arial" w:cs="Arial" w:eastAsia="Arial" w:hAnsi="Arial"/>
          <w:sz w:val="18"/>
          <w:szCs w:val="18"/>
          <w:color w:val="auto"/>
        </w:rPr>
        <w:t xml:space="preserve">, such Defaulting Lender shall be deemed not to be a “Lender” and such Lender’s Commitment shall be deemed to be zero;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shall not apply to any of the matters governed by </w:t>
      </w:r>
      <w:r>
        <w:rPr>
          <w:rFonts w:ascii="Arial" w:cs="Arial" w:eastAsia="Arial" w:hAnsi="Arial"/>
          <w:sz w:val="18"/>
          <w:szCs w:val="18"/>
          <w:u w:val="single" w:color="auto"/>
          <w:color w:val="auto"/>
        </w:rPr>
        <w:t>Section 14.1(a)(i)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Section 2.3(g)</w:t>
      </w:r>
      <w:r>
        <w:rPr>
          <w:rFonts w:ascii="Arial" w:cs="Arial" w:eastAsia="Arial" w:hAnsi="Arial"/>
          <w:sz w:val="18"/>
          <w:szCs w:val="18"/>
          <w:color w:val="auto"/>
        </w:rPr>
        <w:t xml:space="preserve"> shall remain effective with respect to such Defaulting Lender until the earlier of (y) the date on which all of the Non-Defaulting Lenders, Agent, Issuing Bank, and Borrowers shall have waived, in writing, the application of this </w:t>
      </w:r>
      <w:r>
        <w:rPr>
          <w:rFonts w:ascii="Arial" w:cs="Arial" w:eastAsia="Arial" w:hAnsi="Arial"/>
          <w:sz w:val="18"/>
          <w:szCs w:val="18"/>
          <w:u w:val="single" w:color="auto"/>
          <w:color w:val="auto"/>
        </w:rPr>
        <w:t>Section 2.3(g)</w:t>
      </w:r>
      <w:r>
        <w:rPr>
          <w:rFonts w:ascii="Arial" w:cs="Arial" w:eastAsia="Arial" w:hAnsi="Arial"/>
          <w:sz w:val="18"/>
          <w:szCs w:val="18"/>
          <w:color w:val="auto"/>
        </w:rPr>
        <w:t xml:space="preserve"> to such Defaulting Lender, or (z) the date on which such Defaulting Lender makes payment of all amounts that it was obligated to fund hereunder, pays to Agent all amounts owing by Defaulting Lender in respect of the amounts that it was obligated to fund hereunder, and, if requested by Agent, provides adequate assurance of its ability to perform its future obligations hereunder (on which earlier date, so long as no Event of Default has occurred and is continuing, any remaining cash collateral held by Agent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2.3(g)(ii)</w:t>
      </w:r>
      <w:r>
        <w:rPr>
          <w:rFonts w:ascii="Arial" w:cs="Arial" w:eastAsia="Arial" w:hAnsi="Arial"/>
          <w:sz w:val="18"/>
          <w:szCs w:val="18"/>
          <w:color w:val="auto"/>
        </w:rPr>
        <w:t xml:space="preserve"> shall be released to Borrowers). The operation of this </w:t>
      </w:r>
      <w:r>
        <w:rPr>
          <w:rFonts w:ascii="Arial" w:cs="Arial" w:eastAsia="Arial" w:hAnsi="Arial"/>
          <w:sz w:val="18"/>
          <w:szCs w:val="18"/>
          <w:u w:val="single" w:color="auto"/>
          <w:color w:val="auto"/>
        </w:rPr>
        <w:t>Section 2.3(g)</w:t>
      </w:r>
      <w:r>
        <w:rPr>
          <w:rFonts w:ascii="Arial" w:cs="Arial" w:eastAsia="Arial" w:hAnsi="Arial"/>
          <w:sz w:val="18"/>
          <w:szCs w:val="18"/>
          <w:color w:val="auto"/>
        </w:rPr>
        <w:t xml:space="preserve"> shall not be construed to increase or otherwise affect the Commitment of any Lender, to relieve or excuse the performance by such Defaulting Lender or any other Lender of its duties and obligations hereunder, or to relieve or excuse the performance by any Borrower of its duties and obligations hereunder to Agent, Issuing Bank, or to the Lenders other than such Defaulting Lender. Any failure by a Defaulting Lender to fund amounts that it was obligated to fund hereunder shall constitute a material breach by such Defaulting Lender of this Agreement and shall entitle Borrowers, at their option, upon written notice to Agent, to arrange for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74" w:name="page75"/>
    <w:bookmarkEnd w:id="74"/>
    <w:p>
      <w:pPr>
        <w:jc w:val="both"/>
        <w:spacing w:after="0" w:line="270" w:lineRule="auto"/>
        <w:rPr>
          <w:sz w:val="20"/>
          <w:szCs w:val="20"/>
          <w:color w:val="auto"/>
        </w:rPr>
      </w:pPr>
      <w:r>
        <w:rPr>
          <w:rFonts w:ascii="Arial" w:cs="Arial" w:eastAsia="Arial" w:hAnsi="Arial"/>
          <w:sz w:val="18"/>
          <w:szCs w:val="18"/>
          <w:color w:val="auto"/>
        </w:rPr>
        <w:t xml:space="preserve">substitute Lender to assume the Commitment of such Defaulting Lender, such substitute Lender to be reasonably acceptable to Agent. In connection with the arrangement of such a substitute Lender, the Defaulting Lender shall have no right to refuse to be replaced hereunder, and agrees to execute and deliver a completed form of Assignment and Acceptance in favor of the substitute Lender (and agrees that it shall be deemed to have executed and delivered such document if it fails to do so) subject only to being paid its share of the outstanding Obligations (other than Bank Product Obligations, but including (1) all interest, fees, and other amounts that may be due and payable in respect thereof, and (2) an assumption of its Pro Rata Share of its participation in the Letters of Credit);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assumption of the Commitment of such Defaulting Lender shall not be deemed to constitute a waiver of any of the Lender Groups’ or Borrowers’ rights or remedies against any such Defaulting Lender arising out of or in relation to such failure to fund. In the event of a direct conflict between the priority provisions of this </w:t>
      </w:r>
      <w:r>
        <w:rPr>
          <w:rFonts w:ascii="Arial" w:cs="Arial" w:eastAsia="Arial" w:hAnsi="Arial"/>
          <w:sz w:val="18"/>
          <w:szCs w:val="18"/>
          <w:u w:val="single" w:color="auto"/>
          <w:color w:val="auto"/>
        </w:rPr>
        <w:t>Section 2.3(g)</w:t>
      </w:r>
      <w:r>
        <w:rPr>
          <w:rFonts w:ascii="Arial" w:cs="Arial" w:eastAsia="Arial" w:hAnsi="Arial"/>
          <w:sz w:val="18"/>
          <w:szCs w:val="18"/>
          <w:color w:val="auto"/>
        </w:rPr>
        <w:t xml:space="preserve"> and any other provision contained in this Agreement or any other Loan Document, it is the intention of the parties hereto that such provisions be read together and construed, to the fullest extent possible, to be in concert with each other. In the event of any actual, irreconcilable conflict that cannot be resolved as aforesaid, the terms and provisions of this </w:t>
      </w:r>
      <w:r>
        <w:rPr>
          <w:rFonts w:ascii="Arial" w:cs="Arial" w:eastAsia="Arial" w:hAnsi="Arial"/>
          <w:sz w:val="18"/>
          <w:szCs w:val="18"/>
          <w:u w:val="single" w:color="auto"/>
          <w:color w:val="auto"/>
        </w:rPr>
        <w:t>Section 2.3(g)</w:t>
      </w:r>
      <w:r>
        <w:rPr>
          <w:rFonts w:ascii="Arial" w:cs="Arial" w:eastAsia="Arial" w:hAnsi="Arial"/>
          <w:sz w:val="18"/>
          <w:szCs w:val="18"/>
          <w:color w:val="auto"/>
        </w:rPr>
        <w:t xml:space="preserve"> shall control and govern.</w:t>
      </w:r>
    </w:p>
    <w:p>
      <w:pPr>
        <w:spacing w:after="0" w:line="174" w:lineRule="exact"/>
        <w:rPr>
          <w:sz w:val="20"/>
          <w:szCs w:val="20"/>
          <w:color w:val="auto"/>
        </w:rPr>
      </w:pPr>
    </w:p>
    <w:p>
      <w:pPr>
        <w:ind w:left="2600" w:hanging="648"/>
        <w:spacing w:after="0"/>
        <w:tabs>
          <w:tab w:leader="none" w:pos="26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any Swing Loan or Letter of Credit is outstanding at the time that a Lender becomes a</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Defaulting Lender then:</w:t>
      </w:r>
    </w:p>
    <w:p>
      <w:pPr>
        <w:spacing w:after="0" w:line="200" w:lineRule="exact"/>
        <w:rPr>
          <w:sz w:val="20"/>
          <w:szCs w:val="20"/>
          <w:color w:val="auto"/>
        </w:rPr>
      </w:pPr>
    </w:p>
    <w:p>
      <w:pPr>
        <w:jc w:val="both"/>
        <w:ind w:firstLine="2600"/>
        <w:spacing w:after="0" w:line="275" w:lineRule="auto"/>
        <w:tabs>
          <w:tab w:leader="none" w:pos="32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such Defaulting Lender’s Swing Loan Exposure and Letter of Credit Exposure shall be reallocated among the Non-Defaulting Lenders in accordance with their respective Pro Rata Shares but only to the extent</w:t>
      </w:r>
    </w:p>
    <w:p>
      <w:pPr>
        <w:jc w:val="both"/>
        <w:ind w:firstLine="8"/>
        <w:spacing w:after="0" w:line="241" w:lineRule="auto"/>
        <w:tabs>
          <w:tab w:leader="none" w:pos="296" w:val="left"/>
        </w:tabs>
        <w:numPr>
          <w:ilvl w:val="0"/>
          <w:numId w:val="77"/>
        </w:numPr>
        <w:rPr>
          <w:rFonts w:ascii="Arial" w:cs="Arial" w:eastAsia="Arial" w:hAnsi="Arial"/>
          <w:sz w:val="20"/>
          <w:szCs w:val="20"/>
          <w:color w:val="auto"/>
        </w:rPr>
      </w:pPr>
      <w:r>
        <w:rPr>
          <w:rFonts w:ascii="Arial" w:cs="Arial" w:eastAsia="Arial" w:hAnsi="Arial"/>
          <w:sz w:val="20"/>
          <w:szCs w:val="20"/>
          <w:color w:val="auto"/>
        </w:rPr>
        <w:t>the sum of all Non-Defaulting Lenders’ Pro Rata Share of Revolver Usage plus such Defaulting Lender’s Swing Loan Exposure and Letter of Credit Exposure does not exceed the total of all Non-Defaulting Lenders’ Revolver Commitments and (y) the conditions set forth in Section 3.2 are satisfied at such time;</w:t>
      </w:r>
    </w:p>
    <w:p>
      <w:pPr>
        <w:spacing w:after="0" w:line="195" w:lineRule="exact"/>
        <w:rPr>
          <w:rFonts w:ascii="Arial" w:cs="Arial" w:eastAsia="Arial" w:hAnsi="Arial"/>
          <w:sz w:val="20"/>
          <w:szCs w:val="20"/>
          <w:color w:val="auto"/>
        </w:rPr>
      </w:pPr>
    </w:p>
    <w:p>
      <w:pPr>
        <w:jc w:val="both"/>
        <w:ind w:firstLine="2600"/>
        <w:spacing w:after="0" w:line="274" w:lineRule="auto"/>
        <w:tabs>
          <w:tab w:leader="none" w:pos="32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if the reallocation described in clause (A) above cannot, or can only partially, be effected, Borrowers shall within one Business Day following notice by Agent (x) first, prepay such Defaulting Lender’s Swing Loan Exposure (after giving effect to any partial reallocation pursuant to clause (A) above), and (y) second, cash collateralize such Defaulting Lender’s Letter of Credit Exposure (after giving effect to any partial reallocation pursuant to clause (A) above), pursuant to a cash collateral agreement to be entered into in form and substance reasonably satisfactory to Agent, for so long as such Letter of Credit Exposure is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that Borrowers shall not be obligated to cash collateralize any Defaulting Lender’s Letter of Credit Exposure if such Defaulting Lender is also Issuing Bank;</w:t>
      </w:r>
    </w:p>
    <w:p>
      <w:pPr>
        <w:spacing w:after="0" w:line="168" w:lineRule="exact"/>
        <w:rPr>
          <w:rFonts w:ascii="Arial" w:cs="Arial" w:eastAsia="Arial" w:hAnsi="Arial"/>
          <w:sz w:val="18"/>
          <w:szCs w:val="18"/>
          <w:color w:val="auto"/>
        </w:rPr>
      </w:pPr>
    </w:p>
    <w:p>
      <w:pPr>
        <w:jc w:val="both"/>
        <w:ind w:firstLine="2600"/>
        <w:spacing w:after="0" w:line="282" w:lineRule="auto"/>
        <w:tabs>
          <w:tab w:leader="none" w:pos="32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if Borrowers cash collateralize any portion of such Defaulting Lender’s Letter of Credit Exposure pursuant to this </w:t>
      </w:r>
      <w:r>
        <w:rPr>
          <w:rFonts w:ascii="Arial" w:cs="Arial" w:eastAsia="Arial" w:hAnsi="Arial"/>
          <w:sz w:val="18"/>
          <w:szCs w:val="18"/>
          <w:u w:val="single" w:color="auto"/>
          <w:color w:val="auto"/>
        </w:rPr>
        <w:t>Section 2.3(g)(ii)</w:t>
      </w:r>
      <w:r>
        <w:rPr>
          <w:rFonts w:ascii="Arial" w:cs="Arial" w:eastAsia="Arial" w:hAnsi="Arial"/>
          <w:sz w:val="18"/>
          <w:szCs w:val="18"/>
          <w:color w:val="auto"/>
        </w:rPr>
        <w:t xml:space="preserve">, Borrowers shall not be required to pay any Letter of Credit Fees to Agent for the account of such Defaulting Lender pursuant to </w:t>
      </w:r>
      <w:r>
        <w:rPr>
          <w:rFonts w:ascii="Arial" w:cs="Arial" w:eastAsia="Arial" w:hAnsi="Arial"/>
          <w:sz w:val="18"/>
          <w:szCs w:val="18"/>
          <w:u w:val="single" w:color="auto"/>
          <w:color w:val="auto"/>
        </w:rPr>
        <w:t>Section 2.6(b)</w:t>
      </w:r>
      <w:r>
        <w:rPr>
          <w:rFonts w:ascii="Arial" w:cs="Arial" w:eastAsia="Arial" w:hAnsi="Arial"/>
          <w:sz w:val="18"/>
          <w:szCs w:val="18"/>
          <w:color w:val="auto"/>
        </w:rPr>
        <w:t xml:space="preserve"> with respect to such cash collateralized portion of such Defaulting Lender’s Letter of Credit Exposure during the period such Letter of Credit Exposure is cash collateralized;</w:t>
      </w:r>
    </w:p>
    <w:p>
      <w:pPr>
        <w:spacing w:after="0" w:line="161" w:lineRule="exact"/>
        <w:rPr>
          <w:rFonts w:ascii="Arial" w:cs="Arial" w:eastAsia="Arial" w:hAnsi="Arial"/>
          <w:sz w:val="18"/>
          <w:szCs w:val="18"/>
          <w:color w:val="auto"/>
        </w:rPr>
      </w:pPr>
    </w:p>
    <w:p>
      <w:pPr>
        <w:jc w:val="both"/>
        <w:ind w:firstLine="2600"/>
        <w:spacing w:after="0" w:line="291" w:lineRule="auto"/>
        <w:tabs>
          <w:tab w:leader="none" w:pos="32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to the extent the Letter of Credit Exposure of the Non-Defaulting Lenders is reallocated pursuant to this </w:t>
      </w:r>
      <w:r>
        <w:rPr>
          <w:rFonts w:ascii="Arial" w:cs="Arial" w:eastAsia="Arial" w:hAnsi="Arial"/>
          <w:sz w:val="18"/>
          <w:szCs w:val="18"/>
          <w:u w:val="single" w:color="auto"/>
          <w:color w:val="auto"/>
        </w:rPr>
        <w:t>Section 2.3(g)(ii)</w:t>
      </w:r>
      <w:r>
        <w:rPr>
          <w:rFonts w:ascii="Arial" w:cs="Arial" w:eastAsia="Arial" w:hAnsi="Arial"/>
          <w:sz w:val="18"/>
          <w:szCs w:val="18"/>
          <w:color w:val="auto"/>
        </w:rPr>
        <w:t xml:space="preserve">, then the Letter of Credit Fees payable to the Non-Defaulting Lenders pursuant to </w:t>
      </w:r>
      <w:r>
        <w:rPr>
          <w:rFonts w:ascii="Arial" w:cs="Arial" w:eastAsia="Arial" w:hAnsi="Arial"/>
          <w:sz w:val="18"/>
          <w:szCs w:val="18"/>
          <w:u w:val="single" w:color="auto"/>
          <w:color w:val="auto"/>
        </w:rPr>
        <w:t>Section 2.6(b)</w:t>
      </w:r>
      <w:r>
        <w:rPr>
          <w:rFonts w:ascii="Arial" w:cs="Arial" w:eastAsia="Arial" w:hAnsi="Arial"/>
          <w:sz w:val="18"/>
          <w:szCs w:val="18"/>
          <w:color w:val="auto"/>
        </w:rPr>
        <w:t xml:space="preserve"> shall be adjusted in accordance with such Non-Defaulting Lenders’ Letter of Credit Exposure;</w:t>
      </w:r>
    </w:p>
    <w:p>
      <w:pPr>
        <w:spacing w:after="0" w:line="151" w:lineRule="exact"/>
        <w:rPr>
          <w:rFonts w:ascii="Arial" w:cs="Arial" w:eastAsia="Arial" w:hAnsi="Arial"/>
          <w:sz w:val="18"/>
          <w:szCs w:val="18"/>
          <w:color w:val="auto"/>
        </w:rPr>
      </w:pPr>
    </w:p>
    <w:p>
      <w:pPr>
        <w:jc w:val="both"/>
        <w:ind w:firstLine="2600"/>
        <w:spacing w:after="0" w:line="246" w:lineRule="auto"/>
        <w:tabs>
          <w:tab w:leader="none" w:pos="3240" w:val="left"/>
        </w:tabs>
        <w:numPr>
          <w:ilvl w:val="1"/>
          <w:numId w:val="77"/>
        </w:numPr>
        <w:rPr>
          <w:rFonts w:ascii="Arial" w:cs="Arial" w:eastAsia="Arial" w:hAnsi="Arial"/>
          <w:sz w:val="20"/>
          <w:szCs w:val="20"/>
          <w:color w:val="auto"/>
        </w:rPr>
      </w:pPr>
      <w:r>
        <w:rPr>
          <w:rFonts w:ascii="Arial" w:cs="Arial" w:eastAsia="Arial" w:hAnsi="Arial"/>
          <w:sz w:val="20"/>
          <w:szCs w:val="20"/>
          <w:color w:val="auto"/>
        </w:rPr>
        <w:t xml:space="preserve">to the extent any Defaulting Lender’s Letter of Credit Exposure is neither cash collateralized nor reallocated pursuant to this </w:t>
      </w:r>
      <w:r>
        <w:rPr>
          <w:rFonts w:ascii="Arial" w:cs="Arial" w:eastAsia="Arial" w:hAnsi="Arial"/>
          <w:sz w:val="20"/>
          <w:szCs w:val="20"/>
          <w:u w:val="single" w:color="auto"/>
          <w:color w:val="auto"/>
        </w:rPr>
        <w:t>Section 2.3(g)(ii)</w:t>
      </w:r>
      <w:r>
        <w:rPr>
          <w:rFonts w:ascii="Arial" w:cs="Arial" w:eastAsia="Arial" w:hAnsi="Arial"/>
          <w:sz w:val="20"/>
          <w:szCs w:val="20"/>
          <w:color w:val="auto"/>
        </w:rPr>
        <w:t xml:space="preserve">, then, without prejudice to any rights or remedies of Issuing Bank or any Lender hereunder, all Letter of Credit Fees that would have otherwise been payable to such Defaulting Lender under </w:t>
      </w:r>
      <w:r>
        <w:rPr>
          <w:rFonts w:ascii="Arial" w:cs="Arial" w:eastAsia="Arial" w:hAnsi="Arial"/>
          <w:sz w:val="20"/>
          <w:szCs w:val="20"/>
          <w:u w:val="single" w:color="auto"/>
          <w:color w:val="auto"/>
        </w:rPr>
        <w:t>Section 2.6(b)</w:t>
      </w:r>
      <w:r>
        <w:rPr>
          <w:rFonts w:ascii="Arial" w:cs="Arial" w:eastAsia="Arial" w:hAnsi="Arial"/>
          <w:sz w:val="20"/>
          <w:szCs w:val="20"/>
          <w:color w:val="auto"/>
        </w:rPr>
        <w:t xml:space="preserve"> with respect to such portion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75" w:name="page76"/>
    <w:bookmarkEnd w:id="75"/>
    <w:p>
      <w:pPr>
        <w:spacing w:after="0" w:line="261" w:lineRule="auto"/>
        <w:rPr>
          <w:sz w:val="20"/>
          <w:szCs w:val="20"/>
          <w:color w:val="auto"/>
        </w:rPr>
      </w:pPr>
      <w:r>
        <w:rPr>
          <w:rFonts w:ascii="Arial" w:cs="Arial" w:eastAsia="Arial" w:hAnsi="Arial"/>
          <w:sz w:val="20"/>
          <w:szCs w:val="20"/>
          <w:color w:val="auto"/>
        </w:rPr>
        <w:t>Letter of Credit Exposure shall instead be payable to Issuing Bank until such portion of such Defaulting Lender’s Letter of Credit Exposure is cash collateralized or reallocated;</w:t>
      </w:r>
    </w:p>
    <w:p>
      <w:pPr>
        <w:spacing w:after="0" w:line="176" w:lineRule="exact"/>
        <w:rPr>
          <w:sz w:val="20"/>
          <w:szCs w:val="20"/>
          <w:color w:val="auto"/>
        </w:rPr>
      </w:pPr>
    </w:p>
    <w:p>
      <w:pPr>
        <w:jc w:val="both"/>
        <w:ind w:firstLine="2600"/>
        <w:spacing w:after="0" w:line="243" w:lineRule="auto"/>
        <w:tabs>
          <w:tab w:leader="none" w:pos="3240" w:val="left"/>
        </w:tabs>
        <w:numPr>
          <w:ilvl w:val="1"/>
          <w:numId w:val="78"/>
        </w:numPr>
        <w:rPr>
          <w:rFonts w:ascii="Arial" w:cs="Arial" w:eastAsia="Arial" w:hAnsi="Arial"/>
          <w:sz w:val="20"/>
          <w:szCs w:val="20"/>
          <w:color w:val="auto"/>
        </w:rPr>
      </w:pPr>
      <w:r>
        <w:rPr>
          <w:rFonts w:ascii="Arial" w:cs="Arial" w:eastAsia="Arial" w:hAnsi="Arial"/>
          <w:sz w:val="20"/>
          <w:szCs w:val="20"/>
          <w:color w:val="auto"/>
        </w:rPr>
        <w:t xml:space="preserve">so long as any Lender is a Defaulting Lender, the Swing Lender shall not be required to make any Swing Loan and Issuing Bank shall not be required to issue, amend, or increase any Letter of Credit, in each case, to the extent (x) the Defaulting Lender’s Pro Rata Share of such Swing Loans or Letter of Credit cannot be reallocated pursuant to this </w:t>
      </w:r>
      <w:r>
        <w:rPr>
          <w:rFonts w:ascii="Arial" w:cs="Arial" w:eastAsia="Arial" w:hAnsi="Arial"/>
          <w:sz w:val="20"/>
          <w:szCs w:val="20"/>
          <w:u w:val="single" w:color="auto"/>
          <w:color w:val="auto"/>
        </w:rPr>
        <w:t>Section 2.3(g)(ii)</w:t>
      </w:r>
      <w:r>
        <w:rPr>
          <w:rFonts w:ascii="Arial" w:cs="Arial" w:eastAsia="Arial" w:hAnsi="Arial"/>
          <w:sz w:val="20"/>
          <w:szCs w:val="20"/>
          <w:color w:val="auto"/>
        </w:rPr>
        <w:t>, or (y) the Swing Lender or Issuing Bank, as applicable, has not otherwise entered into arrangements reasonably satisfactory to the Swing Lender or Issuing Bank, as applicable, and Borrowers to eliminate the Swing Lender’s or Issuing Bank’s risk with respect to the Defaulting Lender’s participation in Swing Loans or Letters of Credit; and</w:t>
      </w:r>
    </w:p>
    <w:p>
      <w:pPr>
        <w:spacing w:after="0" w:line="192" w:lineRule="exact"/>
        <w:rPr>
          <w:rFonts w:ascii="Arial" w:cs="Arial" w:eastAsia="Arial" w:hAnsi="Arial"/>
          <w:sz w:val="20"/>
          <w:szCs w:val="20"/>
          <w:color w:val="auto"/>
        </w:rPr>
      </w:pPr>
    </w:p>
    <w:p>
      <w:pPr>
        <w:jc w:val="both"/>
        <w:ind w:firstLine="2600"/>
        <w:spacing w:after="0" w:line="276" w:lineRule="auto"/>
        <w:tabs>
          <w:tab w:leader="none" w:pos="3240" w:val="left"/>
        </w:tabs>
        <w:numPr>
          <w:ilvl w:val="1"/>
          <w:numId w:val="78"/>
        </w:numPr>
        <w:rPr>
          <w:rFonts w:ascii="Arial" w:cs="Arial" w:eastAsia="Arial" w:hAnsi="Arial"/>
          <w:sz w:val="18"/>
          <w:szCs w:val="18"/>
          <w:color w:val="auto"/>
        </w:rPr>
      </w:pPr>
      <w:r>
        <w:rPr>
          <w:rFonts w:ascii="Arial" w:cs="Arial" w:eastAsia="Arial" w:hAnsi="Arial"/>
          <w:sz w:val="18"/>
          <w:szCs w:val="18"/>
          <w:color w:val="auto"/>
        </w:rPr>
        <w:t xml:space="preserve">Agent may release any cash collateral provided by Borrowers pursuant to this </w:t>
      </w:r>
      <w:r>
        <w:rPr>
          <w:rFonts w:ascii="Arial" w:cs="Arial" w:eastAsia="Arial" w:hAnsi="Arial"/>
          <w:sz w:val="18"/>
          <w:szCs w:val="18"/>
          <w:u w:val="single" w:color="auto"/>
          <w:color w:val="auto"/>
        </w:rPr>
        <w:t>Section 2.3(g)(ii)</w:t>
      </w:r>
      <w:r>
        <w:rPr>
          <w:rFonts w:ascii="Arial" w:cs="Arial" w:eastAsia="Arial" w:hAnsi="Arial"/>
          <w:sz w:val="18"/>
          <w:szCs w:val="18"/>
          <w:color w:val="auto"/>
        </w:rPr>
        <w:t xml:space="preserve"> to Issuing Bank and Issuing Bank may apply any such cash collateral to the payment of such Defaulting Lender’s Pro Rata Share of any Letter of Credit Disbursement that is not reimbursed by Borrowers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2.11(d)</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17.14</w:t>
      </w:r>
      <w:r>
        <w:rPr>
          <w:rFonts w:ascii="Arial" w:cs="Arial" w:eastAsia="Arial" w:hAnsi="Arial"/>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58" w:lineRule="exact"/>
        <w:rPr>
          <w:rFonts w:ascii="Arial" w:cs="Arial" w:eastAsia="Arial" w:hAnsi="Arial"/>
          <w:sz w:val="18"/>
          <w:szCs w:val="18"/>
          <w:color w:val="auto"/>
        </w:rPr>
      </w:pPr>
    </w:p>
    <w:p>
      <w:pPr>
        <w:jc w:val="both"/>
        <w:ind w:firstLine="1304"/>
        <w:spacing w:after="0" w:line="260" w:lineRule="auto"/>
        <w:tabs>
          <w:tab w:leader="none" w:pos="1944" w:val="left"/>
        </w:tabs>
        <w:numPr>
          <w:ilvl w:val="0"/>
          <w:numId w:val="79"/>
        </w:numPr>
        <w:rPr>
          <w:rFonts w:ascii="Arial" w:cs="Arial" w:eastAsia="Arial" w:hAnsi="Arial"/>
          <w:sz w:val="19"/>
          <w:szCs w:val="19"/>
          <w:color w:val="auto"/>
        </w:rPr>
      </w:pPr>
      <w:r>
        <w:rPr>
          <w:rFonts w:ascii="Arial" w:cs="Arial" w:eastAsia="Arial" w:hAnsi="Arial"/>
          <w:sz w:val="19"/>
          <w:szCs w:val="19"/>
          <w:b w:val="1"/>
          <w:bCs w:val="1"/>
          <w:color w:val="auto"/>
        </w:rPr>
        <w:t>Independent Obligations</w:t>
      </w:r>
      <w:r>
        <w:rPr>
          <w:rFonts w:ascii="Arial" w:cs="Arial" w:eastAsia="Arial" w:hAnsi="Arial"/>
          <w:sz w:val="19"/>
          <w:szCs w:val="19"/>
          <w:color w:val="auto"/>
        </w:rPr>
        <w:t>. All Revolving Loans (other than Swing Loans and Extraordinary</w:t>
      </w:r>
      <w:r>
        <w:rPr>
          <w:rFonts w:ascii="Arial" w:cs="Arial" w:eastAsia="Arial" w:hAnsi="Arial"/>
          <w:sz w:val="19"/>
          <w:szCs w:val="19"/>
          <w:b w:val="1"/>
          <w:bCs w:val="1"/>
          <w:color w:val="auto"/>
        </w:rPr>
        <w:t xml:space="preserve"> </w:t>
      </w:r>
      <w:r>
        <w:rPr>
          <w:rFonts w:ascii="Arial" w:cs="Arial" w:eastAsia="Arial" w:hAnsi="Arial"/>
          <w:sz w:val="19"/>
          <w:szCs w:val="19"/>
          <w:color w:val="auto"/>
        </w:rPr>
        <w:t>Advances) shall be made by the Lenders contemporaneously and in accordance with their Pro Rata Shares. It is understood that (i) no Lender shall be responsible for any failure by any other Lender to perform its obligation to make any Revolving Loan (or other extension of credit) hereunder, nor shall any Commitment of any Lender be increased or decreased as a result of any failure by any other Lender to perform its obligations hereunder, and (ii) no failure by any Lender to perform its obligations hereunder shall excuse any other Lender from its obligations hereunder.</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6"/>
          <w:szCs w:val="16"/>
          <w:b w:val="1"/>
          <w:bCs w:val="1"/>
          <w:u w:val="single" w:color="auto"/>
          <w:color w:val="auto"/>
        </w:rPr>
        <w:t>Payments; Reductions of Commitments; Prepayments</w:t>
      </w:r>
      <w:r>
        <w:rPr>
          <w:rFonts w:ascii="Arial" w:cs="Arial" w:eastAsia="Arial" w:hAnsi="Arial"/>
          <w:sz w:val="16"/>
          <w:szCs w:val="16"/>
          <w:b w:val="1"/>
          <w:bCs w:val="1"/>
          <w:color w:val="auto"/>
        </w:rPr>
        <w:t>.</w:t>
      </w:r>
    </w:p>
    <w:p>
      <w:pPr>
        <w:spacing w:after="0" w:line="216" w:lineRule="exact"/>
        <w:rPr>
          <w:sz w:val="20"/>
          <w:szCs w:val="20"/>
          <w:color w:val="auto"/>
        </w:rPr>
      </w:pPr>
    </w:p>
    <w:p>
      <w:pPr>
        <w:ind w:left="1960" w:hanging="656"/>
        <w:spacing w:after="0"/>
        <w:tabs>
          <w:tab w:leader="none" w:pos="1960" w:val="left"/>
        </w:tabs>
        <w:numPr>
          <w:ilvl w:val="0"/>
          <w:numId w:val="80"/>
        </w:numPr>
        <w:rPr>
          <w:rFonts w:ascii="Arial" w:cs="Arial" w:eastAsia="Arial" w:hAnsi="Arial"/>
          <w:sz w:val="20"/>
          <w:szCs w:val="20"/>
          <w:color w:val="auto"/>
        </w:rPr>
      </w:pPr>
      <w:r>
        <w:rPr>
          <w:rFonts w:ascii="Arial" w:cs="Arial" w:eastAsia="Arial" w:hAnsi="Arial"/>
          <w:sz w:val="20"/>
          <w:szCs w:val="20"/>
          <w:b w:val="1"/>
          <w:bCs w:val="1"/>
          <w:color w:val="auto"/>
        </w:rPr>
        <w:t>Payments by Borrowers</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firstLine="1952"/>
        <w:spacing w:after="0" w:line="273" w:lineRule="auto"/>
        <w:tabs>
          <w:tab w:leader="none" w:pos="2511" w:val="left"/>
        </w:tabs>
        <w:numPr>
          <w:ilvl w:val="1"/>
          <w:numId w:val="80"/>
        </w:numPr>
        <w:rPr>
          <w:rFonts w:ascii="Arial" w:cs="Arial" w:eastAsia="Arial" w:hAnsi="Arial"/>
          <w:sz w:val="18"/>
          <w:szCs w:val="18"/>
          <w:color w:val="auto"/>
        </w:rPr>
      </w:pPr>
      <w:r>
        <w:rPr>
          <w:rFonts w:ascii="Arial" w:cs="Arial" w:eastAsia="Arial" w:hAnsi="Arial"/>
          <w:sz w:val="18"/>
          <w:szCs w:val="18"/>
          <w:color w:val="auto"/>
        </w:rPr>
        <w:t xml:space="preserve">Except as otherwise expressly provided herein, all payments by Borrowers shall be made to Agent’s Account for the account of the Lender Group and shall be made in immediately available funds, no later than 1:30 p.m. on the date specified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any payments deposited into a Controlled Account (as defined in the Guaranty and Security Agreement) shall be deemed not to be received by Agent on any Business Day unless immediately available funds have been credited to Agent’s Account prior to 1:30 p.m. on such Business Day. Any payment received by Agent in immediately available funds in Agent’s Account later than 1:30 p.m. shall be deemed to have been received (unless Agent, in its sole discretion, elects to credit it on the date received) on the following Business Day and any applicable interest or fee shall continue to accrue until such following Business Day.</w:t>
      </w:r>
    </w:p>
    <w:p>
      <w:pPr>
        <w:spacing w:after="0" w:line="168" w:lineRule="exact"/>
        <w:rPr>
          <w:rFonts w:ascii="Arial" w:cs="Arial" w:eastAsia="Arial" w:hAnsi="Arial"/>
          <w:sz w:val="18"/>
          <w:szCs w:val="18"/>
          <w:color w:val="auto"/>
        </w:rPr>
      </w:pPr>
    </w:p>
    <w:p>
      <w:pPr>
        <w:jc w:val="both"/>
        <w:ind w:firstLine="1952"/>
        <w:spacing w:after="0" w:line="243" w:lineRule="auto"/>
        <w:tabs>
          <w:tab w:leader="none" w:pos="2511" w:val="left"/>
        </w:tabs>
        <w:numPr>
          <w:ilvl w:val="1"/>
          <w:numId w:val="80"/>
        </w:numPr>
        <w:rPr>
          <w:rFonts w:ascii="Arial" w:cs="Arial" w:eastAsia="Arial" w:hAnsi="Arial"/>
          <w:sz w:val="20"/>
          <w:szCs w:val="20"/>
          <w:color w:val="auto"/>
        </w:rPr>
      </w:pPr>
      <w:r>
        <w:rPr>
          <w:rFonts w:ascii="Arial" w:cs="Arial" w:eastAsia="Arial" w:hAnsi="Arial"/>
          <w:sz w:val="20"/>
          <w:szCs w:val="20"/>
          <w:color w:val="auto"/>
        </w:rPr>
        <w:t>Unless Agent receives notice from Borrowers prior to the date on which any payment is due to the Lenders that Borrowers will not make such payment in full as and when required, Agent may assume that Borrowers have made (or will make) such payment in full to Agent on such date in immediately available funds and Agent may (but shall not be so required), in reliance upon such assumption, distribute to each Lender on such due date an amount equal to the amount then due such Lender. If and to the extent Borrowers do not make such payment in full to Agent on the date when due, each Lender severally shall repay to Agent on demand such amount distributed to such Lender, together with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2" w:right="999" w:bottom="1440" w:gutter="0" w:footer="0" w:header="0"/>
        </w:sectPr>
      </w:pPr>
    </w:p>
    <w:bookmarkStart w:id="76" w:name="page77"/>
    <w:bookmarkEnd w:id="76"/>
    <w:p>
      <w:pPr>
        <w:spacing w:after="0" w:line="261" w:lineRule="auto"/>
        <w:rPr>
          <w:sz w:val="20"/>
          <w:szCs w:val="20"/>
          <w:color w:val="auto"/>
        </w:rPr>
      </w:pPr>
      <w:r>
        <w:rPr>
          <w:rFonts w:ascii="Arial" w:cs="Arial" w:eastAsia="Arial" w:hAnsi="Arial"/>
          <w:sz w:val="20"/>
          <w:szCs w:val="20"/>
          <w:color w:val="auto"/>
        </w:rPr>
        <w:t>thereon at the Defaulting Lender Rate for each day from the date such amount is distributed to such Lender until the date repaid.</w:t>
      </w:r>
    </w:p>
    <w:p>
      <w:pPr>
        <w:spacing w:after="0" w:line="170" w:lineRule="exact"/>
        <w:rPr>
          <w:sz w:val="20"/>
          <w:szCs w:val="20"/>
          <w:color w:val="auto"/>
        </w:rPr>
      </w:pPr>
    </w:p>
    <w:p>
      <w:pPr>
        <w:ind w:left="1960" w:hanging="656"/>
        <w:spacing w:after="0"/>
        <w:tabs>
          <w:tab w:leader="none" w:pos="1960" w:val="left"/>
        </w:tabs>
        <w:numPr>
          <w:ilvl w:val="0"/>
          <w:numId w:val="81"/>
        </w:numPr>
        <w:rPr>
          <w:rFonts w:ascii="Arial" w:cs="Arial" w:eastAsia="Arial" w:hAnsi="Arial"/>
          <w:sz w:val="20"/>
          <w:szCs w:val="20"/>
          <w:color w:val="auto"/>
        </w:rPr>
      </w:pPr>
      <w:r>
        <w:rPr>
          <w:rFonts w:ascii="Arial" w:cs="Arial" w:eastAsia="Arial" w:hAnsi="Arial"/>
          <w:sz w:val="20"/>
          <w:szCs w:val="20"/>
          <w:b w:val="1"/>
          <w:bCs w:val="1"/>
          <w:color w:val="auto"/>
        </w:rPr>
        <w:t>Apportionment and Application</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firstLine="1952"/>
        <w:spacing w:after="0" w:line="316" w:lineRule="auto"/>
        <w:tabs>
          <w:tab w:leader="none" w:pos="2511" w:val="left"/>
        </w:tabs>
        <w:numPr>
          <w:ilvl w:val="1"/>
          <w:numId w:val="81"/>
        </w:numPr>
        <w:rPr>
          <w:rFonts w:ascii="Arial" w:cs="Arial" w:eastAsia="Arial" w:hAnsi="Arial"/>
          <w:sz w:val="16"/>
          <w:szCs w:val="16"/>
          <w:color w:val="auto"/>
        </w:rPr>
      </w:pPr>
      <w:r>
        <w:rPr>
          <w:rFonts w:ascii="Arial" w:cs="Arial" w:eastAsia="Arial" w:hAnsi="Arial"/>
          <w:sz w:val="16"/>
          <w:szCs w:val="16"/>
          <w:color w:val="auto"/>
        </w:rPr>
        <w:t>So long as no Application Event has occurred and is continuing and except as otherwise provided herein with respect to Defaulting Lenders, all principal and interest payments received by Agent shall be apportioned ratably among the Lenders (according to the unpaid principal balance of the Obligations to which such payments relate held by each Lender) and all payments of fees and expenses received by Agent (other than fees or expenses that are for Agent’s separate account or for the separate account of Issuing Bank) shall be apportioned ratably among the Lenders having a Pro Rata Share of the type of Commitment or Obligation to which a particular fee or expense relates.</w:t>
      </w:r>
    </w:p>
    <w:p>
      <w:pPr>
        <w:spacing w:after="0" w:line="139" w:lineRule="exact"/>
        <w:rPr>
          <w:rFonts w:ascii="Arial" w:cs="Arial" w:eastAsia="Arial" w:hAnsi="Arial"/>
          <w:sz w:val="16"/>
          <w:szCs w:val="16"/>
          <w:color w:val="auto"/>
        </w:rPr>
      </w:pPr>
    </w:p>
    <w:p>
      <w:pPr>
        <w:jc w:val="both"/>
        <w:ind w:firstLine="1952"/>
        <w:spacing w:after="0" w:line="278" w:lineRule="auto"/>
        <w:tabs>
          <w:tab w:leader="none" w:pos="2592" w:val="left"/>
        </w:tabs>
        <w:numPr>
          <w:ilvl w:val="1"/>
          <w:numId w:val="8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2.4(b)(v)</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2.4(d)(ii)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2.4(e)</w:t>
      </w:r>
      <w:r>
        <w:rPr>
          <w:rFonts w:ascii="Arial" w:cs="Arial" w:eastAsia="Arial" w:hAnsi="Arial"/>
          <w:sz w:val="18"/>
          <w:szCs w:val="18"/>
          <w:color w:val="auto"/>
        </w:rPr>
        <w:t>, all payments to be made hereunder by Borrowers shall be remitted to Agent and all such payments, and all proceeds of Collateral received by Agent, shall be applied, so long as no Application Event has occurred and is continuing and except as otherwise provided herein with respect to Defaulting Lenders, to reduce the balance of the Revolving Loans outstanding and, thereafter, to Borrowers (to be wired to the Designated Account) or such other Person entitled thereto under applicable law.</w:t>
      </w:r>
    </w:p>
    <w:p>
      <w:pPr>
        <w:spacing w:after="0" w:line="164" w:lineRule="exact"/>
        <w:rPr>
          <w:rFonts w:ascii="Arial" w:cs="Arial" w:eastAsia="Arial" w:hAnsi="Arial"/>
          <w:sz w:val="18"/>
          <w:szCs w:val="18"/>
          <w:color w:val="auto"/>
        </w:rPr>
      </w:pPr>
    </w:p>
    <w:p>
      <w:pPr>
        <w:jc w:val="both"/>
        <w:ind w:firstLine="1952"/>
        <w:spacing w:after="0" w:line="250" w:lineRule="auto"/>
        <w:tabs>
          <w:tab w:leader="none" w:pos="2592" w:val="left"/>
        </w:tabs>
        <w:numPr>
          <w:ilvl w:val="1"/>
          <w:numId w:val="81"/>
        </w:numPr>
        <w:rPr>
          <w:rFonts w:ascii="Arial" w:cs="Arial" w:eastAsia="Arial" w:hAnsi="Arial"/>
          <w:sz w:val="20"/>
          <w:szCs w:val="20"/>
          <w:color w:val="auto"/>
        </w:rPr>
      </w:pPr>
      <w:r>
        <w:rPr>
          <w:rFonts w:ascii="Arial" w:cs="Arial" w:eastAsia="Arial" w:hAnsi="Arial"/>
          <w:sz w:val="20"/>
          <w:szCs w:val="20"/>
          <w:color w:val="auto"/>
        </w:rPr>
        <w:t>At any time that an Application Event has occurred and is continuing and except as otherwise provided herein with respect to Defaulting Lenders, all payments remitted to Agent and all proceeds of Collateral received by Agent shall be applied as follows:</w:t>
      </w:r>
    </w:p>
    <w:p>
      <w:pPr>
        <w:spacing w:after="0" w:line="185" w:lineRule="exact"/>
        <w:rPr>
          <w:rFonts w:ascii="Arial" w:cs="Arial" w:eastAsia="Arial" w:hAnsi="Arial"/>
          <w:sz w:val="20"/>
          <w:szCs w:val="20"/>
          <w:color w:val="auto"/>
        </w:rPr>
      </w:pPr>
    </w:p>
    <w:p>
      <w:pPr>
        <w:jc w:val="both"/>
        <w:ind w:firstLine="2600"/>
        <w:spacing w:after="0" w:line="269" w:lineRule="auto"/>
        <w:tabs>
          <w:tab w:leader="none" w:pos="3240" w:val="left"/>
        </w:tabs>
        <w:numPr>
          <w:ilvl w:val="2"/>
          <w:numId w:val="81"/>
        </w:numPr>
        <w:rPr>
          <w:rFonts w:ascii="Arial" w:cs="Arial" w:eastAsia="Arial" w:hAnsi="Arial"/>
          <w:sz w:val="19"/>
          <w:szCs w:val="19"/>
          <w:color w:val="auto"/>
        </w:rPr>
      </w:pP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pay any Lender Group Expenses (including cost or expense reimbursements) or indemnities then due to Agent under the Loan Documents and to pay interest and principal on Extraordinary Advances that are held solely by Agent pursuant to the terms of </w:t>
      </w:r>
      <w:r>
        <w:rPr>
          <w:rFonts w:ascii="Arial" w:cs="Arial" w:eastAsia="Arial" w:hAnsi="Arial"/>
          <w:sz w:val="19"/>
          <w:szCs w:val="19"/>
          <w:u w:val="single" w:color="auto"/>
          <w:color w:val="auto"/>
        </w:rPr>
        <w:t>Section 2.3(d)(iv)</w:t>
      </w:r>
      <w:r>
        <w:rPr>
          <w:rFonts w:ascii="Arial" w:cs="Arial" w:eastAsia="Arial" w:hAnsi="Arial"/>
          <w:sz w:val="19"/>
          <w:szCs w:val="19"/>
          <w:color w:val="auto"/>
        </w:rPr>
        <w:t>, until paid in full,</w:t>
      </w:r>
    </w:p>
    <w:p>
      <w:pPr>
        <w:spacing w:after="0" w:line="169" w:lineRule="exact"/>
        <w:rPr>
          <w:rFonts w:ascii="Arial" w:cs="Arial" w:eastAsia="Arial" w:hAnsi="Arial"/>
          <w:sz w:val="19"/>
          <w:szCs w:val="19"/>
          <w:color w:val="auto"/>
        </w:rPr>
      </w:pPr>
    </w:p>
    <w:p>
      <w:pPr>
        <w:ind w:left="3240" w:hanging="640"/>
        <w:spacing w:after="0"/>
        <w:tabs>
          <w:tab w:leader="none" w:pos="3240" w:val="left"/>
        </w:tabs>
        <w:numPr>
          <w:ilvl w:val="2"/>
          <w:numId w:val="81"/>
        </w:numPr>
        <w:rPr>
          <w:rFonts w:ascii="Arial" w:cs="Arial" w:eastAsia="Arial" w:hAnsi="Arial"/>
          <w:sz w:val="16"/>
          <w:szCs w:val="16"/>
          <w:color w:val="auto"/>
        </w:rPr>
      </w:pPr>
      <w:r>
        <w:rPr>
          <w:rFonts w:ascii="Arial" w:cs="Arial" w:eastAsia="Arial" w:hAnsi="Arial"/>
          <w:sz w:val="16"/>
          <w:szCs w:val="16"/>
          <w:u w:val="single" w:color="auto"/>
          <w:color w:val="auto"/>
        </w:rPr>
        <w:t>second</w:t>
      </w:r>
      <w:r>
        <w:rPr>
          <w:rFonts w:ascii="Arial" w:cs="Arial" w:eastAsia="Arial" w:hAnsi="Arial"/>
          <w:sz w:val="16"/>
          <w:szCs w:val="16"/>
          <w:color w:val="auto"/>
        </w:rPr>
        <w:t>, to pay any fees or premiums then due to Agent under the Loan Documents,</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until paid in full,</w:t>
      </w:r>
    </w:p>
    <w:p>
      <w:pPr>
        <w:spacing w:after="0" w:line="199" w:lineRule="exact"/>
        <w:rPr>
          <w:rFonts w:ascii="Arial" w:cs="Arial" w:eastAsia="Arial" w:hAnsi="Arial"/>
          <w:sz w:val="16"/>
          <w:szCs w:val="16"/>
          <w:color w:val="auto"/>
        </w:rPr>
      </w:pPr>
    </w:p>
    <w:p>
      <w:pPr>
        <w:ind w:left="3240" w:hanging="640"/>
        <w:spacing w:after="0"/>
        <w:tabs>
          <w:tab w:leader="none" w:pos="3240" w:val="left"/>
        </w:tabs>
        <w:numPr>
          <w:ilvl w:val="2"/>
          <w:numId w:val="81"/>
        </w:numPr>
        <w:rPr>
          <w:rFonts w:ascii="Arial" w:cs="Arial" w:eastAsia="Arial" w:hAnsi="Arial"/>
          <w:sz w:val="19"/>
          <w:szCs w:val="19"/>
          <w:color w:val="auto"/>
        </w:rPr>
      </w:pPr>
      <w:r>
        <w:rPr>
          <w:rFonts w:ascii="Arial" w:cs="Arial" w:eastAsia="Arial" w:hAnsi="Arial"/>
          <w:sz w:val="19"/>
          <w:szCs w:val="19"/>
          <w:u w:val="single" w:color="auto"/>
          <w:color w:val="auto"/>
        </w:rPr>
        <w:t>third</w:t>
      </w:r>
      <w:r>
        <w:rPr>
          <w:rFonts w:ascii="Arial" w:cs="Arial" w:eastAsia="Arial" w:hAnsi="Arial"/>
          <w:sz w:val="19"/>
          <w:szCs w:val="19"/>
          <w:color w:val="auto"/>
        </w:rPr>
        <w:t>, to pay interest due in respect of all Protective Advances, until paid in full,</w:t>
      </w:r>
    </w:p>
    <w:p>
      <w:pPr>
        <w:spacing w:after="0" w:line="227" w:lineRule="exact"/>
        <w:rPr>
          <w:rFonts w:ascii="Arial" w:cs="Arial" w:eastAsia="Arial" w:hAnsi="Arial"/>
          <w:sz w:val="19"/>
          <w:szCs w:val="19"/>
          <w:color w:val="auto"/>
        </w:rPr>
      </w:pPr>
    </w:p>
    <w:p>
      <w:pPr>
        <w:ind w:left="3240" w:hanging="640"/>
        <w:spacing w:after="0"/>
        <w:tabs>
          <w:tab w:leader="none" w:pos="3240" w:val="left"/>
        </w:tabs>
        <w:numPr>
          <w:ilvl w:val="2"/>
          <w:numId w:val="81"/>
        </w:numPr>
        <w:rPr>
          <w:rFonts w:ascii="Arial" w:cs="Arial" w:eastAsia="Arial" w:hAnsi="Arial"/>
          <w:sz w:val="20"/>
          <w:szCs w:val="20"/>
          <w:color w:val="auto"/>
        </w:rPr>
      </w:pPr>
      <w:r>
        <w:rPr>
          <w:rFonts w:ascii="Arial" w:cs="Arial" w:eastAsia="Arial" w:hAnsi="Arial"/>
          <w:sz w:val="20"/>
          <w:szCs w:val="20"/>
          <w:u w:val="single" w:color="auto"/>
          <w:color w:val="auto"/>
        </w:rPr>
        <w:t>fourth</w:t>
      </w:r>
      <w:r>
        <w:rPr>
          <w:rFonts w:ascii="Arial" w:cs="Arial" w:eastAsia="Arial" w:hAnsi="Arial"/>
          <w:sz w:val="20"/>
          <w:szCs w:val="20"/>
          <w:color w:val="auto"/>
        </w:rPr>
        <w:t>, to pay the principal of all Protective Advances, until paid in full,</w:t>
      </w:r>
    </w:p>
    <w:p>
      <w:pPr>
        <w:spacing w:after="0" w:line="215" w:lineRule="exact"/>
        <w:rPr>
          <w:rFonts w:ascii="Arial" w:cs="Arial" w:eastAsia="Arial" w:hAnsi="Arial"/>
          <w:sz w:val="20"/>
          <w:szCs w:val="20"/>
          <w:color w:val="auto"/>
        </w:rPr>
      </w:pPr>
    </w:p>
    <w:p>
      <w:pPr>
        <w:ind w:left="3240" w:hanging="640"/>
        <w:spacing w:after="0"/>
        <w:tabs>
          <w:tab w:leader="none" w:pos="3240" w:val="left"/>
        </w:tabs>
        <w:numPr>
          <w:ilvl w:val="2"/>
          <w:numId w:val="81"/>
        </w:numPr>
        <w:rPr>
          <w:rFonts w:ascii="Arial" w:cs="Arial" w:eastAsia="Arial" w:hAnsi="Arial"/>
          <w:sz w:val="20"/>
          <w:szCs w:val="20"/>
          <w:color w:val="auto"/>
        </w:rPr>
      </w:pPr>
      <w:r>
        <w:rPr>
          <w:rFonts w:ascii="Arial" w:cs="Arial" w:eastAsia="Arial" w:hAnsi="Arial"/>
          <w:sz w:val="20"/>
          <w:szCs w:val="20"/>
          <w:u w:val="single" w:color="auto"/>
          <w:color w:val="auto"/>
        </w:rPr>
        <w:t>fifth</w:t>
      </w:r>
      <w:r>
        <w:rPr>
          <w:rFonts w:ascii="Arial" w:cs="Arial" w:eastAsia="Arial" w:hAnsi="Arial"/>
          <w:sz w:val="20"/>
          <w:szCs w:val="20"/>
          <w:color w:val="auto"/>
        </w:rPr>
        <w:t>, ratably, to pay any Lender Group Expenses (including cost or expense</w:t>
      </w:r>
    </w:p>
    <w:p>
      <w:pPr>
        <w:spacing w:after="0" w:line="15"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reimbursements) or indemnities then due to any of the Lenders under the Loan Documents, until paid in full,</w:t>
      </w:r>
    </w:p>
    <w:p>
      <w:pPr>
        <w:spacing w:after="0" w:line="199" w:lineRule="exact"/>
        <w:rPr>
          <w:rFonts w:ascii="Arial" w:cs="Arial" w:eastAsia="Arial" w:hAnsi="Arial"/>
          <w:sz w:val="20"/>
          <w:szCs w:val="20"/>
          <w:color w:val="auto"/>
        </w:rPr>
      </w:pPr>
    </w:p>
    <w:p>
      <w:pPr>
        <w:ind w:left="3240" w:hanging="640"/>
        <w:spacing w:after="0"/>
        <w:tabs>
          <w:tab w:leader="none" w:pos="3240" w:val="left"/>
        </w:tabs>
        <w:numPr>
          <w:ilvl w:val="2"/>
          <w:numId w:val="81"/>
        </w:numPr>
        <w:rPr>
          <w:rFonts w:ascii="Arial" w:cs="Arial" w:eastAsia="Arial" w:hAnsi="Arial"/>
          <w:sz w:val="16"/>
          <w:szCs w:val="16"/>
          <w:color w:val="auto"/>
        </w:rPr>
      </w:pPr>
      <w:r>
        <w:rPr>
          <w:rFonts w:ascii="Arial" w:cs="Arial" w:eastAsia="Arial" w:hAnsi="Arial"/>
          <w:sz w:val="16"/>
          <w:szCs w:val="16"/>
          <w:u w:val="single" w:color="auto"/>
          <w:color w:val="auto"/>
        </w:rPr>
        <w:t>sixth</w:t>
      </w:r>
      <w:r>
        <w:rPr>
          <w:rFonts w:ascii="Arial" w:cs="Arial" w:eastAsia="Arial" w:hAnsi="Arial"/>
          <w:sz w:val="16"/>
          <w:szCs w:val="16"/>
          <w:color w:val="auto"/>
        </w:rPr>
        <w:t>, ratably, to pay any fees or premiums then due to any of the Lenders under the</w:t>
      </w:r>
    </w:p>
    <w:p>
      <w:pPr>
        <w:spacing w:after="0" w:line="6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Loan Documents, until paid in full,</w:t>
      </w:r>
    </w:p>
    <w:p>
      <w:pPr>
        <w:spacing w:after="0" w:line="199" w:lineRule="exact"/>
        <w:rPr>
          <w:rFonts w:ascii="Arial" w:cs="Arial" w:eastAsia="Arial" w:hAnsi="Arial"/>
          <w:sz w:val="16"/>
          <w:szCs w:val="16"/>
          <w:color w:val="auto"/>
        </w:rPr>
      </w:pPr>
    </w:p>
    <w:p>
      <w:pPr>
        <w:ind w:left="3240" w:hanging="640"/>
        <w:spacing w:after="0"/>
        <w:tabs>
          <w:tab w:leader="none" w:pos="3240" w:val="left"/>
        </w:tabs>
        <w:numPr>
          <w:ilvl w:val="2"/>
          <w:numId w:val="81"/>
        </w:numPr>
        <w:rPr>
          <w:rFonts w:ascii="Arial" w:cs="Arial" w:eastAsia="Arial" w:hAnsi="Arial"/>
          <w:sz w:val="19"/>
          <w:szCs w:val="19"/>
          <w:color w:val="auto"/>
        </w:rPr>
      </w:pPr>
      <w:r>
        <w:rPr>
          <w:rFonts w:ascii="Arial" w:cs="Arial" w:eastAsia="Arial" w:hAnsi="Arial"/>
          <w:sz w:val="19"/>
          <w:szCs w:val="19"/>
          <w:u w:val="single" w:color="auto"/>
          <w:color w:val="auto"/>
        </w:rPr>
        <w:t>seventh</w:t>
      </w:r>
      <w:r>
        <w:rPr>
          <w:rFonts w:ascii="Arial" w:cs="Arial" w:eastAsia="Arial" w:hAnsi="Arial"/>
          <w:sz w:val="19"/>
          <w:szCs w:val="19"/>
          <w:color w:val="auto"/>
        </w:rPr>
        <w:t>, to pay interest accrued in respect of the Swing Loans, until paid in full,</w:t>
      </w:r>
    </w:p>
    <w:p>
      <w:pPr>
        <w:spacing w:after="0" w:line="227" w:lineRule="exact"/>
        <w:rPr>
          <w:rFonts w:ascii="Arial" w:cs="Arial" w:eastAsia="Arial" w:hAnsi="Arial"/>
          <w:sz w:val="19"/>
          <w:szCs w:val="19"/>
          <w:color w:val="auto"/>
        </w:rPr>
      </w:pPr>
    </w:p>
    <w:p>
      <w:pPr>
        <w:ind w:left="3240" w:hanging="640"/>
        <w:spacing w:after="0"/>
        <w:tabs>
          <w:tab w:leader="none" w:pos="3240" w:val="left"/>
        </w:tabs>
        <w:numPr>
          <w:ilvl w:val="2"/>
          <w:numId w:val="81"/>
        </w:numPr>
        <w:rPr>
          <w:rFonts w:ascii="Arial" w:cs="Arial" w:eastAsia="Arial" w:hAnsi="Arial"/>
          <w:sz w:val="20"/>
          <w:szCs w:val="20"/>
          <w:color w:val="auto"/>
        </w:rPr>
      </w:pPr>
      <w:r>
        <w:rPr>
          <w:rFonts w:ascii="Arial" w:cs="Arial" w:eastAsia="Arial" w:hAnsi="Arial"/>
          <w:sz w:val="20"/>
          <w:szCs w:val="20"/>
          <w:u w:val="single" w:color="auto"/>
          <w:color w:val="auto"/>
        </w:rPr>
        <w:t>eighth</w:t>
      </w:r>
      <w:r>
        <w:rPr>
          <w:rFonts w:ascii="Arial" w:cs="Arial" w:eastAsia="Arial" w:hAnsi="Arial"/>
          <w:sz w:val="20"/>
          <w:szCs w:val="20"/>
          <w:color w:val="auto"/>
        </w:rPr>
        <w:t>, to pay the principal of all Swing Loans, until paid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7" w:name="page78"/>
    <w:bookmarkEnd w:id="77"/>
    <w:p>
      <w:pPr>
        <w:ind w:firstLine="2600"/>
        <w:spacing w:after="0" w:line="261" w:lineRule="auto"/>
        <w:tabs>
          <w:tab w:leader="none" w:pos="3240" w:val="left"/>
        </w:tabs>
        <w:numPr>
          <w:ilvl w:val="1"/>
          <w:numId w:val="82"/>
        </w:numPr>
        <w:rPr>
          <w:rFonts w:ascii="Arial" w:cs="Arial" w:eastAsia="Arial" w:hAnsi="Arial"/>
          <w:sz w:val="20"/>
          <w:szCs w:val="20"/>
          <w:color w:val="auto"/>
        </w:rPr>
      </w:pPr>
      <w:r>
        <w:rPr>
          <w:rFonts w:ascii="Arial" w:cs="Arial" w:eastAsia="Arial" w:hAnsi="Arial"/>
          <w:sz w:val="20"/>
          <w:szCs w:val="20"/>
          <w:u w:val="single" w:color="auto"/>
          <w:color w:val="auto"/>
        </w:rPr>
        <w:t>ninth</w:t>
      </w:r>
      <w:r>
        <w:rPr>
          <w:rFonts w:ascii="Arial" w:cs="Arial" w:eastAsia="Arial" w:hAnsi="Arial"/>
          <w:sz w:val="20"/>
          <w:szCs w:val="20"/>
          <w:color w:val="auto"/>
        </w:rPr>
        <w:t>, ratably, to pay interest accrued in respect of the Revolving Loans (other than Protective Advances and Swing Loans) and the Capex Advances, until paid in full,</w:t>
      </w:r>
    </w:p>
    <w:p>
      <w:pPr>
        <w:spacing w:after="0" w:line="175" w:lineRule="exact"/>
        <w:rPr>
          <w:rFonts w:ascii="Arial" w:cs="Arial" w:eastAsia="Arial" w:hAnsi="Arial"/>
          <w:sz w:val="20"/>
          <w:szCs w:val="20"/>
          <w:color w:val="auto"/>
        </w:rPr>
      </w:pPr>
    </w:p>
    <w:p>
      <w:pPr>
        <w:ind w:left="3240" w:hanging="640"/>
        <w:spacing w:after="0"/>
        <w:tabs>
          <w:tab w:leader="none" w:pos="3240" w:val="left"/>
        </w:tabs>
        <w:numPr>
          <w:ilvl w:val="1"/>
          <w:numId w:val="82"/>
        </w:numPr>
        <w:rPr>
          <w:rFonts w:ascii="Arial" w:cs="Arial" w:eastAsia="Arial" w:hAnsi="Arial"/>
          <w:sz w:val="20"/>
          <w:szCs w:val="20"/>
          <w:color w:val="auto"/>
        </w:rPr>
      </w:pPr>
      <w:r>
        <w:rPr>
          <w:rFonts w:ascii="Arial" w:cs="Arial" w:eastAsia="Arial" w:hAnsi="Arial"/>
          <w:sz w:val="20"/>
          <w:szCs w:val="20"/>
          <w:u w:val="single" w:color="auto"/>
          <w:color w:val="auto"/>
        </w:rPr>
        <w:t>tenth</w:t>
      </w:r>
      <w:r>
        <w:rPr>
          <w:rFonts w:ascii="Arial" w:cs="Arial" w:eastAsia="Arial" w:hAnsi="Arial"/>
          <w:sz w:val="20"/>
          <w:szCs w:val="20"/>
          <w:color w:val="auto"/>
        </w:rPr>
        <w:t>, ratably</w:t>
      </w:r>
    </w:p>
    <w:p>
      <w:pPr>
        <w:spacing w:after="0" w:line="215" w:lineRule="exact"/>
        <w:rPr>
          <w:rFonts w:ascii="Arial" w:cs="Arial" w:eastAsia="Arial" w:hAnsi="Arial"/>
          <w:sz w:val="20"/>
          <w:szCs w:val="20"/>
          <w:color w:val="auto"/>
        </w:rPr>
      </w:pPr>
    </w:p>
    <w:p>
      <w:pPr>
        <w:ind w:left="4540" w:hanging="644"/>
        <w:spacing w:after="0"/>
        <w:tabs>
          <w:tab w:leader="none" w:pos="4540" w:val="left"/>
        </w:tabs>
        <w:numPr>
          <w:ilvl w:val="2"/>
          <w:numId w:val="82"/>
        </w:numPr>
        <w:rPr>
          <w:rFonts w:ascii="Arial" w:cs="Arial" w:eastAsia="Arial" w:hAnsi="Arial"/>
          <w:sz w:val="19"/>
          <w:szCs w:val="19"/>
          <w:color w:val="auto"/>
        </w:rPr>
      </w:pPr>
      <w:r>
        <w:rPr>
          <w:rFonts w:ascii="Arial" w:cs="Arial" w:eastAsia="Arial" w:hAnsi="Arial"/>
          <w:sz w:val="19"/>
          <w:szCs w:val="19"/>
          <w:color w:val="auto"/>
        </w:rPr>
        <w:t>ratably, to pay the principal of all Revolving Loans (other than</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Protective Advances and Swing Loans) and the Capex Advances, until paid in full,</w:t>
      </w:r>
    </w:p>
    <w:p>
      <w:pPr>
        <w:spacing w:after="0" w:line="199" w:lineRule="exact"/>
        <w:rPr>
          <w:rFonts w:ascii="Arial" w:cs="Arial" w:eastAsia="Arial" w:hAnsi="Arial"/>
          <w:sz w:val="19"/>
          <w:szCs w:val="19"/>
          <w:color w:val="auto"/>
        </w:rPr>
      </w:pPr>
    </w:p>
    <w:p>
      <w:pPr>
        <w:jc w:val="both"/>
        <w:ind w:firstLine="3896"/>
        <w:spacing w:after="0" w:line="243" w:lineRule="auto"/>
        <w:tabs>
          <w:tab w:leader="none" w:pos="4536" w:val="left"/>
        </w:tabs>
        <w:numPr>
          <w:ilvl w:val="2"/>
          <w:numId w:val="82"/>
        </w:numPr>
        <w:rPr>
          <w:rFonts w:ascii="Arial" w:cs="Arial" w:eastAsia="Arial" w:hAnsi="Arial"/>
          <w:sz w:val="20"/>
          <w:szCs w:val="20"/>
          <w:color w:val="auto"/>
        </w:rPr>
      </w:pPr>
      <w:r>
        <w:rPr>
          <w:rFonts w:ascii="Arial" w:cs="Arial" w:eastAsia="Arial" w:hAnsi="Arial"/>
          <w:sz w:val="20"/>
          <w:szCs w:val="20"/>
          <w:color w:val="auto"/>
        </w:rPr>
        <w:t xml:space="preserve">to Agent, to be held by Agent, for the benefit of Issuing Bank (and for the ratable benefit of each of the Lenders that have an obligation to pay to Agent, for the account of Issuing Bank, a share of each Letter of Credit Disbursement), as cash collateral in an amount up to 105% of the Letter of Credit Usage (to the extent permitted by applicable law, such cash collateral shall be applied to the reimbursement of any Letter of Credit Disbursement as and when such disbursement occurs and, if a Letter of Credit expires undrawn, the cash collateral held by Agent in respect of such Letter of Credit shall, to the extent permitted by applicable law, be reapplied pursuant to this </w:t>
      </w:r>
      <w:r>
        <w:rPr>
          <w:rFonts w:ascii="Arial" w:cs="Arial" w:eastAsia="Arial" w:hAnsi="Arial"/>
          <w:sz w:val="20"/>
          <w:szCs w:val="20"/>
          <w:u w:val="single" w:color="auto"/>
          <w:color w:val="auto"/>
        </w:rPr>
        <w:t>Section 2.4(b)(iii)</w:t>
      </w:r>
      <w:r>
        <w:rPr>
          <w:rFonts w:ascii="Arial" w:cs="Arial" w:eastAsia="Arial" w:hAnsi="Arial"/>
          <w:sz w:val="20"/>
          <w:szCs w:val="20"/>
          <w:color w:val="auto"/>
        </w:rPr>
        <w:t>, beginning with tier (A) hereof),</w:t>
      </w:r>
    </w:p>
    <w:p>
      <w:pPr>
        <w:spacing w:after="0" w:line="192" w:lineRule="exact"/>
        <w:rPr>
          <w:rFonts w:ascii="Arial" w:cs="Arial" w:eastAsia="Arial" w:hAnsi="Arial"/>
          <w:sz w:val="20"/>
          <w:szCs w:val="20"/>
          <w:color w:val="auto"/>
        </w:rPr>
      </w:pPr>
    </w:p>
    <w:p>
      <w:pPr>
        <w:jc w:val="both"/>
        <w:ind w:firstLine="3896"/>
        <w:spacing w:after="0" w:line="272" w:lineRule="auto"/>
        <w:tabs>
          <w:tab w:leader="none" w:pos="4536" w:val="left"/>
        </w:tabs>
        <w:numPr>
          <w:ilvl w:val="2"/>
          <w:numId w:val="82"/>
        </w:numPr>
        <w:rPr>
          <w:rFonts w:ascii="Arial" w:cs="Arial" w:eastAsia="Arial" w:hAnsi="Arial"/>
          <w:sz w:val="18"/>
          <w:szCs w:val="18"/>
          <w:color w:val="auto"/>
        </w:rPr>
      </w:pPr>
      <w:r>
        <w:rPr>
          <w:rFonts w:ascii="Arial" w:cs="Arial" w:eastAsia="Arial" w:hAnsi="Arial"/>
          <w:sz w:val="18"/>
          <w:szCs w:val="18"/>
          <w:color w:val="auto"/>
        </w:rPr>
        <w:t xml:space="preserve">ratably, to (y) the Bank Product Providers based upon amounts then certified by each applicable Bank Product Provider to Agent (in form and substance satisfactory to Agent) to be due and payable to such Bank Product Provider on account of Bank Product Obligations, and (z) with any balance to be paid to Agent, to be held by Agent, for the ratable benefit of the Bank Product Providers, as cash collateral (which cash collateral may be released by Agent to the applicable Bank Product Provider and applied by such Bank Product Provider to the payment or reimbursement of any amounts due and payable with respect to Bank Product Obligations owed to the applicable Bank Product Provider as and when such amounts first become due and payable and, if and at such time as all such Bank Product Obligations are paid or otherwise satisfied in full, the cash collateral held by Agent in respect of such Bank Product Obligations shall be reapplied pursuant to this </w:t>
      </w:r>
      <w:r>
        <w:rPr>
          <w:rFonts w:ascii="Arial" w:cs="Arial" w:eastAsia="Arial" w:hAnsi="Arial"/>
          <w:sz w:val="18"/>
          <w:szCs w:val="18"/>
          <w:u w:val="single" w:color="auto"/>
          <w:color w:val="auto"/>
        </w:rPr>
        <w:t>Section 2.4(b)(iii)</w:t>
      </w:r>
      <w:r>
        <w:rPr>
          <w:rFonts w:ascii="Arial" w:cs="Arial" w:eastAsia="Arial" w:hAnsi="Arial"/>
          <w:sz w:val="18"/>
          <w:szCs w:val="18"/>
          <w:color w:val="auto"/>
        </w:rPr>
        <w:t>, beginning with tier (A) hereof,</w:t>
      </w:r>
    </w:p>
    <w:p>
      <w:pPr>
        <w:spacing w:after="0" w:line="170" w:lineRule="exact"/>
        <w:rPr>
          <w:rFonts w:ascii="Arial" w:cs="Arial" w:eastAsia="Arial" w:hAnsi="Arial"/>
          <w:sz w:val="18"/>
          <w:szCs w:val="18"/>
          <w:color w:val="auto"/>
        </w:rPr>
      </w:pPr>
    </w:p>
    <w:p>
      <w:pPr>
        <w:ind w:left="3240" w:hanging="640"/>
        <w:spacing w:after="0"/>
        <w:tabs>
          <w:tab w:leader="none" w:pos="3240" w:val="left"/>
        </w:tabs>
        <w:numPr>
          <w:ilvl w:val="1"/>
          <w:numId w:val="82"/>
        </w:numPr>
        <w:rPr>
          <w:rFonts w:ascii="Arial" w:cs="Arial" w:eastAsia="Arial" w:hAnsi="Arial"/>
          <w:sz w:val="18"/>
          <w:szCs w:val="18"/>
          <w:color w:val="auto"/>
        </w:rPr>
      </w:pPr>
      <w:r>
        <w:rPr>
          <w:rFonts w:ascii="Arial" w:cs="Arial" w:eastAsia="Arial" w:hAnsi="Arial"/>
          <w:sz w:val="18"/>
          <w:szCs w:val="18"/>
          <w:u w:val="single" w:color="auto"/>
          <w:color w:val="auto"/>
        </w:rPr>
        <w:t>eleventh</w:t>
      </w:r>
      <w:r>
        <w:rPr>
          <w:rFonts w:ascii="Arial" w:cs="Arial" w:eastAsia="Arial" w:hAnsi="Arial"/>
          <w:sz w:val="18"/>
          <w:szCs w:val="18"/>
          <w:color w:val="auto"/>
        </w:rPr>
        <w:t>, to pay any other Obligations other than Obligations owed to Defaulting</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Lenders,</w:t>
      </w:r>
    </w:p>
    <w:p>
      <w:pPr>
        <w:spacing w:after="0" w:line="199" w:lineRule="exact"/>
        <w:rPr>
          <w:rFonts w:ascii="Arial" w:cs="Arial" w:eastAsia="Arial" w:hAnsi="Arial"/>
          <w:sz w:val="18"/>
          <w:szCs w:val="18"/>
          <w:color w:val="auto"/>
        </w:rPr>
      </w:pPr>
    </w:p>
    <w:p>
      <w:pPr>
        <w:ind w:left="3240" w:hanging="640"/>
        <w:spacing w:after="0"/>
        <w:tabs>
          <w:tab w:leader="none" w:pos="3240" w:val="left"/>
        </w:tabs>
        <w:numPr>
          <w:ilvl w:val="1"/>
          <w:numId w:val="82"/>
        </w:numPr>
        <w:rPr>
          <w:rFonts w:ascii="Arial" w:cs="Arial" w:eastAsia="Arial" w:hAnsi="Arial"/>
          <w:sz w:val="20"/>
          <w:szCs w:val="20"/>
          <w:color w:val="auto"/>
        </w:rPr>
      </w:pPr>
      <w:r>
        <w:rPr>
          <w:rFonts w:ascii="Arial" w:cs="Arial" w:eastAsia="Arial" w:hAnsi="Arial"/>
          <w:sz w:val="20"/>
          <w:szCs w:val="20"/>
          <w:u w:val="single" w:color="auto"/>
          <w:color w:val="auto"/>
        </w:rPr>
        <w:t>twelfth</w:t>
      </w:r>
      <w:r>
        <w:rPr>
          <w:rFonts w:ascii="Arial" w:cs="Arial" w:eastAsia="Arial" w:hAnsi="Arial"/>
          <w:sz w:val="20"/>
          <w:szCs w:val="20"/>
          <w:color w:val="auto"/>
        </w:rPr>
        <w:t>, ratably to pay any Obligations owed to Defaulting Lenders; and</w:t>
      </w:r>
    </w:p>
    <w:p>
      <w:pPr>
        <w:spacing w:after="0" w:line="215" w:lineRule="exact"/>
        <w:rPr>
          <w:rFonts w:ascii="Arial" w:cs="Arial" w:eastAsia="Arial" w:hAnsi="Arial"/>
          <w:sz w:val="20"/>
          <w:szCs w:val="20"/>
          <w:color w:val="auto"/>
        </w:rPr>
      </w:pPr>
    </w:p>
    <w:p>
      <w:pPr>
        <w:ind w:firstLine="2600"/>
        <w:spacing w:after="0" w:line="260" w:lineRule="auto"/>
        <w:tabs>
          <w:tab w:leader="none" w:pos="3240" w:val="left"/>
        </w:tabs>
        <w:numPr>
          <w:ilvl w:val="1"/>
          <w:numId w:val="82"/>
        </w:numPr>
        <w:rPr>
          <w:rFonts w:ascii="Arial" w:cs="Arial" w:eastAsia="Arial" w:hAnsi="Arial"/>
          <w:sz w:val="20"/>
          <w:szCs w:val="20"/>
          <w:color w:val="auto"/>
        </w:rPr>
      </w:pPr>
      <w:r>
        <w:rPr>
          <w:rFonts w:ascii="Arial" w:cs="Arial" w:eastAsia="Arial" w:hAnsi="Arial"/>
          <w:sz w:val="20"/>
          <w:szCs w:val="20"/>
          <w:u w:val="single" w:color="auto"/>
          <w:color w:val="auto"/>
        </w:rPr>
        <w:t>thirteenth</w:t>
      </w:r>
      <w:r>
        <w:rPr>
          <w:rFonts w:ascii="Arial" w:cs="Arial" w:eastAsia="Arial" w:hAnsi="Arial"/>
          <w:sz w:val="20"/>
          <w:szCs w:val="20"/>
          <w:color w:val="auto"/>
        </w:rPr>
        <w:t>, to Borrowers (to be wired to the Designated Account) or such other Person entitled thereto under applicable law.</w:t>
      </w:r>
    </w:p>
    <w:p>
      <w:pPr>
        <w:spacing w:after="0" w:line="176" w:lineRule="exact"/>
        <w:rPr>
          <w:rFonts w:ascii="Arial" w:cs="Arial" w:eastAsia="Arial" w:hAnsi="Arial"/>
          <w:sz w:val="20"/>
          <w:szCs w:val="20"/>
          <w:color w:val="auto"/>
        </w:rPr>
      </w:pPr>
    </w:p>
    <w:p>
      <w:pPr>
        <w:jc w:val="both"/>
        <w:ind w:firstLine="1952"/>
        <w:spacing w:after="0" w:line="250" w:lineRule="auto"/>
        <w:tabs>
          <w:tab w:leader="none" w:pos="2592" w:val="left"/>
        </w:tabs>
        <w:numPr>
          <w:ilvl w:val="0"/>
          <w:numId w:val="83"/>
        </w:numPr>
        <w:rPr>
          <w:rFonts w:ascii="Arial" w:cs="Arial" w:eastAsia="Arial" w:hAnsi="Arial"/>
          <w:sz w:val="20"/>
          <w:szCs w:val="20"/>
          <w:color w:val="auto"/>
        </w:rPr>
      </w:pPr>
      <w:r>
        <w:rPr>
          <w:rFonts w:ascii="Arial" w:cs="Arial" w:eastAsia="Arial" w:hAnsi="Arial"/>
          <w:sz w:val="20"/>
          <w:szCs w:val="20"/>
          <w:color w:val="auto"/>
        </w:rPr>
        <w:t xml:space="preserve">Agent promptly shall distribute to each Lender, pursuant to the applicable wire instructions received from each Lender in writing, such funds as it may be entitled to receive, subject to a Settlement delay as provided in </w:t>
      </w:r>
      <w:r>
        <w:rPr>
          <w:rFonts w:ascii="Arial" w:cs="Arial" w:eastAsia="Arial" w:hAnsi="Arial"/>
          <w:sz w:val="20"/>
          <w:szCs w:val="20"/>
          <w:u w:val="single" w:color="auto"/>
          <w:color w:val="auto"/>
        </w:rPr>
        <w:t>Section 2.3(e)</w:t>
      </w:r>
      <w:r>
        <w:rPr>
          <w:rFonts w:ascii="Arial" w:cs="Arial" w:eastAsia="Arial" w:hAnsi="Arial"/>
          <w:sz w:val="20"/>
          <w:szCs w:val="20"/>
          <w:color w:val="auto"/>
        </w:rPr>
        <w:t>.</w:t>
      </w:r>
    </w:p>
    <w:p>
      <w:pPr>
        <w:spacing w:after="0" w:line="185" w:lineRule="exact"/>
        <w:rPr>
          <w:rFonts w:ascii="Arial" w:cs="Arial" w:eastAsia="Arial" w:hAnsi="Arial"/>
          <w:sz w:val="20"/>
          <w:szCs w:val="20"/>
          <w:color w:val="auto"/>
        </w:rPr>
      </w:pPr>
    </w:p>
    <w:p>
      <w:pPr>
        <w:jc w:val="both"/>
        <w:ind w:firstLine="1952"/>
        <w:spacing w:after="0" w:line="246" w:lineRule="auto"/>
        <w:tabs>
          <w:tab w:leader="none" w:pos="2592" w:val="left"/>
        </w:tabs>
        <w:numPr>
          <w:ilvl w:val="0"/>
          <w:numId w:val="83"/>
        </w:numPr>
        <w:rPr>
          <w:rFonts w:ascii="Arial" w:cs="Arial" w:eastAsia="Arial" w:hAnsi="Arial"/>
          <w:sz w:val="20"/>
          <w:szCs w:val="20"/>
          <w:color w:val="auto"/>
        </w:rPr>
      </w:pPr>
      <w:r>
        <w:rPr>
          <w:rFonts w:ascii="Arial" w:cs="Arial" w:eastAsia="Arial" w:hAnsi="Arial"/>
          <w:sz w:val="20"/>
          <w:szCs w:val="20"/>
          <w:color w:val="auto"/>
        </w:rPr>
        <w:t xml:space="preserve">In each instance, so long as no Application Event has occurred and is continuing,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2.4(b)(ii)</w:t>
      </w:r>
      <w:r>
        <w:rPr>
          <w:rFonts w:ascii="Arial" w:cs="Arial" w:eastAsia="Arial" w:hAnsi="Arial"/>
          <w:sz w:val="20"/>
          <w:szCs w:val="20"/>
          <w:color w:val="auto"/>
        </w:rPr>
        <w:t xml:space="preserve"> shall not apply to any payment made by Borrowers to Agent and specified by Borrowers to be for the payment of specific Obligations then due and payable (or prepayable) under any provision of this Agreement or any other Loan Document.</w:t>
      </w:r>
    </w:p>
    <w:p>
      <w:pPr>
        <w:spacing w:after="0" w:line="191" w:lineRule="exact"/>
        <w:rPr>
          <w:rFonts w:ascii="Arial" w:cs="Arial" w:eastAsia="Arial" w:hAnsi="Arial"/>
          <w:sz w:val="20"/>
          <w:szCs w:val="20"/>
          <w:color w:val="auto"/>
        </w:rPr>
      </w:pPr>
    </w:p>
    <w:p>
      <w:pPr>
        <w:jc w:val="both"/>
        <w:ind w:firstLine="1952"/>
        <w:spacing w:after="0" w:line="250" w:lineRule="auto"/>
        <w:tabs>
          <w:tab w:leader="none" w:pos="2592" w:val="left"/>
        </w:tabs>
        <w:numPr>
          <w:ilvl w:val="0"/>
          <w:numId w:val="83"/>
        </w:numPr>
        <w:rPr>
          <w:rFonts w:ascii="Arial" w:cs="Arial" w:eastAsia="Arial" w:hAnsi="Arial"/>
          <w:sz w:val="20"/>
          <w:szCs w:val="20"/>
          <w:color w:val="auto"/>
        </w:rPr>
      </w:pPr>
      <w:r>
        <w:rPr>
          <w:rFonts w:ascii="Arial" w:cs="Arial" w:eastAsia="Arial" w:hAnsi="Arial"/>
          <w:sz w:val="20"/>
          <w:szCs w:val="20"/>
          <w:color w:val="auto"/>
        </w:rPr>
        <w:t xml:space="preserve">For purposes of </w:t>
      </w:r>
      <w:r>
        <w:rPr>
          <w:rFonts w:ascii="Arial" w:cs="Arial" w:eastAsia="Arial" w:hAnsi="Arial"/>
          <w:sz w:val="20"/>
          <w:szCs w:val="20"/>
          <w:u w:val="single" w:color="auto"/>
          <w:color w:val="auto"/>
        </w:rPr>
        <w:t>Section 2.4(b)(iii)</w:t>
      </w:r>
      <w:r>
        <w:rPr>
          <w:rFonts w:ascii="Arial" w:cs="Arial" w:eastAsia="Arial" w:hAnsi="Arial"/>
          <w:sz w:val="20"/>
          <w:szCs w:val="20"/>
          <w:color w:val="auto"/>
        </w:rPr>
        <w:t>, “paid in full” of a type of Obligation means payment in cash or immediately available funds of all amounts owing on account of such type of Obligation, including interest accrued after the commencement of any Insolvency Proceeding,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8" w:name="page79"/>
    <w:bookmarkEnd w:id="78"/>
    <w:p>
      <w:pPr>
        <w:spacing w:after="0" w:line="261" w:lineRule="auto"/>
        <w:rPr>
          <w:sz w:val="20"/>
          <w:szCs w:val="20"/>
          <w:color w:val="auto"/>
        </w:rPr>
      </w:pPr>
      <w:r>
        <w:rPr>
          <w:rFonts w:ascii="Arial" w:cs="Arial" w:eastAsia="Arial" w:hAnsi="Arial"/>
          <w:sz w:val="20"/>
          <w:szCs w:val="20"/>
          <w:color w:val="auto"/>
        </w:rPr>
        <w:t>interest, interest on interest, and expense reimbursements, irrespective of whether any of the foregoing would be or is allowed or disallowed in whole or in part in any Insolvency Proceeding.</w:t>
      </w:r>
    </w:p>
    <w:p>
      <w:pPr>
        <w:spacing w:after="0" w:line="176" w:lineRule="exact"/>
        <w:rPr>
          <w:sz w:val="20"/>
          <w:szCs w:val="20"/>
          <w:color w:val="auto"/>
        </w:rPr>
      </w:pPr>
    </w:p>
    <w:p>
      <w:pPr>
        <w:jc w:val="both"/>
        <w:ind w:firstLine="1952"/>
        <w:spacing w:after="0" w:line="259" w:lineRule="auto"/>
        <w:tabs>
          <w:tab w:leader="none" w:pos="2592" w:val="left"/>
        </w:tabs>
        <w:numPr>
          <w:ilvl w:val="1"/>
          <w:numId w:val="84"/>
        </w:numPr>
        <w:rPr>
          <w:rFonts w:ascii="Arial" w:cs="Arial" w:eastAsia="Arial" w:hAnsi="Arial"/>
          <w:sz w:val="19"/>
          <w:szCs w:val="19"/>
          <w:color w:val="auto"/>
        </w:rPr>
      </w:pPr>
      <w:r>
        <w:rPr>
          <w:rFonts w:ascii="Arial" w:cs="Arial" w:eastAsia="Arial" w:hAnsi="Arial"/>
          <w:sz w:val="19"/>
          <w:szCs w:val="19"/>
          <w:color w:val="auto"/>
        </w:rPr>
        <w:t xml:space="preserve">In the event of a direct conflict between the priority provisions of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and any other provision contained in this Agreement or any other Loan Document, it is the intention of the parties hereto that such provisions be read together and construed, to the fullest extent possible, to be in concert with each other. In the event of any actual, irreconcilable conflict that cannot be resolved as aforesaid, if the conflict relates to the provisions of </w:t>
      </w:r>
      <w:r>
        <w:rPr>
          <w:rFonts w:ascii="Arial" w:cs="Arial" w:eastAsia="Arial" w:hAnsi="Arial"/>
          <w:sz w:val="19"/>
          <w:szCs w:val="19"/>
          <w:u w:val="single" w:color="auto"/>
          <w:color w:val="auto"/>
        </w:rPr>
        <w:t>Section 2.3(g)</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then the provisions of </w:t>
      </w:r>
      <w:r>
        <w:rPr>
          <w:rFonts w:ascii="Arial" w:cs="Arial" w:eastAsia="Arial" w:hAnsi="Arial"/>
          <w:sz w:val="19"/>
          <w:szCs w:val="19"/>
          <w:u w:val="single" w:color="auto"/>
          <w:color w:val="auto"/>
        </w:rPr>
        <w:t>Section 2.3(g)</w:t>
      </w:r>
      <w:r>
        <w:rPr>
          <w:rFonts w:ascii="Arial" w:cs="Arial" w:eastAsia="Arial" w:hAnsi="Arial"/>
          <w:sz w:val="19"/>
          <w:szCs w:val="19"/>
          <w:color w:val="auto"/>
        </w:rPr>
        <w:t xml:space="preserve"> shall control and govern, and if otherwise, then the terms and provisions of this </w:t>
      </w:r>
      <w:r>
        <w:rPr>
          <w:rFonts w:ascii="Arial" w:cs="Arial" w:eastAsia="Arial" w:hAnsi="Arial"/>
          <w:sz w:val="19"/>
          <w:szCs w:val="19"/>
          <w:u w:val="single" w:color="auto"/>
          <w:color w:val="auto"/>
        </w:rPr>
        <w:t>Section 2.4</w:t>
      </w:r>
      <w:r>
        <w:rPr>
          <w:rFonts w:ascii="Arial" w:cs="Arial" w:eastAsia="Arial" w:hAnsi="Arial"/>
          <w:sz w:val="19"/>
          <w:szCs w:val="19"/>
          <w:color w:val="auto"/>
        </w:rPr>
        <w:t xml:space="preserve"> shall control and govern.</w:t>
      </w:r>
    </w:p>
    <w:p>
      <w:pPr>
        <w:spacing w:after="0" w:line="172" w:lineRule="exact"/>
        <w:rPr>
          <w:rFonts w:ascii="Arial" w:cs="Arial" w:eastAsia="Arial" w:hAnsi="Arial"/>
          <w:sz w:val="19"/>
          <w:szCs w:val="19"/>
          <w:color w:val="auto"/>
        </w:rPr>
      </w:pPr>
    </w:p>
    <w:p>
      <w:pPr>
        <w:ind w:left="1960" w:hanging="656"/>
        <w:spacing w:after="0"/>
        <w:tabs>
          <w:tab w:leader="none" w:pos="1960" w:val="left"/>
        </w:tabs>
        <w:numPr>
          <w:ilvl w:val="0"/>
          <w:numId w:val="85"/>
        </w:numPr>
        <w:rPr>
          <w:rFonts w:ascii="Arial" w:cs="Arial" w:eastAsia="Arial" w:hAnsi="Arial"/>
          <w:sz w:val="20"/>
          <w:szCs w:val="20"/>
          <w:color w:val="auto"/>
        </w:rPr>
      </w:pPr>
      <w:r>
        <w:rPr>
          <w:rFonts w:ascii="Arial" w:cs="Arial" w:eastAsia="Arial" w:hAnsi="Arial"/>
          <w:sz w:val="20"/>
          <w:szCs w:val="20"/>
          <w:b w:val="1"/>
          <w:bCs w:val="1"/>
          <w:color w:val="auto"/>
        </w:rPr>
        <w:t>Termination of Commitments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1952"/>
        <w:spacing w:after="0" w:line="267" w:lineRule="auto"/>
        <w:tabs>
          <w:tab w:leader="none" w:pos="2592" w:val="left"/>
        </w:tabs>
        <w:numPr>
          <w:ilvl w:val="1"/>
          <w:numId w:val="85"/>
        </w:numPr>
        <w:rPr>
          <w:rFonts w:ascii="Arial" w:cs="Arial" w:eastAsia="Arial" w:hAnsi="Arial"/>
          <w:sz w:val="20"/>
          <w:szCs w:val="20"/>
          <w:color w:val="auto"/>
        </w:rPr>
      </w:pPr>
      <w:r>
        <w:rPr>
          <w:rFonts w:ascii="Arial" w:cs="Arial" w:eastAsia="Arial" w:hAnsi="Arial"/>
          <w:sz w:val="20"/>
          <w:szCs w:val="20"/>
          <w:b w:val="1"/>
          <w:bCs w:val="1"/>
          <w:color w:val="auto"/>
        </w:rPr>
        <w:t>Revolver Commitments</w:t>
      </w:r>
      <w:r>
        <w:rPr>
          <w:rFonts w:ascii="Arial" w:cs="Arial" w:eastAsia="Arial" w:hAnsi="Arial"/>
          <w:sz w:val="20"/>
          <w:szCs w:val="20"/>
          <w:color w:val="auto"/>
        </w:rPr>
        <w:t>. The Revolver Commitments shall terminate on the Maturity</w:t>
      </w:r>
      <w:r>
        <w:rPr>
          <w:rFonts w:ascii="Arial" w:cs="Arial" w:eastAsia="Arial" w:hAnsi="Arial"/>
          <w:sz w:val="20"/>
          <w:szCs w:val="20"/>
          <w:b w:val="1"/>
          <w:bCs w:val="1"/>
          <w:color w:val="auto"/>
        </w:rPr>
        <w:t xml:space="preserve"> </w:t>
      </w:r>
      <w:r>
        <w:rPr>
          <w:rFonts w:ascii="Arial" w:cs="Arial" w:eastAsia="Arial" w:hAnsi="Arial"/>
          <w:sz w:val="20"/>
          <w:szCs w:val="20"/>
          <w:color w:val="auto"/>
        </w:rPr>
        <w:t>Date or earlier termination thereof pursuant to the terms of this Agreement.</w:t>
      </w:r>
    </w:p>
    <w:p>
      <w:pPr>
        <w:spacing w:after="0" w:line="163" w:lineRule="exact"/>
        <w:rPr>
          <w:rFonts w:ascii="Arial" w:cs="Arial" w:eastAsia="Arial" w:hAnsi="Arial"/>
          <w:sz w:val="20"/>
          <w:szCs w:val="20"/>
          <w:color w:val="auto"/>
        </w:rPr>
      </w:pPr>
    </w:p>
    <w:p>
      <w:pPr>
        <w:jc w:val="both"/>
        <w:ind w:firstLine="1952"/>
        <w:spacing w:after="0" w:line="248" w:lineRule="auto"/>
        <w:tabs>
          <w:tab w:leader="none" w:pos="2592" w:val="left"/>
        </w:tabs>
        <w:numPr>
          <w:ilvl w:val="1"/>
          <w:numId w:val="85"/>
        </w:numPr>
        <w:rPr>
          <w:rFonts w:ascii="Arial" w:cs="Arial" w:eastAsia="Arial" w:hAnsi="Arial"/>
          <w:sz w:val="20"/>
          <w:szCs w:val="20"/>
          <w:color w:val="auto"/>
        </w:rPr>
      </w:pPr>
      <w:r>
        <w:rPr>
          <w:rFonts w:ascii="Arial" w:cs="Arial" w:eastAsia="Arial" w:hAnsi="Arial"/>
          <w:sz w:val="20"/>
          <w:szCs w:val="20"/>
          <w:b w:val="1"/>
          <w:bCs w:val="1"/>
          <w:color w:val="auto"/>
        </w:rPr>
        <w:t>Capex Commitments</w:t>
      </w:r>
      <w:r>
        <w:rPr>
          <w:rFonts w:ascii="Arial" w:cs="Arial" w:eastAsia="Arial" w:hAnsi="Arial"/>
          <w:sz w:val="20"/>
          <w:szCs w:val="20"/>
          <w:color w:val="auto"/>
        </w:rPr>
        <w:t>. The Capex Commitment shall terminate on the earlier of (A) the</w:t>
      </w:r>
      <w:r>
        <w:rPr>
          <w:rFonts w:ascii="Arial" w:cs="Arial" w:eastAsia="Arial" w:hAnsi="Arial"/>
          <w:sz w:val="20"/>
          <w:szCs w:val="20"/>
          <w:b w:val="1"/>
          <w:bCs w:val="1"/>
          <w:color w:val="auto"/>
        </w:rPr>
        <w:t xml:space="preserve"> </w:t>
      </w:r>
      <w:r>
        <w:rPr>
          <w:rFonts w:ascii="Arial" w:cs="Arial" w:eastAsia="Arial" w:hAnsi="Arial"/>
          <w:sz w:val="20"/>
          <w:szCs w:val="20"/>
          <w:color w:val="auto"/>
        </w:rPr>
        <w:t>one year anniversary of the date of this Agreement, (B) the date the aggregate amount of Capex Advances made hereunder (without giving effect to any repayments or prepayments thereof) equals the Capex Amount, and (C) earlier termination pursuant to the terms of this Agreement.</w:t>
      </w:r>
    </w:p>
    <w:p>
      <w:pPr>
        <w:spacing w:after="0" w:line="183" w:lineRule="exact"/>
        <w:rPr>
          <w:rFonts w:ascii="Arial" w:cs="Arial" w:eastAsia="Arial" w:hAnsi="Arial"/>
          <w:sz w:val="20"/>
          <w:szCs w:val="20"/>
          <w:color w:val="auto"/>
        </w:rPr>
      </w:pPr>
    </w:p>
    <w:p>
      <w:pPr>
        <w:ind w:left="1960" w:hanging="656"/>
        <w:spacing w:after="0"/>
        <w:tabs>
          <w:tab w:leader="none" w:pos="1960" w:val="left"/>
        </w:tabs>
        <w:numPr>
          <w:ilvl w:val="0"/>
          <w:numId w:val="85"/>
        </w:numPr>
        <w:rPr>
          <w:rFonts w:ascii="Arial" w:cs="Arial" w:eastAsia="Arial" w:hAnsi="Arial"/>
          <w:sz w:val="20"/>
          <w:szCs w:val="20"/>
          <w:color w:val="auto"/>
        </w:rPr>
      </w:pPr>
      <w:r>
        <w:rPr>
          <w:rFonts w:ascii="Arial" w:cs="Arial" w:eastAsia="Arial" w:hAnsi="Arial"/>
          <w:sz w:val="20"/>
          <w:szCs w:val="20"/>
          <w:b w:val="1"/>
          <w:bCs w:val="1"/>
          <w:color w:val="auto"/>
        </w:rPr>
        <w:t>Optional Prepayments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1952"/>
        <w:spacing w:after="0" w:line="267" w:lineRule="auto"/>
        <w:tabs>
          <w:tab w:leader="none" w:pos="2592" w:val="left"/>
        </w:tabs>
        <w:numPr>
          <w:ilvl w:val="1"/>
          <w:numId w:val="85"/>
        </w:numPr>
        <w:rPr>
          <w:rFonts w:ascii="Arial" w:cs="Arial" w:eastAsia="Arial" w:hAnsi="Arial"/>
          <w:sz w:val="20"/>
          <w:szCs w:val="20"/>
          <w:color w:val="auto"/>
        </w:rPr>
      </w:pPr>
      <w:r>
        <w:rPr>
          <w:rFonts w:ascii="Arial" w:cs="Arial" w:eastAsia="Arial" w:hAnsi="Arial"/>
          <w:sz w:val="20"/>
          <w:szCs w:val="20"/>
          <w:b w:val="1"/>
          <w:bCs w:val="1"/>
          <w:color w:val="auto"/>
        </w:rPr>
        <w:t>Revolving Loans</w:t>
      </w:r>
      <w:r>
        <w:rPr>
          <w:rFonts w:ascii="Arial" w:cs="Arial" w:eastAsia="Arial" w:hAnsi="Arial"/>
          <w:sz w:val="20"/>
          <w:szCs w:val="20"/>
          <w:color w:val="auto"/>
        </w:rPr>
        <w:t>. Borrowers may prepay the principal of any Revolving Loan at any time</w:t>
      </w:r>
      <w:r>
        <w:rPr>
          <w:rFonts w:ascii="Arial" w:cs="Arial" w:eastAsia="Arial" w:hAnsi="Arial"/>
          <w:sz w:val="20"/>
          <w:szCs w:val="20"/>
          <w:b w:val="1"/>
          <w:bCs w:val="1"/>
          <w:color w:val="auto"/>
        </w:rPr>
        <w:t xml:space="preserve"> </w:t>
      </w:r>
      <w:r>
        <w:rPr>
          <w:rFonts w:ascii="Arial" w:cs="Arial" w:eastAsia="Arial" w:hAnsi="Arial"/>
          <w:sz w:val="20"/>
          <w:szCs w:val="20"/>
          <w:color w:val="auto"/>
        </w:rPr>
        <w:t>in whole or in part, without premium or penalty.</w:t>
      </w:r>
    </w:p>
    <w:p>
      <w:pPr>
        <w:spacing w:after="0" w:line="163" w:lineRule="exact"/>
        <w:rPr>
          <w:rFonts w:ascii="Arial" w:cs="Arial" w:eastAsia="Arial" w:hAnsi="Arial"/>
          <w:sz w:val="20"/>
          <w:szCs w:val="20"/>
          <w:color w:val="auto"/>
        </w:rPr>
      </w:pPr>
    </w:p>
    <w:p>
      <w:pPr>
        <w:jc w:val="both"/>
        <w:ind w:firstLine="1952"/>
        <w:spacing w:after="0" w:line="245" w:lineRule="auto"/>
        <w:tabs>
          <w:tab w:leader="none" w:pos="2592" w:val="left"/>
        </w:tabs>
        <w:numPr>
          <w:ilvl w:val="1"/>
          <w:numId w:val="85"/>
        </w:numPr>
        <w:rPr>
          <w:rFonts w:ascii="Arial" w:cs="Arial" w:eastAsia="Arial" w:hAnsi="Arial"/>
          <w:sz w:val="20"/>
          <w:szCs w:val="20"/>
          <w:color w:val="auto"/>
        </w:rPr>
      </w:pPr>
      <w:r>
        <w:rPr>
          <w:rFonts w:ascii="Arial" w:cs="Arial" w:eastAsia="Arial" w:hAnsi="Arial"/>
          <w:sz w:val="20"/>
          <w:szCs w:val="20"/>
          <w:b w:val="1"/>
          <w:bCs w:val="1"/>
          <w:color w:val="auto"/>
        </w:rPr>
        <w:t>Capex Advances</w:t>
      </w:r>
      <w:r>
        <w:rPr>
          <w:rFonts w:ascii="Arial" w:cs="Arial" w:eastAsia="Arial" w:hAnsi="Arial"/>
          <w:sz w:val="20"/>
          <w:szCs w:val="20"/>
          <w:color w:val="auto"/>
        </w:rPr>
        <w:t>. Borrowers may, upon at least five Business Days prior written notice 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Agent, prepay the principal of any Capex Advance, in whole or in part. Each prepayment made pursuant to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2.4(d)(ii)</w:t>
      </w:r>
      <w:r>
        <w:rPr>
          <w:rFonts w:ascii="Arial" w:cs="Arial" w:eastAsia="Arial" w:hAnsi="Arial"/>
          <w:sz w:val="20"/>
          <w:szCs w:val="20"/>
          <w:color w:val="auto"/>
        </w:rPr>
        <w:t xml:space="preserve"> shall be accompanied by the payment of accrued interest to the date of such payment on the amount prepaid. Each such prepayment shall be applied against the remaining installments of principal due on the Capex Advances in the inverse order of maturity (for the avoidance of doubt, any amount that is due and payable on the Maturity Date shall constitute an installment).</w:t>
      </w:r>
    </w:p>
    <w:p>
      <w:pPr>
        <w:spacing w:after="0" w:line="184" w:lineRule="exact"/>
        <w:rPr>
          <w:rFonts w:ascii="Arial" w:cs="Arial" w:eastAsia="Arial" w:hAnsi="Arial"/>
          <w:sz w:val="20"/>
          <w:szCs w:val="20"/>
          <w:color w:val="auto"/>
        </w:rPr>
      </w:pPr>
    </w:p>
    <w:p>
      <w:pPr>
        <w:ind w:left="1960" w:hanging="656"/>
        <w:spacing w:after="0"/>
        <w:tabs>
          <w:tab w:leader="none" w:pos="1960" w:val="left"/>
        </w:tabs>
        <w:numPr>
          <w:ilvl w:val="0"/>
          <w:numId w:val="85"/>
        </w:numPr>
        <w:rPr>
          <w:rFonts w:ascii="Arial" w:cs="Arial" w:eastAsia="Arial" w:hAnsi="Arial"/>
          <w:sz w:val="20"/>
          <w:szCs w:val="20"/>
          <w:color w:val="auto"/>
        </w:rPr>
      </w:pPr>
      <w:r>
        <w:rPr>
          <w:rFonts w:ascii="Arial" w:cs="Arial" w:eastAsia="Arial" w:hAnsi="Arial"/>
          <w:sz w:val="20"/>
          <w:szCs w:val="20"/>
          <w:b w:val="1"/>
          <w:bCs w:val="1"/>
          <w:color w:val="auto"/>
        </w:rPr>
        <w:t>Mandatory Prepayments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952"/>
        <w:spacing w:after="0" w:line="246" w:lineRule="auto"/>
        <w:tabs>
          <w:tab w:leader="none" w:pos="2592" w:val="left"/>
        </w:tabs>
        <w:numPr>
          <w:ilvl w:val="1"/>
          <w:numId w:val="85"/>
        </w:numPr>
        <w:rPr>
          <w:rFonts w:ascii="Arial" w:cs="Arial" w:eastAsia="Arial" w:hAnsi="Arial"/>
          <w:sz w:val="20"/>
          <w:szCs w:val="20"/>
          <w:color w:val="auto"/>
        </w:rPr>
      </w:pPr>
      <w:r>
        <w:rPr>
          <w:rFonts w:ascii="Arial" w:cs="Arial" w:eastAsia="Arial" w:hAnsi="Arial"/>
          <w:sz w:val="20"/>
          <w:szCs w:val="20"/>
          <w:b w:val="1"/>
          <w:bCs w:val="1"/>
          <w:color w:val="auto"/>
        </w:rPr>
        <w:t>Borrowing Base</w:t>
      </w:r>
      <w:r>
        <w:rPr>
          <w:rFonts w:ascii="Arial" w:cs="Arial" w:eastAsia="Arial" w:hAnsi="Arial"/>
          <w:sz w:val="20"/>
          <w:szCs w:val="20"/>
          <w:color w:val="auto"/>
        </w:rPr>
        <w:t>. If, at any time, (A) the Revolver Usage on such date exceeds (B)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lesser of (x) the Borrowing Base reflected in the Borrowing Base Certificate most recently delivered by Borrowers to Agent, or (y) the Maximum Revolver Amount, in all cases as adjusted for Reserves established by Agent in accordance with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2.1(c)</w:t>
      </w:r>
      <w:r>
        <w:rPr>
          <w:rFonts w:ascii="Arial" w:cs="Arial" w:eastAsia="Arial" w:hAnsi="Arial"/>
          <w:sz w:val="20"/>
          <w:szCs w:val="20"/>
          <w:color w:val="auto"/>
        </w:rPr>
        <w:t xml:space="preserve">, then Borrowers shall immediately prepay the Obligations in accordance with </w:t>
      </w:r>
      <w:r>
        <w:rPr>
          <w:rFonts w:ascii="Arial" w:cs="Arial" w:eastAsia="Arial" w:hAnsi="Arial"/>
          <w:sz w:val="20"/>
          <w:szCs w:val="20"/>
          <w:u w:val="single" w:color="auto"/>
          <w:color w:val="auto"/>
        </w:rPr>
        <w:t>Section 2.4(f)(i)</w:t>
      </w:r>
      <w:r>
        <w:rPr>
          <w:rFonts w:ascii="Arial" w:cs="Arial" w:eastAsia="Arial" w:hAnsi="Arial"/>
          <w:sz w:val="20"/>
          <w:szCs w:val="20"/>
          <w:color w:val="auto"/>
        </w:rPr>
        <w:t xml:space="preserve"> in an aggregate amount equal to the amount of such excess.</w:t>
      </w:r>
    </w:p>
    <w:p>
      <w:pPr>
        <w:spacing w:after="0" w:line="184" w:lineRule="exact"/>
        <w:rPr>
          <w:rFonts w:ascii="Arial" w:cs="Arial" w:eastAsia="Arial" w:hAnsi="Arial"/>
          <w:sz w:val="20"/>
          <w:szCs w:val="20"/>
          <w:color w:val="auto"/>
        </w:rPr>
      </w:pPr>
    </w:p>
    <w:p>
      <w:pPr>
        <w:jc w:val="both"/>
        <w:ind w:firstLine="1952"/>
        <w:spacing w:after="0" w:line="245" w:lineRule="auto"/>
        <w:tabs>
          <w:tab w:leader="none" w:pos="2592" w:val="left"/>
        </w:tabs>
        <w:numPr>
          <w:ilvl w:val="1"/>
          <w:numId w:val="85"/>
        </w:numPr>
        <w:rPr>
          <w:rFonts w:ascii="Arial" w:cs="Arial" w:eastAsia="Arial" w:hAnsi="Arial"/>
          <w:sz w:val="20"/>
          <w:szCs w:val="20"/>
          <w:color w:val="auto"/>
        </w:rPr>
      </w:pPr>
      <w:r>
        <w:rPr>
          <w:rFonts w:ascii="Arial" w:cs="Arial" w:eastAsia="Arial" w:hAnsi="Arial"/>
          <w:sz w:val="20"/>
          <w:szCs w:val="20"/>
          <w:b w:val="1"/>
          <w:bCs w:val="1"/>
          <w:color w:val="auto"/>
        </w:rPr>
        <w:t>Dispositions</w:t>
      </w:r>
      <w:r>
        <w:rPr>
          <w:rFonts w:ascii="Arial" w:cs="Arial" w:eastAsia="Arial" w:hAnsi="Arial"/>
          <w:sz w:val="20"/>
          <w:szCs w:val="20"/>
          <w:color w:val="auto"/>
        </w:rPr>
        <w:t>. Within one Business Day of the date of receipt by any Loan Party of the Net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Cash Proceeds of any voluntary or involuntary sale or disposition of any Eligible New Equipment or Eligible M&amp;E (including Net Cash Proceeds of insurance or arising from casualty losses or condemnations and payments in lieu thereof), Borrowers shall prepay the outstanding principal amount of the Obligations in accordance with </w:t>
      </w:r>
      <w:r>
        <w:rPr>
          <w:rFonts w:ascii="Arial" w:cs="Arial" w:eastAsia="Arial" w:hAnsi="Arial"/>
          <w:sz w:val="20"/>
          <w:szCs w:val="20"/>
          <w:u w:val="single" w:color="auto"/>
          <w:color w:val="auto"/>
        </w:rPr>
        <w:t>Section 2.4(f)(i)</w:t>
      </w:r>
      <w:r>
        <w:rPr>
          <w:rFonts w:ascii="Arial" w:cs="Arial" w:eastAsia="Arial" w:hAnsi="Arial"/>
          <w:sz w:val="20"/>
          <w:szCs w:val="20"/>
          <w:color w:val="auto"/>
        </w:rPr>
        <w:t xml:space="preserve"> in an amount equal to 100% of such Net Cash Proceeds received by such Person in connection with such sales or dispositions. Nothing contained in this </w:t>
      </w:r>
      <w:r>
        <w:rPr>
          <w:rFonts w:ascii="Arial" w:cs="Arial" w:eastAsia="Arial" w:hAnsi="Arial"/>
          <w:sz w:val="20"/>
          <w:szCs w:val="20"/>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9" w:name="page80"/>
    <w:bookmarkEnd w:id="79"/>
    <w:p>
      <w:pPr>
        <w:spacing w:after="0" w:line="261" w:lineRule="auto"/>
        <w:rPr>
          <w:sz w:val="20"/>
          <w:szCs w:val="20"/>
          <w:color w:val="auto"/>
        </w:rPr>
      </w:pPr>
      <w:r>
        <w:rPr>
          <w:rFonts w:ascii="Arial" w:cs="Arial" w:eastAsia="Arial" w:hAnsi="Arial"/>
          <w:sz w:val="20"/>
          <w:szCs w:val="20"/>
          <w:u w:val="single" w:color="auto"/>
          <w:color w:val="auto"/>
        </w:rPr>
        <w:t>2.4(e)(ii)</w:t>
      </w:r>
      <w:r>
        <w:rPr>
          <w:rFonts w:ascii="Arial" w:cs="Arial" w:eastAsia="Arial" w:hAnsi="Arial"/>
          <w:sz w:val="20"/>
          <w:szCs w:val="20"/>
          <w:color w:val="auto"/>
        </w:rPr>
        <w:t xml:space="preserve"> shall permit any Loan Party or any of its Subsidiaries to sell or otherwise dispose of any assets other than in accordance with </w:t>
      </w:r>
      <w:r>
        <w:rPr>
          <w:rFonts w:ascii="Arial" w:cs="Arial" w:eastAsia="Arial" w:hAnsi="Arial"/>
          <w:sz w:val="20"/>
          <w:szCs w:val="20"/>
          <w:u w:val="single" w:color="auto"/>
          <w:color w:val="auto"/>
        </w:rPr>
        <w:t>Section 6.4</w:t>
      </w:r>
      <w:r>
        <w:rPr>
          <w:rFonts w:ascii="Arial" w:cs="Arial" w:eastAsia="Arial" w:hAnsi="Arial"/>
          <w:sz w:val="20"/>
          <w:szCs w:val="20"/>
          <w:color w:val="auto"/>
        </w:rPr>
        <w:t>.</w:t>
      </w:r>
    </w:p>
    <w:p>
      <w:pPr>
        <w:spacing w:after="0" w:line="170" w:lineRule="exact"/>
        <w:rPr>
          <w:sz w:val="20"/>
          <w:szCs w:val="20"/>
          <w:color w:val="auto"/>
        </w:rPr>
      </w:pPr>
    </w:p>
    <w:p>
      <w:pPr>
        <w:jc w:val="both"/>
        <w:ind w:firstLine="1952"/>
        <w:spacing w:after="0" w:line="262" w:lineRule="auto"/>
        <w:tabs>
          <w:tab w:leader="none" w:pos="2592" w:val="left"/>
        </w:tabs>
        <w:numPr>
          <w:ilvl w:val="1"/>
          <w:numId w:val="86"/>
        </w:numPr>
        <w:rPr>
          <w:rFonts w:ascii="Arial" w:cs="Arial" w:eastAsia="Arial" w:hAnsi="Arial"/>
          <w:sz w:val="19"/>
          <w:szCs w:val="19"/>
          <w:color w:val="auto"/>
        </w:rPr>
      </w:pPr>
      <w:r>
        <w:rPr>
          <w:rFonts w:ascii="Arial" w:cs="Arial" w:eastAsia="Arial" w:hAnsi="Arial"/>
          <w:sz w:val="19"/>
          <w:szCs w:val="19"/>
          <w:b w:val="1"/>
          <w:bCs w:val="1"/>
          <w:color w:val="auto"/>
        </w:rPr>
        <w:t>Eligible New Equipment</w:t>
      </w:r>
      <w:r>
        <w:rPr>
          <w:rFonts w:ascii="Arial" w:cs="Arial" w:eastAsia="Arial" w:hAnsi="Arial"/>
          <w:sz w:val="19"/>
          <w:szCs w:val="19"/>
          <w:color w:val="auto"/>
        </w:rPr>
        <w:t>. If, at any time, the aggregate principal amount of all Capex</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Advances exceeds the lesser of (x) 85% of the net orderly liquidation value of all of the Eligible New Equipment which supports any Capex Advances, as reflected in any Acceptable Appraisal, or (y) 85% of the Hard Costs of all Eligible New Equipment which supports any Capex Advances, then Borrowers shall immediately prepay the Obligations in accordance with </w:t>
      </w:r>
      <w:r>
        <w:rPr>
          <w:rFonts w:ascii="Arial" w:cs="Arial" w:eastAsia="Arial" w:hAnsi="Arial"/>
          <w:sz w:val="19"/>
          <w:szCs w:val="19"/>
          <w:u w:val="single" w:color="auto"/>
          <w:color w:val="auto"/>
        </w:rPr>
        <w:t>Section 2.4(f)(i)</w:t>
      </w:r>
      <w:r>
        <w:rPr>
          <w:rFonts w:ascii="Arial" w:cs="Arial" w:eastAsia="Arial" w:hAnsi="Arial"/>
          <w:sz w:val="19"/>
          <w:szCs w:val="19"/>
          <w:color w:val="auto"/>
        </w:rPr>
        <w:t xml:space="preserve"> in an aggregate amount equal to the amount of such excess.</w:t>
      </w:r>
    </w:p>
    <w:p>
      <w:pPr>
        <w:spacing w:after="0" w:line="170" w:lineRule="exact"/>
        <w:rPr>
          <w:rFonts w:ascii="Arial" w:cs="Arial" w:eastAsia="Arial" w:hAnsi="Arial"/>
          <w:sz w:val="19"/>
          <w:szCs w:val="19"/>
          <w:color w:val="auto"/>
        </w:rPr>
      </w:pPr>
    </w:p>
    <w:p>
      <w:pPr>
        <w:ind w:left="1960" w:hanging="656"/>
        <w:spacing w:after="0"/>
        <w:tabs>
          <w:tab w:leader="none" w:pos="1960" w:val="left"/>
        </w:tabs>
        <w:numPr>
          <w:ilvl w:val="0"/>
          <w:numId w:val="87"/>
        </w:numPr>
        <w:rPr>
          <w:rFonts w:ascii="Arial" w:cs="Arial" w:eastAsia="Arial" w:hAnsi="Arial"/>
          <w:sz w:val="20"/>
          <w:szCs w:val="20"/>
          <w:color w:val="auto"/>
        </w:rPr>
      </w:pPr>
      <w:r>
        <w:rPr>
          <w:rFonts w:ascii="Arial" w:cs="Arial" w:eastAsia="Arial" w:hAnsi="Arial"/>
          <w:sz w:val="20"/>
          <w:szCs w:val="20"/>
          <w:b w:val="1"/>
          <w:bCs w:val="1"/>
          <w:color w:val="auto"/>
        </w:rPr>
        <w:t>Application of Payments</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firstLine="1952"/>
        <w:spacing w:after="0" w:line="269" w:lineRule="auto"/>
        <w:tabs>
          <w:tab w:leader="none" w:pos="2592" w:val="left"/>
        </w:tabs>
        <w:numPr>
          <w:ilvl w:val="1"/>
          <w:numId w:val="87"/>
        </w:numPr>
        <w:rPr>
          <w:rFonts w:ascii="Arial" w:cs="Arial" w:eastAsia="Arial" w:hAnsi="Arial"/>
          <w:sz w:val="18"/>
          <w:szCs w:val="18"/>
          <w:color w:val="auto"/>
        </w:rPr>
      </w:pPr>
      <w:r>
        <w:rPr>
          <w:rFonts w:ascii="Arial" w:cs="Arial" w:eastAsia="Arial" w:hAnsi="Arial"/>
          <w:sz w:val="18"/>
          <w:szCs w:val="18"/>
          <w:color w:val="auto"/>
        </w:rPr>
        <w:t xml:space="preserve">(A) Each prepayment pursuant to </w:t>
      </w:r>
      <w:r>
        <w:rPr>
          <w:rFonts w:ascii="Arial" w:cs="Arial" w:eastAsia="Arial" w:hAnsi="Arial"/>
          <w:sz w:val="18"/>
          <w:szCs w:val="18"/>
          <w:u w:val="single" w:color="auto"/>
          <w:color w:val="auto"/>
        </w:rPr>
        <w:t>Section 2.4(e)(i)</w:t>
      </w:r>
      <w:r>
        <w:rPr>
          <w:rFonts w:ascii="Arial" w:cs="Arial" w:eastAsia="Arial" w:hAnsi="Arial"/>
          <w:sz w:val="18"/>
          <w:szCs w:val="18"/>
          <w:color w:val="auto"/>
        </w:rPr>
        <w:t xml:space="preserve"> shall, (1) so long as no Application Event shall have occurred and be continuing, be applied, </w:t>
      </w:r>
      <w:r>
        <w:rPr>
          <w:rFonts w:ascii="Arial" w:cs="Arial" w:eastAsia="Arial" w:hAnsi="Arial"/>
          <w:sz w:val="18"/>
          <w:szCs w:val="18"/>
          <w:i w:val="1"/>
          <w:iCs w:val="1"/>
          <w:color w:val="auto"/>
        </w:rPr>
        <w:t>first</w:t>
      </w:r>
      <w:r>
        <w:rPr>
          <w:rFonts w:ascii="Arial" w:cs="Arial" w:eastAsia="Arial" w:hAnsi="Arial"/>
          <w:sz w:val="18"/>
          <w:szCs w:val="18"/>
          <w:color w:val="auto"/>
        </w:rPr>
        <w:t xml:space="preserve">, to the outstanding principal amount of the Revolving Loans until paid in full, and </w:t>
      </w:r>
      <w:r>
        <w:rPr>
          <w:rFonts w:ascii="Arial" w:cs="Arial" w:eastAsia="Arial" w:hAnsi="Arial"/>
          <w:sz w:val="18"/>
          <w:szCs w:val="18"/>
          <w:i w:val="1"/>
          <w:iCs w:val="1"/>
          <w:color w:val="auto"/>
        </w:rPr>
        <w:t>second</w:t>
      </w:r>
      <w:r>
        <w:rPr>
          <w:rFonts w:ascii="Arial" w:cs="Arial" w:eastAsia="Arial" w:hAnsi="Arial"/>
          <w:sz w:val="18"/>
          <w:szCs w:val="18"/>
          <w:color w:val="auto"/>
        </w:rPr>
        <w:t xml:space="preserve">, to cash collateralize the Letters of Credit in an amount equal to 105% of the then outstanding Letter of Credit Usage, and (2) if an Application Event shall have occurred and be continuing, be applied in the manner set forth in </w:t>
      </w:r>
      <w:r>
        <w:rPr>
          <w:rFonts w:ascii="Arial" w:cs="Arial" w:eastAsia="Arial" w:hAnsi="Arial"/>
          <w:sz w:val="18"/>
          <w:szCs w:val="18"/>
          <w:u w:val="single" w:color="auto"/>
          <w:color w:val="auto"/>
        </w:rPr>
        <w:t>Section 2.4(b)(iii)</w:t>
      </w:r>
      <w:r>
        <w:rPr>
          <w:rFonts w:ascii="Arial" w:cs="Arial" w:eastAsia="Arial" w:hAnsi="Arial"/>
          <w:sz w:val="18"/>
          <w:szCs w:val="18"/>
          <w:color w:val="auto"/>
        </w:rPr>
        <w:t xml:space="preserve">, (B) each prepayment pursuant to </w:t>
      </w:r>
      <w:r>
        <w:rPr>
          <w:rFonts w:ascii="Arial" w:cs="Arial" w:eastAsia="Arial" w:hAnsi="Arial"/>
          <w:sz w:val="18"/>
          <w:szCs w:val="18"/>
          <w:u w:val="single" w:color="auto"/>
          <w:color w:val="auto"/>
        </w:rPr>
        <w:t>Section 2.4(e)(ii)</w:t>
      </w:r>
      <w:r>
        <w:rPr>
          <w:rFonts w:ascii="Arial" w:cs="Arial" w:eastAsia="Arial" w:hAnsi="Arial"/>
          <w:sz w:val="18"/>
          <w:szCs w:val="18"/>
          <w:color w:val="auto"/>
        </w:rPr>
        <w:t xml:space="preserve"> shall (1) so long as no Application Event shall have occurred and be continuing, be applied (x) with respect to any Eligible M&amp;E, to the outstanding principal amount of the Revolving Loans until paid in full and (y) with respect to any Eligible New Equipment, to the outstanding principal amount of the Capex Advances until paid in full, and (2) if an Application Event shall have occurred and be continuing, be applied in the manner set forth in </w:t>
      </w:r>
      <w:r>
        <w:rPr>
          <w:rFonts w:ascii="Arial" w:cs="Arial" w:eastAsia="Arial" w:hAnsi="Arial"/>
          <w:sz w:val="18"/>
          <w:szCs w:val="18"/>
          <w:u w:val="single" w:color="auto"/>
          <w:color w:val="auto"/>
        </w:rPr>
        <w:t>Section 2.4(b)(iii)</w:t>
      </w:r>
      <w:r>
        <w:rPr>
          <w:rFonts w:ascii="Arial" w:cs="Arial" w:eastAsia="Arial" w:hAnsi="Arial"/>
          <w:sz w:val="18"/>
          <w:szCs w:val="18"/>
          <w:color w:val="auto"/>
        </w:rPr>
        <w:t xml:space="preserve">, and (c) each prepayment pursuant to </w:t>
      </w:r>
      <w:r>
        <w:rPr>
          <w:rFonts w:ascii="Arial" w:cs="Arial" w:eastAsia="Arial" w:hAnsi="Arial"/>
          <w:sz w:val="18"/>
          <w:szCs w:val="18"/>
          <w:u w:val="single" w:color="auto"/>
          <w:color w:val="auto"/>
        </w:rPr>
        <w:t>Section 2.4(e)(iii)</w:t>
      </w:r>
      <w:r>
        <w:rPr>
          <w:rFonts w:ascii="Arial" w:cs="Arial" w:eastAsia="Arial" w:hAnsi="Arial"/>
          <w:sz w:val="18"/>
          <w:szCs w:val="18"/>
          <w:color w:val="auto"/>
        </w:rPr>
        <w:t xml:space="preserve"> shall, (1) so long as no Application Event shall have occurred and be continuing, be applied to the outstanding principal amount of the Capex Advances until paid in full, and (2) if an Application Event shall have occurred and be continuing, be applied in the manner set forth in </w:t>
      </w:r>
      <w:r>
        <w:rPr>
          <w:rFonts w:ascii="Arial" w:cs="Arial" w:eastAsia="Arial" w:hAnsi="Arial"/>
          <w:sz w:val="18"/>
          <w:szCs w:val="18"/>
          <w:u w:val="single" w:color="auto"/>
          <w:color w:val="auto"/>
        </w:rPr>
        <w:t>Section 2.4(b)(iii)</w:t>
      </w:r>
      <w:r>
        <w:rPr>
          <w:rFonts w:ascii="Arial" w:cs="Arial" w:eastAsia="Arial" w:hAnsi="Arial"/>
          <w:sz w:val="18"/>
          <w:szCs w:val="18"/>
          <w:color w:val="auto"/>
        </w:rPr>
        <w:t>. Each such prepayment of the Capex Advances shall be applied against the remaining installments of principal of the Capex Advances in the inverse order of maturity (for the avoidance of doubt, any amount that is due and payable on the Maturity Date shall constitute an installment).</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6"/>
          <w:szCs w:val="16"/>
          <w:b w:val="1"/>
          <w:bCs w:val="1"/>
          <w:u w:val="single" w:color="auto"/>
          <w:color w:val="auto"/>
        </w:rPr>
        <w:t>Promise to Pay; Promissory Notes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1304"/>
        <w:spacing w:after="0" w:line="256" w:lineRule="auto"/>
        <w:tabs>
          <w:tab w:leader="none" w:pos="1944"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Borrowers agree to pay the Lender Group Expenses on the earlier of (i) the first day of the month following the date on which the applicable Lender Group Expenses were first incurred, or (ii) the date on which demand therefor is made by Agent (it being acknowledged and agreed that any charging of such costs, expenses or Lender Group Expenses to the Loan Account pursuant to the provisions of </w:t>
      </w:r>
      <w:r>
        <w:rPr>
          <w:rFonts w:ascii="Arial" w:cs="Arial" w:eastAsia="Arial" w:hAnsi="Arial"/>
          <w:sz w:val="19"/>
          <w:szCs w:val="19"/>
          <w:u w:val="single" w:color="auto"/>
          <w:color w:val="auto"/>
        </w:rPr>
        <w:t>Section 2.6(d)</w:t>
      </w:r>
      <w:r>
        <w:rPr>
          <w:rFonts w:ascii="Arial" w:cs="Arial" w:eastAsia="Arial" w:hAnsi="Arial"/>
          <w:sz w:val="19"/>
          <w:szCs w:val="19"/>
          <w:color w:val="auto"/>
        </w:rPr>
        <w:t xml:space="preserve"> shall be deemed to constitute a demand for payment thereof for the purposes of this subclause (ii)). Borrowers promise to pay all of the Obligations (including principal, interest, premiums, if any, fees, costs, and expenses (including Lender Group Expenses)) in full on the Maturity Date or, if earlier, on the date on which the Obligations (other than the Bank Product Obligations) become due and payable pursuant to the terms of this Agreement. Borrowers agree that their obligations contained in the first sentence of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2.5(a)</w:t>
      </w:r>
      <w:r>
        <w:rPr>
          <w:rFonts w:ascii="Arial" w:cs="Arial" w:eastAsia="Arial" w:hAnsi="Arial"/>
          <w:sz w:val="19"/>
          <w:szCs w:val="19"/>
          <w:color w:val="auto"/>
        </w:rPr>
        <w:t xml:space="preserve"> shall survive payment or satisfaction in full of all other Obligations.</w:t>
      </w:r>
    </w:p>
    <w:p>
      <w:pPr>
        <w:spacing w:after="0" w:line="184" w:lineRule="exact"/>
        <w:rPr>
          <w:rFonts w:ascii="Arial" w:cs="Arial" w:eastAsia="Arial" w:hAnsi="Arial"/>
          <w:sz w:val="19"/>
          <w:szCs w:val="19"/>
          <w:color w:val="auto"/>
        </w:rPr>
      </w:pPr>
    </w:p>
    <w:p>
      <w:pPr>
        <w:jc w:val="both"/>
        <w:ind w:firstLine="1304"/>
        <w:spacing w:after="0" w:line="321" w:lineRule="auto"/>
        <w:tabs>
          <w:tab w:leader="none" w:pos="1944" w:val="left"/>
        </w:tabs>
        <w:numPr>
          <w:ilvl w:val="0"/>
          <w:numId w:val="88"/>
        </w:numPr>
        <w:rPr>
          <w:rFonts w:ascii="Arial" w:cs="Arial" w:eastAsia="Arial" w:hAnsi="Arial"/>
          <w:sz w:val="16"/>
          <w:szCs w:val="16"/>
          <w:color w:val="auto"/>
        </w:rPr>
      </w:pPr>
      <w:r>
        <w:rPr>
          <w:rFonts w:ascii="Arial" w:cs="Arial" w:eastAsia="Arial" w:hAnsi="Arial"/>
          <w:sz w:val="16"/>
          <w:szCs w:val="16"/>
          <w:color w:val="auto"/>
        </w:rPr>
        <w:t>Any Lender may request that any portion of its Commitments or the Loans made by it be evidenced by one or more promissory notes. In such event, Borrowers shall execute and deliver to such Lender the requested promissory notes payable to the order of such Lender in a form furnished by Agent and reasonably satisfactory to Borrowers. Thereafter, the portion of the Commitments and Loans evidenced by such promissory notes and interest thereon shall at all times be represented by one or more promissory notes in such form payable to the order of the payee named therein.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0" w:name="page81"/>
    <w:bookmarkEnd w:id="80"/>
    <w:p>
      <w:pPr>
        <w:ind w:left="660"/>
        <w:spacing w:after="0"/>
        <w:tabs>
          <w:tab w:leader="none" w:pos="128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8"/>
          <w:szCs w:val="18"/>
          <w:b w:val="1"/>
          <w:bCs w:val="1"/>
          <w:u w:val="single" w:color="auto"/>
          <w:color w:val="auto"/>
        </w:rPr>
        <w:t>Interest Rates and Letter of Credit Fee: Rates, Payments, and Calculations</w:t>
      </w:r>
      <w:r>
        <w:rPr>
          <w:rFonts w:ascii="Arial" w:cs="Arial" w:eastAsia="Arial" w:hAnsi="Arial"/>
          <w:sz w:val="18"/>
          <w:szCs w:val="18"/>
          <w:b w:val="1"/>
          <w:bCs w:val="1"/>
          <w:color w:val="auto"/>
        </w:rPr>
        <w:t>.</w:t>
      </w:r>
    </w:p>
    <w:p>
      <w:pPr>
        <w:spacing w:after="0" w:line="217" w:lineRule="exact"/>
        <w:rPr>
          <w:sz w:val="20"/>
          <w:szCs w:val="20"/>
          <w:color w:val="auto"/>
        </w:rPr>
      </w:pPr>
    </w:p>
    <w:p>
      <w:pPr>
        <w:jc w:val="both"/>
        <w:ind w:firstLine="1304"/>
        <w:spacing w:after="0" w:line="253" w:lineRule="auto"/>
        <w:tabs>
          <w:tab w:leader="none" w:pos="1944" w:val="left"/>
        </w:tabs>
        <w:numPr>
          <w:ilvl w:val="0"/>
          <w:numId w:val="89"/>
        </w:numPr>
        <w:rPr>
          <w:rFonts w:ascii="Arial" w:cs="Arial" w:eastAsia="Arial" w:hAnsi="Arial"/>
          <w:sz w:val="20"/>
          <w:szCs w:val="20"/>
          <w:color w:val="auto"/>
        </w:rPr>
      </w:pPr>
      <w:r>
        <w:rPr>
          <w:rFonts w:ascii="Arial" w:cs="Arial" w:eastAsia="Arial" w:hAnsi="Arial"/>
          <w:sz w:val="20"/>
          <w:szCs w:val="20"/>
          <w:b w:val="1"/>
          <w:bCs w:val="1"/>
          <w:color w:val="auto"/>
        </w:rPr>
        <w:t>Interest Rates</w:t>
      </w:r>
      <w:r>
        <w:rPr>
          <w:rFonts w:ascii="Arial" w:cs="Arial" w:eastAsia="Arial" w:hAnsi="Arial"/>
          <w:sz w:val="20"/>
          <w:szCs w:val="20"/>
          <w:color w:val="auto"/>
        </w:rPr>
        <w:t>. Except as provided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2.6(c)</w:t>
      </w:r>
      <w:r>
        <w:rPr>
          <w:rFonts w:ascii="Arial" w:cs="Arial" w:eastAsia="Arial" w:hAnsi="Arial"/>
          <w:sz w:val="20"/>
          <w:szCs w:val="20"/>
          <w:b w:val="1"/>
          <w:bCs w:val="1"/>
          <w:color w:val="auto"/>
        </w:rPr>
        <w:t xml:space="preserve"> </w:t>
      </w:r>
      <w:r>
        <w:rPr>
          <w:rFonts w:ascii="Arial" w:cs="Arial" w:eastAsia="Arial" w:hAnsi="Arial"/>
          <w:sz w:val="20"/>
          <w:szCs w:val="20"/>
          <w:color w:val="auto"/>
        </w:rPr>
        <w:t>and</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2.12(d)</w:t>
      </w:r>
      <w:r>
        <w:rPr>
          <w:rFonts w:ascii="Arial" w:cs="Arial" w:eastAsia="Arial" w:hAnsi="Arial"/>
          <w:sz w:val="20"/>
          <w:szCs w:val="20"/>
          <w:color w:val="auto"/>
        </w:rPr>
        <w:t>, all Obligations (except</w:t>
      </w:r>
      <w:r>
        <w:rPr>
          <w:rFonts w:ascii="Arial" w:cs="Arial" w:eastAsia="Arial" w:hAnsi="Arial"/>
          <w:sz w:val="20"/>
          <w:szCs w:val="20"/>
          <w:b w:val="1"/>
          <w:bCs w:val="1"/>
          <w:color w:val="auto"/>
        </w:rPr>
        <w:t xml:space="preserve"> </w:t>
      </w:r>
      <w:r>
        <w:rPr>
          <w:rFonts w:ascii="Arial" w:cs="Arial" w:eastAsia="Arial" w:hAnsi="Arial"/>
          <w:sz w:val="20"/>
          <w:szCs w:val="20"/>
          <w:color w:val="auto"/>
        </w:rPr>
        <w:t>for undrawn Letters of Credit) that have been charged to the Loan Account pursuant to the terms hereof shall bear interest as follows:</w:t>
      </w:r>
    </w:p>
    <w:p>
      <w:pPr>
        <w:spacing w:after="0" w:line="183" w:lineRule="exact"/>
        <w:rPr>
          <w:rFonts w:ascii="Arial" w:cs="Arial" w:eastAsia="Arial" w:hAnsi="Arial"/>
          <w:sz w:val="20"/>
          <w:szCs w:val="20"/>
          <w:color w:val="auto"/>
        </w:rPr>
      </w:pPr>
    </w:p>
    <w:p>
      <w:pPr>
        <w:ind w:firstLine="1952"/>
        <w:spacing w:after="0" w:line="260" w:lineRule="auto"/>
        <w:tabs>
          <w:tab w:leader="none" w:pos="2592" w:val="left"/>
        </w:tabs>
        <w:numPr>
          <w:ilvl w:val="1"/>
          <w:numId w:val="89"/>
        </w:numPr>
        <w:rPr>
          <w:rFonts w:ascii="Arial" w:cs="Arial" w:eastAsia="Arial" w:hAnsi="Arial"/>
          <w:sz w:val="20"/>
          <w:szCs w:val="20"/>
          <w:color w:val="auto"/>
        </w:rPr>
      </w:pPr>
      <w:r>
        <w:rPr>
          <w:rFonts w:ascii="Arial" w:cs="Arial" w:eastAsia="Arial" w:hAnsi="Arial"/>
          <w:sz w:val="20"/>
          <w:szCs w:val="20"/>
          <w:color w:val="auto"/>
        </w:rPr>
        <w:t xml:space="preserve">if the relevant Obligation is a SOFR Loan, at a </w:t>
      </w:r>
      <w:r>
        <w:rPr>
          <w:rFonts w:ascii="Arial" w:cs="Arial" w:eastAsia="Arial" w:hAnsi="Arial"/>
          <w:sz w:val="20"/>
          <w:szCs w:val="20"/>
          <w:i w:val="1"/>
          <w:iCs w:val="1"/>
          <w:color w:val="auto"/>
        </w:rPr>
        <w:t>per annum</w:t>
      </w:r>
      <w:r>
        <w:rPr>
          <w:rFonts w:ascii="Arial" w:cs="Arial" w:eastAsia="Arial" w:hAnsi="Arial"/>
          <w:sz w:val="20"/>
          <w:szCs w:val="20"/>
          <w:color w:val="auto"/>
        </w:rPr>
        <w:t xml:space="preserve"> rate equal to Adjusted Term SOFR </w:t>
      </w:r>
      <w:r>
        <w:rPr>
          <w:rFonts w:ascii="Arial" w:cs="Arial" w:eastAsia="Arial" w:hAnsi="Arial"/>
          <w:sz w:val="20"/>
          <w:szCs w:val="20"/>
          <w:i w:val="1"/>
          <w:iCs w:val="1"/>
          <w:u w:val="single" w:color="auto"/>
          <w:color w:val="auto"/>
        </w:rPr>
        <w:t>plus</w:t>
      </w:r>
      <w:r>
        <w:rPr>
          <w:rFonts w:ascii="Arial" w:cs="Arial" w:eastAsia="Arial" w:hAnsi="Arial"/>
          <w:sz w:val="20"/>
          <w:szCs w:val="20"/>
          <w:color w:val="auto"/>
        </w:rPr>
        <w:t xml:space="preserve"> the applicable SOFR Margin, and</w:t>
      </w:r>
    </w:p>
    <w:p>
      <w:pPr>
        <w:spacing w:after="0" w:line="176" w:lineRule="exact"/>
        <w:rPr>
          <w:rFonts w:ascii="Arial" w:cs="Arial" w:eastAsia="Arial" w:hAnsi="Arial"/>
          <w:sz w:val="20"/>
          <w:szCs w:val="20"/>
          <w:color w:val="auto"/>
        </w:rPr>
      </w:pPr>
    </w:p>
    <w:p>
      <w:pPr>
        <w:ind w:left="2600" w:hanging="648"/>
        <w:spacing w:after="0"/>
        <w:tabs>
          <w:tab w:leader="none" w:pos="2600" w:val="left"/>
        </w:tabs>
        <w:numPr>
          <w:ilvl w:val="1"/>
          <w:numId w:val="89"/>
        </w:numPr>
        <w:rPr>
          <w:rFonts w:ascii="Arial" w:cs="Arial" w:eastAsia="Arial" w:hAnsi="Arial"/>
          <w:sz w:val="16"/>
          <w:szCs w:val="16"/>
          <w:color w:val="auto"/>
        </w:rPr>
      </w:pPr>
      <w:r>
        <w:rPr>
          <w:rFonts w:ascii="Arial" w:cs="Arial" w:eastAsia="Arial" w:hAnsi="Arial"/>
          <w:sz w:val="16"/>
          <w:szCs w:val="16"/>
          <w:color w:val="auto"/>
        </w:rPr>
        <w:t xml:space="preserve">otherwise, at a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rate equal to the Base Rate </w:t>
      </w:r>
      <w:r>
        <w:rPr>
          <w:rFonts w:ascii="Arial" w:cs="Arial" w:eastAsia="Arial" w:hAnsi="Arial"/>
          <w:sz w:val="16"/>
          <w:szCs w:val="16"/>
          <w:i w:val="1"/>
          <w:iCs w:val="1"/>
          <w:u w:val="single" w:color="auto"/>
          <w:color w:val="auto"/>
        </w:rPr>
        <w:t>plus</w:t>
      </w:r>
      <w:r>
        <w:rPr>
          <w:rFonts w:ascii="Arial" w:cs="Arial" w:eastAsia="Arial" w:hAnsi="Arial"/>
          <w:sz w:val="16"/>
          <w:szCs w:val="16"/>
          <w:color w:val="auto"/>
        </w:rPr>
        <w:t xml:space="preserve"> the applicable Base Rate Margin.</w:t>
      </w:r>
    </w:p>
    <w:p>
      <w:pPr>
        <w:spacing w:after="0" w:line="255" w:lineRule="exact"/>
        <w:rPr>
          <w:rFonts w:ascii="Arial" w:cs="Arial" w:eastAsia="Arial" w:hAnsi="Arial"/>
          <w:sz w:val="16"/>
          <w:szCs w:val="16"/>
          <w:color w:val="auto"/>
        </w:rPr>
      </w:pPr>
    </w:p>
    <w:p>
      <w:pPr>
        <w:jc w:val="both"/>
        <w:ind w:firstLine="1304"/>
        <w:spacing w:after="0" w:line="285" w:lineRule="auto"/>
        <w:tabs>
          <w:tab w:leader="none" w:pos="1944"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Letter of Credit Fee</w:t>
      </w:r>
      <w:r>
        <w:rPr>
          <w:rFonts w:ascii="Arial" w:cs="Arial" w:eastAsia="Arial" w:hAnsi="Arial"/>
          <w:sz w:val="18"/>
          <w:szCs w:val="18"/>
          <w:color w:val="auto"/>
        </w:rPr>
        <w:t>. Borrowers shall pay Agent (for the ratable benefit of the Revolving Lenders),</w:t>
      </w:r>
      <w:r>
        <w:rPr>
          <w:rFonts w:ascii="Arial" w:cs="Arial" w:eastAsia="Arial" w:hAnsi="Arial"/>
          <w:sz w:val="18"/>
          <w:szCs w:val="18"/>
          <w:b w:val="1"/>
          <w:bCs w:val="1"/>
          <w:color w:val="auto"/>
        </w:rPr>
        <w:t xml:space="preserve"> </w:t>
      </w:r>
      <w:r>
        <w:rPr>
          <w:rFonts w:ascii="Arial" w:cs="Arial" w:eastAsia="Arial" w:hAnsi="Arial"/>
          <w:sz w:val="18"/>
          <w:szCs w:val="18"/>
          <w:color w:val="auto"/>
        </w:rPr>
        <w:t>a Letter of Credit fee (the “</w:t>
      </w:r>
      <w:r>
        <w:rPr>
          <w:rFonts w:ascii="Arial" w:cs="Arial" w:eastAsia="Arial" w:hAnsi="Arial"/>
          <w:sz w:val="18"/>
          <w:szCs w:val="18"/>
          <w:u w:val="single" w:color="auto"/>
          <w:color w:val="auto"/>
        </w:rPr>
        <w:t>Letter of Credit Fee</w:t>
      </w:r>
      <w:r>
        <w:rPr>
          <w:rFonts w:ascii="Arial" w:cs="Arial" w:eastAsia="Arial" w:hAnsi="Arial"/>
          <w:sz w:val="18"/>
          <w:szCs w:val="18"/>
          <w:color w:val="auto"/>
        </w:rPr>
        <w:t xml:space="preserve">”) (which fee shall be in addition to the fronting fees and commissions, other fees, charges and expenses set forth in </w:t>
      </w:r>
      <w:r>
        <w:rPr>
          <w:rFonts w:ascii="Arial" w:cs="Arial" w:eastAsia="Arial" w:hAnsi="Arial"/>
          <w:sz w:val="18"/>
          <w:szCs w:val="18"/>
          <w:u w:val="single" w:color="auto"/>
          <w:color w:val="auto"/>
        </w:rPr>
        <w:t>Section 2.11(k)</w:t>
      </w:r>
      <w:r>
        <w:rPr>
          <w:rFonts w:ascii="Arial" w:cs="Arial" w:eastAsia="Arial" w:hAnsi="Arial"/>
          <w:sz w:val="18"/>
          <w:szCs w:val="18"/>
          <w:color w:val="auto"/>
        </w:rPr>
        <w:t xml:space="preserve">) that shall accrue at a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rate equal to the Revolving Loan SOFR Margin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average amount of the Letter of Credit Usage during the immediately preceding month.</w:t>
      </w:r>
    </w:p>
    <w:p>
      <w:pPr>
        <w:spacing w:after="0" w:line="150" w:lineRule="exact"/>
        <w:rPr>
          <w:rFonts w:ascii="Arial" w:cs="Arial" w:eastAsia="Arial" w:hAnsi="Arial"/>
          <w:sz w:val="18"/>
          <w:szCs w:val="18"/>
          <w:color w:val="auto"/>
        </w:rPr>
      </w:pPr>
    </w:p>
    <w:p>
      <w:pPr>
        <w:jc w:val="both"/>
        <w:ind w:firstLine="1304"/>
        <w:spacing w:after="0" w:line="256" w:lineRule="auto"/>
        <w:tabs>
          <w:tab w:leader="none" w:pos="1944" w:val="left"/>
        </w:tabs>
        <w:numPr>
          <w:ilvl w:val="0"/>
          <w:numId w:val="89"/>
        </w:numPr>
        <w:rPr>
          <w:rFonts w:ascii="Arial" w:cs="Arial" w:eastAsia="Arial" w:hAnsi="Arial"/>
          <w:sz w:val="19"/>
          <w:szCs w:val="19"/>
          <w:color w:val="auto"/>
        </w:rPr>
      </w:pPr>
      <w:r>
        <w:rPr>
          <w:rFonts w:ascii="Arial" w:cs="Arial" w:eastAsia="Arial" w:hAnsi="Arial"/>
          <w:sz w:val="19"/>
          <w:szCs w:val="19"/>
          <w:b w:val="1"/>
          <w:bCs w:val="1"/>
          <w:color w:val="auto"/>
        </w:rPr>
        <w:t>Default Rate</w:t>
      </w:r>
      <w:r>
        <w:rPr>
          <w:rFonts w:ascii="Arial" w:cs="Arial" w:eastAsia="Arial" w:hAnsi="Arial"/>
          <w:sz w:val="19"/>
          <w:szCs w:val="19"/>
          <w:color w:val="auto"/>
        </w:rPr>
        <w:t>. (i) Automatically upon the occurrence and during the continuation of an Event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Default under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8.5</w:t>
      </w:r>
      <w:r>
        <w:rPr>
          <w:rFonts w:ascii="Arial" w:cs="Arial" w:eastAsia="Arial" w:hAnsi="Arial"/>
          <w:sz w:val="19"/>
          <w:szCs w:val="19"/>
          <w:color w:val="auto"/>
        </w:rPr>
        <w:t xml:space="preserve"> and (ii) upon the occurrence and during the continuation of any other Event of Default (other than an Event of Default under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8.5</w:t>
      </w:r>
      <w:r>
        <w:rPr>
          <w:rFonts w:ascii="Arial" w:cs="Arial" w:eastAsia="Arial" w:hAnsi="Arial"/>
          <w:sz w:val="19"/>
          <w:szCs w:val="19"/>
          <w:color w:val="auto"/>
        </w:rPr>
        <w:t>), at the direction of Agent or the Required Lenders, and upon written notice by Agent to Borrowers of such direction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notice shall not be required for any Event of Default under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(A) all Loans and all Obligations (except for undrawn Letters of Credit) that have been charged to the Loan Account pursuant to the terms hereof shall bear interest at a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rate equal to two percentage points above the per annum rate otherwise applicable thereunder (it being agreed that such rate otherwise applicable for any Obligation other than SOFR Loans, Letter of Credit Fees or except as otherwise expressly provided under the Loan Documents, shall be that of a Base Rate Loan), and (B) the Letter of Credit Fee shall be increased to two percentage points above the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rate otherwise applicable hereunder.</w:t>
      </w:r>
    </w:p>
    <w:p>
      <w:pPr>
        <w:spacing w:after="0" w:line="180" w:lineRule="exact"/>
        <w:rPr>
          <w:rFonts w:ascii="Arial" w:cs="Arial" w:eastAsia="Arial" w:hAnsi="Arial"/>
          <w:sz w:val="19"/>
          <w:szCs w:val="19"/>
          <w:color w:val="auto"/>
        </w:rPr>
      </w:pPr>
    </w:p>
    <w:p>
      <w:pPr>
        <w:jc w:val="both"/>
        <w:ind w:firstLine="1304"/>
        <w:spacing w:after="0" w:line="269" w:lineRule="auto"/>
        <w:tabs>
          <w:tab w:leader="none" w:pos="1944"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Payment</w:t>
      </w:r>
      <w:r>
        <w:rPr>
          <w:rFonts w:ascii="Arial" w:cs="Arial" w:eastAsia="Arial" w:hAnsi="Arial"/>
          <w:sz w:val="18"/>
          <w:szCs w:val="18"/>
          <w:color w:val="auto"/>
        </w:rPr>
        <w:t>. Except to the extent provided to the contrary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2.10</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2.11(k)</w:t>
      </w:r>
      <w:r>
        <w:rPr>
          <w:rFonts w:ascii="Arial" w:cs="Arial" w:eastAsia="Arial" w:hAnsi="Arial"/>
          <w:sz w:val="18"/>
          <w:szCs w:val="18"/>
          <w:b w:val="1"/>
          <w:bCs w:val="1"/>
          <w:color w:val="auto"/>
        </w:rPr>
        <w:t xml:space="preserve"> </w:t>
      </w:r>
      <w:r>
        <w:rPr>
          <w:rFonts w:ascii="Arial" w:cs="Arial" w:eastAsia="Arial" w:hAnsi="Arial"/>
          <w:sz w:val="18"/>
          <w:szCs w:val="18"/>
          <w:color w:val="auto"/>
        </w:rPr>
        <w:t>or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2.12(a)</w:t>
      </w:r>
      <w:r>
        <w:rPr>
          <w:rFonts w:ascii="Arial" w:cs="Arial" w:eastAsia="Arial" w:hAnsi="Arial"/>
          <w:sz w:val="18"/>
          <w:szCs w:val="18"/>
          <w:color w:val="auto"/>
        </w:rPr>
        <w:t xml:space="preserve">, (i) all interest and all other fees payable hereunder or under any of the other Loan Documents (other than Letter of Credit Fees) shall be due and payable, in arrears, on the first day of each month, (ii) all Letter of Credit Fees payable hereunder, and all fronting fees and all commissions, other fees, charges and expenses provided for in </w:t>
      </w:r>
      <w:r>
        <w:rPr>
          <w:rFonts w:ascii="Arial" w:cs="Arial" w:eastAsia="Arial" w:hAnsi="Arial"/>
          <w:sz w:val="18"/>
          <w:szCs w:val="18"/>
          <w:u w:val="single" w:color="auto"/>
          <w:color w:val="auto"/>
        </w:rPr>
        <w:t>Section 2.11(k)</w:t>
      </w:r>
      <w:r>
        <w:rPr>
          <w:rFonts w:ascii="Arial" w:cs="Arial" w:eastAsia="Arial" w:hAnsi="Arial"/>
          <w:sz w:val="18"/>
          <w:szCs w:val="18"/>
          <w:color w:val="auto"/>
        </w:rPr>
        <w:t xml:space="preserve"> shall be due and payable, in arrears, on the first Business Day of each month, and (iii) all costs and expenses payable hereunder or under any of the other Loan Documents, and all other Lender Group Expenses shall be due and payable on (x) with respect to Lender Group Expenses outstanding as of the Closing Date, the Closing Date, and (y) otherwise, the earlier of (A) the first day of the month following the date on which the applicable costs, expenses, or Lender Group Expenses were first incurred, or (B) the date on which demand therefor is made by Agent (it being acknowledged and agreed that any charging of such costs, expenses or Lender Group Expenses to the Loan Account pursuant to the provisions of the following sentence shall be deemed to constitute a demand for payment thereof for the purposes of this subclause (y)). Borrowers hereby authorize Agent, from time to time without prior notice to Borrowers, to charge to the Loan Account (A) on the first day of each month, all interest accrued during the prior month on the Revolving Loans or the Capex Advances hereunder, (B) on the first Business Day of each month, all Letter of Credit Fees and all commissions, other fees, charges and expenses provided for in </w:t>
      </w:r>
      <w:r>
        <w:rPr>
          <w:rFonts w:ascii="Arial" w:cs="Arial" w:eastAsia="Arial" w:hAnsi="Arial"/>
          <w:sz w:val="18"/>
          <w:szCs w:val="18"/>
          <w:u w:val="single" w:color="auto"/>
          <w:color w:val="auto"/>
        </w:rPr>
        <w:t>Section 2.11(k)</w:t>
      </w:r>
      <w:r>
        <w:rPr>
          <w:rFonts w:ascii="Arial" w:cs="Arial" w:eastAsia="Arial" w:hAnsi="Arial"/>
          <w:sz w:val="18"/>
          <w:szCs w:val="18"/>
          <w:color w:val="auto"/>
        </w:rPr>
        <w:t xml:space="preserve"> accrued or chargeable hereunder during the prior month, (C) as and when incurred or accrued, all fees and costs provided for in </w:t>
      </w:r>
      <w:r>
        <w:rPr>
          <w:rFonts w:ascii="Arial" w:cs="Arial" w:eastAsia="Arial" w:hAnsi="Arial"/>
          <w:sz w:val="18"/>
          <w:szCs w:val="18"/>
          <w:u w:val="single" w:color="auto"/>
          <w:color w:val="auto"/>
        </w:rPr>
        <w:t>Section 2.10(a)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xml:space="preserve">, (D) on the first day of each month, the Unused Line Fee accrued during the prior month pursuant to </w:t>
      </w:r>
      <w:r>
        <w:rPr>
          <w:rFonts w:ascii="Arial" w:cs="Arial" w:eastAsia="Arial" w:hAnsi="Arial"/>
          <w:sz w:val="18"/>
          <w:szCs w:val="18"/>
          <w:u w:val="single" w:color="auto"/>
          <w:color w:val="auto"/>
        </w:rPr>
        <w:t>Section 2.10(b)</w:t>
      </w:r>
      <w:r>
        <w:rPr>
          <w:rFonts w:ascii="Arial" w:cs="Arial" w:eastAsia="Arial" w:hAnsi="Arial"/>
          <w:sz w:val="18"/>
          <w:szCs w:val="18"/>
          <w:color w:val="auto"/>
        </w:rPr>
        <w:t>, (E) as and when due and payable, all other fees payable hereunder or under any of the other Loan Documents, (F) on the Closing Date and thereafter as and when incurred or accrued, all other Lender Group Expenses,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81" w:name="page82"/>
    <w:bookmarkEnd w:id="81"/>
    <w:p>
      <w:pPr>
        <w:jc w:val="both"/>
        <w:ind w:firstLine="8"/>
        <w:spacing w:after="0" w:line="243" w:lineRule="auto"/>
        <w:tabs>
          <w:tab w:leader="none" w:pos="345" w:val="left"/>
        </w:tabs>
        <w:numPr>
          <w:ilvl w:val="0"/>
          <w:numId w:val="90"/>
        </w:numPr>
        <w:rPr>
          <w:rFonts w:ascii="Arial" w:cs="Arial" w:eastAsia="Arial" w:hAnsi="Arial"/>
          <w:sz w:val="20"/>
          <w:szCs w:val="20"/>
          <w:color w:val="auto"/>
        </w:rPr>
      </w:pPr>
      <w:r>
        <w:rPr>
          <w:rFonts w:ascii="Arial" w:cs="Arial" w:eastAsia="Arial" w:hAnsi="Arial"/>
          <w:sz w:val="20"/>
          <w:szCs w:val="20"/>
          <w:color w:val="auto"/>
        </w:rPr>
        <w:t>as and when due and payable all other payment obligations payable under any Loan Document or any Bank Product Agreement (including any amounts due and payable to the Bank Product Providers in respect of Bank Products). All amounts (including interest, fees, costs, expenses, Lender Group Expenses, or other amounts payable hereunder or under any other Loan Document or under any Bank Product Agreement) charged to the Loan Account shall thereupon constitute Revolving Loans hereunder, shall constitute Obligations hereunder, and shall initially accrue interest at the rate then applicable to Revolving Loans that are Base Rate Loans (unless constituting or until converted into SOFR Loans in accordance with the terms of this Agreement).</w:t>
      </w:r>
    </w:p>
    <w:p>
      <w:pPr>
        <w:spacing w:after="0" w:line="187" w:lineRule="exact"/>
        <w:rPr>
          <w:rFonts w:ascii="Arial" w:cs="Arial" w:eastAsia="Arial" w:hAnsi="Arial"/>
          <w:sz w:val="20"/>
          <w:szCs w:val="20"/>
          <w:color w:val="auto"/>
        </w:rPr>
      </w:pPr>
    </w:p>
    <w:p>
      <w:pPr>
        <w:jc w:val="both"/>
        <w:ind w:firstLine="1304"/>
        <w:spacing w:after="0" w:line="322" w:lineRule="auto"/>
        <w:tabs>
          <w:tab w:leader="none" w:pos="1944" w:val="left"/>
        </w:tabs>
        <w:numPr>
          <w:ilvl w:val="1"/>
          <w:numId w:val="90"/>
        </w:numPr>
        <w:rPr>
          <w:rFonts w:ascii="Arial" w:cs="Arial" w:eastAsia="Arial" w:hAnsi="Arial"/>
          <w:sz w:val="16"/>
          <w:szCs w:val="16"/>
          <w:color w:val="auto"/>
        </w:rPr>
      </w:pPr>
      <w:r>
        <w:rPr>
          <w:rFonts w:ascii="Arial" w:cs="Arial" w:eastAsia="Arial" w:hAnsi="Arial"/>
          <w:sz w:val="16"/>
          <w:szCs w:val="16"/>
          <w:b w:val="1"/>
          <w:bCs w:val="1"/>
          <w:color w:val="auto"/>
        </w:rPr>
        <w:t>Computation</w:t>
      </w:r>
      <w:r>
        <w:rPr>
          <w:rFonts w:ascii="Arial" w:cs="Arial" w:eastAsia="Arial" w:hAnsi="Arial"/>
          <w:sz w:val="16"/>
          <w:szCs w:val="16"/>
          <w:color w:val="auto"/>
        </w:rPr>
        <w:t>. All interest and fees chargeable under the Loan Documents shall be computed on</w:t>
      </w:r>
      <w:r>
        <w:rPr>
          <w:rFonts w:ascii="Arial" w:cs="Arial" w:eastAsia="Arial" w:hAnsi="Arial"/>
          <w:sz w:val="16"/>
          <w:szCs w:val="16"/>
          <w:b w:val="1"/>
          <w:bCs w:val="1"/>
          <w:color w:val="auto"/>
        </w:rPr>
        <w:t xml:space="preserve"> </w:t>
      </w:r>
      <w:r>
        <w:rPr>
          <w:rFonts w:ascii="Arial" w:cs="Arial" w:eastAsia="Arial" w:hAnsi="Arial"/>
          <w:sz w:val="16"/>
          <w:szCs w:val="16"/>
          <w:color w:val="auto"/>
        </w:rPr>
        <w:t>the basis of a 360 day year, in each case, for the actual number of days elapsed in the period during which the interest or fees accrue, other than any Base Rate Loans (which shall be computed on the basis of a 365 or 366, as applicable, day year. In the event the Base Rate is changed from time to time hereafter, the rates of interest hereunder based upon the Base Rate automatically and immediately shall be increased or decreased by an amount equal to such change in the Base Rate.</w:t>
      </w:r>
    </w:p>
    <w:p>
      <w:pPr>
        <w:spacing w:after="0" w:line="129" w:lineRule="exact"/>
        <w:rPr>
          <w:rFonts w:ascii="Arial" w:cs="Arial" w:eastAsia="Arial" w:hAnsi="Arial"/>
          <w:sz w:val="16"/>
          <w:szCs w:val="16"/>
          <w:color w:val="auto"/>
        </w:rPr>
      </w:pPr>
    </w:p>
    <w:p>
      <w:pPr>
        <w:jc w:val="both"/>
        <w:ind w:firstLine="1304"/>
        <w:spacing w:after="0" w:line="273" w:lineRule="auto"/>
        <w:tabs>
          <w:tab w:leader="none" w:pos="1944" w:val="left"/>
        </w:tabs>
        <w:numPr>
          <w:ilvl w:val="1"/>
          <w:numId w:val="90"/>
        </w:numPr>
        <w:rPr>
          <w:rFonts w:ascii="Arial" w:cs="Arial" w:eastAsia="Arial" w:hAnsi="Arial"/>
          <w:sz w:val="18"/>
          <w:szCs w:val="18"/>
          <w:color w:val="auto"/>
        </w:rPr>
      </w:pPr>
      <w:r>
        <w:rPr>
          <w:rFonts w:ascii="Arial" w:cs="Arial" w:eastAsia="Arial" w:hAnsi="Arial"/>
          <w:sz w:val="18"/>
          <w:szCs w:val="18"/>
          <w:b w:val="1"/>
          <w:bCs w:val="1"/>
          <w:color w:val="auto"/>
        </w:rPr>
        <w:t>Intent to Limit Charges to Maximum Lawful Rate</w:t>
      </w:r>
      <w:r>
        <w:rPr>
          <w:rFonts w:ascii="Arial" w:cs="Arial" w:eastAsia="Arial" w:hAnsi="Arial"/>
          <w:sz w:val="18"/>
          <w:szCs w:val="18"/>
          <w:color w:val="auto"/>
        </w:rPr>
        <w:t>. In no event shall the interest rate or rates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payable under this Agreement,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any other amounts paid in connection herewith, exceed the highest rate permissible under any law that a court of competent jurisdiction shall, in a final determination, deem applicable. Borrowers and the Lender Group, in executing and delivering this Agreement, intend legally to agree upon the rate or rates of interest and manner of payment stated within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anything contained herein to the contrary notwithstanding, if such rate or rates of interest or manner of payment exceeds the maximum allowable under applicable law, then, </w:t>
      </w:r>
      <w:r>
        <w:rPr>
          <w:rFonts w:ascii="Arial" w:cs="Arial" w:eastAsia="Arial" w:hAnsi="Arial"/>
          <w:sz w:val="18"/>
          <w:szCs w:val="18"/>
          <w:i w:val="1"/>
          <w:iCs w:val="1"/>
          <w:color w:val="auto"/>
        </w:rPr>
        <w:t>ipso facto</w:t>
      </w:r>
      <w:r>
        <w:rPr>
          <w:rFonts w:ascii="Arial" w:cs="Arial" w:eastAsia="Arial" w:hAnsi="Arial"/>
          <w:sz w:val="18"/>
          <w:szCs w:val="18"/>
          <w:color w:val="auto"/>
        </w:rPr>
        <w:t>, as of the date of this Agreement, Borrowers are and shall be liable only for the payment of such maximum amount as is allowed by law, and payment received from Borrowers in excess of such legal maximum, whenever received, shall be applied to reduce the principal balance of the Obligations to the extent of such excess.</w:t>
      </w:r>
    </w:p>
    <w:p>
      <w:pPr>
        <w:spacing w:after="0" w:line="162" w:lineRule="exact"/>
        <w:rPr>
          <w:rFonts w:ascii="Arial" w:cs="Arial" w:eastAsia="Arial" w:hAnsi="Arial"/>
          <w:sz w:val="18"/>
          <w:szCs w:val="18"/>
          <w:color w:val="auto"/>
        </w:rPr>
      </w:pPr>
    </w:p>
    <w:p>
      <w:pPr>
        <w:jc w:val="both"/>
        <w:ind w:firstLine="1304"/>
        <w:spacing w:after="0" w:line="245" w:lineRule="auto"/>
        <w:tabs>
          <w:tab w:leader="none" w:pos="1944" w:val="left"/>
        </w:tabs>
        <w:numPr>
          <w:ilvl w:val="1"/>
          <w:numId w:val="90"/>
        </w:numPr>
        <w:rPr>
          <w:rFonts w:ascii="Arial" w:cs="Arial" w:eastAsia="Arial" w:hAnsi="Arial"/>
          <w:sz w:val="20"/>
          <w:szCs w:val="20"/>
          <w:color w:val="auto"/>
        </w:rPr>
      </w:pPr>
      <w:r>
        <w:rPr>
          <w:rFonts w:ascii="Arial" w:cs="Arial" w:eastAsia="Arial" w:hAnsi="Arial"/>
          <w:sz w:val="20"/>
          <w:szCs w:val="20"/>
          <w:b w:val="1"/>
          <w:bCs w:val="1"/>
          <w:color w:val="auto"/>
        </w:rPr>
        <w:t>Term SOFR Conforming Changes</w:t>
      </w:r>
      <w:r>
        <w:rPr>
          <w:rFonts w:ascii="Arial" w:cs="Arial" w:eastAsia="Arial" w:hAnsi="Arial"/>
          <w:sz w:val="20"/>
          <w:szCs w:val="20"/>
          <w:color w:val="auto"/>
        </w:rPr>
        <w:t>. In connection with the use or administration of Term SOFR,</w:t>
      </w:r>
      <w:r>
        <w:rPr>
          <w:rFonts w:ascii="Arial" w:cs="Arial" w:eastAsia="Arial" w:hAnsi="Arial"/>
          <w:sz w:val="20"/>
          <w:szCs w:val="20"/>
          <w:b w:val="1"/>
          <w:bCs w:val="1"/>
          <w:color w:val="auto"/>
        </w:rPr>
        <w:t xml:space="preserve"> </w:t>
      </w:r>
      <w:r>
        <w:rPr>
          <w:rFonts w:ascii="Arial" w:cs="Arial" w:eastAsia="Arial" w:hAnsi="Arial"/>
          <w:sz w:val="20"/>
          <w:szCs w:val="20"/>
          <w:color w:val="auto"/>
        </w:rPr>
        <w:t>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Agent will promptly notify Administrative Borrower and the Lenders of the effectiveness of any Conforming Changes in connection with the use or administration of Term SOFR.</w:t>
      </w:r>
    </w:p>
    <w:p>
      <w:pPr>
        <w:spacing w:after="0" w:line="18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b w:val="1"/>
          <w:bCs w:val="1"/>
          <w:u w:val="single" w:color="auto"/>
          <w:color w:val="auto"/>
        </w:rPr>
        <w:t>Crediting Payments</w:t>
      </w:r>
      <w:r>
        <w:rPr>
          <w:rFonts w:ascii="Arial" w:cs="Arial" w:eastAsia="Arial" w:hAnsi="Arial"/>
          <w:sz w:val="18"/>
          <w:szCs w:val="18"/>
          <w:color w:val="auto"/>
        </w:rPr>
        <w:t>. The receipt of any payment item by Agent shall not be required to be considered a payment on account unless such payment item is a wire transfer of immediately available funds made to Agent’s Account or unless and until such payment item is honored when presented for payment. Should any payment item not be honored when presented for payment, then Borrowers shall be deemed not to have made such payment. Anything to the contrary contained herein notwithstanding, any payment item shall be deemed received by Agent only if it is received into Agent’s Account on a Business Day on or before 1:30 p.m. If any payment item is received into Agent’s Account on a non-Business Day or after 1:30 p.m. on a Business Day (unless Agent, in its sole discretion, elects to credit it on the date received), it shall be deemed to have been received by Agent as of the opening of business on the immediately following Business Day.</w:t>
      </w:r>
    </w:p>
    <w:p>
      <w:pPr>
        <w:spacing w:after="0" w:line="16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2.8 </w:t>
      </w:r>
      <w:r>
        <w:rPr>
          <w:rFonts w:ascii="Arial" w:cs="Arial" w:eastAsia="Arial" w:hAnsi="Arial"/>
          <w:sz w:val="20"/>
          <w:szCs w:val="20"/>
          <w:b w:val="1"/>
          <w:bCs w:val="1"/>
          <w:u w:val="single" w:color="auto"/>
          <w:color w:val="auto"/>
        </w:rPr>
        <w:t>Designated Account</w:t>
      </w:r>
      <w:r>
        <w:rPr>
          <w:rFonts w:ascii="Arial" w:cs="Arial" w:eastAsia="Arial" w:hAnsi="Arial"/>
          <w:sz w:val="20"/>
          <w:szCs w:val="20"/>
          <w:color w:val="auto"/>
        </w:rPr>
        <w:t xml:space="preserve">. Agent is authorized to make the Revolving Loans and the Capex Advances, and Issuing Bank is authorized to issue the Letters of Credit, under this Agreement based upon telephonic or other instructions received from anyone purporting to be an Authorized Person or, without instructions, if pursuant to </w:t>
      </w:r>
      <w:r>
        <w:rPr>
          <w:rFonts w:ascii="Arial" w:cs="Arial" w:eastAsia="Arial" w:hAnsi="Arial"/>
          <w:sz w:val="20"/>
          <w:szCs w:val="20"/>
          <w:u w:val="single" w:color="auto"/>
          <w:color w:val="auto"/>
        </w:rPr>
        <w:t>Section 2.6(d)</w:t>
      </w:r>
      <w:r>
        <w:rPr>
          <w:rFonts w:ascii="Arial" w:cs="Arial" w:eastAsia="Arial" w:hAnsi="Arial"/>
          <w:sz w:val="20"/>
          <w:szCs w:val="20"/>
          <w:color w:val="auto"/>
        </w:rPr>
        <w:t>. Borrowers agree to establish and maintain the Designated Account with the Designated Account Bank for the purpose of receiving the proceeds of the Revolving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2" w:name="page83"/>
    <w:bookmarkEnd w:id="82"/>
    <w:p>
      <w:pPr>
        <w:jc w:val="both"/>
        <w:spacing w:after="0" w:line="250" w:lineRule="auto"/>
        <w:rPr>
          <w:sz w:val="20"/>
          <w:szCs w:val="20"/>
          <w:color w:val="auto"/>
        </w:rPr>
      </w:pPr>
      <w:r>
        <w:rPr>
          <w:rFonts w:ascii="Arial" w:cs="Arial" w:eastAsia="Arial" w:hAnsi="Arial"/>
          <w:sz w:val="20"/>
          <w:szCs w:val="20"/>
          <w:color w:val="auto"/>
        </w:rPr>
        <w:t>Loans requested by Borrowers and made by Agent or the Lenders hereunder. Unless otherwise agreed by Agent and Borrowers, any Revolving Loan, Capex Advance, or Swing Loan requested by Borrowers and made by Agent or the Lenders hereunder shall be made to the Designated Account.</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2.9 </w:t>
      </w:r>
      <w:r>
        <w:rPr>
          <w:rFonts w:ascii="Arial" w:cs="Arial" w:eastAsia="Arial" w:hAnsi="Arial"/>
          <w:sz w:val="19"/>
          <w:szCs w:val="19"/>
          <w:b w:val="1"/>
          <w:bCs w:val="1"/>
          <w:u w:val="single" w:color="auto"/>
          <w:color w:val="auto"/>
        </w:rPr>
        <w:t>Maintenance of Loan Account; Statements of Obligations</w:t>
      </w:r>
      <w:r>
        <w:rPr>
          <w:rFonts w:ascii="Arial" w:cs="Arial" w:eastAsia="Arial" w:hAnsi="Arial"/>
          <w:sz w:val="19"/>
          <w:szCs w:val="19"/>
          <w:color w:val="auto"/>
        </w:rPr>
        <w:t>. Agent shall maintain an account on its books in the name of Borrowers (the “</w:t>
      </w:r>
      <w:r>
        <w:rPr>
          <w:rFonts w:ascii="Arial" w:cs="Arial" w:eastAsia="Arial" w:hAnsi="Arial"/>
          <w:sz w:val="19"/>
          <w:szCs w:val="19"/>
          <w:u w:val="single" w:color="auto"/>
          <w:color w:val="auto"/>
        </w:rPr>
        <w:t>Loan Account</w:t>
      </w:r>
      <w:r>
        <w:rPr>
          <w:rFonts w:ascii="Arial" w:cs="Arial" w:eastAsia="Arial" w:hAnsi="Arial"/>
          <w:sz w:val="19"/>
          <w:szCs w:val="19"/>
          <w:color w:val="auto"/>
        </w:rPr>
        <w:t xml:space="preserve">”) on which Borrowers will be charged with the Capex Advances, all Revolving Loans (including Extraordinary Advances and Swing Loans) made by Agent, Swing Lender, or the Lenders to Borrowers or for Borrowers’ account, the Letters of Credit issued or arranged by Issuing Bank for Borrowers’ account, and with all other payment Obligations hereunder or under the other Loan Documents, including, accrued interest, fees and expenses, and Lender Group Expenses. In accordance with </w:t>
      </w:r>
      <w:r>
        <w:rPr>
          <w:rFonts w:ascii="Arial" w:cs="Arial" w:eastAsia="Arial" w:hAnsi="Arial"/>
          <w:sz w:val="19"/>
          <w:szCs w:val="19"/>
          <w:u w:val="single" w:color="auto"/>
          <w:color w:val="auto"/>
        </w:rPr>
        <w:t>Section 2.7</w:t>
      </w:r>
      <w:r>
        <w:rPr>
          <w:rFonts w:ascii="Arial" w:cs="Arial" w:eastAsia="Arial" w:hAnsi="Arial"/>
          <w:sz w:val="19"/>
          <w:szCs w:val="19"/>
          <w:color w:val="auto"/>
        </w:rPr>
        <w:t>, the Loan Account will be credited with all payments received by Agent from Borrowers or for Borrowers’ account. Agent shall make available to Borrowers monthly statements regarding the Loan Account, including the principal amount of the Capex Advances and the Revolving Loans, interest accrued hereunder, fees accrued or charged hereunder or under the other Loan Documents, and a summary itemization of all charges and expenses constituting Lender Group Expenses accrued hereunder or under the other Loan Documents, and each such statement, absent manifest error, shall be conclusively presumed to be correct and accurate and constitute an account stated between Borrowers and the Lender Group unless, within 30 days after Agent first makes such a statement available to Borrowers, Borrowers shall deliver to Agent written objection thereto describing the error or errors contained in such statement.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6"/>
          <w:szCs w:val="16"/>
          <w:b w:val="1"/>
          <w:bCs w:val="1"/>
          <w:u w:val="single" w:color="auto"/>
          <w:color w:val="auto"/>
        </w:rPr>
        <w:t>Fees</w:t>
      </w:r>
      <w:r>
        <w:rPr>
          <w:rFonts w:ascii="Arial" w:cs="Arial" w:eastAsia="Arial" w:hAnsi="Arial"/>
          <w:sz w:val="16"/>
          <w:szCs w:val="16"/>
          <w:b w:val="1"/>
          <w:bCs w:val="1"/>
          <w:color w:val="auto"/>
        </w:rPr>
        <w:t>.</w:t>
      </w:r>
    </w:p>
    <w:p>
      <w:pPr>
        <w:spacing w:after="0" w:line="216" w:lineRule="exact"/>
        <w:rPr>
          <w:sz w:val="20"/>
          <w:szCs w:val="20"/>
          <w:color w:val="auto"/>
        </w:rPr>
      </w:pPr>
    </w:p>
    <w:p>
      <w:pPr>
        <w:ind w:firstLine="1304"/>
        <w:spacing w:after="0" w:line="267" w:lineRule="auto"/>
        <w:tabs>
          <w:tab w:leader="none" w:pos="1944" w:val="left"/>
        </w:tabs>
        <w:numPr>
          <w:ilvl w:val="0"/>
          <w:numId w:val="91"/>
        </w:numPr>
        <w:rPr>
          <w:rFonts w:ascii="Arial" w:cs="Arial" w:eastAsia="Arial" w:hAnsi="Arial"/>
          <w:sz w:val="20"/>
          <w:szCs w:val="20"/>
          <w:color w:val="auto"/>
        </w:rPr>
      </w:pPr>
      <w:r>
        <w:rPr>
          <w:rFonts w:ascii="Arial" w:cs="Arial" w:eastAsia="Arial" w:hAnsi="Arial"/>
          <w:sz w:val="20"/>
          <w:szCs w:val="20"/>
          <w:b w:val="1"/>
          <w:bCs w:val="1"/>
          <w:color w:val="auto"/>
        </w:rPr>
        <w:t>Agent Fees</w:t>
      </w:r>
      <w:r>
        <w:rPr>
          <w:rFonts w:ascii="Arial" w:cs="Arial" w:eastAsia="Arial" w:hAnsi="Arial"/>
          <w:sz w:val="20"/>
          <w:szCs w:val="20"/>
          <w:color w:val="auto"/>
        </w:rPr>
        <w:t>. Borrowers shall pay to Agent, for the account of Agent, as and when due and payable</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the terms of the Fee Letter, the fees set forth in the Fee Letter.</w:t>
      </w:r>
    </w:p>
    <w:p>
      <w:pPr>
        <w:spacing w:after="0" w:line="163" w:lineRule="exact"/>
        <w:rPr>
          <w:rFonts w:ascii="Arial" w:cs="Arial" w:eastAsia="Arial" w:hAnsi="Arial"/>
          <w:sz w:val="20"/>
          <w:szCs w:val="20"/>
          <w:color w:val="auto"/>
        </w:rPr>
      </w:pPr>
    </w:p>
    <w:p>
      <w:pPr>
        <w:jc w:val="both"/>
        <w:ind w:firstLine="1304"/>
        <w:spacing w:after="0" w:line="277" w:lineRule="auto"/>
        <w:tabs>
          <w:tab w:leader="none" w:pos="1944"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Unused Line Fee</w:t>
      </w:r>
      <w:r>
        <w:rPr>
          <w:rFonts w:ascii="Arial" w:cs="Arial" w:eastAsia="Arial" w:hAnsi="Arial"/>
          <w:sz w:val="18"/>
          <w:szCs w:val="18"/>
          <w:color w:val="auto"/>
        </w:rPr>
        <w:t>. Borrowers shall pay to Agent, for the ratable account of the Revolving Lenders,</w:t>
      </w:r>
      <w:r>
        <w:rPr>
          <w:rFonts w:ascii="Arial" w:cs="Arial" w:eastAsia="Arial" w:hAnsi="Arial"/>
          <w:sz w:val="18"/>
          <w:szCs w:val="18"/>
          <w:b w:val="1"/>
          <w:bCs w:val="1"/>
          <w:color w:val="auto"/>
        </w:rPr>
        <w:t xml:space="preserve"> </w:t>
      </w:r>
      <w:r>
        <w:rPr>
          <w:rFonts w:ascii="Arial" w:cs="Arial" w:eastAsia="Arial" w:hAnsi="Arial"/>
          <w:sz w:val="18"/>
          <w:szCs w:val="18"/>
          <w:color w:val="auto"/>
        </w:rPr>
        <w:t>an unused line fee (the “</w:t>
      </w:r>
      <w:r>
        <w:rPr>
          <w:rFonts w:ascii="Arial" w:cs="Arial" w:eastAsia="Arial" w:hAnsi="Arial"/>
          <w:sz w:val="18"/>
          <w:szCs w:val="18"/>
          <w:u w:val="single" w:color="auto"/>
          <w:color w:val="auto"/>
        </w:rPr>
        <w:t>Unused Line Fee</w:t>
      </w:r>
      <w:r>
        <w:rPr>
          <w:rFonts w:ascii="Arial" w:cs="Arial" w:eastAsia="Arial" w:hAnsi="Arial"/>
          <w:sz w:val="18"/>
          <w:szCs w:val="18"/>
          <w:color w:val="auto"/>
        </w:rPr>
        <w:t xml:space="preserve">”) in an amount equal to the Applicable Unused Line Fee Percentage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times the result of (i) the aggregate amount of the Revolver Commitments, less (ii) the Average Revolver Usage during the immediately preceding month (or portion thereof), which Unused Line Fee shall be due and payable, in arrears, on the first day of each month from and after the Closing Date up to the first day of the month prior to the date on which the Obligations are paid in full and on the date on which the Obligations are paid in full.</w:t>
      </w:r>
    </w:p>
    <w:p>
      <w:pPr>
        <w:spacing w:after="0" w:line="159" w:lineRule="exact"/>
        <w:rPr>
          <w:rFonts w:ascii="Arial" w:cs="Arial" w:eastAsia="Arial" w:hAnsi="Arial"/>
          <w:sz w:val="18"/>
          <w:szCs w:val="18"/>
          <w:color w:val="auto"/>
        </w:rPr>
      </w:pPr>
    </w:p>
    <w:p>
      <w:pPr>
        <w:jc w:val="both"/>
        <w:ind w:firstLine="1304"/>
        <w:spacing w:after="0" w:line="244" w:lineRule="auto"/>
        <w:tabs>
          <w:tab w:leader="none" w:pos="1944" w:val="left"/>
        </w:tabs>
        <w:numPr>
          <w:ilvl w:val="0"/>
          <w:numId w:val="91"/>
        </w:numPr>
        <w:rPr>
          <w:rFonts w:ascii="Arial" w:cs="Arial" w:eastAsia="Arial" w:hAnsi="Arial"/>
          <w:sz w:val="20"/>
          <w:szCs w:val="20"/>
          <w:color w:val="auto"/>
        </w:rPr>
      </w:pPr>
      <w:r>
        <w:rPr>
          <w:rFonts w:ascii="Arial" w:cs="Arial" w:eastAsia="Arial" w:hAnsi="Arial"/>
          <w:sz w:val="20"/>
          <w:szCs w:val="20"/>
          <w:b w:val="1"/>
          <w:bCs w:val="1"/>
          <w:color w:val="auto"/>
        </w:rPr>
        <w:t>Field Examination and Other Fees</w:t>
      </w:r>
      <w:r>
        <w:rPr>
          <w:rFonts w:ascii="Arial" w:cs="Arial" w:eastAsia="Arial" w:hAnsi="Arial"/>
          <w:sz w:val="20"/>
          <w:szCs w:val="20"/>
          <w:color w:val="auto"/>
        </w:rPr>
        <w:t>. Subject to any limitations set forth in</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5.7(c)</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Borrowers shall pay to Agent, field examination, appraisal, and valuation fees and charges, as and when incurred or chargeable, as follows (i) the per diem charge at Wells Fargo’s then standard rate for examiners in the field and office, </w:t>
      </w:r>
      <w:r>
        <w:rPr>
          <w:rFonts w:ascii="Arial" w:cs="Arial" w:eastAsia="Arial" w:hAnsi="Arial"/>
          <w:sz w:val="20"/>
          <w:szCs w:val="20"/>
          <w:i w:val="1"/>
          <w:iCs w:val="1"/>
          <w:u w:val="single" w:color="auto"/>
          <w:color w:val="auto"/>
        </w:rPr>
        <w:t>plus</w:t>
      </w:r>
      <w:r>
        <w:rPr>
          <w:rFonts w:ascii="Arial" w:cs="Arial" w:eastAsia="Arial" w:hAnsi="Arial"/>
          <w:sz w:val="20"/>
          <w:szCs w:val="20"/>
          <w:color w:val="auto"/>
        </w:rPr>
        <w:t xml:space="preserve"> reasonable and documented out-of-pocket expenses (including travel, meals, and lodging) for each field examination of any Loan Party or its Subsidiaries performed by or on behalf of Agent, and (ii) the reasonable and documented fees, charges or expenses paid or incurred by Agent if it elects to employ the services of one or more third Persons to examine or appraise the Collateral, or any portion thereof.</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8"/>
          <w:szCs w:val="18"/>
          <w:b w:val="1"/>
          <w:bCs w:val="1"/>
          <w:u w:val="single" w:color="auto"/>
          <w:color w:val="auto"/>
        </w:rPr>
        <w:t>Letters of Credit</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1304"/>
        <w:spacing w:after="0" w:line="243" w:lineRule="auto"/>
        <w:tabs>
          <w:tab w:leader="none" w:pos="1944" w:val="left"/>
        </w:tabs>
        <w:numPr>
          <w:ilvl w:val="0"/>
          <w:numId w:val="92"/>
        </w:numPr>
        <w:rPr>
          <w:rFonts w:ascii="Arial" w:cs="Arial" w:eastAsia="Arial" w:hAnsi="Arial"/>
          <w:sz w:val="20"/>
          <w:szCs w:val="20"/>
          <w:color w:val="auto"/>
        </w:rPr>
      </w:pPr>
      <w:r>
        <w:rPr>
          <w:rFonts w:ascii="Arial" w:cs="Arial" w:eastAsia="Arial" w:hAnsi="Arial"/>
          <w:sz w:val="20"/>
          <w:szCs w:val="20"/>
          <w:color w:val="auto"/>
        </w:rPr>
        <w:t>Subject to the terms and conditions of this Agreement, upon the request of Borrowers made in accordance herewith, and prior to the Maturity Date, Issuing Bank agrees to issue a requested standby Letter of Credit or a sight commercial Letter of Credit for the account of Borrowers. By submitting a request to Issuing Bank for the issuance of a Letter of Credit, Borrowers shall be deemed to have requested that Issuing Bank issue the requested Letter of Credit. Each request for the issuance of a Letter of Credit, or the amendment or extension of any outstanding Letter of Credit, shall be (i) irrevocable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3" w:name="page84"/>
    <w:bookmarkEnd w:id="83"/>
    <w:p>
      <w:pPr>
        <w:jc w:val="both"/>
        <w:spacing w:after="0" w:line="270" w:lineRule="auto"/>
        <w:rPr>
          <w:sz w:val="20"/>
          <w:szCs w:val="20"/>
          <w:color w:val="auto"/>
        </w:rPr>
      </w:pPr>
      <w:r>
        <w:rPr>
          <w:rFonts w:ascii="Arial" w:cs="Arial" w:eastAsia="Arial" w:hAnsi="Arial"/>
          <w:sz w:val="18"/>
          <w:szCs w:val="18"/>
          <w:color w:val="auto"/>
        </w:rPr>
        <w:t xml:space="preserve">and made in writing by an Authorized Person, (ii) delivered to Agent and Issuing Bank via telefacsimile or other electronic method of transmission reasonably acceptable to Agent and Issuing Bank and reasonably in advance of the requested date of issuance, amendment, or extension, and (iii) subject to Issuing Bank’s authentication procedures with results satisfactory to Issuing Bank. Each such request shall be in form and substance reasonably satisfactory to Agent and Issuing Bank and (i) shall specify (A) the amount of such Letter of Credit, (B) the date of issuance, amendment, or extension of such Letter of Credit, (C) the proposed expiration date of such Letter of Credit, (D) the name and address of the beneficiary of the Letter of Credit, and (E) such other information (including, the conditions to drawing, and, in the case of an amendment or extension, identification of the Letter of Credit to be so amended or extended) as shall be necessary to prepare, amend, or extend such Letter of Credit, and (ii) shall be accompanied by such Issuer Documents as Agent or Issuing Bank may request or require, to the extent that such requests or requirements are consistent with the Issuer Documents that Issuing Bank generally requests for Letters of Credit in similar circumstances. Issuing Bank’s records of the content of any such request will be conclusive. Anything contained herein to the contrary notwithstanding, Issuing Bank may, but shall not be obligated to, issue a Letter of Credit that supports the obligations of a Loan Party or one of its Subsidiaries in respect of </w:t>
      </w:r>
      <w:r>
        <w:rPr>
          <w:rFonts w:ascii="Arial" w:cs="Arial" w:eastAsia="Arial" w:hAnsi="Arial"/>
          <w:sz w:val="18"/>
          <w:szCs w:val="18"/>
          <w:b w:val="1"/>
          <w:bCs w:val="1"/>
          <w:color w:val="auto"/>
        </w:rPr>
        <w:t>(</w:t>
      </w:r>
      <w:r>
        <w:rPr>
          <w:rFonts w:ascii="Arial" w:cs="Arial" w:eastAsia="Arial" w:hAnsi="Arial"/>
          <w:sz w:val="18"/>
          <w:szCs w:val="18"/>
          <w:color w:val="auto"/>
        </w:rPr>
        <w:t>x) a lease of real property, or (y) an employment contract.</w:t>
      </w:r>
    </w:p>
    <w:p>
      <w:pPr>
        <w:spacing w:after="0" w:line="170" w:lineRule="exact"/>
        <w:rPr>
          <w:sz w:val="20"/>
          <w:szCs w:val="20"/>
          <w:color w:val="auto"/>
        </w:rPr>
      </w:pPr>
    </w:p>
    <w:p>
      <w:pPr>
        <w:ind w:firstLine="1304"/>
        <w:spacing w:after="0" w:line="260" w:lineRule="auto"/>
        <w:tabs>
          <w:tab w:leader="none" w:pos="1944" w:val="left"/>
        </w:tabs>
        <w:numPr>
          <w:ilvl w:val="0"/>
          <w:numId w:val="93"/>
        </w:numPr>
        <w:rPr>
          <w:rFonts w:ascii="Arial" w:cs="Arial" w:eastAsia="Arial" w:hAnsi="Arial"/>
          <w:sz w:val="20"/>
          <w:szCs w:val="20"/>
          <w:color w:val="auto"/>
        </w:rPr>
      </w:pPr>
      <w:r>
        <w:rPr>
          <w:rFonts w:ascii="Arial" w:cs="Arial" w:eastAsia="Arial" w:hAnsi="Arial"/>
          <w:sz w:val="20"/>
          <w:szCs w:val="20"/>
          <w:color w:val="auto"/>
        </w:rPr>
        <w:t>Issuing Bank shall have no obligation to issue a Letter of Credit if any of the following would result after giving effect to the requested issuance:</w:t>
      </w:r>
    </w:p>
    <w:p>
      <w:pPr>
        <w:spacing w:after="0" w:line="176" w:lineRule="exact"/>
        <w:rPr>
          <w:rFonts w:ascii="Arial" w:cs="Arial" w:eastAsia="Arial" w:hAnsi="Arial"/>
          <w:sz w:val="20"/>
          <w:szCs w:val="20"/>
          <w:color w:val="auto"/>
        </w:rPr>
      </w:pPr>
    </w:p>
    <w:p>
      <w:pPr>
        <w:ind w:left="2600" w:hanging="648"/>
        <w:spacing w:after="0"/>
        <w:tabs>
          <w:tab w:leader="none" w:pos="2600" w:val="left"/>
        </w:tabs>
        <w:numPr>
          <w:ilvl w:val="1"/>
          <w:numId w:val="93"/>
        </w:numPr>
        <w:rPr>
          <w:rFonts w:ascii="Arial" w:cs="Arial" w:eastAsia="Arial" w:hAnsi="Arial"/>
          <w:sz w:val="20"/>
          <w:szCs w:val="20"/>
          <w:color w:val="auto"/>
        </w:rPr>
      </w:pPr>
      <w:r>
        <w:rPr>
          <w:rFonts w:ascii="Arial" w:cs="Arial" w:eastAsia="Arial" w:hAnsi="Arial"/>
          <w:sz w:val="20"/>
          <w:szCs w:val="20"/>
          <w:color w:val="auto"/>
        </w:rPr>
        <w:t>the Letter of Credit Usage would exceed the Letter of Credit Sublimit, or</w:t>
      </w:r>
    </w:p>
    <w:p>
      <w:pPr>
        <w:spacing w:after="0" w:line="215" w:lineRule="exact"/>
        <w:rPr>
          <w:rFonts w:ascii="Arial" w:cs="Arial" w:eastAsia="Arial" w:hAnsi="Arial"/>
          <w:sz w:val="20"/>
          <w:szCs w:val="20"/>
          <w:color w:val="auto"/>
        </w:rPr>
      </w:pPr>
    </w:p>
    <w:p>
      <w:pPr>
        <w:ind w:firstLine="1952"/>
        <w:spacing w:after="0" w:line="260" w:lineRule="auto"/>
        <w:tabs>
          <w:tab w:leader="none" w:pos="2592" w:val="left"/>
        </w:tabs>
        <w:numPr>
          <w:ilvl w:val="1"/>
          <w:numId w:val="93"/>
        </w:numPr>
        <w:rPr>
          <w:rFonts w:ascii="Arial" w:cs="Arial" w:eastAsia="Arial" w:hAnsi="Arial"/>
          <w:sz w:val="20"/>
          <w:szCs w:val="20"/>
          <w:color w:val="auto"/>
        </w:rPr>
      </w:pPr>
      <w:r>
        <w:rPr>
          <w:rFonts w:ascii="Arial" w:cs="Arial" w:eastAsia="Arial" w:hAnsi="Arial"/>
          <w:sz w:val="20"/>
          <w:szCs w:val="20"/>
          <w:color w:val="auto"/>
        </w:rPr>
        <w:t xml:space="preserve">the Letter of Credit Usage would exceed the Maximum Revolver Amount </w:t>
      </w:r>
      <w:r>
        <w:rPr>
          <w:rFonts w:ascii="Arial" w:cs="Arial" w:eastAsia="Arial" w:hAnsi="Arial"/>
          <w:sz w:val="20"/>
          <w:szCs w:val="20"/>
          <w:i w:val="1"/>
          <w:iCs w:val="1"/>
          <w:u w:val="single" w:color="auto"/>
          <w:color w:val="auto"/>
        </w:rPr>
        <w:t>less</w:t>
      </w:r>
      <w:r>
        <w:rPr>
          <w:rFonts w:ascii="Arial" w:cs="Arial" w:eastAsia="Arial" w:hAnsi="Arial"/>
          <w:sz w:val="20"/>
          <w:szCs w:val="20"/>
          <w:color w:val="auto"/>
        </w:rPr>
        <w:t xml:space="preserve"> the outstanding amount of Revolving Loans (including Swing Loans), or</w:t>
      </w:r>
    </w:p>
    <w:p>
      <w:pPr>
        <w:spacing w:after="0" w:line="176" w:lineRule="exact"/>
        <w:rPr>
          <w:rFonts w:ascii="Arial" w:cs="Arial" w:eastAsia="Arial" w:hAnsi="Arial"/>
          <w:sz w:val="20"/>
          <w:szCs w:val="20"/>
          <w:color w:val="auto"/>
        </w:rPr>
      </w:pPr>
    </w:p>
    <w:p>
      <w:pPr>
        <w:ind w:firstLine="1952"/>
        <w:spacing w:after="0" w:line="260" w:lineRule="auto"/>
        <w:tabs>
          <w:tab w:leader="none" w:pos="2592" w:val="left"/>
        </w:tabs>
        <w:numPr>
          <w:ilvl w:val="1"/>
          <w:numId w:val="93"/>
        </w:numPr>
        <w:rPr>
          <w:rFonts w:ascii="Arial" w:cs="Arial" w:eastAsia="Arial" w:hAnsi="Arial"/>
          <w:sz w:val="20"/>
          <w:szCs w:val="20"/>
          <w:color w:val="auto"/>
        </w:rPr>
      </w:pPr>
      <w:r>
        <w:rPr>
          <w:rFonts w:ascii="Arial" w:cs="Arial" w:eastAsia="Arial" w:hAnsi="Arial"/>
          <w:sz w:val="20"/>
          <w:szCs w:val="20"/>
          <w:color w:val="auto"/>
        </w:rPr>
        <w:t xml:space="preserve">the Letter of Credit Usage would exceed the Borrowing Base at such time </w:t>
      </w:r>
      <w:r>
        <w:rPr>
          <w:rFonts w:ascii="Arial" w:cs="Arial" w:eastAsia="Arial" w:hAnsi="Arial"/>
          <w:sz w:val="20"/>
          <w:szCs w:val="20"/>
          <w:i w:val="1"/>
          <w:iCs w:val="1"/>
          <w:u w:val="single" w:color="auto"/>
          <w:color w:val="auto"/>
        </w:rPr>
        <w:t>less</w:t>
      </w:r>
      <w:r>
        <w:rPr>
          <w:rFonts w:ascii="Arial" w:cs="Arial" w:eastAsia="Arial" w:hAnsi="Arial"/>
          <w:sz w:val="20"/>
          <w:szCs w:val="20"/>
          <w:color w:val="auto"/>
        </w:rPr>
        <w:t xml:space="preserve"> the outstanding principal balance of the Revolving Loans (inclusive of Swing Loans) at such time.</w:t>
      </w:r>
    </w:p>
    <w:p>
      <w:pPr>
        <w:spacing w:after="0" w:line="176" w:lineRule="exact"/>
        <w:rPr>
          <w:rFonts w:ascii="Arial" w:cs="Arial" w:eastAsia="Arial" w:hAnsi="Arial"/>
          <w:sz w:val="20"/>
          <w:szCs w:val="20"/>
          <w:color w:val="auto"/>
        </w:rPr>
      </w:pPr>
    </w:p>
    <w:p>
      <w:pPr>
        <w:jc w:val="both"/>
        <w:ind w:firstLine="1304"/>
        <w:spacing w:after="0" w:line="270" w:lineRule="auto"/>
        <w:tabs>
          <w:tab w:leader="none" w:pos="1944"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In the event there is a Defaulting Lender as of the date of any request for the issuance of a Letter of Credit, Issuing Bank shall not be required to issue or arrange for such Letter of Credit to the extent (i) the Defaulting Lender’s Letter of Credit Exposure with respect to such Letter of Credit may not be reallocated pursuant to </w:t>
      </w:r>
      <w:r>
        <w:rPr>
          <w:rFonts w:ascii="Arial" w:cs="Arial" w:eastAsia="Arial" w:hAnsi="Arial"/>
          <w:sz w:val="18"/>
          <w:szCs w:val="18"/>
          <w:u w:val="single" w:color="auto"/>
          <w:color w:val="auto"/>
        </w:rPr>
        <w:t>Section 2.3(g)</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(ii) Issuing Bank has not otherwise entered into arrangements reasonably satisfactory to it and Borrowers to eliminate Issuing Bank’s risk with respect to the participation in such Letter of Credit of the Defaulting Lender, which arrangements may include Borrowers cash collateralizing such Defaulting Lender’s Letter of Credit Exposure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2.3(g)(ii)</w:t>
      </w:r>
      <w:r>
        <w:rPr>
          <w:rFonts w:ascii="Arial" w:cs="Arial" w:eastAsia="Arial" w:hAnsi="Arial"/>
          <w:sz w:val="18"/>
          <w:szCs w:val="18"/>
          <w:color w:val="auto"/>
        </w:rPr>
        <w:t>. Additionally, Issuing Bank shall have no obligation to issue or extend a Letter of Credit if (A) any order, judgment, or decree of any Governmental Authority or arbitrator shall, by its terms, purport to enjoin or restrain Issuing Bank from issuing such Letter of Credit, or any law applicable to Issuing Bank or any request or directive (whether or not having the force of law) from any Governmental Authority with jurisdiction over Issuing Bank shall prohibit or request that Issuing Bank refrain from the issuance of letters of credit generally or such Letter of Credit in particular, or (B) the issuance of such Letter of Credit would violate one or more policies of Issuing Bank applicable to letters of credit generally.</w:t>
      </w:r>
    </w:p>
    <w:p>
      <w:pPr>
        <w:spacing w:after="0" w:line="175" w:lineRule="exact"/>
        <w:rPr>
          <w:rFonts w:ascii="Arial" w:cs="Arial" w:eastAsia="Arial" w:hAnsi="Arial"/>
          <w:sz w:val="18"/>
          <w:szCs w:val="18"/>
          <w:color w:val="auto"/>
        </w:rPr>
      </w:pPr>
    </w:p>
    <w:p>
      <w:pPr>
        <w:jc w:val="both"/>
        <w:ind w:firstLine="1304"/>
        <w:spacing w:after="0" w:line="274" w:lineRule="auto"/>
        <w:tabs>
          <w:tab w:leader="none" w:pos="1944"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Issuing Bank (other than Wells Fargo or any of its Affiliates) shall notify Agent in writing no later than the Business Day prior to the Business Day on which such Issuing Bank issues any Letter of Credit. In addition, each Issuing Bank (other than Wells Fargo or any of its Affiliates) shall, on the first Business Day of each week, submit to Agent a report detailing the daily undrawn amount of each Letter of Credit issued by such Issuing Bank during the prior calendar week. Each Letter of Credit shall be in form and substance reasonably acceptable to Issuing Bank, including the requirement that the amounts payable thereunder must be payable in Dollars. If Issuing Bank makes a payment under a Letter of Credit, Borrowers shall pay to Agent an amount equal to the applicable Letter of Credit Disbursement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4" w:name="page85"/>
    <w:bookmarkEnd w:id="84"/>
    <w:p>
      <w:pPr>
        <w:jc w:val="both"/>
        <w:spacing w:after="0" w:line="256" w:lineRule="auto"/>
        <w:rPr>
          <w:sz w:val="20"/>
          <w:szCs w:val="20"/>
          <w:color w:val="auto"/>
        </w:rPr>
      </w:pPr>
      <w:r>
        <w:rPr>
          <w:rFonts w:ascii="Arial" w:cs="Arial" w:eastAsia="Arial" w:hAnsi="Arial"/>
          <w:sz w:val="19"/>
          <w:szCs w:val="19"/>
          <w:color w:val="auto"/>
        </w:rPr>
        <w:t xml:space="preserve">on the Business Day such Letter of Credit Disbursement is made and, in the absence of such payment, the amount of the Letter of Credit Disbursement immediately and automatically shall be deemed to be a Revolving Loan hereunder (notwithstanding any failure to satisfy any condition precedent set forth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and, initially, shall bear interest at the rate then applicable to Revolving Loans that are Base Rate Loans. If a Letter of Credit Disbursement is deemed to be a Revolving Loan hereunder, Borrowers’ obligation to pay the amount of such Letter of Credit Disbursement to Issuing Bank shall be automatically converted into an obligation to pay the resulting Revolving Loan. Promptly following receipt by Agent of any payment from Borrowers pursuant to this paragraph, Agent shall distribute such payment to Issuing Bank or, to the extent that Revolving Lenders have made payments pursuant to </w:t>
      </w:r>
      <w:r>
        <w:rPr>
          <w:rFonts w:ascii="Arial" w:cs="Arial" w:eastAsia="Arial" w:hAnsi="Arial"/>
          <w:sz w:val="19"/>
          <w:szCs w:val="19"/>
          <w:u w:val="single" w:color="auto"/>
          <w:color w:val="auto"/>
        </w:rPr>
        <w:t>Section 2.11(e)</w:t>
      </w:r>
      <w:r>
        <w:rPr>
          <w:rFonts w:ascii="Arial" w:cs="Arial" w:eastAsia="Arial" w:hAnsi="Arial"/>
          <w:sz w:val="19"/>
          <w:szCs w:val="19"/>
          <w:color w:val="auto"/>
        </w:rPr>
        <w:t xml:space="preserve"> to reimburse Issuing Bank, then to such Revolving Lenders and Issuing Bank as their interests may appear.</w:t>
      </w:r>
    </w:p>
    <w:p>
      <w:pPr>
        <w:spacing w:after="0" w:line="185" w:lineRule="exact"/>
        <w:rPr>
          <w:sz w:val="20"/>
          <w:szCs w:val="20"/>
          <w:color w:val="auto"/>
        </w:rPr>
      </w:pPr>
    </w:p>
    <w:p>
      <w:pPr>
        <w:jc w:val="both"/>
        <w:ind w:firstLine="1304"/>
        <w:spacing w:after="0" w:line="268" w:lineRule="auto"/>
        <w:tabs>
          <w:tab w:leader="none" w:pos="1944"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Promptly following receipt of a notice of a Letter of Credit Disbursement pursuant to </w:t>
      </w:r>
      <w:r>
        <w:rPr>
          <w:rFonts w:ascii="Arial" w:cs="Arial" w:eastAsia="Arial" w:hAnsi="Arial"/>
          <w:sz w:val="18"/>
          <w:szCs w:val="18"/>
          <w:u w:val="single" w:color="auto"/>
          <w:color w:val="auto"/>
        </w:rPr>
        <w:t>Section 2.11(d)</w:t>
      </w:r>
      <w:r>
        <w:rPr>
          <w:rFonts w:ascii="Arial" w:cs="Arial" w:eastAsia="Arial" w:hAnsi="Arial"/>
          <w:sz w:val="18"/>
          <w:szCs w:val="18"/>
          <w:color w:val="auto"/>
        </w:rPr>
        <w:t xml:space="preserve">, each Revolving Lender agrees to fund its Pro Rata Share of any Revolving Loan deemed made pursuant to </w:t>
      </w:r>
      <w:r>
        <w:rPr>
          <w:rFonts w:ascii="Arial" w:cs="Arial" w:eastAsia="Arial" w:hAnsi="Arial"/>
          <w:sz w:val="18"/>
          <w:szCs w:val="18"/>
          <w:u w:val="single" w:color="auto"/>
          <w:color w:val="auto"/>
        </w:rPr>
        <w:t>Section 2.11(d)</w:t>
      </w:r>
      <w:r>
        <w:rPr>
          <w:rFonts w:ascii="Arial" w:cs="Arial" w:eastAsia="Arial" w:hAnsi="Arial"/>
          <w:sz w:val="18"/>
          <w:szCs w:val="18"/>
          <w:color w:val="auto"/>
        </w:rPr>
        <w:t xml:space="preserve"> on the same terms and conditions as if Borrowers had requested the amount thereof as a Revolving Loan and Agent shall promptly pay to Issuing Bank the amounts so received by it from the Revolving Lenders. By the issuance of a Letter of Credit (or an amendment or extension of a Letter of Credit) and without any further action on the part of Issuing Bank or the Revolving Lenders, Issuing Bank shall be deemed to have granted to each Revolving Lender, and each Revolving Lender shall be deemed to have purchased, a participation in each Letter of Credit issued by Issuing Bank, in an amount equal to its Pro Rata Share of such Letter of Credit, and each such Revolving Lender agrees to pay to Agent, for the account of Issuing Bank, such Revolving Lender’s Pro Rata Share of any Letter of Credit Disbursement made by Issuing Bank under the applicable Letter of Credit. In consideration and in furtherance of the foregoing, each Revolving Lender hereby absolutely and unconditionally agrees to pay to Agent, for the account of Issuing Bank, such Revolving Lender’s Pro Rata Share of each Letter of Credit Disbursement made by Issuing Bank and not reimbursed by Borrowers on the date due as provided in </w:t>
      </w:r>
      <w:r>
        <w:rPr>
          <w:rFonts w:ascii="Arial" w:cs="Arial" w:eastAsia="Arial" w:hAnsi="Arial"/>
          <w:sz w:val="18"/>
          <w:szCs w:val="18"/>
          <w:u w:val="single" w:color="auto"/>
          <w:color w:val="auto"/>
        </w:rPr>
        <w:t>Section 2.11(d)</w:t>
      </w:r>
      <w:r>
        <w:rPr>
          <w:rFonts w:ascii="Arial" w:cs="Arial" w:eastAsia="Arial" w:hAnsi="Arial"/>
          <w:sz w:val="18"/>
          <w:szCs w:val="18"/>
          <w:color w:val="auto"/>
        </w:rPr>
        <w:t xml:space="preserve">, or of any reimbursement payment that is required to be refunded (or that Agent or Issuing Bank elects, based upon the advice of counsel, to refund) to Borrowers for any reason. Each Revolving Lender acknowledges and agrees that its obligation to deliver to Agent, for the account of Issuing Bank, an amount equal to its respective Pro Rata Share of each Letter of Credit Disbursement pursuant to this </w:t>
      </w:r>
      <w:r>
        <w:rPr>
          <w:rFonts w:ascii="Arial" w:cs="Arial" w:eastAsia="Arial" w:hAnsi="Arial"/>
          <w:sz w:val="18"/>
          <w:szCs w:val="18"/>
          <w:u w:val="single" w:color="auto"/>
          <w:color w:val="auto"/>
        </w:rPr>
        <w:t>Section 2.11(e)</w:t>
      </w:r>
      <w:r>
        <w:rPr>
          <w:rFonts w:ascii="Arial" w:cs="Arial" w:eastAsia="Arial" w:hAnsi="Arial"/>
          <w:sz w:val="18"/>
          <w:szCs w:val="18"/>
          <w:color w:val="auto"/>
        </w:rPr>
        <w:t xml:space="preserve"> shall be absolute and unconditional and such remittance shall be made notwithstanding the occurrence or continuation of an Event of Default or Default or the failure to satisfy any condition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If any such Revolving Lender fails to make available to Agent the amount of such Revolving Lender’s Pro Rata Share of a Letter of Credit Disbursement as provided in this Section, such Revolving Lender shall be deemed to be a Defaulting Lender and Agent (for the account of Issuing Bank) shall be entitled to recover such amount on demand from such Revolving Lender together with interest thereon at the Defaulting Lender Rate until paid in full.</w:t>
      </w:r>
    </w:p>
    <w:p>
      <w:pPr>
        <w:spacing w:after="0" w:line="200" w:lineRule="exact"/>
        <w:rPr>
          <w:rFonts w:ascii="Arial" w:cs="Arial" w:eastAsia="Arial" w:hAnsi="Arial"/>
          <w:sz w:val="18"/>
          <w:szCs w:val="18"/>
          <w:color w:val="auto"/>
        </w:rPr>
      </w:pPr>
    </w:p>
    <w:p>
      <w:pPr>
        <w:spacing w:after="0" w:line="211" w:lineRule="exact"/>
        <w:rPr>
          <w:rFonts w:ascii="Arial" w:cs="Arial" w:eastAsia="Arial" w:hAnsi="Arial"/>
          <w:sz w:val="18"/>
          <w:szCs w:val="18"/>
          <w:color w:val="auto"/>
        </w:rPr>
      </w:pPr>
    </w:p>
    <w:p>
      <w:pPr>
        <w:jc w:val="both"/>
        <w:ind w:firstLine="1304"/>
        <w:spacing w:after="0" w:line="272" w:lineRule="auto"/>
        <w:tabs>
          <w:tab w:leader="none" w:pos="1944" w:val="left"/>
        </w:tabs>
        <w:numPr>
          <w:ilvl w:val="0"/>
          <w:numId w:val="94"/>
        </w:numPr>
        <w:rPr>
          <w:rFonts w:ascii="Arial" w:cs="Arial" w:eastAsia="Arial" w:hAnsi="Arial"/>
          <w:sz w:val="18"/>
          <w:szCs w:val="18"/>
          <w:color w:val="auto"/>
        </w:rPr>
      </w:pPr>
      <w:r>
        <w:rPr>
          <w:rFonts w:ascii="Arial" w:cs="Arial" w:eastAsia="Arial" w:hAnsi="Arial"/>
          <w:sz w:val="18"/>
          <w:szCs w:val="18"/>
          <w:color w:val="auto"/>
        </w:rPr>
        <w:t>Each Borrower agrees to indemnify, defend and hold harmless each member of the Lender Group (including Issuing Bank and its branches, Affiliates, and correspondents) and each such Person’s respective directors, officers, employees, attorneys and agents (each, including Issuing Bank, a “</w:t>
      </w:r>
      <w:r>
        <w:rPr>
          <w:rFonts w:ascii="Arial" w:cs="Arial" w:eastAsia="Arial" w:hAnsi="Arial"/>
          <w:sz w:val="18"/>
          <w:szCs w:val="18"/>
          <w:u w:val="single" w:color="auto"/>
          <w:color w:val="auto"/>
        </w:rPr>
        <w:t>Letter of Credit Related Person</w:t>
      </w:r>
      <w:r>
        <w:rPr>
          <w:rFonts w:ascii="Arial" w:cs="Arial" w:eastAsia="Arial" w:hAnsi="Arial"/>
          <w:sz w:val="18"/>
          <w:szCs w:val="18"/>
          <w:color w:val="auto"/>
        </w:rPr>
        <w:t xml:space="preserve">”) (to the fullest extent permitted by law) from and against any and all claims, demands, suits, actions, investigations, proceedings, liabilities, fines, costs, penalties, and damages, and all reasonable fees and disbursements of attorneys, experts, or consultants and all other costs and expenses actually incurred in connection therewith or in connection with the enforcement of this indemnification (as and when they are incurred and irrespective of whether suit is brought), which may be incurred by or awarded against any such Letter of Credit Related Person (other than Taxes, which shall be governed by </w:t>
      </w:r>
      <w:r>
        <w:rPr>
          <w:rFonts w:ascii="Arial" w:cs="Arial" w:eastAsia="Arial" w:hAnsi="Arial"/>
          <w:sz w:val="18"/>
          <w:szCs w:val="18"/>
          <w:u w:val="single" w:color="auto"/>
          <w:color w:val="auto"/>
        </w:rPr>
        <w:t>Section 16</w:t>
      </w:r>
      <w:r>
        <w:rPr>
          <w:rFonts w:ascii="Arial" w:cs="Arial" w:eastAsia="Arial" w:hAnsi="Arial"/>
          <w:sz w:val="18"/>
          <w:szCs w:val="18"/>
          <w:color w:val="auto"/>
        </w:rPr>
        <w:t>) (the “</w:t>
      </w:r>
      <w:r>
        <w:rPr>
          <w:rFonts w:ascii="Arial" w:cs="Arial" w:eastAsia="Arial" w:hAnsi="Arial"/>
          <w:sz w:val="18"/>
          <w:szCs w:val="18"/>
          <w:u w:val="single" w:color="auto"/>
          <w:color w:val="auto"/>
        </w:rPr>
        <w:t>Letter of Credit Indemnified Costs</w:t>
      </w:r>
      <w:r>
        <w:rPr>
          <w:rFonts w:ascii="Arial" w:cs="Arial" w:eastAsia="Arial" w:hAnsi="Arial"/>
          <w:sz w:val="18"/>
          <w:szCs w:val="18"/>
          <w:color w:val="auto"/>
        </w:rPr>
        <w:t>”), and which arise out of or in connection with, or as a result of:</w:t>
      </w:r>
    </w:p>
    <w:p>
      <w:pPr>
        <w:spacing w:after="0" w:line="170" w:lineRule="exact"/>
        <w:rPr>
          <w:rFonts w:ascii="Arial" w:cs="Arial" w:eastAsia="Arial" w:hAnsi="Arial"/>
          <w:sz w:val="18"/>
          <w:szCs w:val="18"/>
          <w:color w:val="auto"/>
        </w:rPr>
      </w:pPr>
    </w:p>
    <w:p>
      <w:pPr>
        <w:ind w:left="2600" w:hanging="648"/>
        <w:spacing w:after="0"/>
        <w:tabs>
          <w:tab w:leader="none" w:pos="2600" w:val="left"/>
        </w:tabs>
        <w:numPr>
          <w:ilvl w:val="1"/>
          <w:numId w:val="94"/>
        </w:numPr>
        <w:rPr>
          <w:rFonts w:ascii="Arial" w:cs="Arial" w:eastAsia="Arial" w:hAnsi="Arial"/>
          <w:sz w:val="20"/>
          <w:szCs w:val="20"/>
          <w:color w:val="auto"/>
        </w:rPr>
      </w:pPr>
      <w:r>
        <w:rPr>
          <w:rFonts w:ascii="Arial" w:cs="Arial" w:eastAsia="Arial" w:hAnsi="Arial"/>
          <w:sz w:val="20"/>
          <w:szCs w:val="20"/>
          <w:color w:val="auto"/>
        </w:rPr>
        <w:t>any Letter of Credit or any pre-advice of its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5" w:name="page86"/>
    <w:bookmarkEnd w:id="85"/>
    <w:p>
      <w:pPr>
        <w:ind w:firstLine="1952"/>
        <w:spacing w:after="0" w:line="288" w:lineRule="auto"/>
        <w:tabs>
          <w:tab w:leader="none" w:pos="2592" w:val="left"/>
        </w:tabs>
        <w:numPr>
          <w:ilvl w:val="0"/>
          <w:numId w:val="95"/>
        </w:numPr>
        <w:rPr>
          <w:rFonts w:ascii="Arial" w:cs="Arial" w:eastAsia="Arial" w:hAnsi="Arial"/>
          <w:sz w:val="19"/>
          <w:szCs w:val="19"/>
          <w:color w:val="auto"/>
        </w:rPr>
      </w:pPr>
      <w:r>
        <w:rPr>
          <w:rFonts w:ascii="Arial" w:cs="Arial" w:eastAsia="Arial" w:hAnsi="Arial"/>
          <w:sz w:val="19"/>
          <w:szCs w:val="19"/>
          <w:color w:val="auto"/>
        </w:rPr>
        <w:t>any transfer, sale, delivery, surrender or endorsement (or lack thereof) of any Drawing Document at any time(s) held by any such Letter of Credit Related Person in connection with any Letter of Credit;</w:t>
      </w:r>
    </w:p>
    <w:p>
      <w:pPr>
        <w:spacing w:after="0" w:line="151" w:lineRule="exact"/>
        <w:rPr>
          <w:rFonts w:ascii="Arial" w:cs="Arial" w:eastAsia="Arial" w:hAnsi="Arial"/>
          <w:sz w:val="19"/>
          <w:szCs w:val="19"/>
          <w:color w:val="auto"/>
        </w:rPr>
      </w:pPr>
    </w:p>
    <w:p>
      <w:pPr>
        <w:jc w:val="both"/>
        <w:ind w:firstLine="1952"/>
        <w:spacing w:after="0" w:line="246" w:lineRule="auto"/>
        <w:tabs>
          <w:tab w:leader="none" w:pos="2592" w:val="left"/>
        </w:tabs>
        <w:numPr>
          <w:ilvl w:val="0"/>
          <w:numId w:val="95"/>
        </w:numPr>
        <w:rPr>
          <w:rFonts w:ascii="Arial" w:cs="Arial" w:eastAsia="Arial" w:hAnsi="Arial"/>
          <w:sz w:val="20"/>
          <w:szCs w:val="20"/>
          <w:color w:val="auto"/>
        </w:rPr>
      </w:pPr>
      <w:r>
        <w:rPr>
          <w:rFonts w:ascii="Arial" w:cs="Arial" w:eastAsia="Arial" w:hAnsi="Arial"/>
          <w:sz w:val="20"/>
          <w:szCs w:val="20"/>
          <w:color w:val="auto"/>
        </w:rPr>
        <w:t>any action or proceeding arising out of, or in connection with, any Letter of Credit (whether administrative, judicial or in connection with arbitration), including any action or proceeding to compel or restrain any presentation or payment under any Letter of Credit, or for the wrongful dishonor of, or honoring a presentation under, any Letter of Credit;</w:t>
      </w:r>
    </w:p>
    <w:p>
      <w:pPr>
        <w:spacing w:after="0" w:line="191" w:lineRule="exact"/>
        <w:rPr>
          <w:rFonts w:ascii="Arial" w:cs="Arial" w:eastAsia="Arial" w:hAnsi="Arial"/>
          <w:sz w:val="20"/>
          <w:szCs w:val="20"/>
          <w:color w:val="auto"/>
        </w:rPr>
      </w:pPr>
    </w:p>
    <w:p>
      <w:pPr>
        <w:ind w:left="2600" w:hanging="648"/>
        <w:spacing w:after="0"/>
        <w:tabs>
          <w:tab w:leader="none" w:pos="2600" w:val="left"/>
        </w:tabs>
        <w:numPr>
          <w:ilvl w:val="0"/>
          <w:numId w:val="95"/>
        </w:numPr>
        <w:rPr>
          <w:rFonts w:ascii="Arial" w:cs="Arial" w:eastAsia="Arial" w:hAnsi="Arial"/>
          <w:sz w:val="20"/>
          <w:szCs w:val="20"/>
          <w:color w:val="auto"/>
        </w:rPr>
      </w:pPr>
      <w:r>
        <w:rPr>
          <w:rFonts w:ascii="Arial" w:cs="Arial" w:eastAsia="Arial" w:hAnsi="Arial"/>
          <w:sz w:val="20"/>
          <w:szCs w:val="20"/>
          <w:color w:val="auto"/>
        </w:rPr>
        <w:t>any independent undertakings issued by the beneficiary of any Letter of Credit;</w:t>
      </w:r>
    </w:p>
    <w:p>
      <w:pPr>
        <w:spacing w:after="0" w:line="215" w:lineRule="exact"/>
        <w:rPr>
          <w:rFonts w:ascii="Arial" w:cs="Arial" w:eastAsia="Arial" w:hAnsi="Arial"/>
          <w:sz w:val="20"/>
          <w:szCs w:val="20"/>
          <w:color w:val="auto"/>
        </w:rPr>
      </w:pPr>
    </w:p>
    <w:p>
      <w:pPr>
        <w:jc w:val="both"/>
        <w:ind w:firstLine="1952"/>
        <w:spacing w:after="0" w:line="246" w:lineRule="auto"/>
        <w:tabs>
          <w:tab w:leader="none" w:pos="2592" w:val="left"/>
        </w:tabs>
        <w:numPr>
          <w:ilvl w:val="0"/>
          <w:numId w:val="95"/>
        </w:numPr>
        <w:rPr>
          <w:rFonts w:ascii="Arial" w:cs="Arial" w:eastAsia="Arial" w:hAnsi="Arial"/>
          <w:sz w:val="20"/>
          <w:szCs w:val="20"/>
          <w:color w:val="auto"/>
        </w:rPr>
      </w:pPr>
      <w:r>
        <w:rPr>
          <w:rFonts w:ascii="Arial" w:cs="Arial" w:eastAsia="Arial" w:hAnsi="Arial"/>
          <w:sz w:val="20"/>
          <w:szCs w:val="20"/>
          <w:color w:val="auto"/>
        </w:rPr>
        <w:t>any unauthorized instruction or request made to Issuing Bank in connection with any Letter of Credit or requested Letter of Credit, or any error, omission, interruption or delay in such instruction or request, whether transmitted by mail, courier, electronic transmission, SWIFT, or any other telecommunication including communications through a correspondent;</w:t>
      </w:r>
    </w:p>
    <w:p>
      <w:pPr>
        <w:spacing w:after="0" w:line="191" w:lineRule="exact"/>
        <w:rPr>
          <w:rFonts w:ascii="Arial" w:cs="Arial" w:eastAsia="Arial" w:hAnsi="Arial"/>
          <w:sz w:val="20"/>
          <w:szCs w:val="20"/>
          <w:color w:val="auto"/>
        </w:rPr>
      </w:pPr>
    </w:p>
    <w:p>
      <w:pPr>
        <w:ind w:left="2600" w:hanging="648"/>
        <w:spacing w:after="0"/>
        <w:tabs>
          <w:tab w:leader="none" w:pos="26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adviser, confirmer or other nominated person seeking to be reimbursed, indemnified or</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compensated;</w:t>
      </w:r>
    </w:p>
    <w:p>
      <w:pPr>
        <w:spacing w:after="0" w:line="199" w:lineRule="exact"/>
        <w:rPr>
          <w:rFonts w:ascii="Arial" w:cs="Arial" w:eastAsia="Arial" w:hAnsi="Arial"/>
          <w:sz w:val="18"/>
          <w:szCs w:val="18"/>
          <w:color w:val="auto"/>
        </w:rPr>
      </w:pPr>
    </w:p>
    <w:p>
      <w:pPr>
        <w:ind w:firstLine="1952"/>
        <w:spacing w:after="0" w:line="260" w:lineRule="auto"/>
        <w:tabs>
          <w:tab w:leader="none" w:pos="2592" w:val="left"/>
        </w:tabs>
        <w:numPr>
          <w:ilvl w:val="0"/>
          <w:numId w:val="95"/>
        </w:numPr>
        <w:rPr>
          <w:rFonts w:ascii="Arial" w:cs="Arial" w:eastAsia="Arial" w:hAnsi="Arial"/>
          <w:sz w:val="20"/>
          <w:szCs w:val="20"/>
          <w:color w:val="auto"/>
        </w:rPr>
      </w:pPr>
      <w:r>
        <w:rPr>
          <w:rFonts w:ascii="Arial" w:cs="Arial" w:eastAsia="Arial" w:hAnsi="Arial"/>
          <w:sz w:val="20"/>
          <w:szCs w:val="20"/>
          <w:color w:val="auto"/>
        </w:rPr>
        <w:t>any third party seeking to enforce the rights of an applicant, beneficiary, nominated person, transferee, assignee of Letter of Credit proceeds or holder of an instrument or document;</w:t>
      </w:r>
    </w:p>
    <w:p>
      <w:pPr>
        <w:spacing w:after="0" w:line="176" w:lineRule="exact"/>
        <w:rPr>
          <w:rFonts w:ascii="Arial" w:cs="Arial" w:eastAsia="Arial" w:hAnsi="Arial"/>
          <w:sz w:val="20"/>
          <w:szCs w:val="20"/>
          <w:color w:val="auto"/>
        </w:rPr>
      </w:pPr>
    </w:p>
    <w:p>
      <w:pPr>
        <w:ind w:left="2600" w:hanging="648"/>
        <w:spacing w:after="0"/>
        <w:tabs>
          <w:tab w:leader="none" w:pos="26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fraud, forgery or illegal action of parties other than the Letter of Credit Related Person;</w:t>
      </w:r>
    </w:p>
    <w:p>
      <w:pPr>
        <w:spacing w:after="0" w:line="238" w:lineRule="exact"/>
        <w:rPr>
          <w:rFonts w:ascii="Arial" w:cs="Arial" w:eastAsia="Arial" w:hAnsi="Arial"/>
          <w:sz w:val="18"/>
          <w:szCs w:val="18"/>
          <w:color w:val="auto"/>
        </w:rPr>
      </w:pPr>
    </w:p>
    <w:p>
      <w:pPr>
        <w:jc w:val="both"/>
        <w:ind w:firstLine="1952"/>
        <w:spacing w:after="0" w:line="250" w:lineRule="auto"/>
        <w:tabs>
          <w:tab w:leader="none" w:pos="2592" w:val="left"/>
        </w:tabs>
        <w:numPr>
          <w:ilvl w:val="0"/>
          <w:numId w:val="95"/>
        </w:numPr>
        <w:rPr>
          <w:rFonts w:ascii="Arial" w:cs="Arial" w:eastAsia="Arial" w:hAnsi="Arial"/>
          <w:sz w:val="20"/>
          <w:szCs w:val="20"/>
          <w:color w:val="auto"/>
        </w:rPr>
      </w:pPr>
      <w:r>
        <w:rPr>
          <w:rFonts w:ascii="Arial" w:cs="Arial" w:eastAsia="Arial" w:hAnsi="Arial"/>
          <w:sz w:val="20"/>
          <w:szCs w:val="20"/>
          <w:color w:val="auto"/>
        </w:rPr>
        <w:t>any prohibition on payment or delay in payment of any amount payable by Issuing Bank to a beneficiary or transferee beneficiary of a Letter of Credit arising out of Anti-Corruption Laws, Anti-Money Laundering Laws, or Sanctions;</w:t>
      </w:r>
    </w:p>
    <w:p>
      <w:pPr>
        <w:spacing w:after="0" w:line="185" w:lineRule="exact"/>
        <w:rPr>
          <w:rFonts w:ascii="Arial" w:cs="Arial" w:eastAsia="Arial" w:hAnsi="Arial"/>
          <w:sz w:val="20"/>
          <w:szCs w:val="20"/>
          <w:color w:val="auto"/>
        </w:rPr>
      </w:pPr>
    </w:p>
    <w:p>
      <w:pPr>
        <w:ind w:firstLine="1952"/>
        <w:spacing w:after="0" w:line="260" w:lineRule="auto"/>
        <w:tabs>
          <w:tab w:leader="none" w:pos="2592" w:val="left"/>
        </w:tabs>
        <w:numPr>
          <w:ilvl w:val="0"/>
          <w:numId w:val="95"/>
        </w:numPr>
        <w:rPr>
          <w:rFonts w:ascii="Arial" w:cs="Arial" w:eastAsia="Arial" w:hAnsi="Arial"/>
          <w:sz w:val="20"/>
          <w:szCs w:val="20"/>
          <w:color w:val="auto"/>
        </w:rPr>
      </w:pPr>
      <w:r>
        <w:rPr>
          <w:rFonts w:ascii="Arial" w:cs="Arial" w:eastAsia="Arial" w:hAnsi="Arial"/>
          <w:sz w:val="20"/>
          <w:szCs w:val="20"/>
          <w:color w:val="auto"/>
        </w:rPr>
        <w:t>Issuing Bank’s performance of the obligations of a confirming institution or entity that wrongfully dishonors a confirmation;</w:t>
      </w:r>
    </w:p>
    <w:p>
      <w:pPr>
        <w:spacing w:after="0" w:line="176" w:lineRule="exact"/>
        <w:rPr>
          <w:rFonts w:ascii="Arial" w:cs="Arial" w:eastAsia="Arial" w:hAnsi="Arial"/>
          <w:sz w:val="20"/>
          <w:szCs w:val="20"/>
          <w:color w:val="auto"/>
        </w:rPr>
      </w:pPr>
    </w:p>
    <w:p>
      <w:pPr>
        <w:ind w:left="2600" w:hanging="648"/>
        <w:spacing w:after="0"/>
        <w:tabs>
          <w:tab w:leader="none" w:pos="26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foreign language translation provided to Issuing Bank in connection with any Letter of</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Credit;</w:t>
      </w:r>
    </w:p>
    <w:p>
      <w:pPr>
        <w:spacing w:after="0" w:line="199" w:lineRule="exact"/>
        <w:rPr>
          <w:rFonts w:ascii="Arial" w:cs="Arial" w:eastAsia="Arial" w:hAnsi="Arial"/>
          <w:sz w:val="18"/>
          <w:szCs w:val="18"/>
          <w:color w:val="auto"/>
        </w:rPr>
      </w:pPr>
    </w:p>
    <w:p>
      <w:pPr>
        <w:jc w:val="both"/>
        <w:ind w:firstLine="1952"/>
        <w:spacing w:after="0" w:line="250" w:lineRule="auto"/>
        <w:tabs>
          <w:tab w:leader="none" w:pos="2592" w:val="left"/>
        </w:tabs>
        <w:numPr>
          <w:ilvl w:val="0"/>
          <w:numId w:val="95"/>
        </w:numPr>
        <w:rPr>
          <w:rFonts w:ascii="Arial" w:cs="Arial" w:eastAsia="Arial" w:hAnsi="Arial"/>
          <w:sz w:val="20"/>
          <w:szCs w:val="20"/>
          <w:color w:val="auto"/>
        </w:rPr>
      </w:pPr>
      <w:r>
        <w:rPr>
          <w:rFonts w:ascii="Arial" w:cs="Arial" w:eastAsia="Arial" w:hAnsi="Arial"/>
          <w:sz w:val="20"/>
          <w:szCs w:val="20"/>
          <w:color w:val="auto"/>
        </w:rPr>
        <w:t>any foreign law or usage as it relates to Issuing Bank’s issuance of a Letter of Credit in support of a foreign guaranty including the expiration of such guaranty after the related Letter of Credit expiration date and any resulting drawing paid by Issuing Bank in connection therewith; or</w:t>
      </w:r>
    </w:p>
    <w:p>
      <w:pPr>
        <w:spacing w:after="0" w:line="185" w:lineRule="exact"/>
        <w:rPr>
          <w:rFonts w:ascii="Arial" w:cs="Arial" w:eastAsia="Arial" w:hAnsi="Arial"/>
          <w:sz w:val="20"/>
          <w:szCs w:val="20"/>
          <w:color w:val="auto"/>
        </w:rPr>
      </w:pPr>
    </w:p>
    <w:p>
      <w:pPr>
        <w:ind w:firstLine="1952"/>
        <w:spacing w:after="0" w:line="316" w:lineRule="auto"/>
        <w:tabs>
          <w:tab w:leader="none" w:pos="2592"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acts or omissions, whether rightful or wrongful, of any present or future de jure or de facto governmental or regulatory authority or cause or event beyond the control of the Letter of Credit Related Person;</w:t>
      </w:r>
    </w:p>
    <w:p>
      <w:pPr>
        <w:spacing w:after="0" w:line="13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such indemnity shall not be available to any Letter of Credit Related Person claiming indemnification under clauses (i) through (xiii) above to the extent that such Letter of Credit Indemnified Costs may be finally determined in a final, non-appealable judgment of a court of competent jurisdiction to have resulted directly from the gross negligence or willful misconduct of the Letter of Credit Related Person claiming indemnity. Borrowers hereby agree to pay the Letter of Credit Related Person claiming indemnity on demand from time to time all amounts owing under this </w:t>
      </w:r>
      <w:r>
        <w:rPr>
          <w:rFonts w:ascii="Arial" w:cs="Arial" w:eastAsia="Arial" w:hAnsi="Arial"/>
          <w:sz w:val="20"/>
          <w:szCs w:val="20"/>
          <w:u w:val="single" w:color="auto"/>
          <w:color w:val="auto"/>
        </w:rPr>
        <w:t>Section 2.11(f)</w:t>
      </w:r>
      <w:r>
        <w:rPr>
          <w:rFonts w:ascii="Arial" w:cs="Arial" w:eastAsia="Arial" w:hAnsi="Arial"/>
          <w:sz w:val="20"/>
          <w:szCs w:val="20"/>
          <w:color w:val="auto"/>
        </w:rPr>
        <w:t xml:space="preserve">. If and to the extent that the obligations of Borrowers under this </w:t>
      </w:r>
      <w:r>
        <w:rPr>
          <w:rFonts w:ascii="Arial" w:cs="Arial" w:eastAsia="Arial" w:hAnsi="Arial"/>
          <w:sz w:val="20"/>
          <w:szCs w:val="20"/>
          <w:u w:val="single" w:color="auto"/>
          <w:color w:val="auto"/>
        </w:rPr>
        <w:t>Section 2.11(f)</w:t>
      </w:r>
      <w:r>
        <w:rPr>
          <w:rFonts w:ascii="Arial" w:cs="Arial" w:eastAsia="Arial" w:hAnsi="Arial"/>
          <w:sz w:val="20"/>
          <w:szCs w:val="20"/>
          <w:color w:val="auto"/>
        </w:rPr>
        <w:t xml:space="preserve"> are unenforceable for any reason, Borrowers agree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6" w:name="page87"/>
    <w:bookmarkEnd w:id="86"/>
    <w:p>
      <w:pPr>
        <w:spacing w:after="0" w:line="261" w:lineRule="auto"/>
        <w:rPr>
          <w:sz w:val="20"/>
          <w:szCs w:val="20"/>
          <w:color w:val="auto"/>
        </w:rPr>
      </w:pPr>
      <w:r>
        <w:rPr>
          <w:rFonts w:ascii="Arial" w:cs="Arial" w:eastAsia="Arial" w:hAnsi="Arial"/>
          <w:sz w:val="20"/>
          <w:szCs w:val="20"/>
          <w:color w:val="auto"/>
        </w:rPr>
        <w:t>make the maximum contribution to the Letter of Credit Indemnified Costs permissible under applicable law. This indemnification provision shall survive termination of this Agreement and all Letters of Credit.</w:t>
      </w:r>
    </w:p>
    <w:p>
      <w:pPr>
        <w:spacing w:after="0" w:line="176" w:lineRule="exact"/>
        <w:rPr>
          <w:sz w:val="20"/>
          <w:szCs w:val="20"/>
          <w:color w:val="auto"/>
        </w:rPr>
      </w:pPr>
    </w:p>
    <w:p>
      <w:pPr>
        <w:jc w:val="both"/>
        <w:ind w:firstLine="1304"/>
        <w:spacing w:after="0" w:line="267" w:lineRule="auto"/>
        <w:tabs>
          <w:tab w:leader="none" w:pos="1944" w:val="left"/>
        </w:tabs>
        <w:numPr>
          <w:ilvl w:val="1"/>
          <w:numId w:val="96"/>
        </w:numPr>
        <w:rPr>
          <w:rFonts w:ascii="Arial" w:cs="Arial" w:eastAsia="Arial" w:hAnsi="Arial"/>
          <w:sz w:val="18"/>
          <w:szCs w:val="18"/>
          <w:color w:val="auto"/>
        </w:rPr>
      </w:pPr>
      <w:r>
        <w:rPr>
          <w:rFonts w:ascii="Arial" w:cs="Arial" w:eastAsia="Arial" w:hAnsi="Arial"/>
          <w:sz w:val="18"/>
          <w:szCs w:val="18"/>
          <w:color w:val="auto"/>
        </w:rPr>
        <w:t xml:space="preserve">The liability of Issuing Bank (or any other Letter of Credit Related Person) under, in connection with or arising out of any Letter of Credit (or pre-advice), regardless of the form or legal grounds of the action or proceeding, shall be limited to direct damages suffered by Borrowers that are caused directly by Issuing Bank’s gross negligence or willful misconduct in (i) honoring a presentation under a Letter of Credit that on its face does not at least substantially comply with the terms and conditions of such Letter of Credit, (ii) failing to honor a presentation under a Letter of Credit that strictly complies with the terms and conditions of such Letter of Credit, or (iii) retaining Drawing Documents presented under a Letter of Credit. Borrowers’ aggregate remedies against Issuing Bank and any Letter of Credit Related Person for wrongfully honoring a presentation under any Letter of Credit or wrongfully retaining honored Drawing Documents shall in no event exceed the aggregate amount paid by Borrowers to Issuing Bank in respect of the honored presentation in connection with such Letter of Credit under </w:t>
      </w:r>
      <w:r>
        <w:rPr>
          <w:rFonts w:ascii="Arial" w:cs="Arial" w:eastAsia="Arial" w:hAnsi="Arial"/>
          <w:sz w:val="18"/>
          <w:szCs w:val="18"/>
          <w:u w:val="single" w:color="auto"/>
          <w:color w:val="auto"/>
        </w:rPr>
        <w:t>Section 2.11(d)</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interest at the rate then applicable to Base Rate Loans hereunder. Borrowers shall take action to avoid and mitigate the amount of any damages claimed against Issuing Bank or any other Letter of Credit Related Person, including by enforcing its rights against the beneficiaries of the Letters of Credit. Any claim by Borrowers under or in connection with any Letter of Credit shall be reduced by an amount equal to the sum of (x) the amount (if any) saved by Borrowers as a result of the breach or alleged wrongful conduct complained of, and</w:t>
      </w:r>
    </w:p>
    <w:p>
      <w:pPr>
        <w:spacing w:after="0" w:line="5" w:lineRule="exact"/>
        <w:rPr>
          <w:rFonts w:ascii="Arial" w:cs="Arial" w:eastAsia="Arial" w:hAnsi="Arial"/>
          <w:sz w:val="18"/>
          <w:szCs w:val="18"/>
          <w:color w:val="auto"/>
        </w:rPr>
      </w:pPr>
    </w:p>
    <w:p>
      <w:pPr>
        <w:ind w:firstLine="8"/>
        <w:spacing w:after="0" w:line="297" w:lineRule="auto"/>
        <w:tabs>
          <w:tab w:leader="none" w:pos="295"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amount (if any) of the loss that would have been avoided had Borrowers taken all reasonable steps to mitigate any loss, and in case of a claim of wrongful dishonor, by specifically and timely authorizing Issuing Bank to effect a cure.</w:t>
      </w:r>
    </w:p>
    <w:p>
      <w:pPr>
        <w:spacing w:after="0" w:line="146" w:lineRule="exact"/>
        <w:rPr>
          <w:rFonts w:ascii="Arial" w:cs="Arial" w:eastAsia="Arial" w:hAnsi="Arial"/>
          <w:sz w:val="18"/>
          <w:szCs w:val="18"/>
          <w:color w:val="auto"/>
        </w:rPr>
      </w:pPr>
    </w:p>
    <w:p>
      <w:pPr>
        <w:jc w:val="both"/>
        <w:ind w:firstLine="1304"/>
        <w:spacing w:after="0" w:line="268" w:lineRule="auto"/>
        <w:tabs>
          <w:tab w:leader="none" w:pos="1944" w:val="left"/>
        </w:tabs>
        <w:numPr>
          <w:ilvl w:val="1"/>
          <w:numId w:val="97"/>
        </w:numPr>
        <w:rPr>
          <w:rFonts w:ascii="Arial" w:cs="Arial" w:eastAsia="Arial" w:hAnsi="Arial"/>
          <w:sz w:val="18"/>
          <w:szCs w:val="18"/>
          <w:color w:val="auto"/>
        </w:rPr>
      </w:pPr>
      <w:r>
        <w:rPr>
          <w:rFonts w:ascii="Arial" w:cs="Arial" w:eastAsia="Arial" w:hAnsi="Arial"/>
          <w:sz w:val="18"/>
          <w:szCs w:val="18"/>
          <w:color w:val="auto"/>
        </w:rPr>
        <w:t>Borrowers are responsible for the final text of the Letter of Credit as issued by Issuing Bank, irrespective of any assistance Issuing Bank may provide such as drafting or recommending text or by Issuing Bank’s use or refusal to use text submitted by Borrowers. Borrowers understand that the final form of any Letter of Credit may be subject to such revisions and changes as are deemed necessary or appropriate by Issuing Bank, and Borrowers hereby consent to such revisions and changes not materially different from the application executed in connection therewith. Borrowers are solely responsible for the suitability of the Letter of Credit for Borrowers’ purposes. If Borrowers request Issuing Bank to issue a Letter of Credit for an affiliated or unaffiliated third party (an “</w:t>
      </w:r>
      <w:r>
        <w:rPr>
          <w:rFonts w:ascii="Arial" w:cs="Arial" w:eastAsia="Arial" w:hAnsi="Arial"/>
          <w:sz w:val="18"/>
          <w:szCs w:val="18"/>
          <w:u w:val="single" w:color="auto"/>
          <w:color w:val="auto"/>
        </w:rPr>
        <w:t>Account Party</w:t>
      </w:r>
      <w:r>
        <w:rPr>
          <w:rFonts w:ascii="Arial" w:cs="Arial" w:eastAsia="Arial" w:hAnsi="Arial"/>
          <w:sz w:val="18"/>
          <w:szCs w:val="18"/>
          <w:color w:val="auto"/>
        </w:rPr>
        <w:t>”), (i) such Account Party shall have no rights against Issuing Bank; (ii) Borrowers shall be responsible for the application and obligations under this Agreement; and</w:t>
      </w:r>
    </w:p>
    <w:p>
      <w:pPr>
        <w:spacing w:after="0" w:line="2" w:lineRule="exact"/>
        <w:rPr>
          <w:rFonts w:ascii="Arial" w:cs="Arial" w:eastAsia="Arial" w:hAnsi="Arial"/>
          <w:sz w:val="18"/>
          <w:szCs w:val="18"/>
          <w:color w:val="auto"/>
        </w:rPr>
      </w:pPr>
    </w:p>
    <w:p>
      <w:pPr>
        <w:jc w:val="both"/>
        <w:ind w:firstLine="8"/>
        <w:spacing w:after="0" w:line="253" w:lineRule="auto"/>
        <w:tabs>
          <w:tab w:leader="none" w:pos="398" w:val="left"/>
        </w:tabs>
        <w:numPr>
          <w:ilvl w:val="0"/>
          <w:numId w:val="98"/>
        </w:numPr>
        <w:rPr>
          <w:rFonts w:ascii="Arial" w:cs="Arial" w:eastAsia="Arial" w:hAnsi="Arial"/>
          <w:sz w:val="19"/>
          <w:szCs w:val="19"/>
          <w:color w:val="auto"/>
        </w:rPr>
      </w:pPr>
      <w:r>
        <w:rPr>
          <w:rFonts w:ascii="Arial" w:cs="Arial" w:eastAsia="Arial" w:hAnsi="Arial"/>
          <w:sz w:val="19"/>
          <w:szCs w:val="19"/>
          <w:color w:val="auto"/>
        </w:rPr>
        <w:t>communications (including notices) related to the respective Letter of Credit shall be among Issuing Bank and Borrowers. Borrowers will examine the copy of the Letter of Credit and any other documents sent by Issuing Bank in connection therewith and shall promptly notify Issuing Bank (not later than three (3) Business Days following Borrowers’ receipt of documents from Issuing Bank) of any non-compliance with Borrowers’ instructions and of any discrepancy in any document under any presentment or other irregularity. Borrowers understand and agree that Issuing Bank is not required to extend the expiration date of any Letter of Credit for any reason. With respect to any Letter of Credit containing an “automatic amendment” to extend the expiration date of such Letter of Credit, Issuing Bank, in its sole and absolute discretion, may give notice of non-extension of such Letter of Credit and, if Borrowers do not at any time want the then current expiration date of such Letter of Credit to be extended, Borrowers will so notify Agent and Issuing Bank at least 30 calendar days before Issuing Bank is required to notify the beneficiary of such Letter of Credit or any advising bank of such non-extension pursuant to the terms of such Letter of Credit.</w:t>
      </w:r>
    </w:p>
    <w:p>
      <w:pPr>
        <w:spacing w:after="0" w:line="190" w:lineRule="exact"/>
        <w:rPr>
          <w:rFonts w:ascii="Arial" w:cs="Arial" w:eastAsia="Arial" w:hAnsi="Arial"/>
          <w:sz w:val="19"/>
          <w:szCs w:val="19"/>
          <w:color w:val="auto"/>
        </w:rPr>
      </w:pPr>
    </w:p>
    <w:p>
      <w:pPr>
        <w:jc w:val="both"/>
        <w:ind w:firstLine="1304"/>
        <w:spacing w:after="0" w:line="250" w:lineRule="auto"/>
        <w:tabs>
          <w:tab w:leader="none" w:pos="1944" w:val="left"/>
        </w:tabs>
        <w:numPr>
          <w:ilvl w:val="1"/>
          <w:numId w:val="98"/>
        </w:numPr>
        <w:rPr>
          <w:rFonts w:ascii="Arial" w:cs="Arial" w:eastAsia="Arial" w:hAnsi="Arial"/>
          <w:sz w:val="20"/>
          <w:szCs w:val="20"/>
          <w:color w:val="auto"/>
        </w:rPr>
      </w:pPr>
      <w:r>
        <w:rPr>
          <w:rFonts w:ascii="Arial" w:cs="Arial" w:eastAsia="Arial" w:hAnsi="Arial"/>
          <w:sz w:val="20"/>
          <w:szCs w:val="20"/>
          <w:color w:val="auto"/>
        </w:rPr>
        <w:t xml:space="preserve">Borrowers’ reimbursement and payment obligations under this </w:t>
      </w: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are absolute, unconditional and irrevocable and shall be performed strictly in accordance with the terms of this Agreement under any and all circumstances whatsoever,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7" w:name="page88"/>
    <w:bookmarkEnd w:id="87"/>
    <w:p>
      <w:pPr>
        <w:ind w:firstLine="1952"/>
        <w:spacing w:after="0" w:line="261" w:lineRule="auto"/>
        <w:tabs>
          <w:tab w:leader="none" w:pos="2592" w:val="left"/>
        </w:tabs>
        <w:numPr>
          <w:ilvl w:val="0"/>
          <w:numId w:val="99"/>
        </w:numPr>
        <w:rPr>
          <w:rFonts w:ascii="Arial" w:cs="Arial" w:eastAsia="Arial" w:hAnsi="Arial"/>
          <w:sz w:val="20"/>
          <w:szCs w:val="20"/>
          <w:color w:val="auto"/>
        </w:rPr>
      </w:pPr>
      <w:r>
        <w:rPr>
          <w:rFonts w:ascii="Arial" w:cs="Arial" w:eastAsia="Arial" w:hAnsi="Arial"/>
          <w:sz w:val="20"/>
          <w:szCs w:val="20"/>
          <w:color w:val="auto"/>
        </w:rPr>
        <w:t>any lack of validity, enforceability or legal effect of any Letter of Credit, any Issuer Document, this Agreement, or any Loan Document, or any term or provision therein or herein;</w:t>
      </w:r>
    </w:p>
    <w:p>
      <w:pPr>
        <w:spacing w:after="0" w:line="175" w:lineRule="exact"/>
        <w:rPr>
          <w:rFonts w:ascii="Arial" w:cs="Arial" w:eastAsia="Arial" w:hAnsi="Arial"/>
          <w:sz w:val="20"/>
          <w:szCs w:val="20"/>
          <w:color w:val="auto"/>
        </w:rPr>
      </w:pPr>
    </w:p>
    <w:p>
      <w:pPr>
        <w:jc w:val="both"/>
        <w:ind w:firstLine="1952"/>
        <w:spacing w:after="0" w:line="244" w:lineRule="auto"/>
        <w:tabs>
          <w:tab w:leader="none" w:pos="2592" w:val="left"/>
        </w:tabs>
        <w:numPr>
          <w:ilvl w:val="0"/>
          <w:numId w:val="99"/>
        </w:numPr>
        <w:rPr>
          <w:rFonts w:ascii="Arial" w:cs="Arial" w:eastAsia="Arial" w:hAnsi="Arial"/>
          <w:sz w:val="20"/>
          <w:szCs w:val="20"/>
          <w:color w:val="auto"/>
        </w:rPr>
      </w:pPr>
      <w:r>
        <w:rPr>
          <w:rFonts w:ascii="Arial" w:cs="Arial" w:eastAsia="Arial" w:hAnsi="Arial"/>
          <w:sz w:val="20"/>
          <w:szCs w:val="20"/>
          <w:color w:val="auto"/>
        </w:rPr>
        <w:t>payment against presentation of any draft, demand or claim for payment under any Drawing Document that does not comply in whole or in part with the terms of the applicable Letter of Credit or which proves to be fraudulent, forged or invalid in any respect or any statement therein being untrue or inaccurate in any respect, or which is signed, issued or presented by a Person or a transferee of such Person purporting to be a successor or transferee of the beneficiary of such Letter of Credit;</w:t>
      </w:r>
    </w:p>
    <w:p>
      <w:pPr>
        <w:spacing w:after="0" w:line="194" w:lineRule="exact"/>
        <w:rPr>
          <w:rFonts w:ascii="Arial" w:cs="Arial" w:eastAsia="Arial" w:hAnsi="Arial"/>
          <w:sz w:val="20"/>
          <w:szCs w:val="20"/>
          <w:color w:val="auto"/>
        </w:rPr>
      </w:pPr>
    </w:p>
    <w:p>
      <w:pPr>
        <w:ind w:left="2600" w:hanging="648"/>
        <w:spacing w:after="0"/>
        <w:tabs>
          <w:tab w:leader="none" w:pos="2600" w:val="left"/>
        </w:tabs>
        <w:numPr>
          <w:ilvl w:val="0"/>
          <w:numId w:val="99"/>
        </w:numPr>
        <w:rPr>
          <w:rFonts w:ascii="Arial" w:cs="Arial" w:eastAsia="Arial" w:hAnsi="Arial"/>
          <w:sz w:val="19"/>
          <w:szCs w:val="19"/>
          <w:color w:val="auto"/>
        </w:rPr>
      </w:pPr>
      <w:r>
        <w:rPr>
          <w:rFonts w:ascii="Arial" w:cs="Arial" w:eastAsia="Arial" w:hAnsi="Arial"/>
          <w:sz w:val="19"/>
          <w:szCs w:val="19"/>
          <w:color w:val="auto"/>
        </w:rPr>
        <w:t>Issuing Bank or any of its branches or Affiliates being the beneficiary of any Letter of</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Credit;</w:t>
      </w:r>
    </w:p>
    <w:p>
      <w:pPr>
        <w:spacing w:after="0" w:line="199" w:lineRule="exact"/>
        <w:rPr>
          <w:rFonts w:ascii="Arial" w:cs="Arial" w:eastAsia="Arial" w:hAnsi="Arial"/>
          <w:sz w:val="19"/>
          <w:szCs w:val="19"/>
          <w:color w:val="auto"/>
        </w:rPr>
      </w:pPr>
    </w:p>
    <w:p>
      <w:pPr>
        <w:jc w:val="both"/>
        <w:ind w:firstLine="1952"/>
        <w:spacing w:after="0" w:line="250" w:lineRule="auto"/>
        <w:tabs>
          <w:tab w:leader="none" w:pos="2592" w:val="left"/>
        </w:tabs>
        <w:numPr>
          <w:ilvl w:val="0"/>
          <w:numId w:val="99"/>
        </w:numPr>
        <w:rPr>
          <w:rFonts w:ascii="Arial" w:cs="Arial" w:eastAsia="Arial" w:hAnsi="Arial"/>
          <w:sz w:val="20"/>
          <w:szCs w:val="20"/>
          <w:color w:val="auto"/>
        </w:rPr>
      </w:pPr>
      <w:r>
        <w:rPr>
          <w:rFonts w:ascii="Arial" w:cs="Arial" w:eastAsia="Arial" w:hAnsi="Arial"/>
          <w:sz w:val="20"/>
          <w:szCs w:val="20"/>
          <w:color w:val="auto"/>
        </w:rPr>
        <w:t>Issuing Bank or any correspondent honoring a drawing against a Drawing Document up to the amount available under any Letter of Credit even if such Drawing Document claims an amount in excess of the amount available under the Letter of Credit;</w:t>
      </w:r>
    </w:p>
    <w:p>
      <w:pPr>
        <w:spacing w:after="0" w:line="185" w:lineRule="exact"/>
        <w:rPr>
          <w:rFonts w:ascii="Arial" w:cs="Arial" w:eastAsia="Arial" w:hAnsi="Arial"/>
          <w:sz w:val="20"/>
          <w:szCs w:val="20"/>
          <w:color w:val="auto"/>
        </w:rPr>
      </w:pPr>
    </w:p>
    <w:p>
      <w:pPr>
        <w:jc w:val="both"/>
        <w:ind w:firstLine="1952"/>
        <w:spacing w:after="0" w:line="250" w:lineRule="auto"/>
        <w:tabs>
          <w:tab w:leader="none" w:pos="2592"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existence of any claim, set-off, defense or other right that any Loan Party or any of its Subsidiaries may have at any time against any beneficiary or transferee beneficiary, any assignee of proceeds, Issuing Bank or any other Person;</w:t>
      </w:r>
    </w:p>
    <w:p>
      <w:pPr>
        <w:spacing w:after="0" w:line="185" w:lineRule="exact"/>
        <w:rPr>
          <w:rFonts w:ascii="Arial" w:cs="Arial" w:eastAsia="Arial" w:hAnsi="Arial"/>
          <w:sz w:val="20"/>
          <w:szCs w:val="20"/>
          <w:color w:val="auto"/>
        </w:rPr>
      </w:pPr>
    </w:p>
    <w:p>
      <w:pPr>
        <w:jc w:val="both"/>
        <w:ind w:firstLine="1952"/>
        <w:spacing w:after="0" w:line="250" w:lineRule="auto"/>
        <w:tabs>
          <w:tab w:leader="none" w:pos="2592" w:val="left"/>
        </w:tabs>
        <w:numPr>
          <w:ilvl w:val="0"/>
          <w:numId w:val="99"/>
        </w:numPr>
        <w:rPr>
          <w:rFonts w:ascii="Arial" w:cs="Arial" w:eastAsia="Arial" w:hAnsi="Arial"/>
          <w:sz w:val="20"/>
          <w:szCs w:val="20"/>
          <w:color w:val="auto"/>
        </w:rPr>
      </w:pPr>
      <w:r>
        <w:rPr>
          <w:rFonts w:ascii="Arial" w:cs="Arial" w:eastAsia="Arial" w:hAnsi="Arial"/>
          <w:sz w:val="20"/>
          <w:szCs w:val="20"/>
          <w:color w:val="auto"/>
        </w:rPr>
        <w:t>Issuing Bank or any correspondent honoring a drawing upon receipt of an electronic presentation under a Letter of Credit requiring the same, regardless of whether the original Drawing Documents arrive at Issuing Bank’s counters or are different from the electronic presentation;</w:t>
      </w:r>
    </w:p>
    <w:p>
      <w:pPr>
        <w:spacing w:after="0" w:line="185" w:lineRule="exact"/>
        <w:rPr>
          <w:rFonts w:ascii="Arial" w:cs="Arial" w:eastAsia="Arial" w:hAnsi="Arial"/>
          <w:sz w:val="20"/>
          <w:szCs w:val="20"/>
          <w:color w:val="auto"/>
        </w:rPr>
      </w:pPr>
    </w:p>
    <w:p>
      <w:pPr>
        <w:jc w:val="both"/>
        <w:ind w:firstLine="1952"/>
        <w:spacing w:after="0" w:line="244" w:lineRule="auto"/>
        <w:tabs>
          <w:tab w:leader="none" w:pos="2592" w:val="left"/>
        </w:tabs>
        <w:numPr>
          <w:ilvl w:val="0"/>
          <w:numId w:val="99"/>
        </w:numPr>
        <w:rPr>
          <w:rFonts w:ascii="Arial" w:cs="Arial" w:eastAsia="Arial" w:hAnsi="Arial"/>
          <w:sz w:val="20"/>
          <w:szCs w:val="20"/>
          <w:color w:val="auto"/>
        </w:rPr>
      </w:pPr>
      <w:r>
        <w:rPr>
          <w:rFonts w:ascii="Arial" w:cs="Arial" w:eastAsia="Arial" w:hAnsi="Arial"/>
          <w:sz w:val="20"/>
          <w:szCs w:val="20"/>
          <w:color w:val="auto"/>
        </w:rPr>
        <w:t xml:space="preserve">any other event, circumstance or conduct whatsoever, whether or not similar to any of the foregoing that might, but for this </w:t>
      </w:r>
      <w:r>
        <w:rPr>
          <w:rFonts w:ascii="Arial" w:cs="Arial" w:eastAsia="Arial" w:hAnsi="Arial"/>
          <w:sz w:val="20"/>
          <w:szCs w:val="20"/>
          <w:u w:val="single" w:color="auto"/>
          <w:color w:val="auto"/>
        </w:rPr>
        <w:t>Section 2.11(i)</w:t>
      </w:r>
      <w:r>
        <w:rPr>
          <w:rFonts w:ascii="Arial" w:cs="Arial" w:eastAsia="Arial" w:hAnsi="Arial"/>
          <w:sz w:val="20"/>
          <w:szCs w:val="20"/>
          <w:color w:val="auto"/>
        </w:rPr>
        <w:t>, constitute a legal or equitable defense to or discharge of, or provide a right of set-off against, any Borrower’s or any of its Subsidiaries’ reimbursement and other payment obligations and liabilities, arising under, or in connection with, any Letter of Credit, whether against Issuing Bank, the beneficiary or any other Person; or</w:t>
      </w:r>
    </w:p>
    <w:p>
      <w:pPr>
        <w:spacing w:after="0" w:line="194" w:lineRule="exact"/>
        <w:rPr>
          <w:rFonts w:ascii="Arial" w:cs="Arial" w:eastAsia="Arial" w:hAnsi="Arial"/>
          <w:sz w:val="20"/>
          <w:szCs w:val="20"/>
          <w:color w:val="auto"/>
        </w:rPr>
      </w:pPr>
    </w:p>
    <w:p>
      <w:pPr>
        <w:ind w:left="2600" w:hanging="648"/>
        <w:spacing w:after="0"/>
        <w:tabs>
          <w:tab w:leader="none" w:pos="2600"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fact that any Default or Event of Default shall have occurred and be continuing;</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w:t>
      </w:r>
      <w:r>
        <w:rPr>
          <w:rFonts w:ascii="Arial" w:cs="Arial" w:eastAsia="Arial" w:hAnsi="Arial"/>
          <w:sz w:val="18"/>
          <w:szCs w:val="18"/>
          <w:u w:val="single" w:color="auto"/>
          <w:color w:val="auto"/>
        </w:rPr>
        <w:t>Section 2.11(g)</w:t>
      </w:r>
      <w:r>
        <w:rPr>
          <w:rFonts w:ascii="Arial" w:cs="Arial" w:eastAsia="Arial" w:hAnsi="Arial"/>
          <w:sz w:val="18"/>
          <w:szCs w:val="18"/>
          <w:color w:val="auto"/>
        </w:rPr>
        <w:t xml:space="preserve"> above, the foregoing shall not release Issuing Bank from such liability to Borrowers as may be finally determined in a final, non-appealable judgment of a court of competent jurisdiction against Issuing Bank following reimbursement or payment of the obligations and liabilities, including reimbursement and other payment obligations, of Borrowers to Issuing Bank arising under, or in connection with, this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or any Letter of Credit.</w:t>
      </w:r>
    </w:p>
    <w:p>
      <w:pPr>
        <w:spacing w:after="0" w:line="161" w:lineRule="exact"/>
        <w:rPr>
          <w:sz w:val="20"/>
          <w:szCs w:val="20"/>
          <w:color w:val="auto"/>
        </w:rPr>
      </w:pPr>
    </w:p>
    <w:p>
      <w:pPr>
        <w:jc w:val="both"/>
        <w:ind w:firstLine="1304"/>
        <w:spacing w:after="0" w:line="246" w:lineRule="auto"/>
        <w:tabs>
          <w:tab w:leader="none" w:pos="1944" w:val="left"/>
        </w:tabs>
        <w:numPr>
          <w:ilvl w:val="0"/>
          <w:numId w:val="100"/>
        </w:numPr>
        <w:rPr>
          <w:rFonts w:ascii="Arial" w:cs="Arial" w:eastAsia="Arial" w:hAnsi="Arial"/>
          <w:sz w:val="20"/>
          <w:szCs w:val="20"/>
          <w:color w:val="auto"/>
        </w:rPr>
      </w:pPr>
      <w:r>
        <w:rPr>
          <w:rFonts w:ascii="Arial" w:cs="Arial" w:eastAsia="Arial" w:hAnsi="Arial"/>
          <w:sz w:val="20"/>
          <w:szCs w:val="20"/>
          <w:color w:val="auto"/>
        </w:rPr>
        <w:t>Without limiting any other provision of this Agreement, Issuing Bank and each other Letter of Credit Related Person (if applicable) shall not be responsible to Borrowers for, and Issuing Bank’s rights and remedies against Borrowers and the obligation of Borrowers to reimburse Issuing Bank for each drawing under each Letter of Credit shall not be impaired by:</w:t>
      </w:r>
    </w:p>
    <w:p>
      <w:pPr>
        <w:spacing w:after="0" w:line="191" w:lineRule="exact"/>
        <w:rPr>
          <w:rFonts w:ascii="Arial" w:cs="Arial" w:eastAsia="Arial" w:hAnsi="Arial"/>
          <w:sz w:val="20"/>
          <w:szCs w:val="20"/>
          <w:color w:val="auto"/>
        </w:rPr>
      </w:pPr>
    </w:p>
    <w:p>
      <w:pPr>
        <w:jc w:val="both"/>
        <w:ind w:firstLine="1952"/>
        <w:spacing w:after="0" w:line="250" w:lineRule="auto"/>
        <w:tabs>
          <w:tab w:leader="none" w:pos="2592" w:val="left"/>
        </w:tabs>
        <w:numPr>
          <w:ilvl w:val="1"/>
          <w:numId w:val="100"/>
        </w:numPr>
        <w:rPr>
          <w:rFonts w:ascii="Arial" w:cs="Arial" w:eastAsia="Arial" w:hAnsi="Arial"/>
          <w:sz w:val="20"/>
          <w:szCs w:val="20"/>
          <w:color w:val="auto"/>
        </w:rPr>
      </w:pPr>
      <w:r>
        <w:rPr>
          <w:rFonts w:ascii="Arial" w:cs="Arial" w:eastAsia="Arial" w:hAnsi="Arial"/>
          <w:sz w:val="20"/>
          <w:szCs w:val="20"/>
          <w:color w:val="auto"/>
        </w:rPr>
        <w:t>honor of a presentation under any Letter of Credit that on its face substantially complies with the terms and conditions of such Letter of Credit, even if the Letter of Credit requires strict compliance by the beneficiary;</w:t>
      </w:r>
    </w:p>
    <w:p>
      <w:pPr>
        <w:spacing w:after="0" w:line="185" w:lineRule="exact"/>
        <w:rPr>
          <w:rFonts w:ascii="Arial" w:cs="Arial" w:eastAsia="Arial" w:hAnsi="Arial"/>
          <w:sz w:val="20"/>
          <w:szCs w:val="20"/>
          <w:color w:val="auto"/>
        </w:rPr>
      </w:pPr>
    </w:p>
    <w:p>
      <w:pPr>
        <w:ind w:firstLine="1952"/>
        <w:spacing w:after="0" w:line="260" w:lineRule="auto"/>
        <w:tabs>
          <w:tab w:leader="none" w:pos="2592" w:val="left"/>
        </w:tabs>
        <w:numPr>
          <w:ilvl w:val="1"/>
          <w:numId w:val="100"/>
        </w:numPr>
        <w:rPr>
          <w:rFonts w:ascii="Arial" w:cs="Arial" w:eastAsia="Arial" w:hAnsi="Arial"/>
          <w:sz w:val="20"/>
          <w:szCs w:val="20"/>
          <w:color w:val="auto"/>
        </w:rPr>
      </w:pPr>
      <w:r>
        <w:rPr>
          <w:rFonts w:ascii="Arial" w:cs="Arial" w:eastAsia="Arial" w:hAnsi="Arial"/>
          <w:sz w:val="20"/>
          <w:szCs w:val="20"/>
          <w:color w:val="auto"/>
        </w:rPr>
        <w:t>honor of a presentation of any Drawing Document that appears on its face to have been signed, presented or issued (A) by any purported successor or transferee of any beneficiary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8" w:name="page89"/>
    <w:bookmarkEnd w:id="88"/>
    <w:p>
      <w:pPr>
        <w:spacing w:after="0"/>
        <w:rPr>
          <w:sz w:val="20"/>
          <w:szCs w:val="20"/>
          <w:color w:val="auto"/>
        </w:rPr>
      </w:pPr>
      <w:r>
        <w:rPr>
          <w:rFonts w:ascii="Arial" w:cs="Arial" w:eastAsia="Arial" w:hAnsi="Arial"/>
          <w:sz w:val="19"/>
          <w:szCs w:val="19"/>
          <w:color w:val="auto"/>
        </w:rPr>
        <w:t>other Person required to sign, present or issue such Drawing Document or (B) under a new name of the beneficiary;</w:t>
      </w:r>
    </w:p>
    <w:p>
      <w:pPr>
        <w:spacing w:after="0" w:line="228" w:lineRule="exact"/>
        <w:rPr>
          <w:sz w:val="20"/>
          <w:szCs w:val="20"/>
          <w:color w:val="auto"/>
        </w:rPr>
      </w:pPr>
    </w:p>
    <w:p>
      <w:pPr>
        <w:jc w:val="both"/>
        <w:ind w:firstLine="1952"/>
        <w:spacing w:after="0" w:line="250" w:lineRule="auto"/>
        <w:tabs>
          <w:tab w:leader="none" w:pos="2592" w:val="left"/>
        </w:tabs>
        <w:numPr>
          <w:ilvl w:val="1"/>
          <w:numId w:val="101"/>
        </w:numPr>
        <w:rPr>
          <w:rFonts w:ascii="Arial" w:cs="Arial" w:eastAsia="Arial" w:hAnsi="Arial"/>
          <w:sz w:val="20"/>
          <w:szCs w:val="20"/>
          <w:color w:val="auto"/>
        </w:rPr>
      </w:pPr>
      <w:r>
        <w:rPr>
          <w:rFonts w:ascii="Arial" w:cs="Arial" w:eastAsia="Arial" w:hAnsi="Arial"/>
          <w:sz w:val="20"/>
          <w:szCs w:val="20"/>
          <w:color w:val="auto"/>
        </w:rPr>
        <w:t>acceptance as a draft of any written or electronic demand or request for payment under a Letter of Credit, even if nonnegotiable or not in the form of a draft or notwithstanding any requirement that such draft, demand or request bear any or adequate reference to the Letter of Credit;</w:t>
      </w:r>
    </w:p>
    <w:p>
      <w:pPr>
        <w:spacing w:after="0" w:line="185" w:lineRule="exact"/>
        <w:rPr>
          <w:rFonts w:ascii="Arial" w:cs="Arial" w:eastAsia="Arial" w:hAnsi="Arial"/>
          <w:sz w:val="20"/>
          <w:szCs w:val="20"/>
          <w:color w:val="auto"/>
        </w:rPr>
      </w:pPr>
    </w:p>
    <w:p>
      <w:pPr>
        <w:jc w:val="both"/>
        <w:ind w:firstLine="1952"/>
        <w:spacing w:after="0" w:line="291" w:lineRule="auto"/>
        <w:tabs>
          <w:tab w:leader="none" w:pos="259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the identity or authority of any presenter or signer of any Drawing Document or the form, accuracy, genuineness or legal effect of any Drawing Document (other than Issuing Bank’s determination that such Drawing Document appears on its face substantially to comply with the terms and conditions of the Letter of Credit);</w:t>
      </w:r>
    </w:p>
    <w:p>
      <w:pPr>
        <w:spacing w:after="0" w:line="151" w:lineRule="exact"/>
        <w:rPr>
          <w:rFonts w:ascii="Arial" w:cs="Arial" w:eastAsia="Arial" w:hAnsi="Arial"/>
          <w:sz w:val="18"/>
          <w:szCs w:val="18"/>
          <w:color w:val="auto"/>
        </w:rPr>
      </w:pPr>
    </w:p>
    <w:p>
      <w:pPr>
        <w:jc w:val="both"/>
        <w:ind w:firstLine="1952"/>
        <w:spacing w:after="0" w:line="316" w:lineRule="auto"/>
        <w:tabs>
          <w:tab w:leader="none" w:pos="259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acting upon any instruction or request relative to a Letter of Credit or requested Letter of Credit that Issuing Bank in good faith believes to have been given by a Person authorized to give such instruction or request;</w:t>
      </w:r>
    </w:p>
    <w:p>
      <w:pPr>
        <w:spacing w:after="0" w:line="129" w:lineRule="exact"/>
        <w:rPr>
          <w:rFonts w:ascii="Arial" w:cs="Arial" w:eastAsia="Arial" w:hAnsi="Arial"/>
          <w:sz w:val="18"/>
          <w:szCs w:val="18"/>
          <w:color w:val="auto"/>
        </w:rPr>
      </w:pPr>
    </w:p>
    <w:p>
      <w:pPr>
        <w:jc w:val="both"/>
        <w:ind w:firstLine="1952"/>
        <w:spacing w:after="0" w:line="250" w:lineRule="auto"/>
        <w:tabs>
          <w:tab w:leader="none" w:pos="2592" w:val="left"/>
        </w:tabs>
        <w:numPr>
          <w:ilvl w:val="1"/>
          <w:numId w:val="101"/>
        </w:numPr>
        <w:rPr>
          <w:rFonts w:ascii="Arial" w:cs="Arial" w:eastAsia="Arial" w:hAnsi="Arial"/>
          <w:sz w:val="20"/>
          <w:szCs w:val="20"/>
          <w:color w:val="auto"/>
        </w:rPr>
      </w:pPr>
      <w:r>
        <w:rPr>
          <w:rFonts w:ascii="Arial" w:cs="Arial" w:eastAsia="Arial" w:hAnsi="Arial"/>
          <w:sz w:val="20"/>
          <w:szCs w:val="20"/>
          <w:color w:val="auto"/>
        </w:rPr>
        <w:t>any errors, omissions, interruptions or delays in transmission or delivery of any message, advice or document (regardless of how sent or transmitted) or for errors in interpretation of technical terms or in translation or any delay in giving or failing to give notice to any Borrower;</w:t>
      </w:r>
    </w:p>
    <w:p>
      <w:pPr>
        <w:spacing w:after="0" w:line="185" w:lineRule="exact"/>
        <w:rPr>
          <w:rFonts w:ascii="Arial" w:cs="Arial" w:eastAsia="Arial" w:hAnsi="Arial"/>
          <w:sz w:val="20"/>
          <w:szCs w:val="20"/>
          <w:color w:val="auto"/>
        </w:rPr>
      </w:pPr>
    </w:p>
    <w:p>
      <w:pPr>
        <w:jc w:val="both"/>
        <w:ind w:firstLine="1952"/>
        <w:spacing w:after="0" w:line="250" w:lineRule="auto"/>
        <w:tabs>
          <w:tab w:leader="none" w:pos="2592" w:val="left"/>
        </w:tabs>
        <w:numPr>
          <w:ilvl w:val="1"/>
          <w:numId w:val="101"/>
        </w:numPr>
        <w:rPr>
          <w:rFonts w:ascii="Arial" w:cs="Arial" w:eastAsia="Arial" w:hAnsi="Arial"/>
          <w:sz w:val="20"/>
          <w:szCs w:val="20"/>
          <w:color w:val="auto"/>
        </w:rPr>
      </w:pPr>
      <w:r>
        <w:rPr>
          <w:rFonts w:ascii="Arial" w:cs="Arial" w:eastAsia="Arial" w:hAnsi="Arial"/>
          <w:sz w:val="20"/>
          <w:szCs w:val="20"/>
          <w:color w:val="auto"/>
        </w:rPr>
        <w:t>any acts, omissions or fraud by, or the insolvency of, any beneficiary, any nominated person or entity or any other Person or any breach of contract between any beneficiary and any Borrower or any of the parties to the underlying transaction to which the Letter of Credit relates;</w:t>
      </w:r>
    </w:p>
    <w:p>
      <w:pPr>
        <w:spacing w:after="0" w:line="185" w:lineRule="exact"/>
        <w:rPr>
          <w:rFonts w:ascii="Arial" w:cs="Arial" w:eastAsia="Arial" w:hAnsi="Arial"/>
          <w:sz w:val="20"/>
          <w:szCs w:val="20"/>
          <w:color w:val="auto"/>
        </w:rPr>
      </w:pPr>
    </w:p>
    <w:p>
      <w:pPr>
        <w:ind w:firstLine="1952"/>
        <w:spacing w:after="0" w:line="316" w:lineRule="auto"/>
        <w:tabs>
          <w:tab w:leader="none" w:pos="259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assertion or waiver of any provision of the ISP or UCP that primarily benefits an issuer of a letter of credit, including any requirement that any Drawing Document be presented to it at a particular hour or place;</w:t>
      </w:r>
    </w:p>
    <w:p>
      <w:pPr>
        <w:spacing w:after="0" w:line="129" w:lineRule="exact"/>
        <w:rPr>
          <w:rFonts w:ascii="Arial" w:cs="Arial" w:eastAsia="Arial" w:hAnsi="Arial"/>
          <w:sz w:val="18"/>
          <w:szCs w:val="18"/>
          <w:color w:val="auto"/>
        </w:rPr>
      </w:pPr>
    </w:p>
    <w:p>
      <w:pPr>
        <w:jc w:val="both"/>
        <w:ind w:firstLine="1952"/>
        <w:spacing w:after="0" w:line="250" w:lineRule="auto"/>
        <w:tabs>
          <w:tab w:leader="none" w:pos="2592" w:val="left"/>
        </w:tabs>
        <w:numPr>
          <w:ilvl w:val="1"/>
          <w:numId w:val="101"/>
        </w:numPr>
        <w:rPr>
          <w:rFonts w:ascii="Arial" w:cs="Arial" w:eastAsia="Arial" w:hAnsi="Arial"/>
          <w:sz w:val="20"/>
          <w:szCs w:val="20"/>
          <w:color w:val="auto"/>
        </w:rPr>
      </w:pPr>
      <w:r>
        <w:rPr>
          <w:rFonts w:ascii="Arial" w:cs="Arial" w:eastAsia="Arial" w:hAnsi="Arial"/>
          <w:sz w:val="20"/>
          <w:szCs w:val="20"/>
          <w:color w:val="auto"/>
        </w:rPr>
        <w:t>payment to any presenting bank (designated or permitted by the terms of the applicable Letter of Credit) claiming that it rightfully honored or is entitled to reimbursement or indemnity under Standard Letter of Credit Practice applicable to it;</w:t>
      </w:r>
    </w:p>
    <w:p>
      <w:pPr>
        <w:spacing w:after="0" w:line="185" w:lineRule="exact"/>
        <w:rPr>
          <w:rFonts w:ascii="Arial" w:cs="Arial" w:eastAsia="Arial" w:hAnsi="Arial"/>
          <w:sz w:val="20"/>
          <w:szCs w:val="20"/>
          <w:color w:val="auto"/>
        </w:rPr>
      </w:pPr>
    </w:p>
    <w:p>
      <w:pPr>
        <w:ind w:firstLine="1952"/>
        <w:spacing w:after="0" w:line="316" w:lineRule="auto"/>
        <w:tabs>
          <w:tab w:leader="none" w:pos="2592"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acting or failing to act as required or permitted under Standard Letter of Credit Practice applicable to where Issuing Bank has issued, confirmed, advised or negotiated such Letter of Credit, as the case may be;</w:t>
      </w:r>
    </w:p>
    <w:p>
      <w:pPr>
        <w:spacing w:after="0" w:line="129" w:lineRule="exact"/>
        <w:rPr>
          <w:rFonts w:ascii="Arial" w:cs="Arial" w:eastAsia="Arial" w:hAnsi="Arial"/>
          <w:sz w:val="18"/>
          <w:szCs w:val="18"/>
          <w:color w:val="auto"/>
        </w:rPr>
      </w:pPr>
    </w:p>
    <w:p>
      <w:pPr>
        <w:jc w:val="both"/>
        <w:ind w:firstLine="1952"/>
        <w:spacing w:after="0" w:line="269" w:lineRule="auto"/>
        <w:tabs>
          <w:tab w:leader="none" w:pos="2592" w:val="left"/>
        </w:tabs>
        <w:numPr>
          <w:ilvl w:val="1"/>
          <w:numId w:val="101"/>
        </w:numPr>
        <w:rPr>
          <w:rFonts w:ascii="Arial" w:cs="Arial" w:eastAsia="Arial" w:hAnsi="Arial"/>
          <w:sz w:val="19"/>
          <w:szCs w:val="19"/>
          <w:color w:val="auto"/>
        </w:rPr>
      </w:pPr>
      <w:r>
        <w:rPr>
          <w:rFonts w:ascii="Arial" w:cs="Arial" w:eastAsia="Arial" w:hAnsi="Arial"/>
          <w:sz w:val="19"/>
          <w:szCs w:val="19"/>
          <w:color w:val="auto"/>
        </w:rPr>
        <w:t>honor of a presentation after the expiration date of any Letter of Credit notwithstanding that a presentation was made prior to such expiration date and dishonored by Issuing Bank if subsequently Issuing Bank or any court or other finder of fact determines such presentation should have been honored;</w:t>
      </w:r>
    </w:p>
    <w:p>
      <w:pPr>
        <w:spacing w:after="0" w:line="169" w:lineRule="exact"/>
        <w:rPr>
          <w:rFonts w:ascii="Arial" w:cs="Arial" w:eastAsia="Arial" w:hAnsi="Arial"/>
          <w:sz w:val="19"/>
          <w:szCs w:val="19"/>
          <w:color w:val="auto"/>
        </w:rPr>
      </w:pPr>
    </w:p>
    <w:p>
      <w:pPr>
        <w:ind w:firstLine="1952"/>
        <w:spacing w:after="0" w:line="260" w:lineRule="auto"/>
        <w:tabs>
          <w:tab w:leader="none" w:pos="2592" w:val="left"/>
        </w:tabs>
        <w:numPr>
          <w:ilvl w:val="1"/>
          <w:numId w:val="101"/>
        </w:numPr>
        <w:rPr>
          <w:rFonts w:ascii="Arial" w:cs="Arial" w:eastAsia="Arial" w:hAnsi="Arial"/>
          <w:sz w:val="20"/>
          <w:szCs w:val="20"/>
          <w:color w:val="auto"/>
        </w:rPr>
      </w:pPr>
      <w:r>
        <w:rPr>
          <w:rFonts w:ascii="Arial" w:cs="Arial" w:eastAsia="Arial" w:hAnsi="Arial"/>
          <w:sz w:val="20"/>
          <w:szCs w:val="20"/>
          <w:color w:val="auto"/>
        </w:rPr>
        <w:t>dishonor of any presentation that does not strictly comply or that is fraudulent, forged or otherwise not entitled to honor; or</w:t>
      </w:r>
    </w:p>
    <w:p>
      <w:pPr>
        <w:spacing w:after="0" w:line="176" w:lineRule="exact"/>
        <w:rPr>
          <w:rFonts w:ascii="Arial" w:cs="Arial" w:eastAsia="Arial" w:hAnsi="Arial"/>
          <w:sz w:val="20"/>
          <w:szCs w:val="20"/>
          <w:color w:val="auto"/>
        </w:rPr>
      </w:pPr>
    </w:p>
    <w:p>
      <w:pPr>
        <w:ind w:firstLine="1952"/>
        <w:spacing w:after="0" w:line="385" w:lineRule="auto"/>
        <w:tabs>
          <w:tab w:leader="none" w:pos="2592" w:val="left"/>
        </w:tabs>
        <w:numPr>
          <w:ilvl w:val="1"/>
          <w:numId w:val="101"/>
        </w:numPr>
        <w:rPr>
          <w:rFonts w:ascii="Arial" w:cs="Arial" w:eastAsia="Arial" w:hAnsi="Arial"/>
          <w:sz w:val="16"/>
          <w:szCs w:val="16"/>
          <w:color w:val="auto"/>
        </w:rPr>
      </w:pPr>
      <w:r>
        <w:rPr>
          <w:rFonts w:ascii="Arial" w:cs="Arial" w:eastAsia="Arial" w:hAnsi="Arial"/>
          <w:sz w:val="16"/>
          <w:szCs w:val="16"/>
          <w:color w:val="auto"/>
        </w:rPr>
        <w:t>honor of a presentation that is subsequently determined by Issuing Bank to have been made in violation of international, federal, state or local restrictions on the transaction of business with certain prohibited Persons.</w:t>
      </w:r>
    </w:p>
    <w:p>
      <w:pPr>
        <w:spacing w:after="0" w:line="84" w:lineRule="exact"/>
        <w:rPr>
          <w:rFonts w:ascii="Arial" w:cs="Arial" w:eastAsia="Arial" w:hAnsi="Arial"/>
          <w:sz w:val="16"/>
          <w:szCs w:val="16"/>
          <w:color w:val="auto"/>
        </w:rPr>
      </w:pPr>
    </w:p>
    <w:p>
      <w:pPr>
        <w:jc w:val="both"/>
        <w:ind w:firstLine="1304"/>
        <w:spacing w:after="0" w:line="250" w:lineRule="auto"/>
        <w:tabs>
          <w:tab w:leader="none" w:pos="1944" w:val="left"/>
        </w:tabs>
        <w:numPr>
          <w:ilvl w:val="0"/>
          <w:numId w:val="102"/>
        </w:numPr>
        <w:rPr>
          <w:rFonts w:ascii="Arial" w:cs="Arial" w:eastAsia="Arial" w:hAnsi="Arial"/>
          <w:sz w:val="20"/>
          <w:szCs w:val="20"/>
          <w:color w:val="auto"/>
        </w:rPr>
      </w:pPr>
      <w:r>
        <w:rPr>
          <w:rFonts w:ascii="Arial" w:cs="Arial" w:eastAsia="Arial" w:hAnsi="Arial"/>
          <w:sz w:val="20"/>
          <w:szCs w:val="20"/>
          <w:color w:val="auto"/>
        </w:rPr>
        <w:t xml:space="preserve">Borrowers shall pay immediately upon demand to Agent for the account of Issuing Bank as non-refundable fees, commissions, and charges (it being acknowledged and agreed that any charging of such fees, commissions, and charges to the Loan Account pursuant to the provisions of </w:t>
      </w:r>
      <w:r>
        <w:rPr>
          <w:rFonts w:ascii="Arial" w:cs="Arial" w:eastAsia="Arial" w:hAnsi="Arial"/>
          <w:sz w:val="20"/>
          <w:szCs w:val="20"/>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9" w:name="page90"/>
    <w:bookmarkEnd w:id="89"/>
    <w:p>
      <w:pPr>
        <w:jc w:val="both"/>
        <w:spacing w:after="0" w:line="258" w:lineRule="auto"/>
        <w:rPr>
          <w:sz w:val="20"/>
          <w:szCs w:val="20"/>
          <w:color w:val="auto"/>
        </w:rPr>
      </w:pPr>
      <w:r>
        <w:rPr>
          <w:rFonts w:ascii="Arial" w:cs="Arial" w:eastAsia="Arial" w:hAnsi="Arial"/>
          <w:sz w:val="19"/>
          <w:szCs w:val="19"/>
          <w:u w:val="single" w:color="auto"/>
          <w:color w:val="auto"/>
        </w:rPr>
        <w:t>2.6(d)</w:t>
      </w:r>
      <w:r>
        <w:rPr>
          <w:rFonts w:ascii="Arial" w:cs="Arial" w:eastAsia="Arial" w:hAnsi="Arial"/>
          <w:sz w:val="19"/>
          <w:szCs w:val="19"/>
          <w:color w:val="auto"/>
        </w:rPr>
        <w:t xml:space="preserve"> shall be deemed to constitute a demand for payment thereof for the purposes of this </w:t>
      </w:r>
      <w:r>
        <w:rPr>
          <w:rFonts w:ascii="Arial" w:cs="Arial" w:eastAsia="Arial" w:hAnsi="Arial"/>
          <w:sz w:val="19"/>
          <w:szCs w:val="19"/>
          <w:u w:val="single" w:color="auto"/>
          <w:color w:val="auto"/>
        </w:rPr>
        <w:t>Section 2.11(k))</w:t>
      </w:r>
      <w:r>
        <w:rPr>
          <w:rFonts w:ascii="Arial" w:cs="Arial" w:eastAsia="Arial" w:hAnsi="Arial"/>
          <w:sz w:val="19"/>
          <w:szCs w:val="19"/>
          <w:color w:val="auto"/>
        </w:rPr>
        <w:t xml:space="preserve">: (i) a fronting fee which shall be imposed by Issuing Bank equal to 0.125% per annum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average amount of the Letter of Credit Usage during the immediately month (or portion thereof), </w:t>
      </w:r>
      <w:r>
        <w:rPr>
          <w:rFonts w:ascii="Arial" w:cs="Arial" w:eastAsia="Arial" w:hAnsi="Arial"/>
          <w:sz w:val="19"/>
          <w:szCs w:val="19"/>
          <w:i w:val="1"/>
          <w:iCs w:val="1"/>
          <w:u w:val="single" w:color="auto"/>
          <w:color w:val="auto"/>
        </w:rPr>
        <w:t>plus</w:t>
      </w:r>
      <w:r>
        <w:rPr>
          <w:rFonts w:ascii="Arial" w:cs="Arial" w:eastAsia="Arial" w:hAnsi="Arial"/>
          <w:sz w:val="19"/>
          <w:szCs w:val="19"/>
          <w:color w:val="auto"/>
        </w:rPr>
        <w:t xml:space="preserve"> (ii) any and all other customary commissions, fees and charges then in effect imposed by, and any and all expenses incurred by, Issuing Bank, or by any adviser, confirming institution or entity or other nominated person, relating to Letters of Credit, at the time of issuance of any Letter of Credit and upon the occurrence of any other activity with respect to any Letter of Credit (including transfers, assignments of proceeds, amendments, drawings, extensions or cancellations).</w:t>
      </w:r>
    </w:p>
    <w:p>
      <w:pPr>
        <w:spacing w:after="0" w:line="180" w:lineRule="exact"/>
        <w:rPr>
          <w:sz w:val="20"/>
          <w:szCs w:val="20"/>
          <w:color w:val="auto"/>
        </w:rPr>
      </w:pPr>
    </w:p>
    <w:p>
      <w:pPr>
        <w:jc w:val="both"/>
        <w:ind w:firstLine="1304"/>
        <w:spacing w:after="0" w:line="246" w:lineRule="auto"/>
        <w:tabs>
          <w:tab w:leader="none" w:pos="1944" w:val="left"/>
        </w:tabs>
        <w:numPr>
          <w:ilvl w:val="0"/>
          <w:numId w:val="103"/>
        </w:numPr>
        <w:rPr>
          <w:rFonts w:ascii="Arial" w:cs="Arial" w:eastAsia="Arial" w:hAnsi="Arial"/>
          <w:sz w:val="20"/>
          <w:szCs w:val="20"/>
          <w:color w:val="auto"/>
        </w:rPr>
      </w:pPr>
      <w:r>
        <w:rPr>
          <w:rFonts w:ascii="Arial" w:cs="Arial" w:eastAsia="Arial" w:hAnsi="Arial"/>
          <w:sz w:val="20"/>
          <w:szCs w:val="20"/>
          <w:color w:val="auto"/>
        </w:rPr>
        <w:t>If by reason of (x) any Change in Law, or (y) compliance by Issuing Bank or any other member of the Lender Group with any direction, request, or requirement (irrespective of whether having the force of law) of any Governmental Authority or monetary authority including, Regulation D of the Board of Governors as from time to time in effect (and any successor thereto):</w:t>
      </w:r>
    </w:p>
    <w:p>
      <w:pPr>
        <w:spacing w:after="0" w:line="191" w:lineRule="exact"/>
        <w:rPr>
          <w:rFonts w:ascii="Arial" w:cs="Arial" w:eastAsia="Arial" w:hAnsi="Arial"/>
          <w:sz w:val="20"/>
          <w:szCs w:val="20"/>
          <w:color w:val="auto"/>
        </w:rPr>
      </w:pPr>
    </w:p>
    <w:p>
      <w:pPr>
        <w:jc w:val="both"/>
        <w:ind w:firstLine="1952"/>
        <w:spacing w:after="0" w:line="250" w:lineRule="auto"/>
        <w:tabs>
          <w:tab w:leader="none" w:pos="2592" w:val="left"/>
        </w:tabs>
        <w:numPr>
          <w:ilvl w:val="1"/>
          <w:numId w:val="103"/>
        </w:numPr>
        <w:rPr>
          <w:rFonts w:ascii="Arial" w:cs="Arial" w:eastAsia="Arial" w:hAnsi="Arial"/>
          <w:sz w:val="20"/>
          <w:szCs w:val="20"/>
          <w:color w:val="auto"/>
        </w:rPr>
      </w:pPr>
      <w:r>
        <w:rPr>
          <w:rFonts w:ascii="Arial" w:cs="Arial" w:eastAsia="Arial" w:hAnsi="Arial"/>
          <w:sz w:val="20"/>
          <w:szCs w:val="20"/>
          <w:color w:val="auto"/>
        </w:rPr>
        <w:t>any reserve, deposit, or similar requirement is or shall be imposed or modified in respect of any Letter of Credit issued or caused to be issued hereunder or hereby, or any Loans or obligations to make Loans hereunder or hereby, or</w:t>
      </w:r>
    </w:p>
    <w:p>
      <w:pPr>
        <w:spacing w:after="0" w:line="185" w:lineRule="exact"/>
        <w:rPr>
          <w:rFonts w:ascii="Arial" w:cs="Arial" w:eastAsia="Arial" w:hAnsi="Arial"/>
          <w:sz w:val="20"/>
          <w:szCs w:val="20"/>
          <w:color w:val="auto"/>
        </w:rPr>
      </w:pPr>
    </w:p>
    <w:p>
      <w:pPr>
        <w:ind w:firstLine="1952"/>
        <w:spacing w:after="0" w:line="260" w:lineRule="auto"/>
        <w:tabs>
          <w:tab w:leader="none" w:pos="2592" w:val="left"/>
        </w:tabs>
        <w:numPr>
          <w:ilvl w:val="1"/>
          <w:numId w:val="103"/>
        </w:numPr>
        <w:rPr>
          <w:rFonts w:ascii="Arial" w:cs="Arial" w:eastAsia="Arial" w:hAnsi="Arial"/>
          <w:sz w:val="20"/>
          <w:szCs w:val="20"/>
          <w:color w:val="auto"/>
        </w:rPr>
      </w:pPr>
      <w:r>
        <w:rPr>
          <w:rFonts w:ascii="Arial" w:cs="Arial" w:eastAsia="Arial" w:hAnsi="Arial"/>
          <w:sz w:val="20"/>
          <w:szCs w:val="20"/>
          <w:color w:val="auto"/>
        </w:rPr>
        <w:t>there shall be imposed on Issuing Bank or any other member of the Lender Group any other condition regarding any Letter of Credit, Loans, or obligations to make Loans hereunder,</w:t>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 xml:space="preserve">and the result of the foregoing is to increase, directly or indirectly, the cost to Issuing Bank or any other member of the Lender Group of issuing, making, participating in, or maintaining any Letter of Credit or to reduce the amount receivable in respect thereof, then, and in any such case, Agent may, at any time within a reasonable period after the additional cost is incurred or the amount received is reduced, notify Borrowers, and Borrowers shall pay within 30 days after demand therefor, such amounts as Agent may specify to be necessary to compensate Issuing Bank or any other member of the Lender Group for such additional cost or reduced receipt, together with interest on such amount from the date of such demand until payment in full thereof at the rate then applicable to Base Rate Loans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Borrowers shall not be required to provide any compensation pursuant to this </w:t>
      </w:r>
      <w:r>
        <w:rPr>
          <w:rFonts w:ascii="Arial" w:cs="Arial" w:eastAsia="Arial" w:hAnsi="Arial"/>
          <w:sz w:val="18"/>
          <w:szCs w:val="18"/>
          <w:u w:val="single" w:color="auto"/>
          <w:color w:val="auto"/>
        </w:rPr>
        <w:t>Section 2.11(l)</w:t>
      </w:r>
      <w:r>
        <w:rPr>
          <w:rFonts w:ascii="Arial" w:cs="Arial" w:eastAsia="Arial" w:hAnsi="Arial"/>
          <w:sz w:val="18"/>
          <w:szCs w:val="18"/>
          <w:color w:val="auto"/>
        </w:rPr>
        <w:t xml:space="preserve"> for any such amounts incurred more than 180 days prior to the date on which the demand for payment of such amounts is first made to Borrowers, and (B) if an event or circumstance giving rise to such amounts is retroactive, then the 180-day period referred to above shall be extended to include the period of retroactive effect thereof. The determination by Agent of any amount due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2.11(l)</w:t>
      </w:r>
      <w:r>
        <w:rPr>
          <w:rFonts w:ascii="Arial" w:cs="Arial" w:eastAsia="Arial" w:hAnsi="Arial"/>
          <w:sz w:val="18"/>
          <w:szCs w:val="18"/>
          <w:color w:val="auto"/>
        </w:rPr>
        <w:t>, as set forth in a certificate setting forth the calculation thereof in reasonable detail, shall, in the absence of manifest or demonstrable error, be final and conclusive and binding on all of the parties hereto.</w:t>
      </w:r>
    </w:p>
    <w:p>
      <w:pPr>
        <w:spacing w:after="0" w:line="172" w:lineRule="exact"/>
        <w:rPr>
          <w:sz w:val="20"/>
          <w:szCs w:val="20"/>
          <w:color w:val="auto"/>
        </w:rPr>
      </w:pPr>
    </w:p>
    <w:p>
      <w:pPr>
        <w:jc w:val="both"/>
        <w:ind w:firstLine="1304"/>
        <w:spacing w:after="0" w:line="243" w:lineRule="auto"/>
        <w:tabs>
          <w:tab w:leader="none" w:pos="1944" w:val="left"/>
        </w:tabs>
        <w:numPr>
          <w:ilvl w:val="0"/>
          <w:numId w:val="104"/>
        </w:numPr>
        <w:rPr>
          <w:rFonts w:ascii="Arial" w:cs="Arial" w:eastAsia="Arial" w:hAnsi="Arial"/>
          <w:sz w:val="20"/>
          <w:szCs w:val="20"/>
          <w:color w:val="auto"/>
        </w:rPr>
      </w:pPr>
      <w:r>
        <w:rPr>
          <w:rFonts w:ascii="Arial" w:cs="Arial" w:eastAsia="Arial" w:hAnsi="Arial"/>
          <w:sz w:val="20"/>
          <w:szCs w:val="20"/>
          <w:color w:val="auto"/>
        </w:rPr>
        <w:t xml:space="preserve">Each standby Letter of Credit shall expire not later than the date that is 12 months after the date of the issuance of such Letter of Credit;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any standby Letter of Credit may provide for the automatic extension thereof for any number of additional periods each of up to one year in duration; </w:t>
      </w:r>
      <w:r>
        <w:rPr>
          <w:rFonts w:ascii="Arial" w:cs="Arial" w:eastAsia="Arial" w:hAnsi="Arial"/>
          <w:sz w:val="20"/>
          <w:szCs w:val="20"/>
          <w:u w:val="single" w:color="auto"/>
          <w:color w:val="auto"/>
        </w:rPr>
        <w:t>provided further</w:t>
      </w:r>
      <w:r>
        <w:rPr>
          <w:rFonts w:ascii="Arial" w:cs="Arial" w:eastAsia="Arial" w:hAnsi="Arial"/>
          <w:sz w:val="20"/>
          <w:szCs w:val="20"/>
          <w:color w:val="auto"/>
        </w:rPr>
        <w:t>, that with respect to any Letter of Credit which extends beyond the Maturity Date, Letter of Credit Collateralization shall be provided therefor on or before the date that is five Business Days prior to the Maturity Date. Each commercial Letter of Credit shall expire on the earlier of (i) 120 days after the date of the issuance of such commercial Letter of Credit and (ii) five Business Days prior to the Maturity Date.</w:t>
      </w:r>
    </w:p>
    <w:p>
      <w:pPr>
        <w:spacing w:after="0" w:line="192" w:lineRule="exact"/>
        <w:rPr>
          <w:rFonts w:ascii="Arial" w:cs="Arial" w:eastAsia="Arial" w:hAnsi="Arial"/>
          <w:sz w:val="20"/>
          <w:szCs w:val="20"/>
          <w:color w:val="auto"/>
        </w:rPr>
      </w:pPr>
    </w:p>
    <w:p>
      <w:pPr>
        <w:jc w:val="both"/>
        <w:ind w:firstLine="1304"/>
        <w:spacing w:after="0" w:line="244" w:lineRule="auto"/>
        <w:tabs>
          <w:tab w:leader="none" w:pos="1944" w:val="left"/>
        </w:tabs>
        <w:numPr>
          <w:ilvl w:val="0"/>
          <w:numId w:val="104"/>
        </w:numPr>
        <w:rPr>
          <w:rFonts w:ascii="Arial" w:cs="Arial" w:eastAsia="Arial" w:hAnsi="Arial"/>
          <w:sz w:val="20"/>
          <w:szCs w:val="20"/>
          <w:color w:val="auto"/>
        </w:rPr>
      </w:pPr>
      <w:r>
        <w:rPr>
          <w:rFonts w:ascii="Arial" w:cs="Arial" w:eastAsia="Arial" w:hAnsi="Arial"/>
          <w:sz w:val="20"/>
          <w:szCs w:val="20"/>
          <w:color w:val="auto"/>
        </w:rPr>
        <w:t xml:space="preserve">If (i) any Event of Default shall occur and be continuing, or (ii) Availability shall at any time be less than zero, then on the Business Day following the date when Administrative Borrower receives notice from Agent or the Required Lenders (or, if the maturity of the Obligations has been accelerated, Revolving Lenders with Letter of Credit Exposure representing greater than 50% of the total Letter of Credit Exposure) demanding Letter of Credit Collateralization pursuant to this </w:t>
      </w:r>
      <w:r>
        <w:rPr>
          <w:rFonts w:ascii="Arial" w:cs="Arial" w:eastAsia="Arial" w:hAnsi="Arial"/>
          <w:sz w:val="20"/>
          <w:szCs w:val="20"/>
          <w:u w:val="single" w:color="auto"/>
          <w:color w:val="auto"/>
        </w:rPr>
        <w:t>Section 2.11(n)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0" w:name="page91"/>
    <w:bookmarkEnd w:id="90"/>
    <w:p>
      <w:pPr>
        <w:jc w:val="both"/>
        <w:spacing w:after="0" w:line="259" w:lineRule="auto"/>
        <w:rPr>
          <w:sz w:val="20"/>
          <w:szCs w:val="20"/>
          <w:color w:val="auto"/>
        </w:rPr>
      </w:pPr>
      <w:r>
        <w:rPr>
          <w:rFonts w:ascii="Arial" w:cs="Arial" w:eastAsia="Arial" w:hAnsi="Arial"/>
          <w:sz w:val="19"/>
          <w:szCs w:val="19"/>
          <w:color w:val="auto"/>
        </w:rPr>
        <w:t xml:space="preserve">upon such demand, Borrowers shall provide Letter of Credit Collateralization with respect to the then existing Letter of Credit Usage. If Borrowers fail to provide Letter of Credit Collateralization as required by this </w:t>
      </w:r>
      <w:r>
        <w:rPr>
          <w:rFonts w:ascii="Arial" w:cs="Arial" w:eastAsia="Arial" w:hAnsi="Arial"/>
          <w:sz w:val="19"/>
          <w:szCs w:val="19"/>
          <w:u w:val="single" w:color="auto"/>
          <w:color w:val="auto"/>
        </w:rPr>
        <w:t>Section 2.11(n)</w:t>
      </w:r>
      <w:r>
        <w:rPr>
          <w:rFonts w:ascii="Arial" w:cs="Arial" w:eastAsia="Arial" w:hAnsi="Arial"/>
          <w:sz w:val="19"/>
          <w:szCs w:val="19"/>
          <w:color w:val="auto"/>
        </w:rPr>
        <w:t xml:space="preserve">, the Revolving Lenders may (and, upon direction of Agent, shall) advance, as Revolving Loans the amount of the cash collateral required pursuant to the Letter of Credit Collateralization provision so that the then existing Letter of Credit Usage is cash collateralized in accordance with the Letter of Credit Collateralization provision (whether or not the Revolver Commitments have terminated, an Overadvance exists or the conditions in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are satisfied).</w:t>
      </w:r>
    </w:p>
    <w:p>
      <w:pPr>
        <w:spacing w:after="0" w:line="179" w:lineRule="exact"/>
        <w:rPr>
          <w:sz w:val="20"/>
          <w:szCs w:val="20"/>
          <w:color w:val="auto"/>
        </w:rPr>
      </w:pPr>
    </w:p>
    <w:p>
      <w:pPr>
        <w:ind w:left="1960" w:hanging="656"/>
        <w:spacing w:after="0"/>
        <w:tabs>
          <w:tab w:leader="none" w:pos="196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Unless otherwise expressly agreed by Issuing Bank and Borrowers when a Letter of Credit is issued,</w:t>
      </w:r>
    </w:p>
    <w:p>
      <w:pPr>
        <w:spacing w:after="0" w:line="61" w:lineRule="exact"/>
        <w:rPr>
          <w:rFonts w:ascii="Arial" w:cs="Arial" w:eastAsia="Arial" w:hAnsi="Arial"/>
          <w:sz w:val="16"/>
          <w:szCs w:val="16"/>
          <w:color w:val="auto"/>
        </w:rPr>
      </w:pPr>
    </w:p>
    <w:p>
      <w:pPr>
        <w:ind w:firstLine="8"/>
        <w:spacing w:after="0" w:line="244" w:lineRule="auto"/>
        <w:tabs>
          <w:tab w:leader="none" w:pos="271" w:val="left"/>
        </w:tabs>
        <w:numPr>
          <w:ilvl w:val="0"/>
          <w:numId w:val="106"/>
        </w:numPr>
        <w:rPr>
          <w:rFonts w:ascii="Arial" w:cs="Arial" w:eastAsia="Arial" w:hAnsi="Arial"/>
          <w:sz w:val="20"/>
          <w:szCs w:val="20"/>
          <w:color w:val="auto"/>
        </w:rPr>
      </w:pPr>
      <w:r>
        <w:rPr>
          <w:rFonts w:ascii="Arial" w:cs="Arial" w:eastAsia="Arial" w:hAnsi="Arial"/>
          <w:sz w:val="20"/>
          <w:szCs w:val="20"/>
          <w:color w:val="auto"/>
        </w:rPr>
        <w:t>the rules of the ISP shall apply to each standby Letter of Credit, and (ii) the rules of the UCP shall apply to each commercial Letter of Credit.</w:t>
      </w:r>
    </w:p>
    <w:p>
      <w:pPr>
        <w:spacing w:after="0" w:line="191" w:lineRule="exact"/>
        <w:rPr>
          <w:rFonts w:ascii="Arial" w:cs="Arial" w:eastAsia="Arial" w:hAnsi="Arial"/>
          <w:sz w:val="20"/>
          <w:szCs w:val="20"/>
          <w:color w:val="auto"/>
        </w:rPr>
      </w:pPr>
    </w:p>
    <w:p>
      <w:pPr>
        <w:ind w:firstLine="1304"/>
        <w:spacing w:after="0" w:line="287" w:lineRule="auto"/>
        <w:tabs>
          <w:tab w:leader="none" w:pos="1944" w:val="left"/>
        </w:tabs>
        <w:numPr>
          <w:ilvl w:val="1"/>
          <w:numId w:val="106"/>
        </w:numPr>
        <w:rPr>
          <w:rFonts w:ascii="Arial" w:cs="Arial" w:eastAsia="Arial" w:hAnsi="Arial"/>
          <w:sz w:val="19"/>
          <w:szCs w:val="19"/>
          <w:color w:val="auto"/>
        </w:rPr>
      </w:pPr>
      <w:r>
        <w:rPr>
          <w:rFonts w:ascii="Arial" w:cs="Arial" w:eastAsia="Arial" w:hAnsi="Arial"/>
          <w:sz w:val="19"/>
          <w:szCs w:val="19"/>
          <w:color w:val="auto"/>
        </w:rPr>
        <w:t>Issuing Bank shall be deemed to have acted with due diligence and reasonable care if Issuing Bank’s conduct is in accordance with Standard Letter of Credit Practice or in accordance with this Agreement.</w:t>
      </w:r>
    </w:p>
    <w:p>
      <w:pPr>
        <w:spacing w:after="0" w:line="152" w:lineRule="exact"/>
        <w:rPr>
          <w:rFonts w:ascii="Arial" w:cs="Arial" w:eastAsia="Arial" w:hAnsi="Arial"/>
          <w:sz w:val="19"/>
          <w:szCs w:val="19"/>
          <w:color w:val="auto"/>
        </w:rPr>
      </w:pPr>
    </w:p>
    <w:p>
      <w:pPr>
        <w:jc w:val="both"/>
        <w:ind w:firstLine="1304"/>
        <w:spacing w:after="0" w:line="263" w:lineRule="auto"/>
        <w:tabs>
          <w:tab w:leader="none" w:pos="1944" w:val="left"/>
        </w:tabs>
        <w:numPr>
          <w:ilvl w:val="1"/>
          <w:numId w:val="106"/>
        </w:numPr>
        <w:rPr>
          <w:rFonts w:ascii="Arial" w:cs="Arial" w:eastAsia="Arial" w:hAnsi="Arial"/>
          <w:sz w:val="19"/>
          <w:szCs w:val="19"/>
          <w:color w:val="auto"/>
        </w:rPr>
      </w:pPr>
      <w:r>
        <w:rPr>
          <w:rFonts w:ascii="Arial" w:cs="Arial" w:eastAsia="Arial" w:hAnsi="Arial"/>
          <w:sz w:val="19"/>
          <w:szCs w:val="19"/>
          <w:color w:val="auto"/>
        </w:rPr>
        <w:t xml:space="preserve">In the event of a direct conflict between the provisions of this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and any provision contained in any Issuer Document, it is the intention of the parties hereto that such provisions be read together and construed, to the fullest extent possible, to be in concert with each other. In the event of any actual, irreconcilable conflict that cannot be resolved as aforesaid, the terms and provisions of this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shall control and govern.</w:t>
      </w:r>
    </w:p>
    <w:p>
      <w:pPr>
        <w:spacing w:after="0" w:line="176" w:lineRule="exact"/>
        <w:rPr>
          <w:rFonts w:ascii="Arial" w:cs="Arial" w:eastAsia="Arial" w:hAnsi="Arial"/>
          <w:sz w:val="19"/>
          <w:szCs w:val="19"/>
          <w:color w:val="auto"/>
        </w:rPr>
      </w:pPr>
    </w:p>
    <w:p>
      <w:pPr>
        <w:ind w:firstLine="1304"/>
        <w:spacing w:after="0" w:line="260" w:lineRule="auto"/>
        <w:tabs>
          <w:tab w:leader="none" w:pos="1944" w:val="left"/>
        </w:tabs>
        <w:numPr>
          <w:ilvl w:val="1"/>
          <w:numId w:val="106"/>
        </w:numPr>
        <w:rPr>
          <w:rFonts w:ascii="Arial" w:cs="Arial" w:eastAsia="Arial" w:hAnsi="Arial"/>
          <w:sz w:val="20"/>
          <w:szCs w:val="20"/>
          <w:color w:val="auto"/>
        </w:rPr>
      </w:pPr>
      <w:r>
        <w:rPr>
          <w:rFonts w:ascii="Arial" w:cs="Arial" w:eastAsia="Arial" w:hAnsi="Arial"/>
          <w:sz w:val="20"/>
          <w:szCs w:val="20"/>
          <w:color w:val="auto"/>
        </w:rPr>
        <w:t xml:space="preserve">The provisions of this </w:t>
      </w: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shall survive the termination of this Agreement and the repayment in full of the Obligations with respect to any Letters of Credit that remain outstanding.</w:t>
      </w:r>
    </w:p>
    <w:p>
      <w:pPr>
        <w:spacing w:after="0" w:line="176" w:lineRule="exact"/>
        <w:rPr>
          <w:rFonts w:ascii="Arial" w:cs="Arial" w:eastAsia="Arial" w:hAnsi="Arial"/>
          <w:sz w:val="20"/>
          <w:szCs w:val="20"/>
          <w:color w:val="auto"/>
        </w:rPr>
      </w:pPr>
    </w:p>
    <w:p>
      <w:pPr>
        <w:jc w:val="both"/>
        <w:ind w:firstLine="1304"/>
        <w:spacing w:after="0" w:line="255" w:lineRule="auto"/>
        <w:tabs>
          <w:tab w:leader="none" w:pos="1944" w:val="left"/>
        </w:tabs>
        <w:numPr>
          <w:ilvl w:val="1"/>
          <w:numId w:val="106"/>
        </w:numPr>
        <w:rPr>
          <w:rFonts w:ascii="Arial" w:cs="Arial" w:eastAsia="Arial" w:hAnsi="Arial"/>
          <w:sz w:val="19"/>
          <w:szCs w:val="19"/>
          <w:color w:val="auto"/>
        </w:rPr>
      </w:pPr>
      <w:r>
        <w:rPr>
          <w:rFonts w:ascii="Arial" w:cs="Arial" w:eastAsia="Arial" w:hAnsi="Arial"/>
          <w:sz w:val="19"/>
          <w:szCs w:val="19"/>
          <w:color w:val="auto"/>
        </w:rPr>
        <w:t>At Borrowers’ costs and expense, Borrowers shall execute and deliver to Issuing Bank such additional certificates, instruments or documents and take such additional action as may be reasonably requested by Issuing Bank to enable Issuing Bank to issue any Letter of Credit pursuant to this Agreement and related Issuer Document, to protect, exercise or enforce Issuing Banks’ rights and interests under this Agreement or to give effect to the terms and provisions of this Agreement or any Issuer Document. Each Borrower irrevocably appoints Issuing Bank as its attorney-in-fact and authorizes Issuing Bank, without notice to Borrowers, to execute and deliver ancillary documents and letters customary in the letter of credit business that may include but are not limited to advisements, indemnities, checks, bills of exchange and issuance documents. The power of attorney granted by the Borrowers is limited solely to such actions related to the issuance, confirmation or amendment of any Letter of Credit and to ancillary documents or letters customary in the letter of credit business. This appointment is coupled with an interest.</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8"/>
          <w:szCs w:val="18"/>
          <w:b w:val="1"/>
          <w:bCs w:val="1"/>
          <w:u w:val="single" w:color="auto"/>
          <w:color w:val="auto"/>
        </w:rPr>
        <w:t>SOFR Option</w:t>
      </w:r>
      <w:r>
        <w:rPr>
          <w:rFonts w:ascii="Arial" w:cs="Arial" w:eastAsia="Arial" w:hAnsi="Arial"/>
          <w:sz w:val="18"/>
          <w:szCs w:val="18"/>
          <w:b w:val="1"/>
          <w:bCs w:val="1"/>
          <w:color w:val="auto"/>
        </w:rPr>
        <w:t>.</w:t>
      </w:r>
    </w:p>
    <w:p>
      <w:pPr>
        <w:spacing w:after="0" w:line="216" w:lineRule="exact"/>
        <w:rPr>
          <w:sz w:val="20"/>
          <w:szCs w:val="20"/>
          <w:color w:val="auto"/>
        </w:rPr>
      </w:pPr>
    </w:p>
    <w:p>
      <w:pPr>
        <w:jc w:val="both"/>
        <w:ind w:firstLine="1304"/>
        <w:spacing w:after="0" w:line="256" w:lineRule="auto"/>
        <w:tabs>
          <w:tab w:leader="none" w:pos="1944" w:val="left"/>
        </w:tabs>
        <w:numPr>
          <w:ilvl w:val="0"/>
          <w:numId w:val="107"/>
        </w:numPr>
        <w:rPr>
          <w:rFonts w:ascii="Arial" w:cs="Arial" w:eastAsia="Arial" w:hAnsi="Arial"/>
          <w:sz w:val="19"/>
          <w:szCs w:val="19"/>
          <w:color w:val="auto"/>
        </w:rPr>
      </w:pPr>
      <w:r>
        <w:rPr>
          <w:rFonts w:ascii="Arial" w:cs="Arial" w:eastAsia="Arial" w:hAnsi="Arial"/>
          <w:sz w:val="19"/>
          <w:szCs w:val="19"/>
          <w:b w:val="1"/>
          <w:bCs w:val="1"/>
          <w:color w:val="auto"/>
        </w:rPr>
        <w:t>Interest and Interest Payment Dates</w:t>
      </w:r>
      <w:r>
        <w:rPr>
          <w:rFonts w:ascii="Arial" w:cs="Arial" w:eastAsia="Arial" w:hAnsi="Arial"/>
          <w:sz w:val="19"/>
          <w:szCs w:val="19"/>
          <w:color w:val="auto"/>
        </w:rPr>
        <w:t>. In lieu of having interest charged at the rate based upon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Base Rate, Borrowers shall have the option, subject to </w:t>
      </w:r>
      <w:r>
        <w:rPr>
          <w:rFonts w:ascii="Arial" w:cs="Arial" w:eastAsia="Arial" w:hAnsi="Arial"/>
          <w:sz w:val="19"/>
          <w:szCs w:val="19"/>
          <w:u w:val="single" w:color="auto"/>
          <w:color w:val="auto"/>
        </w:rPr>
        <w:t>Section 2.12(b)</w:t>
      </w:r>
      <w:r>
        <w:rPr>
          <w:rFonts w:ascii="Arial" w:cs="Arial" w:eastAsia="Arial" w:hAnsi="Arial"/>
          <w:sz w:val="19"/>
          <w:szCs w:val="19"/>
          <w:color w:val="auto"/>
        </w:rPr>
        <w:t xml:space="preserve"> below (the “</w:t>
      </w:r>
      <w:r>
        <w:rPr>
          <w:rFonts w:ascii="Arial" w:cs="Arial" w:eastAsia="Arial" w:hAnsi="Arial"/>
          <w:sz w:val="19"/>
          <w:szCs w:val="19"/>
          <w:u w:val="single" w:color="auto"/>
          <w:color w:val="auto"/>
        </w:rPr>
        <w:t>SOFR Option</w:t>
      </w:r>
      <w:r>
        <w:rPr>
          <w:rFonts w:ascii="Arial" w:cs="Arial" w:eastAsia="Arial" w:hAnsi="Arial"/>
          <w:sz w:val="19"/>
          <w:szCs w:val="19"/>
          <w:color w:val="auto"/>
        </w:rPr>
        <w:t xml:space="preserve">”) to have interest on all or a portion of the Revolving Loans or the Capex Advances be charged (whether at the time when made (unless otherwise provided herein), upon conversion from a Base Rate Loan to a SOFR Loan, or upon continuation of a SOFR Loan as a SOFR Loan) at a rate of interest based upon Adjusted Term SOFR. Interest on SOFR Loans shall be payable on the earliest of (i) the last day of the Interest Period applicable thereto; </w:t>
      </w:r>
      <w:r>
        <w:rPr>
          <w:rFonts w:ascii="Arial" w:cs="Arial" w:eastAsia="Arial" w:hAnsi="Arial"/>
          <w:sz w:val="19"/>
          <w:szCs w:val="19"/>
          <w:u w:val="single" w:color="auto"/>
          <w:color w:val="auto"/>
        </w:rPr>
        <w:t>provided</w:t>
      </w:r>
      <w:r>
        <w:rPr>
          <w:rFonts w:ascii="Arial" w:cs="Arial" w:eastAsia="Arial" w:hAnsi="Arial"/>
          <w:sz w:val="19"/>
          <w:szCs w:val="19"/>
          <w:color w:val="auto"/>
        </w:rPr>
        <w:t>, that subject to the following clauses (ii) and (iii), in the case of any Interest Period greater than three months in duration, interest shall be payable at three month intervals after the commencement of the applicable Interest Period and on the last day of such Interest Period, (ii) the date on which all or any portion of the Obligations are accelerated pursuant to the terms hereof, or (iii) the date on which this Agreement is terminated pursuant to the terms hereof. On the last day of each applicable Interest Period, unless Borrowers have properly exercised the SOFR Option with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1" w:name="page92"/>
    <w:bookmarkEnd w:id="91"/>
    <w:p>
      <w:pPr>
        <w:jc w:val="both"/>
        <w:spacing w:after="0" w:line="245" w:lineRule="auto"/>
        <w:rPr>
          <w:sz w:val="20"/>
          <w:szCs w:val="20"/>
          <w:color w:val="auto"/>
        </w:rPr>
      </w:pPr>
      <w:r>
        <w:rPr>
          <w:rFonts w:ascii="Arial" w:cs="Arial" w:eastAsia="Arial" w:hAnsi="Arial"/>
          <w:sz w:val="20"/>
          <w:szCs w:val="20"/>
          <w:color w:val="auto"/>
        </w:rPr>
        <w:t>thereto, the interest rate applicable to such SOFR Loan automatically shall convert to the rate of interest then applicable to Base Rate Loans of the same type hereunder. At any time that an Event of Default has occurred and is continuing and Borrowers shall have received any notice required pursuant to Section 2.12(b)(i), Borrowers no longer shall have the option to request that Revolving Loans or any portion of the Capex Advances bear interest at a rate based upon Adjusted Term SOFR.</w:t>
      </w:r>
    </w:p>
    <w:p>
      <w:pPr>
        <w:spacing w:after="0" w:line="185" w:lineRule="exact"/>
        <w:rPr>
          <w:sz w:val="20"/>
          <w:szCs w:val="20"/>
          <w:color w:val="auto"/>
        </w:rPr>
      </w:pPr>
    </w:p>
    <w:p>
      <w:pPr>
        <w:ind w:left="1960" w:hanging="656"/>
        <w:spacing w:after="0"/>
        <w:tabs>
          <w:tab w:leader="none" w:pos="1960" w:val="left"/>
        </w:tabs>
        <w:numPr>
          <w:ilvl w:val="0"/>
          <w:numId w:val="108"/>
        </w:numPr>
        <w:rPr>
          <w:rFonts w:ascii="Arial" w:cs="Arial" w:eastAsia="Arial" w:hAnsi="Arial"/>
          <w:sz w:val="20"/>
          <w:szCs w:val="20"/>
          <w:color w:val="auto"/>
        </w:rPr>
      </w:pPr>
      <w:r>
        <w:rPr>
          <w:rFonts w:ascii="Arial" w:cs="Arial" w:eastAsia="Arial" w:hAnsi="Arial"/>
          <w:sz w:val="20"/>
          <w:szCs w:val="20"/>
          <w:b w:val="1"/>
          <w:bCs w:val="1"/>
          <w:color w:val="auto"/>
        </w:rPr>
        <w:t>SOFR Election</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firstLine="1952"/>
        <w:spacing w:after="0" w:line="255" w:lineRule="auto"/>
        <w:tabs>
          <w:tab w:leader="none" w:pos="2592" w:val="left"/>
        </w:tabs>
        <w:numPr>
          <w:ilvl w:val="1"/>
          <w:numId w:val="108"/>
        </w:numPr>
        <w:rPr>
          <w:rFonts w:ascii="Arial" w:cs="Arial" w:eastAsia="Arial" w:hAnsi="Arial"/>
          <w:sz w:val="19"/>
          <w:szCs w:val="19"/>
          <w:color w:val="auto"/>
        </w:rPr>
      </w:pPr>
      <w:r>
        <w:rPr>
          <w:rFonts w:ascii="Arial" w:cs="Arial" w:eastAsia="Arial" w:hAnsi="Arial"/>
          <w:sz w:val="19"/>
          <w:szCs w:val="19"/>
          <w:color w:val="auto"/>
        </w:rPr>
        <w:t>Borrowers may, at any time and from time to time, so long as Borrowers have not received a notice from Agent (which notice Agent may elect to give or not give in its discretion unless Agent is directed to give such notice by the Required Lenders, in which case, it shall give the notice to Borrowers), after the occurrence and during the continuance of an Event of Default, to terminate the right of Borrowers to exercise the SOFR Option during the continuance of such Event of Default, elect to exercise the SOFR Option by notifying Agent prior to 11:00 a.m. at least three U.S. Government Securities Business Days prior to the commencement of the proposed Interest Period (the “</w:t>
      </w:r>
      <w:r>
        <w:rPr>
          <w:rFonts w:ascii="Arial" w:cs="Arial" w:eastAsia="Arial" w:hAnsi="Arial"/>
          <w:sz w:val="19"/>
          <w:szCs w:val="19"/>
          <w:u w:val="single" w:color="auto"/>
          <w:color w:val="auto"/>
        </w:rPr>
        <w:t>SOFR Deadline</w:t>
      </w:r>
      <w:r>
        <w:rPr>
          <w:rFonts w:ascii="Arial" w:cs="Arial" w:eastAsia="Arial" w:hAnsi="Arial"/>
          <w:sz w:val="19"/>
          <w:szCs w:val="19"/>
          <w:color w:val="auto"/>
        </w:rPr>
        <w:t>”). Notice of Borrowers’ election of the SOFR Option for a permitted portion of the Revolving Loans or the Capex Advances and an Interest Period pursuant to this Section shall be made by delivery to Agent of a SOFR Notice received by Agent before the SOFR Deadline. Promptly upon its receipt of each such SOFR Notice, Agent shall provide a notice thereof to each of the affected Lenders.</w:t>
      </w:r>
    </w:p>
    <w:p>
      <w:pPr>
        <w:spacing w:after="0" w:line="189" w:lineRule="exact"/>
        <w:rPr>
          <w:rFonts w:ascii="Arial" w:cs="Arial" w:eastAsia="Arial" w:hAnsi="Arial"/>
          <w:sz w:val="19"/>
          <w:szCs w:val="19"/>
          <w:color w:val="auto"/>
        </w:rPr>
      </w:pPr>
    </w:p>
    <w:p>
      <w:pPr>
        <w:jc w:val="both"/>
        <w:ind w:firstLine="1952"/>
        <w:spacing w:after="0" w:line="257" w:lineRule="auto"/>
        <w:tabs>
          <w:tab w:leader="none" w:pos="2592" w:val="left"/>
        </w:tabs>
        <w:numPr>
          <w:ilvl w:val="1"/>
          <w:numId w:val="108"/>
        </w:numPr>
        <w:rPr>
          <w:rFonts w:ascii="Arial" w:cs="Arial" w:eastAsia="Arial" w:hAnsi="Arial"/>
          <w:sz w:val="19"/>
          <w:szCs w:val="19"/>
          <w:color w:val="auto"/>
        </w:rPr>
      </w:pPr>
      <w:r>
        <w:rPr>
          <w:rFonts w:ascii="Arial" w:cs="Arial" w:eastAsia="Arial" w:hAnsi="Arial"/>
          <w:sz w:val="19"/>
          <w:szCs w:val="19"/>
          <w:color w:val="auto"/>
        </w:rPr>
        <w:t>Each SOFR Notice shall be irrevocable and binding on Borrowers. In connection with each SOFR Loan, each Borrower shall indemnify, defend, and hold Agent and the Lenders harmless against any loss, cost, or expense actually incurred by Agent or any Lender as a result of (A) the payment or required assignment of any principal of any SOFR Loan other than on the last day of an Interest Period applicable thereto (including as a result of an Event of Default), (B) the conversion of any SOFR Loan other than on the last day of the Interest Period applicable thereto, or (C) the failure to borrow, convert, continue or prepay any SOFR Loan on the date specified in any SOFR Notice delivered pursuant hereto (such losses, costs, or expenses, “</w:t>
      </w:r>
      <w:r>
        <w:rPr>
          <w:rFonts w:ascii="Arial" w:cs="Arial" w:eastAsia="Arial" w:hAnsi="Arial"/>
          <w:sz w:val="19"/>
          <w:szCs w:val="19"/>
          <w:u w:val="single" w:color="auto"/>
          <w:color w:val="auto"/>
        </w:rPr>
        <w:t>Funding Losses</w:t>
      </w:r>
      <w:r>
        <w:rPr>
          <w:rFonts w:ascii="Arial" w:cs="Arial" w:eastAsia="Arial" w:hAnsi="Arial"/>
          <w:sz w:val="19"/>
          <w:szCs w:val="19"/>
          <w:color w:val="auto"/>
        </w:rPr>
        <w:t>”).</w:t>
      </w:r>
    </w:p>
    <w:p>
      <w:pPr>
        <w:spacing w:after="0" w:line="184" w:lineRule="exact"/>
        <w:rPr>
          <w:rFonts w:ascii="Arial" w:cs="Arial" w:eastAsia="Arial" w:hAnsi="Arial"/>
          <w:sz w:val="19"/>
          <w:szCs w:val="19"/>
          <w:color w:val="auto"/>
        </w:rPr>
      </w:pPr>
    </w:p>
    <w:p>
      <w:pPr>
        <w:jc w:val="both"/>
        <w:ind w:firstLine="1952"/>
        <w:spacing w:after="0" w:line="272" w:lineRule="auto"/>
        <w:tabs>
          <w:tab w:leader="none" w:pos="2592" w:val="left"/>
        </w:tabs>
        <w:numPr>
          <w:ilvl w:val="1"/>
          <w:numId w:val="108"/>
        </w:numPr>
        <w:rPr>
          <w:rFonts w:ascii="Arial" w:cs="Arial" w:eastAsia="Arial" w:hAnsi="Arial"/>
          <w:sz w:val="18"/>
          <w:szCs w:val="18"/>
          <w:color w:val="auto"/>
        </w:rPr>
      </w:pPr>
      <w:r>
        <w:rPr>
          <w:rFonts w:ascii="Arial" w:cs="Arial" w:eastAsia="Arial" w:hAnsi="Arial"/>
          <w:sz w:val="18"/>
          <w:szCs w:val="18"/>
          <w:color w:val="auto"/>
        </w:rPr>
        <w:t xml:space="preserve">A certificate of Agent or a Lender delivered to Borrowers setting forth in reasonable detail any amount or amounts that Agent or such Lender is entitled to receive pursuant to this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shall be conclusive absent manifest error. Borrowers shall pay such amount to Agent or the Lender, as applicable, within 30 days of the date of its receipt of such certificate. If a payment of a SOFR Loan on a day other than the last day of the applicable Interest Period would result in a Funding Loss, Agent may, in its sole discretion at the request of Borrowers, hold the amount of such payment as cash collateral in support of the Obligations until the last day of such Interest Period and apply such amounts to the payment of the applicable SOFR Loan on such last day of such Interest Period, it being agreed that Agent has no obligation to so defer the application of payments to any SOFR Loan and that, in the event that Agent does not defer such application, Borrowers shall be obligated to pay any resulting Funding Losses.</w:t>
      </w:r>
    </w:p>
    <w:p>
      <w:pPr>
        <w:spacing w:after="0" w:line="170" w:lineRule="exact"/>
        <w:rPr>
          <w:rFonts w:ascii="Arial" w:cs="Arial" w:eastAsia="Arial" w:hAnsi="Arial"/>
          <w:sz w:val="18"/>
          <w:szCs w:val="18"/>
          <w:color w:val="auto"/>
        </w:rPr>
      </w:pPr>
    </w:p>
    <w:p>
      <w:pPr>
        <w:jc w:val="both"/>
        <w:ind w:firstLine="1952"/>
        <w:spacing w:after="0" w:line="250" w:lineRule="auto"/>
        <w:tabs>
          <w:tab w:leader="none" w:pos="2592" w:val="left"/>
        </w:tabs>
        <w:numPr>
          <w:ilvl w:val="1"/>
          <w:numId w:val="108"/>
        </w:numPr>
        <w:rPr>
          <w:rFonts w:ascii="Arial" w:cs="Arial" w:eastAsia="Arial" w:hAnsi="Arial"/>
          <w:sz w:val="20"/>
          <w:szCs w:val="20"/>
          <w:color w:val="auto"/>
        </w:rPr>
      </w:pPr>
      <w:r>
        <w:rPr>
          <w:rFonts w:ascii="Arial" w:cs="Arial" w:eastAsia="Arial" w:hAnsi="Arial"/>
          <w:sz w:val="20"/>
          <w:szCs w:val="20"/>
          <w:color w:val="auto"/>
        </w:rPr>
        <w:t xml:space="preserve">Unless Agent, in its sole discretion, agrees otherwise, Borrowers shall have not more than ten SOFR Loans in effect at any given time. Borrowers may only exercise the SOFR Option for proposed SOFR Loans of at </w:t>
      </w:r>
      <w:r>
        <w:rPr>
          <w:rFonts w:ascii="Arial" w:cs="Arial" w:eastAsia="Arial" w:hAnsi="Arial"/>
          <w:sz w:val="20"/>
          <w:szCs w:val="20"/>
          <w:u w:val="single" w:color="auto"/>
          <w:color w:val="auto"/>
        </w:rPr>
        <w:t>least</w:t>
      </w:r>
      <w:r>
        <w:rPr>
          <w:rFonts w:ascii="Arial" w:cs="Arial" w:eastAsia="Arial" w:hAnsi="Arial"/>
          <w:sz w:val="20"/>
          <w:szCs w:val="20"/>
          <w:color w:val="auto"/>
        </w:rPr>
        <w:t xml:space="preserve"> $1,000,000.</w:t>
      </w:r>
    </w:p>
    <w:p>
      <w:pPr>
        <w:spacing w:after="0" w:line="179" w:lineRule="exact"/>
        <w:rPr>
          <w:rFonts w:ascii="Arial" w:cs="Arial" w:eastAsia="Arial" w:hAnsi="Arial"/>
          <w:sz w:val="20"/>
          <w:szCs w:val="20"/>
          <w:color w:val="auto"/>
        </w:rPr>
      </w:pPr>
    </w:p>
    <w:p>
      <w:pPr>
        <w:jc w:val="both"/>
        <w:ind w:firstLine="1304"/>
        <w:spacing w:after="0" w:line="245" w:lineRule="auto"/>
        <w:tabs>
          <w:tab w:leader="none" w:pos="1944" w:val="left"/>
        </w:tabs>
        <w:numPr>
          <w:ilvl w:val="0"/>
          <w:numId w:val="108"/>
        </w:numPr>
        <w:rPr>
          <w:rFonts w:ascii="Arial" w:cs="Arial" w:eastAsia="Arial" w:hAnsi="Arial"/>
          <w:sz w:val="20"/>
          <w:szCs w:val="20"/>
          <w:color w:val="auto"/>
        </w:rPr>
      </w:pPr>
      <w:r>
        <w:rPr>
          <w:rFonts w:ascii="Arial" w:cs="Arial" w:eastAsia="Arial" w:hAnsi="Arial"/>
          <w:sz w:val="20"/>
          <w:szCs w:val="20"/>
          <w:b w:val="1"/>
          <w:bCs w:val="1"/>
          <w:color w:val="auto"/>
        </w:rPr>
        <w:t>Conversion; Prepayment</w:t>
      </w:r>
      <w:r>
        <w:rPr>
          <w:rFonts w:ascii="Arial" w:cs="Arial" w:eastAsia="Arial" w:hAnsi="Arial"/>
          <w:sz w:val="20"/>
          <w:szCs w:val="20"/>
          <w:color w:val="auto"/>
        </w:rPr>
        <w:t>. Borrowers may convert SOFR Loans to Base Rate Loans or prepay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SOFR Loans at any time;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event that SOFR Loans are converted or prepaid on any date that is not the last day of the Interest Period applicable thereto, including as a result of any prepayment through the required application by Agent of any payments or proceeds of Collateral in accordance with </w:t>
      </w:r>
      <w:r>
        <w:rPr>
          <w:rFonts w:ascii="Arial" w:cs="Arial" w:eastAsia="Arial" w:hAnsi="Arial"/>
          <w:sz w:val="20"/>
          <w:szCs w:val="20"/>
          <w:u w:val="single" w:color="auto"/>
          <w:color w:val="auto"/>
        </w:rPr>
        <w:t>Section 2.4(b)</w:t>
      </w:r>
      <w:r>
        <w:rPr>
          <w:rFonts w:ascii="Arial" w:cs="Arial" w:eastAsia="Arial" w:hAnsi="Arial"/>
          <w:sz w:val="20"/>
          <w:szCs w:val="20"/>
          <w:color w:val="auto"/>
        </w:rPr>
        <w:t xml:space="preserve"> or for any other reason, including early termination of the term of this Agreement or acceleration of all or any portion of the Obligations pursuant to the terms hereof,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2" w:name="page93"/>
    <w:bookmarkEnd w:id="92"/>
    <w:p>
      <w:pPr>
        <w:spacing w:after="0" w:line="261" w:lineRule="auto"/>
        <w:rPr>
          <w:sz w:val="20"/>
          <w:szCs w:val="20"/>
          <w:color w:val="auto"/>
        </w:rPr>
      </w:pPr>
      <w:r>
        <w:rPr>
          <w:rFonts w:ascii="Arial" w:cs="Arial" w:eastAsia="Arial" w:hAnsi="Arial"/>
          <w:sz w:val="20"/>
          <w:szCs w:val="20"/>
          <w:color w:val="auto"/>
        </w:rPr>
        <w:t xml:space="preserve">Borrower shall indemnify, defend, and hold Agent and the Lenders and their Participants harmless against any and all Funding Losses in accordance with </w:t>
      </w:r>
      <w:r>
        <w:rPr>
          <w:rFonts w:ascii="Arial" w:cs="Arial" w:eastAsia="Arial" w:hAnsi="Arial"/>
          <w:sz w:val="20"/>
          <w:szCs w:val="20"/>
          <w:u w:val="single" w:color="auto"/>
          <w:color w:val="auto"/>
        </w:rPr>
        <w:t>Section 2.12 (b)(ii)</w:t>
      </w:r>
      <w:r>
        <w:rPr>
          <w:rFonts w:ascii="Arial" w:cs="Arial" w:eastAsia="Arial" w:hAnsi="Arial"/>
          <w:sz w:val="20"/>
          <w:szCs w:val="20"/>
          <w:color w:val="auto"/>
        </w:rPr>
        <w:t>.</w:t>
      </w:r>
    </w:p>
    <w:p>
      <w:pPr>
        <w:spacing w:after="0" w:line="170" w:lineRule="exact"/>
        <w:rPr>
          <w:sz w:val="20"/>
          <w:szCs w:val="20"/>
          <w:color w:val="auto"/>
        </w:rPr>
      </w:pPr>
    </w:p>
    <w:p>
      <w:pPr>
        <w:ind w:left="1960" w:hanging="656"/>
        <w:spacing w:after="0"/>
        <w:tabs>
          <w:tab w:leader="none" w:pos="1960" w:val="left"/>
        </w:tabs>
        <w:numPr>
          <w:ilvl w:val="0"/>
          <w:numId w:val="109"/>
        </w:numPr>
        <w:rPr>
          <w:rFonts w:ascii="Arial" w:cs="Arial" w:eastAsia="Arial" w:hAnsi="Arial"/>
          <w:sz w:val="20"/>
          <w:szCs w:val="20"/>
          <w:color w:val="auto"/>
        </w:rPr>
      </w:pPr>
      <w:r>
        <w:rPr>
          <w:rFonts w:ascii="Arial" w:cs="Arial" w:eastAsia="Arial" w:hAnsi="Arial"/>
          <w:sz w:val="20"/>
          <w:szCs w:val="20"/>
          <w:b w:val="1"/>
          <w:bCs w:val="1"/>
          <w:color w:val="auto"/>
        </w:rPr>
        <w:t>Special Provisions Applicable to Adjusted Term SOFR.</w:t>
      </w:r>
    </w:p>
    <w:p>
      <w:pPr>
        <w:spacing w:after="0" w:line="221" w:lineRule="exact"/>
        <w:rPr>
          <w:rFonts w:ascii="Arial" w:cs="Arial" w:eastAsia="Arial" w:hAnsi="Arial"/>
          <w:sz w:val="20"/>
          <w:szCs w:val="20"/>
          <w:color w:val="auto"/>
        </w:rPr>
      </w:pPr>
    </w:p>
    <w:p>
      <w:pPr>
        <w:jc w:val="both"/>
        <w:ind w:firstLine="1952"/>
        <w:spacing w:after="0" w:line="255" w:lineRule="auto"/>
        <w:tabs>
          <w:tab w:leader="none" w:pos="2592" w:val="left"/>
        </w:tabs>
        <w:numPr>
          <w:ilvl w:val="1"/>
          <w:numId w:val="109"/>
        </w:numPr>
        <w:rPr>
          <w:rFonts w:ascii="Arial" w:cs="Arial" w:eastAsia="Arial" w:hAnsi="Arial"/>
          <w:sz w:val="19"/>
          <w:szCs w:val="19"/>
          <w:color w:val="auto"/>
        </w:rPr>
      </w:pPr>
      <w:r>
        <w:rPr>
          <w:rFonts w:ascii="Arial" w:cs="Arial" w:eastAsia="Arial" w:hAnsi="Arial"/>
          <w:sz w:val="19"/>
          <w:szCs w:val="19"/>
          <w:color w:val="auto"/>
        </w:rPr>
        <w:t xml:space="preserve">Adjusted Term SOFR may be adjusted by Agent with respect to any Lender on a prospective basis to take into account any additional or increased costs (other than Taxes which shall be governed by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16</w:t>
      </w:r>
      <w:r>
        <w:rPr>
          <w:rFonts w:ascii="Arial" w:cs="Arial" w:eastAsia="Arial" w:hAnsi="Arial"/>
          <w:sz w:val="19"/>
          <w:szCs w:val="19"/>
          <w:color w:val="auto"/>
        </w:rPr>
        <w:t xml:space="preserve">), in each case, due to changes in applicable law occurring subsequent to the commencement of the then applicable Interest Period, or pursuant to any Change in Law or change in the reserve requirements imposed by the Board of Governors, which additional or increased costs would increase the cost of funding or maintaining loans bearing interest at Adjusted Term SOFR. In any such event, the affected Lender shall give Borrowers and Agent notice of such a determination and adjustment and Agent promptly shall transmit the notice to each other Lender and, upon its receipt of the notice from the affected Lender, Borrowers may, by notice to such affected Lender (A) require such Lender to furnish to Borrowers a statement setting forth in reasonable detail the basis for adjusting Adjusted Term SOFR and the method for determining the amount of such adjustment, or (B) repay the SOFR Loans or Base Rate Loans determined with reference to Adjusted Term SOFR, in each case, of such Lender with respect to which such adjustment is made (together with any amounts due under </w:t>
      </w:r>
      <w:r>
        <w:rPr>
          <w:rFonts w:ascii="Arial" w:cs="Arial" w:eastAsia="Arial" w:hAnsi="Arial"/>
          <w:sz w:val="19"/>
          <w:szCs w:val="19"/>
          <w:u w:val="single" w:color="auto"/>
          <w:color w:val="auto"/>
        </w:rPr>
        <w:t>Section 2.12(b)(ii)</w:t>
      </w:r>
      <w:r>
        <w:rPr>
          <w:rFonts w:ascii="Arial" w:cs="Arial" w:eastAsia="Arial" w:hAnsi="Arial"/>
          <w:sz w:val="19"/>
          <w:szCs w:val="19"/>
          <w:color w:val="auto"/>
        </w:rPr>
        <w:t>).</w:t>
      </w:r>
    </w:p>
    <w:p>
      <w:pPr>
        <w:spacing w:after="0" w:line="184" w:lineRule="exact"/>
        <w:rPr>
          <w:rFonts w:ascii="Arial" w:cs="Arial" w:eastAsia="Arial" w:hAnsi="Arial"/>
          <w:sz w:val="19"/>
          <w:szCs w:val="19"/>
          <w:color w:val="auto"/>
        </w:rPr>
      </w:pPr>
    </w:p>
    <w:p>
      <w:pPr>
        <w:jc w:val="both"/>
        <w:ind w:firstLine="1952"/>
        <w:spacing w:after="0" w:line="269" w:lineRule="auto"/>
        <w:tabs>
          <w:tab w:leader="none" w:pos="2592"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Subject to the provisions set forth in </w:t>
      </w:r>
      <w:r>
        <w:rPr>
          <w:rFonts w:ascii="Arial" w:cs="Arial" w:eastAsia="Arial" w:hAnsi="Arial"/>
          <w:sz w:val="18"/>
          <w:szCs w:val="18"/>
          <w:u w:val="single" w:color="auto"/>
          <w:color w:val="auto"/>
        </w:rPr>
        <w:t>Section 2.12(d)(iii)</w:t>
      </w:r>
      <w:r>
        <w:rPr>
          <w:rFonts w:ascii="Arial" w:cs="Arial" w:eastAsia="Arial" w:hAnsi="Arial"/>
          <w:sz w:val="18"/>
          <w:szCs w:val="18"/>
          <w:color w:val="auto"/>
        </w:rPr>
        <w:t xml:space="preserve"> below, in the event that any change in market conditions or any Change in Law shall at any time after the date hereof, in the reasonable opinion of any Lender, make it unlawful or impractical for such Lender to fund or maintain SOFR Loans (or Base Rate Loans determined with reference to Adjusted Term SOFR) or to continue such funding or maintaining, or to determine or charge interest rates at the Term SOFR Reference Rate, Adjusted Term SOFR, Term SOFR or SOFR, such Lender shall give notice of such changed circumstances to Agent and Borrowers and Agent promptly shall transmit the notice to each other Lender and (y)(i) in the case of any SOFR Loans of such Lender that are outstanding, such SOFR Loans of such Lender will be deemed to have been converted Base Rate Loans on the last day of the Interest Period of such SOFR Loans, if such Lender may lawfully continue to maintain such SOFR Loans, or immediately, if such Lender may not lawfully continue to maintain such SOFR Loans, and thereafter interest upon the SOFR Loans of such Lender thereafter shall accrue interest at the rate then applicable to Base Rate Loans (and if applicable, without reference to the Adjusted Term SOFR component thereof) and (ii) in the case of any such Base Rate Loans of such Lender that are outstanding and that are determined with reference to Adjusted Term SOFR, interest upon the Base Rate Loans of such Lender after the date specified in such Lender’s notice shall accrue interest at the rate then applicable to Base Rate Loans without reference to the Adjusted Term SOFR component thereof and (z) Borrowers shall not be entitled to elect the SOFR Option and Base Rate Loans shall not be determined with reference to the Adjusted Term SOFR component thereof, in each case, until such Lender determines that it would no longer be unlawful or impractical to do so.</w:t>
      </w:r>
    </w:p>
    <w:p>
      <w:pPr>
        <w:spacing w:after="0" w:line="167" w:lineRule="exact"/>
        <w:rPr>
          <w:rFonts w:ascii="Arial" w:cs="Arial" w:eastAsia="Arial" w:hAnsi="Arial"/>
          <w:sz w:val="18"/>
          <w:szCs w:val="18"/>
          <w:color w:val="auto"/>
        </w:rPr>
      </w:pPr>
    </w:p>
    <w:p>
      <w:pPr>
        <w:ind w:left="2600" w:hanging="648"/>
        <w:spacing w:after="0"/>
        <w:tabs>
          <w:tab w:leader="none" w:pos="2600" w:val="left"/>
        </w:tabs>
        <w:numPr>
          <w:ilvl w:val="1"/>
          <w:numId w:val="109"/>
        </w:numPr>
        <w:rPr>
          <w:rFonts w:ascii="Arial" w:cs="Arial" w:eastAsia="Arial" w:hAnsi="Arial"/>
          <w:sz w:val="20"/>
          <w:szCs w:val="20"/>
          <w:color w:val="auto"/>
        </w:rPr>
      </w:pPr>
      <w:r>
        <w:rPr>
          <w:rFonts w:ascii="Arial" w:cs="Arial" w:eastAsia="Arial" w:hAnsi="Arial"/>
          <w:sz w:val="20"/>
          <w:szCs w:val="20"/>
          <w:b w:val="1"/>
          <w:bCs w:val="1"/>
          <w:color w:val="auto"/>
        </w:rPr>
        <w:t>Benchmark Replacement Setting</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2600"/>
        <w:spacing w:after="0" w:line="241" w:lineRule="auto"/>
        <w:tabs>
          <w:tab w:leader="none" w:pos="3240" w:val="left"/>
        </w:tabs>
        <w:numPr>
          <w:ilvl w:val="2"/>
          <w:numId w:val="109"/>
        </w:numPr>
        <w:rPr>
          <w:rFonts w:ascii="Arial" w:cs="Arial" w:eastAsia="Arial" w:hAnsi="Arial"/>
          <w:sz w:val="19"/>
          <w:szCs w:val="19"/>
          <w:color w:val="auto"/>
        </w:rPr>
      </w:pPr>
      <w:r>
        <w:rPr>
          <w:rFonts w:ascii="Arial" w:cs="Arial" w:eastAsia="Arial" w:hAnsi="Arial"/>
          <w:sz w:val="19"/>
          <w:szCs w:val="19"/>
          <w:b w:val="1"/>
          <w:bCs w:val="1"/>
          <w:color w:val="auto"/>
        </w:rPr>
        <w:t>Benchmark Replacement</w:t>
      </w:r>
      <w:r>
        <w:rPr>
          <w:rFonts w:ascii="Arial" w:cs="Arial" w:eastAsia="Arial" w:hAnsi="Arial"/>
          <w:sz w:val="19"/>
          <w:szCs w:val="19"/>
          <w:color w:val="auto"/>
        </w:rPr>
        <w:t>. Notwithstanding anything to the contrary herein or in</w:t>
      </w:r>
      <w:r>
        <w:rPr>
          <w:rFonts w:ascii="Arial" w:cs="Arial" w:eastAsia="Arial" w:hAnsi="Arial"/>
          <w:sz w:val="19"/>
          <w:szCs w:val="19"/>
          <w:b w:val="1"/>
          <w:bCs w:val="1"/>
          <w:color w:val="auto"/>
        </w:rPr>
        <w:t xml:space="preserve"> </w:t>
      </w:r>
      <w:r>
        <w:rPr>
          <w:rFonts w:ascii="Arial" w:cs="Arial" w:eastAsia="Arial" w:hAnsi="Arial"/>
          <w:sz w:val="19"/>
          <w:szCs w:val="19"/>
          <w:color w:val="auto"/>
        </w:rPr>
        <w:t>any other Loan Document, upon the occurrence of a Benchmark Transition Event, Agent and Administrative Borrower may amend this Agreement to replace the then-current Benchmark with a Benchmark Replacement. Any such amendment with respect to a Benchmark Transition Event will become effective at 5:00 p.m. on the fifth (5</w:t>
      </w:r>
      <w:r>
        <w:rPr>
          <w:rFonts w:ascii="Arial" w:cs="Arial" w:eastAsia="Arial" w:hAnsi="Arial"/>
          <w:sz w:val="28"/>
          <w:szCs w:val="28"/>
          <w:color w:val="auto"/>
          <w:vertAlign w:val="superscript"/>
        </w:rPr>
        <w:t>th</w:t>
      </w:r>
      <w:r>
        <w:rPr>
          <w:rFonts w:ascii="Arial" w:cs="Arial" w:eastAsia="Arial" w:hAnsi="Arial"/>
          <w:sz w:val="19"/>
          <w:szCs w:val="19"/>
          <w:color w:val="auto"/>
        </w:rPr>
        <w:t xml:space="preserve">) Business Day after Agent has posted such proposed amendment to all affected Lenders and Administrative Borrower so long as Agent has not received, by such time, written notice of objection to such amendment from Lenders comprising the Required Lenders. No replacement of a Benchmark with a Benchmark Replacement pursuant to this </w:t>
      </w:r>
      <w:r>
        <w:rPr>
          <w:rFonts w:ascii="Arial" w:cs="Arial" w:eastAsia="Arial" w:hAnsi="Arial"/>
          <w:sz w:val="19"/>
          <w:szCs w:val="19"/>
          <w:u w:val="single" w:color="auto"/>
          <w:color w:val="auto"/>
        </w:rPr>
        <w:t>Section 2.12(d)(iii)</w:t>
      </w:r>
      <w:r>
        <w:rPr>
          <w:rFonts w:ascii="Arial" w:cs="Arial" w:eastAsia="Arial" w:hAnsi="Arial"/>
          <w:sz w:val="19"/>
          <w:szCs w:val="19"/>
          <w:color w:val="auto"/>
        </w:rPr>
        <w:t xml:space="preserve"> will occur prior to the applicable Benchmark Transition Start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3" w:name="page94"/>
    <w:bookmarkEnd w:id="93"/>
    <w:p>
      <w:pPr>
        <w:jc w:val="both"/>
        <w:ind w:firstLine="2600"/>
        <w:spacing w:after="0" w:line="246" w:lineRule="auto"/>
        <w:tabs>
          <w:tab w:leader="none" w:pos="3240" w:val="left"/>
        </w:tabs>
        <w:numPr>
          <w:ilvl w:val="1"/>
          <w:numId w:val="110"/>
        </w:numPr>
        <w:rPr>
          <w:rFonts w:ascii="Arial" w:cs="Arial" w:eastAsia="Arial" w:hAnsi="Arial"/>
          <w:sz w:val="20"/>
          <w:szCs w:val="20"/>
          <w:color w:val="auto"/>
        </w:rPr>
      </w:pPr>
      <w:r>
        <w:rPr>
          <w:rFonts w:ascii="Arial" w:cs="Arial" w:eastAsia="Arial" w:hAnsi="Arial"/>
          <w:sz w:val="20"/>
          <w:szCs w:val="20"/>
          <w:b w:val="1"/>
          <w:bCs w:val="1"/>
          <w:color w:val="auto"/>
        </w:rPr>
        <w:t>Benchmark Replacement Conforming Changes</w:t>
      </w:r>
      <w:r>
        <w:rPr>
          <w:rFonts w:ascii="Arial" w:cs="Arial" w:eastAsia="Arial" w:hAnsi="Arial"/>
          <w:sz w:val="20"/>
          <w:szCs w:val="20"/>
          <w:color w:val="auto"/>
        </w:rPr>
        <w:t>. In connection with the use,</w:t>
      </w:r>
      <w:r>
        <w:rPr>
          <w:rFonts w:ascii="Arial" w:cs="Arial" w:eastAsia="Arial" w:hAnsi="Arial"/>
          <w:sz w:val="20"/>
          <w:szCs w:val="20"/>
          <w:b w:val="1"/>
          <w:bCs w:val="1"/>
          <w:color w:val="auto"/>
        </w:rPr>
        <w:t xml:space="preserve"> </w:t>
      </w:r>
      <w:r>
        <w:rPr>
          <w:rFonts w:ascii="Arial" w:cs="Arial" w:eastAsia="Arial" w:hAnsi="Arial"/>
          <w:sz w:val="20"/>
          <w:szCs w:val="20"/>
          <w:color w:val="auto"/>
        </w:rPr>
        <w:t>administration, adoption or implementation of a Benchmark Replacement,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85" w:lineRule="exact"/>
        <w:rPr>
          <w:rFonts w:ascii="Arial" w:cs="Arial" w:eastAsia="Arial" w:hAnsi="Arial"/>
          <w:sz w:val="20"/>
          <w:szCs w:val="20"/>
          <w:color w:val="auto"/>
        </w:rPr>
      </w:pPr>
    </w:p>
    <w:p>
      <w:pPr>
        <w:jc w:val="both"/>
        <w:ind w:firstLine="2600"/>
        <w:spacing w:after="0" w:line="256" w:lineRule="auto"/>
        <w:tabs>
          <w:tab w:leader="none" w:pos="3240" w:val="left"/>
        </w:tabs>
        <w:numPr>
          <w:ilvl w:val="1"/>
          <w:numId w:val="110"/>
        </w:numPr>
        <w:rPr>
          <w:rFonts w:ascii="Arial" w:cs="Arial" w:eastAsia="Arial" w:hAnsi="Arial"/>
          <w:sz w:val="19"/>
          <w:szCs w:val="19"/>
          <w:color w:val="auto"/>
        </w:rPr>
      </w:pPr>
      <w:r>
        <w:rPr>
          <w:rFonts w:ascii="Arial" w:cs="Arial" w:eastAsia="Arial" w:hAnsi="Arial"/>
          <w:sz w:val="19"/>
          <w:szCs w:val="19"/>
          <w:b w:val="1"/>
          <w:bCs w:val="1"/>
          <w:color w:val="auto"/>
        </w:rPr>
        <w:t>Notices; Standards for Decisions and Determinations</w:t>
      </w:r>
      <w:r>
        <w:rPr>
          <w:rFonts w:ascii="Arial" w:cs="Arial" w:eastAsia="Arial" w:hAnsi="Arial"/>
          <w:sz w:val="19"/>
          <w:szCs w:val="19"/>
          <w:color w:val="auto"/>
        </w:rPr>
        <w:t>. Agent will promptly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notify Administrative Borrower and the Lenders of (1) the implementation of any Benchmark Replacement and (2) the effectiveness of any Conforming Changes in connection with the use, administration, adoption or implementation of a Benchmark Replacement. Agent will notify Administrative Borrower of (x) the removal or reinstatement of any tenor of a Benchmark pursuant to </w:t>
      </w:r>
      <w:r>
        <w:rPr>
          <w:rFonts w:ascii="Arial" w:cs="Arial" w:eastAsia="Arial" w:hAnsi="Arial"/>
          <w:sz w:val="19"/>
          <w:szCs w:val="19"/>
          <w:u w:val="single" w:color="auto"/>
          <w:color w:val="auto"/>
        </w:rPr>
        <w:t>Section 2.12(d)(iii)(D)</w:t>
      </w:r>
      <w:r>
        <w:rPr>
          <w:rFonts w:ascii="Arial" w:cs="Arial" w:eastAsia="Arial" w:hAnsi="Arial"/>
          <w:sz w:val="19"/>
          <w:szCs w:val="19"/>
          <w:color w:val="auto"/>
        </w:rPr>
        <w:t xml:space="preserve"> and (y) the commencement of any Benchmark Unavailability Period. Any determination, decision or election that may be made by Agent or, if applicable, any Lender (or group of Lenders) pursuant to this </w:t>
      </w:r>
      <w:r>
        <w:rPr>
          <w:rFonts w:ascii="Arial" w:cs="Arial" w:eastAsia="Arial" w:hAnsi="Arial"/>
          <w:sz w:val="19"/>
          <w:szCs w:val="19"/>
          <w:u w:val="single" w:color="auto"/>
          <w:color w:val="auto"/>
        </w:rPr>
        <w:t>Section 2.12(d)(iii)</w:t>
      </w:r>
      <w:r>
        <w:rPr>
          <w:rFonts w:ascii="Arial" w:cs="Arial" w:eastAsia="Arial" w:hAnsi="Arial"/>
          <w:sz w:val="19"/>
          <w:szCs w:val="19"/>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Arial" w:cs="Arial" w:eastAsia="Arial" w:hAnsi="Arial"/>
          <w:sz w:val="19"/>
          <w:szCs w:val="19"/>
          <w:u w:val="single" w:color="auto"/>
          <w:color w:val="auto"/>
        </w:rPr>
        <w:t>Section 2.12(d)(iii)</w:t>
      </w:r>
      <w:r>
        <w:rPr>
          <w:rFonts w:ascii="Arial" w:cs="Arial" w:eastAsia="Arial" w:hAnsi="Arial"/>
          <w:sz w:val="19"/>
          <w:szCs w:val="19"/>
          <w:color w:val="auto"/>
        </w:rPr>
        <w:t>.</w:t>
      </w:r>
    </w:p>
    <w:p>
      <w:pPr>
        <w:spacing w:after="0" w:line="176" w:lineRule="exact"/>
        <w:rPr>
          <w:rFonts w:ascii="Arial" w:cs="Arial" w:eastAsia="Arial" w:hAnsi="Arial"/>
          <w:sz w:val="19"/>
          <w:szCs w:val="19"/>
          <w:color w:val="auto"/>
        </w:rPr>
      </w:pPr>
    </w:p>
    <w:p>
      <w:pPr>
        <w:jc w:val="both"/>
        <w:ind w:firstLine="2600"/>
        <w:spacing w:after="0" w:line="255" w:lineRule="auto"/>
        <w:tabs>
          <w:tab w:leader="none" w:pos="3240" w:val="left"/>
        </w:tabs>
        <w:numPr>
          <w:ilvl w:val="1"/>
          <w:numId w:val="110"/>
        </w:numPr>
        <w:rPr>
          <w:rFonts w:ascii="Arial" w:cs="Arial" w:eastAsia="Arial" w:hAnsi="Arial"/>
          <w:sz w:val="19"/>
          <w:szCs w:val="19"/>
          <w:color w:val="auto"/>
        </w:rPr>
      </w:pPr>
      <w:r>
        <w:rPr>
          <w:rFonts w:ascii="Arial" w:cs="Arial" w:eastAsia="Arial" w:hAnsi="Arial"/>
          <w:sz w:val="19"/>
          <w:szCs w:val="19"/>
          <w:b w:val="1"/>
          <w:bCs w:val="1"/>
          <w:color w:val="auto"/>
        </w:rPr>
        <w:t>Unavailability of Tenor of Benchmark</w:t>
      </w:r>
      <w:r>
        <w:rPr>
          <w:rFonts w:ascii="Arial" w:cs="Arial" w:eastAsia="Arial" w:hAnsi="Arial"/>
          <w:sz w:val="19"/>
          <w:szCs w:val="19"/>
          <w:color w:val="auto"/>
        </w:rPr>
        <w:t>. Notwithstanding anything to the contrary</w:t>
      </w:r>
      <w:r>
        <w:rPr>
          <w:rFonts w:ascii="Arial" w:cs="Arial" w:eastAsia="Arial" w:hAnsi="Arial"/>
          <w:sz w:val="19"/>
          <w:szCs w:val="19"/>
          <w:b w:val="1"/>
          <w:bCs w:val="1"/>
          <w:color w:val="auto"/>
        </w:rPr>
        <w:t xml:space="preserve"> </w:t>
      </w:r>
      <w:r>
        <w:rPr>
          <w:rFonts w:ascii="Arial" w:cs="Arial" w:eastAsia="Arial" w:hAnsi="Arial"/>
          <w:sz w:val="19"/>
          <w:szCs w:val="19"/>
          <w:color w:val="auto"/>
        </w:rPr>
        <w:t>herein or in any other Loan Document, at any time (including in connection with the implementation of a Benchmark Replacement), (1) if the then-current Benchmark is a term rate (including the Term SOFR Reference Rate) and either (I) any tenor for such Benchmark is not displayed on a screen or other information service that publishes such rate from time to time as selected by Agent in its reasonable discretion or (II) the regulatory supervisor for the administrator of such Benchmark has provided a public statement or publication of information announcing that any tenor for such Benchmark is not or will not be representative, then Agent may modify the definition of “Interest Period” (or any similar or analogous definition) for any Benchmark settings at or after such time to remove such unavailable or non-representative tenor and (2) if a tenor that was removed pursuant to clause (1) above either (I) is subsequently displayed on a screen or information service for a Benchmark (including a Benchmark Replacement) or (II) is not, or is no longer, subject to an announcement that it is not or will not be representative for a Benchmark (including a Benchmark Replacement), then Agent may modify the definition of “Interest Period” (or any similar or analogous definition) for all Benchmark settings at or after such time to reinstate such previously removed tenor.</w:t>
      </w:r>
    </w:p>
    <w:p>
      <w:pPr>
        <w:spacing w:after="0" w:line="181" w:lineRule="exact"/>
        <w:rPr>
          <w:rFonts w:ascii="Arial" w:cs="Arial" w:eastAsia="Arial" w:hAnsi="Arial"/>
          <w:sz w:val="19"/>
          <w:szCs w:val="19"/>
          <w:color w:val="auto"/>
        </w:rPr>
      </w:pPr>
    </w:p>
    <w:p>
      <w:pPr>
        <w:jc w:val="both"/>
        <w:ind w:firstLine="2600"/>
        <w:spacing w:after="0" w:line="257" w:lineRule="auto"/>
        <w:tabs>
          <w:tab w:leader="none" w:pos="3240" w:val="left"/>
        </w:tabs>
        <w:numPr>
          <w:ilvl w:val="1"/>
          <w:numId w:val="110"/>
        </w:numPr>
        <w:rPr>
          <w:rFonts w:ascii="Arial" w:cs="Arial" w:eastAsia="Arial" w:hAnsi="Arial"/>
          <w:sz w:val="19"/>
          <w:szCs w:val="19"/>
          <w:color w:val="auto"/>
        </w:rPr>
      </w:pPr>
      <w:r>
        <w:rPr>
          <w:rFonts w:ascii="Arial" w:cs="Arial" w:eastAsia="Arial" w:hAnsi="Arial"/>
          <w:sz w:val="19"/>
          <w:szCs w:val="19"/>
          <w:b w:val="1"/>
          <w:bCs w:val="1"/>
          <w:color w:val="auto"/>
        </w:rPr>
        <w:t>Benchmark Unavailability Period</w:t>
      </w:r>
      <w:r>
        <w:rPr>
          <w:rFonts w:ascii="Arial" w:cs="Arial" w:eastAsia="Arial" w:hAnsi="Arial"/>
          <w:sz w:val="19"/>
          <w:szCs w:val="19"/>
          <w:color w:val="auto"/>
        </w:rPr>
        <w:t>. Upon Administrative Borrower’s receipt of</w:t>
      </w:r>
      <w:r>
        <w:rPr>
          <w:rFonts w:ascii="Arial" w:cs="Arial" w:eastAsia="Arial" w:hAnsi="Arial"/>
          <w:sz w:val="19"/>
          <w:szCs w:val="19"/>
          <w:b w:val="1"/>
          <w:bCs w:val="1"/>
          <w:color w:val="auto"/>
        </w:rPr>
        <w:t xml:space="preserve"> </w:t>
      </w:r>
      <w:r>
        <w:rPr>
          <w:rFonts w:ascii="Arial" w:cs="Arial" w:eastAsia="Arial" w:hAnsi="Arial"/>
          <w:sz w:val="19"/>
          <w:szCs w:val="19"/>
          <w:color w:val="auto"/>
        </w:rPr>
        <w:t>notice of the commencement of a Benchmark Unavailability Period, (1) Administrative Borrower may revoke any pending request for a borrowing of, conversion to or continuation of SOFR Loans to be made, converted or continued during any Benchmark Unavailability Period and, failing that, Administrative Borrower will be deemed to have converted any such request into a request for a borrowing of or conversion to Base Rate Loans and (2) any outstanding affected SOFR Loans will be deemed to have been converted to Base Rate Loans at the end of the applicable Interest Period. During any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spacing w:after="0" w:line="175" w:lineRule="exact"/>
        <w:rPr>
          <w:rFonts w:ascii="Arial" w:cs="Arial" w:eastAsia="Arial" w:hAnsi="Arial"/>
          <w:sz w:val="19"/>
          <w:szCs w:val="19"/>
          <w:color w:val="auto"/>
        </w:rPr>
      </w:pPr>
    </w:p>
    <w:p>
      <w:pPr>
        <w:jc w:val="both"/>
        <w:ind w:firstLine="1304"/>
        <w:spacing w:after="0" w:line="253" w:lineRule="auto"/>
        <w:tabs>
          <w:tab w:leader="none" w:pos="1944" w:val="left"/>
        </w:tabs>
        <w:numPr>
          <w:ilvl w:val="0"/>
          <w:numId w:val="111"/>
        </w:numPr>
        <w:rPr>
          <w:rFonts w:ascii="Arial" w:cs="Arial" w:eastAsia="Arial" w:hAnsi="Arial"/>
          <w:sz w:val="20"/>
          <w:szCs w:val="20"/>
          <w:color w:val="auto"/>
        </w:rPr>
      </w:pPr>
      <w:r>
        <w:rPr>
          <w:rFonts w:ascii="Arial" w:cs="Arial" w:eastAsia="Arial" w:hAnsi="Arial"/>
          <w:sz w:val="20"/>
          <w:szCs w:val="20"/>
          <w:b w:val="1"/>
          <w:bCs w:val="1"/>
          <w:color w:val="auto"/>
        </w:rPr>
        <w:t>No Requirement of Matched Funding</w:t>
      </w:r>
      <w:r>
        <w:rPr>
          <w:rFonts w:ascii="Arial" w:cs="Arial" w:eastAsia="Arial" w:hAnsi="Arial"/>
          <w:sz w:val="20"/>
          <w:szCs w:val="20"/>
          <w:color w:val="auto"/>
        </w:rPr>
        <w:t>. Anything to the contrary contained herein</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neither Agent, nor any Lender, nor any of their Participants, is required actually to match fund any Obligation as to which interest accrues at Adjusted Term SOFR or the Term SOFR Reference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94" w:name="page95"/>
    <w:bookmarkEnd w:id="94"/>
    <w:p>
      <w:pPr>
        <w:ind w:left="660"/>
        <w:spacing w:after="0"/>
        <w:tabs>
          <w:tab w:leader="none" w:pos="128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8"/>
          <w:szCs w:val="18"/>
          <w:b w:val="1"/>
          <w:bCs w:val="1"/>
          <w:u w:val="single" w:color="auto"/>
          <w:color w:val="auto"/>
        </w:rPr>
        <w:t>Capital Requirements</w:t>
      </w:r>
      <w:r>
        <w:rPr>
          <w:rFonts w:ascii="Arial" w:cs="Arial" w:eastAsia="Arial" w:hAnsi="Arial"/>
          <w:sz w:val="18"/>
          <w:szCs w:val="18"/>
          <w:b w:val="1"/>
          <w:bCs w:val="1"/>
          <w:color w:val="auto"/>
        </w:rPr>
        <w:t>.</w:t>
      </w:r>
    </w:p>
    <w:p>
      <w:pPr>
        <w:spacing w:after="0" w:line="223" w:lineRule="exact"/>
        <w:rPr>
          <w:sz w:val="20"/>
          <w:szCs w:val="20"/>
          <w:color w:val="auto"/>
        </w:rPr>
      </w:pPr>
    </w:p>
    <w:p>
      <w:pPr>
        <w:jc w:val="both"/>
        <w:ind w:firstLine="1304"/>
        <w:spacing w:after="0" w:line="268" w:lineRule="auto"/>
        <w:tabs>
          <w:tab w:leader="none" w:pos="194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If, after the date hereof, Issuing Bank or any Lender determines that (i) any Change in Law regarding capital, liquidity or reserve requirements for banks or bank holding companies, or (ii) compliance by Issuing Bank or such Lender, or their respective parent bank holding companies, with any guideline, request or directive of any Governmental Authority regarding capital adequacy or liquidity requirements (whether or not having the force of law), has the effect of reducing the return on Issuing Bank’s, such Lender’s, or such holding companies’ capital or liquidity as a consequence of Issuing Bank’s or such Lender’s commitments, Loans, participations or other obligations hereunder to a level below that which Issuing Bank, such Lender, or such holding companies could have achieved but for such Change in Law or compliance (taking into consideration Issuing Bank’s, such Lender’s, or such holding companies’ then existing policies with respect to capital adequacy or liquidity requirements and assuming the full utilization of such entity’s capital) by any amount deemed by Issuing Bank or such Lender to be material, then Issuing Bank or such Lender may notify Borrowers and Agent thereof. Following receipt of such notice, Borrowers agree to pay Issuing Bank or such Lender on demand the amount of such reduction of return of capital as and when such reduction is determined, payable within 30 days after presentation by Issuing Bank or such Lender of a statement in the amount and setting forth in reasonable detail Issuing Bank’s or such Lender’s calculation thereof and the assumptions upon which such calculation was based (which statement shall be deemed true and correct absent manifest error). In determining such amount, Issuing Bank or such Lender may use any reasonable averaging and attribution methods. Failure or delay on the part of Issuing Bank or any Lender to demand compensation pursuant to this Section shall not constitute a waiver of Issuing Bank’s or such Lender’s right to demand such compensation;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Borrowers shall not be required to compensate Issuing Bank or a Lender pursuant to this Section for any reductions in return incurred more than 180 days prior to the date that Issuing Bank or such Lender notifies Borrowers of such Change in Law giving rise to such reductions and of such Lender’s intention to claim compensation therefor;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if such claim arises by reason of the Change in Law that is retroactive, then the 180-day period referred to above shall be extended to include the period of retroactive effect thereof.</w:t>
      </w:r>
    </w:p>
    <w:p>
      <w:pPr>
        <w:spacing w:after="0" w:line="180" w:lineRule="exact"/>
        <w:rPr>
          <w:rFonts w:ascii="Arial" w:cs="Arial" w:eastAsia="Arial" w:hAnsi="Arial"/>
          <w:sz w:val="18"/>
          <w:szCs w:val="18"/>
          <w:color w:val="auto"/>
        </w:rPr>
      </w:pPr>
    </w:p>
    <w:p>
      <w:pPr>
        <w:jc w:val="both"/>
        <w:ind w:left="100" w:firstLine="1204"/>
        <w:spacing w:after="0" w:line="275" w:lineRule="auto"/>
        <w:tabs>
          <w:tab w:leader="none" w:pos="194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If Issuing Bank or any Lender requests additional or increased costs referred to in </w:t>
      </w:r>
      <w:r>
        <w:rPr>
          <w:rFonts w:ascii="Arial" w:cs="Arial" w:eastAsia="Arial" w:hAnsi="Arial"/>
          <w:sz w:val="18"/>
          <w:szCs w:val="18"/>
          <w:u w:val="single" w:color="auto"/>
          <w:color w:val="auto"/>
        </w:rPr>
        <w:t>Section 2.11(l)</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2.12(d)(i)</w:t>
      </w:r>
      <w:r>
        <w:rPr>
          <w:rFonts w:ascii="Arial" w:cs="Arial" w:eastAsia="Arial" w:hAnsi="Arial"/>
          <w:sz w:val="18"/>
          <w:szCs w:val="18"/>
          <w:color w:val="auto"/>
        </w:rPr>
        <w:t xml:space="preserve"> or amounts under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or sends a notice under </w:t>
      </w:r>
      <w:r>
        <w:rPr>
          <w:rFonts w:ascii="Arial" w:cs="Arial" w:eastAsia="Arial" w:hAnsi="Arial"/>
          <w:sz w:val="18"/>
          <w:szCs w:val="18"/>
          <w:u w:val="single" w:color="auto"/>
          <w:color w:val="auto"/>
        </w:rPr>
        <w:t>Section 2.12(d)(ii)</w:t>
      </w:r>
      <w:r>
        <w:rPr>
          <w:rFonts w:ascii="Arial" w:cs="Arial" w:eastAsia="Arial" w:hAnsi="Arial"/>
          <w:sz w:val="18"/>
          <w:szCs w:val="18"/>
          <w:color w:val="auto"/>
        </w:rPr>
        <w:t xml:space="preserve"> relative to changed</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circumstances (such Issuing Bank or Lender, an “</w:t>
      </w:r>
      <w:r>
        <w:rPr>
          <w:rFonts w:ascii="Arial" w:cs="Arial" w:eastAsia="Arial" w:hAnsi="Arial"/>
          <w:sz w:val="18"/>
          <w:szCs w:val="18"/>
          <w:u w:val="single" w:color="auto"/>
          <w:color w:val="auto"/>
        </w:rPr>
        <w:t>Affected Lender</w:t>
      </w:r>
      <w:r>
        <w:rPr>
          <w:rFonts w:ascii="Arial" w:cs="Arial" w:eastAsia="Arial" w:hAnsi="Arial"/>
          <w:sz w:val="18"/>
          <w:szCs w:val="18"/>
          <w:color w:val="auto"/>
        </w:rPr>
        <w:t xml:space="preserve">”), then, at the request of Administrative Borrower, such Affected Lender shall use reasonable efforts to promptly designate a different one of its lending offices or to assign its rights and obligations hereunder to another of its offices or branches, if (i) in the reasonable judgment of such Affected Lender, such designation or assignment would eliminate or reduce amounts payable pursuant to </w:t>
      </w:r>
      <w:r>
        <w:rPr>
          <w:rFonts w:ascii="Arial" w:cs="Arial" w:eastAsia="Arial" w:hAnsi="Arial"/>
          <w:sz w:val="18"/>
          <w:szCs w:val="18"/>
          <w:u w:val="single" w:color="auto"/>
          <w:color w:val="auto"/>
        </w:rPr>
        <w:t>Section 2.11(l)</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2.12(d)(i)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as applicable, or would eliminate the illegality or impracticality of funding or maintaining SOFR Loans (or Base Rate Loans determined with reference to Adjusted Term SOFR), and (ii) in the reasonable judgment of such Affected Lender, such designation or assignment would not subject it to any material unreimbursed cost or expense and would not otherwise be materially disadvantageous to it. Borrowers agree to pay all reasonable out-of-pocket costs and expenses incurred by such Affected Lender in connection with any such designation or assignment. If, after such reasonable efforts, such Affected Lender does not so designate a different one of its lending offices or assign its rights to another of its offices or branches so as to eliminate Borrowers’ obligation to pay any future amounts to such Affected Lender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2.11(l)</w:t>
      </w:r>
      <w:r>
        <w:rPr>
          <w:rFonts w:ascii="Arial" w:cs="Arial" w:eastAsia="Arial" w:hAnsi="Arial"/>
          <w:sz w:val="18"/>
          <w:szCs w:val="18"/>
          <w:color w:val="auto"/>
        </w:rPr>
        <w:t xml:space="preserve"> , </w:t>
      </w:r>
      <w:r>
        <w:rPr>
          <w:rFonts w:ascii="Arial" w:cs="Arial" w:eastAsia="Arial" w:hAnsi="Arial"/>
          <w:sz w:val="18"/>
          <w:szCs w:val="18"/>
          <w:u w:val="single" w:color="auto"/>
          <w:color w:val="auto"/>
        </w:rPr>
        <w:t>Section 2.12(d)(i)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as applicable, or to enable Borrowers to obtain SOFR Loans (or Base Rate Loans determined with reference to Adjusted Term SOFR), then Borrowers (without prejudice to any amounts then due to such Affected Lender under </w:t>
      </w:r>
      <w:r>
        <w:rPr>
          <w:rFonts w:ascii="Arial" w:cs="Arial" w:eastAsia="Arial" w:hAnsi="Arial"/>
          <w:sz w:val="18"/>
          <w:szCs w:val="18"/>
          <w:u w:val="single" w:color="auto"/>
          <w:color w:val="auto"/>
        </w:rPr>
        <w:t>Section 2.11(l)</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2.12(d)(i)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as applicable) may, unless prior to the effective date of any such assignment the Affected Lender withdraws its request for such additional amounts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2.11(l)</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2.12(d)(i)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2.13(a)</w:t>
      </w:r>
      <w:r>
        <w:rPr>
          <w:rFonts w:ascii="Arial" w:cs="Arial" w:eastAsia="Arial" w:hAnsi="Arial"/>
          <w:sz w:val="18"/>
          <w:szCs w:val="18"/>
          <w:color w:val="auto"/>
        </w:rPr>
        <w:t>, as applicable, or indicates that it is no longer unlawful or impractical to fund or maintain SOFR Loans (or Base Rate Loans determined with reference to Adjusted Term SOFR),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95" w:name="page96"/>
    <w:bookmarkEnd w:id="95"/>
    <w:p>
      <w:pPr>
        <w:jc w:val="both"/>
        <w:spacing w:after="0" w:line="255" w:lineRule="auto"/>
        <w:rPr>
          <w:sz w:val="20"/>
          <w:szCs w:val="20"/>
          <w:color w:val="auto"/>
        </w:rPr>
      </w:pPr>
      <w:r>
        <w:rPr>
          <w:rFonts w:ascii="Arial" w:cs="Arial" w:eastAsia="Arial" w:hAnsi="Arial"/>
          <w:sz w:val="19"/>
          <w:szCs w:val="19"/>
          <w:color w:val="auto"/>
        </w:rPr>
        <w:t>may designate a different Issuing Bank or substitute a Lender or prospective Lender, in each case, reasonably acceptable to Agent to purchase the Obligations owed to such Affected Lender and such Affected Lender’s commitments hereunder (a “</w:t>
      </w:r>
      <w:r>
        <w:rPr>
          <w:rFonts w:ascii="Arial" w:cs="Arial" w:eastAsia="Arial" w:hAnsi="Arial"/>
          <w:sz w:val="19"/>
          <w:szCs w:val="19"/>
          <w:u w:val="single" w:color="auto"/>
          <w:color w:val="auto"/>
        </w:rPr>
        <w:t>Replacement Lender</w:t>
      </w:r>
      <w:r>
        <w:rPr>
          <w:rFonts w:ascii="Arial" w:cs="Arial" w:eastAsia="Arial" w:hAnsi="Arial"/>
          <w:sz w:val="19"/>
          <w:szCs w:val="19"/>
          <w:color w:val="auto"/>
        </w:rPr>
        <w:t xml:space="preserve">”), and if such Replacement Lender agrees to such purchase, such Affected Lender shall assign to the Replacement Lender its Obligations and commitments, and upon such purchase by the Replacement Lender, which such Replacement Lender shall be deemed to be “Issuing Bank” or a “Lender” (as the case may be) for purposes of this Agreement and such Affected Lender shall cease to be “Issuing Bank” or a “Lender” (as the case may be) for purposes of this Agreement. The Affected Lender shall have no right to refuse to be replaced in accordance with this </w:t>
      </w:r>
      <w:r>
        <w:rPr>
          <w:rFonts w:ascii="Arial" w:cs="Arial" w:eastAsia="Arial" w:hAnsi="Arial"/>
          <w:sz w:val="19"/>
          <w:szCs w:val="19"/>
          <w:u w:val="single" w:color="auto"/>
          <w:color w:val="auto"/>
        </w:rPr>
        <w:t>Section 2.13(b)</w:t>
      </w:r>
      <w:r>
        <w:rPr>
          <w:rFonts w:ascii="Arial" w:cs="Arial" w:eastAsia="Arial" w:hAnsi="Arial"/>
          <w:sz w:val="19"/>
          <w:szCs w:val="19"/>
          <w:color w:val="auto"/>
        </w:rPr>
        <w:t xml:space="preserve"> and if the Affected Lender shall refuse or fail to execute and deliver any Assignment and Acceptance in respect of such assignment prior to the effective date of such replacement, Agent may, but shall not be required to, execute and deliver such Assignment and Acceptance in the name or and on behalf of the Affected Lender and irrespective of whether Agent executes and delivers such Assignment and Acceptance, the Affected Lender shall be deemed to have executed and delivered such Assignment and Acceptance.</w:t>
      </w:r>
    </w:p>
    <w:p>
      <w:pPr>
        <w:spacing w:after="0" w:line="185" w:lineRule="exact"/>
        <w:rPr>
          <w:sz w:val="20"/>
          <w:szCs w:val="20"/>
          <w:color w:val="auto"/>
        </w:rPr>
      </w:pPr>
    </w:p>
    <w:p>
      <w:pPr>
        <w:jc w:val="both"/>
        <w:ind w:firstLine="1304"/>
        <w:spacing w:after="0" w:line="242" w:lineRule="auto"/>
        <w:tabs>
          <w:tab w:leader="none" w:pos="1944" w:val="left"/>
        </w:tabs>
        <w:numPr>
          <w:ilvl w:val="0"/>
          <w:numId w:val="113"/>
        </w:numPr>
        <w:rPr>
          <w:rFonts w:ascii="Arial" w:cs="Arial" w:eastAsia="Arial" w:hAnsi="Arial"/>
          <w:sz w:val="20"/>
          <w:szCs w:val="20"/>
          <w:color w:val="auto"/>
        </w:rPr>
      </w:pPr>
      <w:r>
        <w:rPr>
          <w:rFonts w:ascii="Arial" w:cs="Arial" w:eastAsia="Arial" w:hAnsi="Arial"/>
          <w:sz w:val="20"/>
          <w:szCs w:val="20"/>
          <w:color w:val="auto"/>
        </w:rPr>
        <w:t xml:space="preserve">Notwithstanding anything herein to the contrary, the protection of </w:t>
      </w:r>
      <w:r>
        <w:rPr>
          <w:rFonts w:ascii="Arial" w:cs="Arial" w:eastAsia="Arial" w:hAnsi="Arial"/>
          <w:sz w:val="20"/>
          <w:szCs w:val="20"/>
          <w:u w:val="single" w:color="auto"/>
          <w:color w:val="auto"/>
        </w:rPr>
        <w:t>Sections 2.11(l)</w:t>
      </w:r>
      <w:r>
        <w:rPr>
          <w:rFonts w:ascii="Arial" w:cs="Arial" w:eastAsia="Arial" w:hAnsi="Arial"/>
          <w:sz w:val="20"/>
          <w:szCs w:val="20"/>
          <w:color w:val="auto"/>
        </w:rPr>
        <w:t xml:space="preserve">, </w:t>
      </w:r>
      <w:r>
        <w:rPr>
          <w:rFonts w:ascii="Arial" w:cs="Arial" w:eastAsia="Arial" w:hAnsi="Arial"/>
          <w:sz w:val="20"/>
          <w:szCs w:val="20"/>
          <w:u w:val="single" w:color="auto"/>
          <w:color w:val="auto"/>
        </w:rPr>
        <w:t>2.12(d)</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2.13</w:t>
      </w:r>
      <w:r>
        <w:rPr>
          <w:rFonts w:ascii="Arial" w:cs="Arial" w:eastAsia="Arial" w:hAnsi="Arial"/>
          <w:sz w:val="20"/>
          <w:szCs w:val="20"/>
          <w:color w:val="auto"/>
        </w:rPr>
        <w:t xml:space="preserve"> shall be available to Issuing Bank and each Lender (as applicable) regardless of any possible contention of the invalidity or inapplicability of the law, rule, regulation, judicial ruling, judgment, guideline, treaty or other change or condition which shall have occurred or been imposed, so long as it shall be customary for issuing banks or lenders affected thereby to comply therewith. Notwithstanding any other provision herein, neither Issuing Bank nor any Lender shall demand compensation pursuant to this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if it shall not at the time be the general policy or practice of Issuing Bank or such Lender (as the case may be) to demand such compensation in similar circumstances under comparable provisions of other credit agreements, if any.</w:t>
      </w:r>
    </w:p>
    <w:p>
      <w:pPr>
        <w:spacing w:after="0" w:line="19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8"/>
          <w:szCs w:val="18"/>
          <w:b w:val="1"/>
          <w:bCs w:val="1"/>
          <w:u w:val="single" w:color="auto"/>
          <w:color w:val="auto"/>
        </w:rPr>
        <w:t>Incremental Facilities</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1304"/>
        <w:spacing w:after="0" w:line="270" w:lineRule="auto"/>
        <w:tabs>
          <w:tab w:leader="none" w:pos="194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At any time during the period from and after the Closing Date, at the option of Borrowers (but subject to the conditions set forth in clause (b) below), the Revolver Commitments and the Maximum Revolver Amount may be increased by an amount in the aggregate for all such increases of the Revolver Commitments and the Maximum Revolver Amount not to exceed the Available Revolver Increase Amount (each such increase, an “</w:t>
      </w:r>
      <w:r>
        <w:rPr>
          <w:rFonts w:ascii="Arial" w:cs="Arial" w:eastAsia="Arial" w:hAnsi="Arial"/>
          <w:sz w:val="18"/>
          <w:szCs w:val="18"/>
          <w:u w:val="single" w:color="auto"/>
          <w:color w:val="auto"/>
        </w:rPr>
        <w:t>Increase</w:t>
      </w:r>
      <w:r>
        <w:rPr>
          <w:rFonts w:ascii="Arial" w:cs="Arial" w:eastAsia="Arial" w:hAnsi="Arial"/>
          <w:sz w:val="18"/>
          <w:szCs w:val="18"/>
          <w:color w:val="auto"/>
        </w:rPr>
        <w:t xml:space="preserve">”). Agent shall invite each Lender to increase its Revolver Commitments (it being understood that no Lender shall be obligated to increase its Revolver Commitments) in connection with a proposed Increase, and if sufficient Lenders do not agree to increase their Revolver Commitments in connection with such proposed Increase, then Agent or Borrowers may invite any prospective lender who is reasonably satisfactory to Agent and Borrowers to become a Lender in connection with a proposed Increase. Any Increase shall be in an amount of at least $5,000,000 and integral multiples of $1,000,000 in excess thereof. In no event may the Revolver Commitments and the Maximum Revolver Amount be increased pursuant to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on more than 5 occasions in the aggregate for all such Increases. Additionally, for the avoidance of doubt, it is understood and agreed that in no event shall the aggregate amount of the Increases to the Revolver Commitments exceed $40,000,000.</w:t>
      </w:r>
    </w:p>
    <w:p>
      <w:pPr>
        <w:spacing w:after="0" w:line="175" w:lineRule="exact"/>
        <w:rPr>
          <w:rFonts w:ascii="Arial" w:cs="Arial" w:eastAsia="Arial" w:hAnsi="Arial"/>
          <w:sz w:val="18"/>
          <w:szCs w:val="18"/>
          <w:color w:val="auto"/>
        </w:rPr>
      </w:pPr>
    </w:p>
    <w:p>
      <w:pPr>
        <w:ind w:firstLine="1304"/>
        <w:spacing w:after="0" w:line="260" w:lineRule="auto"/>
        <w:tabs>
          <w:tab w:leader="none" w:pos="1944" w:val="left"/>
        </w:tabs>
        <w:numPr>
          <w:ilvl w:val="0"/>
          <w:numId w:val="114"/>
        </w:numPr>
        <w:rPr>
          <w:rFonts w:ascii="Arial" w:cs="Arial" w:eastAsia="Arial" w:hAnsi="Arial"/>
          <w:sz w:val="20"/>
          <w:szCs w:val="20"/>
          <w:color w:val="auto"/>
        </w:rPr>
      </w:pPr>
      <w:r>
        <w:rPr>
          <w:rFonts w:ascii="Arial" w:cs="Arial" w:eastAsia="Arial" w:hAnsi="Arial"/>
          <w:sz w:val="20"/>
          <w:szCs w:val="20"/>
          <w:color w:val="auto"/>
        </w:rPr>
        <w:t>Each of the following shall be conditions precedent to any Increase of the Revolver Commitments and the Maximum Revolver Amount in connection therewith:</w:t>
      </w:r>
    </w:p>
    <w:p>
      <w:pPr>
        <w:spacing w:after="0" w:line="176" w:lineRule="exact"/>
        <w:rPr>
          <w:rFonts w:ascii="Arial" w:cs="Arial" w:eastAsia="Arial" w:hAnsi="Arial"/>
          <w:sz w:val="20"/>
          <w:szCs w:val="20"/>
          <w:color w:val="auto"/>
        </w:rPr>
      </w:pPr>
    </w:p>
    <w:p>
      <w:pPr>
        <w:jc w:val="both"/>
        <w:ind w:firstLine="1952"/>
        <w:spacing w:after="0" w:line="244" w:lineRule="auto"/>
        <w:tabs>
          <w:tab w:leader="none" w:pos="2592" w:val="left"/>
        </w:tabs>
        <w:numPr>
          <w:ilvl w:val="1"/>
          <w:numId w:val="114"/>
        </w:numPr>
        <w:rPr>
          <w:rFonts w:ascii="Arial" w:cs="Arial" w:eastAsia="Arial" w:hAnsi="Arial"/>
          <w:sz w:val="20"/>
          <w:szCs w:val="20"/>
          <w:color w:val="auto"/>
        </w:rPr>
      </w:pPr>
      <w:r>
        <w:rPr>
          <w:rFonts w:ascii="Arial" w:cs="Arial" w:eastAsia="Arial" w:hAnsi="Arial"/>
          <w:sz w:val="20"/>
          <w:szCs w:val="20"/>
          <w:color w:val="auto"/>
        </w:rPr>
        <w:t>Agent or Borrowers have obtained the commitment of one or more Lenders (or other prospective lenders) reasonably satisfactory to Agent and Borrowers to provide the applicable Increase and any such Lenders (or prospective lenders), Borrowers, and Agent have signed a joinder agreement to this Agreement (an “</w:t>
      </w:r>
      <w:r>
        <w:rPr>
          <w:rFonts w:ascii="Arial" w:cs="Arial" w:eastAsia="Arial" w:hAnsi="Arial"/>
          <w:sz w:val="20"/>
          <w:szCs w:val="20"/>
          <w:u w:val="single" w:color="auto"/>
          <w:color w:val="auto"/>
        </w:rPr>
        <w:t>Increase Joinder</w:t>
      </w:r>
      <w:r>
        <w:rPr>
          <w:rFonts w:ascii="Arial" w:cs="Arial" w:eastAsia="Arial" w:hAnsi="Arial"/>
          <w:sz w:val="20"/>
          <w:szCs w:val="20"/>
          <w:color w:val="auto"/>
        </w:rPr>
        <w:t>”), in form and substance reasonably satisfactory to Agent, to which such Lenders (or prospective lenders), Borrowers, and Agent are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6" w:name="page97"/>
    <w:bookmarkEnd w:id="96"/>
    <w:p>
      <w:pPr>
        <w:ind w:left="2600" w:hanging="648"/>
        <w:spacing w:after="0"/>
        <w:tabs>
          <w:tab w:leader="none" w:pos="2600" w:val="left"/>
        </w:tabs>
        <w:numPr>
          <w:ilvl w:val="1"/>
          <w:numId w:val="115"/>
        </w:numPr>
        <w:rPr>
          <w:rFonts w:ascii="Arial" w:cs="Arial" w:eastAsia="Arial" w:hAnsi="Arial"/>
          <w:sz w:val="20"/>
          <w:szCs w:val="20"/>
          <w:color w:val="auto"/>
        </w:rPr>
      </w:pPr>
      <w:r>
        <w:rPr>
          <w:rFonts w:ascii="Arial" w:cs="Arial" w:eastAsia="Arial" w:hAnsi="Arial"/>
          <w:sz w:val="20"/>
          <w:szCs w:val="20"/>
          <w:color w:val="auto"/>
        </w:rPr>
        <w:t xml:space="preserve">each of the conditions precedent set forth in </w:t>
      </w:r>
      <w:r>
        <w:rPr>
          <w:rFonts w:ascii="Arial" w:cs="Arial" w:eastAsia="Arial" w:hAnsi="Arial"/>
          <w:sz w:val="20"/>
          <w:szCs w:val="20"/>
          <w:u w:val="single" w:color="auto"/>
          <w:color w:val="auto"/>
        </w:rPr>
        <w:t>Section 3.2</w:t>
      </w:r>
      <w:r>
        <w:rPr>
          <w:rFonts w:ascii="Arial" w:cs="Arial" w:eastAsia="Arial" w:hAnsi="Arial"/>
          <w:sz w:val="20"/>
          <w:szCs w:val="20"/>
          <w:color w:val="auto"/>
        </w:rPr>
        <w:t xml:space="preserve"> are satisfied,</w:t>
      </w:r>
    </w:p>
    <w:p>
      <w:pPr>
        <w:spacing w:after="0" w:line="216" w:lineRule="exact"/>
        <w:rPr>
          <w:rFonts w:ascii="Arial" w:cs="Arial" w:eastAsia="Arial" w:hAnsi="Arial"/>
          <w:sz w:val="20"/>
          <w:szCs w:val="20"/>
          <w:color w:val="auto"/>
        </w:rPr>
      </w:pPr>
    </w:p>
    <w:p>
      <w:pPr>
        <w:jc w:val="both"/>
        <w:ind w:firstLine="1952"/>
        <w:spacing w:after="0" w:line="244" w:lineRule="auto"/>
        <w:tabs>
          <w:tab w:leader="none" w:pos="2592" w:val="left"/>
        </w:tabs>
        <w:numPr>
          <w:ilvl w:val="1"/>
          <w:numId w:val="115"/>
        </w:numPr>
        <w:rPr>
          <w:rFonts w:ascii="Arial" w:cs="Arial" w:eastAsia="Arial" w:hAnsi="Arial"/>
          <w:sz w:val="20"/>
          <w:szCs w:val="20"/>
          <w:color w:val="auto"/>
        </w:rPr>
      </w:pPr>
      <w:r>
        <w:rPr>
          <w:rFonts w:ascii="Arial" w:cs="Arial" w:eastAsia="Arial" w:hAnsi="Arial"/>
          <w:sz w:val="20"/>
          <w:szCs w:val="20"/>
          <w:color w:val="auto"/>
        </w:rPr>
        <w:t>in connection with any Increase, if any Loan Party or any of its Subsidiaries owns or will acquire any Margin Stock, Borrowers shall deliver to Agent an updated Form U-1 (with sufficient additional originals thereof for each Lender), duly executed and delivered by the Borrowers, together with such other documentation as Agent shall reasonably request, in order to enable Agent and the Lenders to comply with any of the requirements under Regulations T, U or X of the Board of Governors,</w:t>
      </w:r>
    </w:p>
    <w:p>
      <w:pPr>
        <w:spacing w:after="0" w:line="194" w:lineRule="exact"/>
        <w:rPr>
          <w:rFonts w:ascii="Arial" w:cs="Arial" w:eastAsia="Arial" w:hAnsi="Arial"/>
          <w:sz w:val="20"/>
          <w:szCs w:val="20"/>
          <w:color w:val="auto"/>
        </w:rPr>
      </w:pPr>
    </w:p>
    <w:p>
      <w:pPr>
        <w:jc w:val="both"/>
        <w:ind w:firstLine="1952"/>
        <w:spacing w:after="0" w:line="282" w:lineRule="auto"/>
        <w:tabs>
          <w:tab w:leader="none" w:pos="2592" w:val="left"/>
        </w:tabs>
        <w:numPr>
          <w:ilvl w:val="1"/>
          <w:numId w:val="115"/>
        </w:numPr>
        <w:rPr>
          <w:rFonts w:ascii="Arial" w:cs="Arial" w:eastAsia="Arial" w:hAnsi="Arial"/>
          <w:sz w:val="18"/>
          <w:szCs w:val="18"/>
          <w:color w:val="auto"/>
        </w:rPr>
      </w:pPr>
      <w:r>
        <w:rPr>
          <w:rFonts w:ascii="Arial" w:cs="Arial" w:eastAsia="Arial" w:hAnsi="Arial"/>
          <w:sz w:val="18"/>
          <w:szCs w:val="18"/>
          <w:color w:val="auto"/>
        </w:rPr>
        <w:t xml:space="preserve">Borrowers have delivered to Agent updated pro forma Projections (after giving effect to the applicable Increase) for the Loan Parties and their Subsidiaries evidencing compliance on a pro forma basis with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for the twelve months (on a quarter-by-quarter basis) immediately following the proposed date of the applicable Increase (calculated as if a Covenant Testing Period was in effect during the entire twelve month period), and</w:t>
      </w:r>
    </w:p>
    <w:p>
      <w:pPr>
        <w:spacing w:after="0" w:line="161" w:lineRule="exact"/>
        <w:rPr>
          <w:rFonts w:ascii="Arial" w:cs="Arial" w:eastAsia="Arial" w:hAnsi="Arial"/>
          <w:sz w:val="18"/>
          <w:szCs w:val="18"/>
          <w:color w:val="auto"/>
        </w:rPr>
      </w:pPr>
    </w:p>
    <w:p>
      <w:pPr>
        <w:jc w:val="both"/>
        <w:ind w:firstLine="1952"/>
        <w:spacing w:after="0" w:line="250" w:lineRule="auto"/>
        <w:tabs>
          <w:tab w:leader="none" w:pos="2592" w:val="left"/>
        </w:tabs>
        <w:numPr>
          <w:ilvl w:val="1"/>
          <w:numId w:val="115"/>
        </w:numPr>
        <w:rPr>
          <w:rFonts w:ascii="Arial" w:cs="Arial" w:eastAsia="Arial" w:hAnsi="Arial"/>
          <w:sz w:val="20"/>
          <w:szCs w:val="20"/>
          <w:color w:val="auto"/>
        </w:rPr>
      </w:pPr>
      <w:r>
        <w:rPr>
          <w:rFonts w:ascii="Arial" w:cs="Arial" w:eastAsia="Arial" w:hAnsi="Arial"/>
          <w:sz w:val="20"/>
          <w:szCs w:val="20"/>
          <w:color w:val="auto"/>
        </w:rPr>
        <w:t>The interest rate margins with respect to the Revolving Loans to be made pursuant to the increased Revolver Commitments shall be the same as the interest rate margin applicable to Revolving Loans hereunder immediately prior to the applicable Increase Date (as defined below).</w:t>
      </w:r>
    </w:p>
    <w:p>
      <w:pPr>
        <w:spacing w:after="0" w:line="185" w:lineRule="exact"/>
        <w:rPr>
          <w:rFonts w:ascii="Arial" w:cs="Arial" w:eastAsia="Arial" w:hAnsi="Arial"/>
          <w:sz w:val="20"/>
          <w:szCs w:val="20"/>
          <w:color w:val="auto"/>
        </w:rPr>
      </w:pPr>
    </w:p>
    <w:p>
      <w:pPr>
        <w:jc w:val="both"/>
        <w:ind w:firstLine="1304"/>
        <w:spacing w:after="0" w:line="291" w:lineRule="auto"/>
        <w:tabs>
          <w:tab w:leader="none" w:pos="194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Unless otherwise specifically provided herein, all references in this Agreement and any other Loan Document to Revolving Loans shall be deemed, unless the context otherwise requires, to include Revolving Loans made pursuant to the increased Revolver Commitments and Maximum Revolver Amount pursuant to this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45" w:lineRule="exact"/>
        <w:rPr>
          <w:rFonts w:ascii="Arial" w:cs="Arial" w:eastAsia="Arial" w:hAnsi="Arial"/>
          <w:sz w:val="18"/>
          <w:szCs w:val="18"/>
          <w:color w:val="auto"/>
        </w:rPr>
      </w:pPr>
    </w:p>
    <w:p>
      <w:pPr>
        <w:jc w:val="both"/>
        <w:ind w:firstLine="1304"/>
        <w:spacing w:after="0" w:line="258" w:lineRule="auto"/>
        <w:tabs>
          <w:tab w:leader="none" w:pos="1944" w:val="left"/>
        </w:tabs>
        <w:numPr>
          <w:ilvl w:val="0"/>
          <w:numId w:val="116"/>
        </w:numPr>
        <w:rPr>
          <w:rFonts w:ascii="Arial" w:cs="Arial" w:eastAsia="Arial" w:hAnsi="Arial"/>
          <w:sz w:val="19"/>
          <w:szCs w:val="19"/>
          <w:color w:val="auto"/>
        </w:rPr>
      </w:pPr>
      <w:r>
        <w:rPr>
          <w:rFonts w:ascii="Arial" w:cs="Arial" w:eastAsia="Arial" w:hAnsi="Arial"/>
          <w:sz w:val="19"/>
          <w:szCs w:val="19"/>
          <w:color w:val="auto"/>
        </w:rPr>
        <w:t xml:space="preserve">Each of the Lenders having a Revolver Commitment prior to the Increase Date (the </w:t>
      </w:r>
      <w:r>
        <w:rPr>
          <w:rFonts w:ascii="Arial" w:cs="Arial" w:eastAsia="Arial" w:hAnsi="Arial"/>
          <w:sz w:val="19"/>
          <w:szCs w:val="19"/>
          <w:b w:val="1"/>
          <w:bCs w:val="1"/>
          <w:color w:val="auto"/>
        </w:rPr>
        <w:t>“</w:t>
      </w:r>
      <w:r>
        <w:rPr>
          <w:rFonts w:ascii="Arial" w:cs="Arial" w:eastAsia="Arial" w:hAnsi="Arial"/>
          <w:sz w:val="19"/>
          <w:szCs w:val="19"/>
          <w:u w:val="single" w:color="auto"/>
          <w:color w:val="auto"/>
        </w:rPr>
        <w:t>Pre-Increase</w:t>
      </w:r>
      <w:r>
        <w:rPr>
          <w:rFonts w:ascii="Arial" w:cs="Arial" w:eastAsia="Arial" w:hAnsi="Arial"/>
          <w:sz w:val="19"/>
          <w:szCs w:val="19"/>
          <w:color w:val="auto"/>
        </w:rPr>
        <w:t xml:space="preserve"> </w:t>
      </w:r>
      <w:r>
        <w:rPr>
          <w:rFonts w:ascii="Arial" w:cs="Arial" w:eastAsia="Arial" w:hAnsi="Arial"/>
          <w:sz w:val="19"/>
          <w:szCs w:val="19"/>
          <w:u w:val="single" w:color="auto"/>
          <w:color w:val="auto"/>
        </w:rPr>
        <w:t>Revolver Lenders</w:t>
      </w:r>
      <w:r>
        <w:rPr>
          <w:rFonts w:ascii="Arial" w:cs="Arial" w:eastAsia="Arial" w:hAnsi="Arial"/>
          <w:sz w:val="19"/>
          <w:szCs w:val="19"/>
          <w:color w:val="auto"/>
        </w:rPr>
        <w:t>”</w:t>
      </w:r>
      <w:r>
        <w:rPr>
          <w:rFonts w:ascii="Arial" w:cs="Arial" w:eastAsia="Arial" w:hAnsi="Arial"/>
          <w:sz w:val="19"/>
          <w:szCs w:val="19"/>
          <w:i w:val="1"/>
          <w:iCs w:val="1"/>
          <w:color w:val="auto"/>
        </w:rPr>
        <w:t>)</w:t>
      </w:r>
      <w:r>
        <w:rPr>
          <w:rFonts w:ascii="Arial" w:cs="Arial" w:eastAsia="Arial" w:hAnsi="Arial"/>
          <w:sz w:val="19"/>
          <w:szCs w:val="19"/>
          <w:color w:val="auto"/>
        </w:rPr>
        <w:t xml:space="preserve"> shall assign to any Lender which is acquiring a new or additional Revolver Commitment on the Increase Date (the “</w:t>
      </w:r>
      <w:r>
        <w:rPr>
          <w:rFonts w:ascii="Arial" w:cs="Arial" w:eastAsia="Arial" w:hAnsi="Arial"/>
          <w:sz w:val="19"/>
          <w:szCs w:val="19"/>
          <w:u w:val="single" w:color="auto"/>
          <w:color w:val="auto"/>
        </w:rPr>
        <w:t>Post-Increase Revolver Lenders</w:t>
      </w:r>
      <w:r>
        <w:rPr>
          <w:rFonts w:ascii="Arial" w:cs="Arial" w:eastAsia="Arial" w:hAnsi="Arial"/>
          <w:sz w:val="19"/>
          <w:szCs w:val="19"/>
          <w:color w:val="auto"/>
        </w:rPr>
        <w:t>”), and such Post-Increase Revolver Lenders shall purchase from each Pre-Increase Revolver Lender, at the principal amount thereof, such interests in the Revolving Loans and participation interests in Letters of Credit on such Increase Date as shall be necessary in order that, after giving effect to all such assignments and purchases, such Revolving Loans and participation interests in Letters of Credit will be held by Pre-Increase Revolver Lenders and Post-Increase Revolver Lenders ratably in accordance with their Pro Rata Share after giving effect to such increased Revolver Commitments.</w:t>
      </w:r>
    </w:p>
    <w:p>
      <w:pPr>
        <w:spacing w:after="0" w:line="179" w:lineRule="exact"/>
        <w:rPr>
          <w:rFonts w:ascii="Arial" w:cs="Arial" w:eastAsia="Arial" w:hAnsi="Arial"/>
          <w:sz w:val="19"/>
          <w:szCs w:val="19"/>
          <w:color w:val="auto"/>
        </w:rPr>
      </w:pPr>
    </w:p>
    <w:p>
      <w:pPr>
        <w:jc w:val="both"/>
        <w:ind w:firstLine="1304"/>
        <w:spacing w:after="0" w:line="274" w:lineRule="auto"/>
        <w:tabs>
          <w:tab w:leader="none" w:pos="194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The Revolving Loans, Revolver Commitments, and Maximum Revolver Amount established pursuant to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shall constitute Revolving Loans, Revolver Commitments, and Maximum Revolver Amount under, and shall be entitled to all the benefits afforded by, this Agreement and the other Loan Documents, and shall, without limiting the foregoing, benefit equally and ratably from any guarantees and the security interests created by the Loan Documents. Borrowers shall take any actions reasonably required by Agent to ensure and demonstrate that the Liens and security interests granted by the Loan Documents continue to be perfected under the Code or otherwise after giving effect to the establishment of any such new Revolver Commitments and Maximum Revolver Amount.</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8"/>
          <w:szCs w:val="18"/>
          <w:b w:val="1"/>
          <w:bCs w:val="1"/>
          <w:u w:val="single" w:color="auto"/>
          <w:color w:val="auto"/>
        </w:rPr>
        <w:t>Joint and Several Liability of Borrowers</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1304"/>
        <w:spacing w:after="0" w:line="246" w:lineRule="auto"/>
        <w:tabs>
          <w:tab w:leader="none" w:pos="1944" w:val="left"/>
        </w:tabs>
        <w:numPr>
          <w:ilvl w:val="0"/>
          <w:numId w:val="117"/>
        </w:numPr>
        <w:rPr>
          <w:rFonts w:ascii="Arial" w:cs="Arial" w:eastAsia="Arial" w:hAnsi="Arial"/>
          <w:sz w:val="20"/>
          <w:szCs w:val="20"/>
          <w:color w:val="auto"/>
        </w:rPr>
      </w:pPr>
      <w:r>
        <w:rPr>
          <w:rFonts w:ascii="Arial" w:cs="Arial" w:eastAsia="Arial" w:hAnsi="Arial"/>
          <w:sz w:val="20"/>
          <w:szCs w:val="20"/>
          <w:color w:val="auto"/>
        </w:rPr>
        <w:t>Each Borrower is accepting joint and several liability hereunder and under the other Loan Documents in consideration of the financial accommodations to be provided by the Lender Group under this Agreement, for the mutual benefit, directly and indirectly, of each Borrower and in consideration of the undertakings of the other Borrowers to accept joint and several liability for the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7" w:name="page98"/>
    <w:bookmarkEnd w:id="97"/>
    <w:p>
      <w:pPr>
        <w:jc w:val="both"/>
        <w:ind w:firstLine="1304"/>
        <w:spacing w:after="0" w:line="243" w:lineRule="auto"/>
        <w:tabs>
          <w:tab w:leader="none" w:pos="1944" w:val="left"/>
        </w:tabs>
        <w:numPr>
          <w:ilvl w:val="0"/>
          <w:numId w:val="118"/>
        </w:numPr>
        <w:rPr>
          <w:rFonts w:ascii="Arial" w:cs="Arial" w:eastAsia="Arial" w:hAnsi="Arial"/>
          <w:sz w:val="20"/>
          <w:szCs w:val="20"/>
          <w:color w:val="auto"/>
        </w:rPr>
      </w:pPr>
      <w:r>
        <w:rPr>
          <w:rFonts w:ascii="Arial" w:cs="Arial" w:eastAsia="Arial" w:hAnsi="Arial"/>
          <w:sz w:val="20"/>
          <w:szCs w:val="20"/>
          <w:color w:val="auto"/>
        </w:rPr>
        <w:t xml:space="preserve">Each Borrower, jointly and severally, hereby irrevocably and unconditionally accepts, not merely as a surety but also as a co-debtor, joint and several liability with the other Borrowers, with respect to the payment and performance of all of the Obligations (including any Obligations arising under this </w:t>
      </w:r>
      <w:r>
        <w:rPr>
          <w:rFonts w:ascii="Arial" w:cs="Arial" w:eastAsia="Arial" w:hAnsi="Arial"/>
          <w:sz w:val="20"/>
          <w:szCs w:val="20"/>
          <w:u w:val="single" w:color="auto"/>
          <w:color w:val="auto"/>
        </w:rPr>
        <w:t>Section 2.15</w:t>
      </w:r>
      <w:r>
        <w:rPr>
          <w:rFonts w:ascii="Arial" w:cs="Arial" w:eastAsia="Arial" w:hAnsi="Arial"/>
          <w:sz w:val="20"/>
          <w:szCs w:val="20"/>
          <w:color w:val="auto"/>
        </w:rPr>
        <w:t>), it being the intention of the parties hereto that all the Obligations shall be the joint and several obligations of each Borrower without preferences or distinction among them. Accordingly, each Borrower hereby waives any and all suretyship defenses that would otherwise be available to such Borrower under applicable law.</w:t>
      </w:r>
    </w:p>
    <w:p>
      <w:pPr>
        <w:spacing w:after="0" w:line="197" w:lineRule="exact"/>
        <w:rPr>
          <w:rFonts w:ascii="Arial" w:cs="Arial" w:eastAsia="Arial" w:hAnsi="Arial"/>
          <w:sz w:val="20"/>
          <w:szCs w:val="20"/>
          <w:color w:val="auto"/>
        </w:rPr>
      </w:pPr>
    </w:p>
    <w:p>
      <w:pPr>
        <w:jc w:val="both"/>
        <w:ind w:firstLine="1304"/>
        <w:spacing w:after="0" w:line="244" w:lineRule="auto"/>
        <w:tabs>
          <w:tab w:leader="none" w:pos="1944" w:val="left"/>
        </w:tabs>
        <w:numPr>
          <w:ilvl w:val="0"/>
          <w:numId w:val="118"/>
        </w:numPr>
        <w:rPr>
          <w:rFonts w:ascii="Arial" w:cs="Arial" w:eastAsia="Arial" w:hAnsi="Arial"/>
          <w:sz w:val="20"/>
          <w:szCs w:val="20"/>
          <w:color w:val="auto"/>
        </w:rPr>
      </w:pPr>
      <w:r>
        <w:rPr>
          <w:rFonts w:ascii="Arial" w:cs="Arial" w:eastAsia="Arial" w:hAnsi="Arial"/>
          <w:sz w:val="20"/>
          <w:szCs w:val="20"/>
          <w:color w:val="auto"/>
        </w:rPr>
        <w:t>If and to the extent that any Borrower shall fail to make any payment with respect to any of the Obligations as and when due, whether upon maturity, acceleration, or otherwise, or to perform any of the Obligations in accordance with the terms thereof, then in each such event the other Borrowers will make such payment with respect to, or perform, such Obligations until such time as all of the Obligations are paid in full, and without the need for demand, protest, or any other notice or formality.</w:t>
      </w:r>
    </w:p>
    <w:p>
      <w:pPr>
        <w:spacing w:after="0" w:line="194" w:lineRule="exact"/>
        <w:rPr>
          <w:rFonts w:ascii="Arial" w:cs="Arial" w:eastAsia="Arial" w:hAnsi="Arial"/>
          <w:sz w:val="20"/>
          <w:szCs w:val="20"/>
          <w:color w:val="auto"/>
        </w:rPr>
      </w:pPr>
    </w:p>
    <w:p>
      <w:pPr>
        <w:jc w:val="both"/>
        <w:ind w:firstLine="1304"/>
        <w:spacing w:after="0" w:line="246" w:lineRule="auto"/>
        <w:tabs>
          <w:tab w:leader="none" w:pos="1944" w:val="left"/>
        </w:tabs>
        <w:numPr>
          <w:ilvl w:val="0"/>
          <w:numId w:val="118"/>
        </w:numPr>
        <w:rPr>
          <w:rFonts w:ascii="Arial" w:cs="Arial" w:eastAsia="Arial" w:hAnsi="Arial"/>
          <w:sz w:val="20"/>
          <w:szCs w:val="20"/>
          <w:color w:val="auto"/>
        </w:rPr>
      </w:pPr>
      <w:r>
        <w:rPr>
          <w:rFonts w:ascii="Arial" w:cs="Arial" w:eastAsia="Arial" w:hAnsi="Arial"/>
          <w:sz w:val="20"/>
          <w:szCs w:val="20"/>
          <w:color w:val="auto"/>
        </w:rPr>
        <w:t xml:space="preserve">The Obligations of each Borrower under the provisions of this </w:t>
      </w:r>
      <w:r>
        <w:rPr>
          <w:rFonts w:ascii="Arial" w:cs="Arial" w:eastAsia="Arial" w:hAnsi="Arial"/>
          <w:sz w:val="20"/>
          <w:szCs w:val="20"/>
          <w:u w:val="single" w:color="auto"/>
          <w:color w:val="auto"/>
        </w:rPr>
        <w:t>Section 2.15</w:t>
      </w:r>
      <w:r>
        <w:rPr>
          <w:rFonts w:ascii="Arial" w:cs="Arial" w:eastAsia="Arial" w:hAnsi="Arial"/>
          <w:sz w:val="20"/>
          <w:szCs w:val="20"/>
          <w:color w:val="auto"/>
        </w:rPr>
        <w:t xml:space="preserve"> constitute the absolute and unconditional, full recourse Obligations of each Borrower enforceable against each Borrower to the full extent of its properties and assets, irrespective of the validity, regularity or enforceability of the provisions of this Agreement (other than this </w:t>
      </w:r>
      <w:r>
        <w:rPr>
          <w:rFonts w:ascii="Arial" w:cs="Arial" w:eastAsia="Arial" w:hAnsi="Arial"/>
          <w:sz w:val="20"/>
          <w:szCs w:val="20"/>
          <w:u w:val="single" w:color="auto"/>
          <w:color w:val="auto"/>
        </w:rPr>
        <w:t>Section 2.15(d)</w:t>
      </w:r>
      <w:r>
        <w:rPr>
          <w:rFonts w:ascii="Arial" w:cs="Arial" w:eastAsia="Arial" w:hAnsi="Arial"/>
          <w:sz w:val="20"/>
          <w:szCs w:val="20"/>
          <w:color w:val="auto"/>
        </w:rPr>
        <w:t>) or any other circumstances whatsoever.</w:t>
      </w:r>
    </w:p>
    <w:p>
      <w:pPr>
        <w:spacing w:after="0" w:line="191" w:lineRule="exact"/>
        <w:rPr>
          <w:rFonts w:ascii="Arial" w:cs="Arial" w:eastAsia="Arial" w:hAnsi="Arial"/>
          <w:sz w:val="20"/>
          <w:szCs w:val="20"/>
          <w:color w:val="auto"/>
        </w:rPr>
      </w:pPr>
    </w:p>
    <w:p>
      <w:pPr>
        <w:jc w:val="both"/>
        <w:ind w:firstLine="1304"/>
        <w:spacing w:after="0" w:line="268" w:lineRule="auto"/>
        <w:tabs>
          <w:tab w:leader="none" w:pos="194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Without limiting the generality of the foregoing and except as otherwise expressly provided in this Agreement to the fullest extent permitted by applicable law, each Borrower hereby waives presentments, demands for performance, protests and notices, including notices of acceptance of its joint and several liability, notice of any Revolving Loans, any Capex Advance, or any Letters of Credit issued under or pursuant to this Agreement, notice of the occurrence of any Default, Event of Default, notices of nonperformance, notices of protest, notices of dishonor, notices of acceptance of this Agreement, notices of the existence, creation, or incurring of new or additional Obligations or other financial accommodations or of any demand for any payment under this Agreement, notice of any action at any time taken or omitted by Agent or Lenders under or in respect of any of the Obligations, any right to proceed against any other Borrower or any other Person, to proceed against or exhaust any security held from any other Borrower or any other Person, to protect, secure, perfect, or insure any security interest or Lien on any property subject thereto or exhaust any right to take any action against any other Borrower, any other Person, or any collateral, to pursue any other remedy in any member of the Lender Group’s or any Bank Product Provider’s power whatsoever, any requirement of diligence or to mitigate damages and, generally, to the extent permitted by applicable law, all demands, notices and other formalities of every kind in connection with this Agreement (except as otherwise provided in this Agreement), any right to assert against any member of the Lender Group or any Bank Product Provider, any defense (legal or equitable), set-off, counterclaim, or claim which each Borrower may now or at any time hereafter have against any other Borrower or any other party liable to any member of the Lender Group or any Bank Product Provider, any defense, set-off, counterclaim, or claim, of any kind or nature, arising directly or indirectly from the present or future lack of perfection, sufficiency, validity, or enforceability of the Obligations or any security therefor, and any right or defense arising by reason of any claim or defense based upon an election of remedies by any member of the Lender Group or any Bank Product Provider including any defense based upon an impairment or elimination of such Borrower’s rights of subrogation, reimbursement, contribution, or indemnity of such Borrower against any other Borrower. Without limiting the generality of the foregoing, each Borrower hereby assents to, and waives notice of, any extension or postponement of the time for the payment of any of the Obligations, the acceptance of any payment of any of the Obligations, the acceptance of any partial payment thereon, any waiver, consent or other action or acquiescence by Agent or Lenders at any time or times in respect of any default by any Borrower in the performance or satisfaction of any term, covenant, condition or provision of this Agreement, any and all other indulgences whatsoever by Agent or Lenders in respect of any of the Obligations, and the taking, addition, substitution or release,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8" w:name="page99"/>
    <w:bookmarkEnd w:id="98"/>
    <w:p>
      <w:pPr>
        <w:jc w:val="both"/>
        <w:spacing w:after="0" w:line="268" w:lineRule="auto"/>
        <w:rPr>
          <w:sz w:val="20"/>
          <w:szCs w:val="20"/>
          <w:color w:val="auto"/>
        </w:rPr>
      </w:pPr>
      <w:r>
        <w:rPr>
          <w:rFonts w:ascii="Arial" w:cs="Arial" w:eastAsia="Arial" w:hAnsi="Arial"/>
          <w:sz w:val="18"/>
          <w:szCs w:val="18"/>
          <w:color w:val="auto"/>
        </w:rPr>
        <w:t xml:space="preserve">whole or in part, at any time or times, of any security for any of the Obligations or the addition, substitution or release, in whole or in part, of any Borrower. Without limiting the generality of the foregoing, each Borrower assents to any other action or delay in acting or failure to act on the part of any Agent or Lender with respect to the failure by any Borrower to comply with any of its respective Obligations, including any failure strictly or diligently to assert any right or to pursue any remedy or to comply fully with applicable laws or regulations thereunder, which might, but for the provisions of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afford grounds for terminating, discharging or relieving any Borrower, in whole or in part, from any of its Obligations under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it being the intention of each Borrower that, so long as any of the Obligations hereunder remain unsatisfied, the Obligations of each Borrower under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shall not be discharged except by performance and then only to the extent of such performance. The Obligations of each Borrower under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shall not be diminished or rendered unenforceable by any winding up, reorganization, arrangement, liquidation, reconstruction or similar proceeding with respect to any other Borrower or any Agent or Lender. Each of the Borrowers waives, to the fullest extent permitted by law, the benefit of any statute of limitations affecting its liability hereunder or the enforcement hereof. Any payment by any Borrower or other circumstance which operates to toll any statute of limitations as to any Borrower shall operate to toll the statute of limitations as to each of the Borrowers. Each of the Borrowers waives any defense based on or arising out of any defense of any Borrower or any other Person, other than payment of the Obligations to the extent of such payment, based on or arising out of the disability of any Borrower or any other Person, or the validity, legality, or unenforceability of the Obligations or any part thereof from any cause, or the cessation from any cause of the liability of any Borrower other than payment of the Obligations to the extent of such payment. Agent may upon the occurrence and during the continuance of an Event of Default, at the election of the Required Lenders, foreclose upon any Collateral held by Agent by one or more judicial or nonjudicial sales or other dispositions, whether or not every aspect of any such sale is commercially reasonable or otherwise fails to comply with applicable law or may exercise any other right or remedy Agent, any other member of the Lender Group, or any Bank Product Provider may have against any Borrower or any other Person, or any security, in each case, without affecting or impairing in any way the liability of any of the Borrowers hereunder except to the extent the Obligations have been paid.</w:t>
      </w:r>
    </w:p>
    <w:p>
      <w:pPr>
        <w:spacing w:after="0" w:line="178" w:lineRule="exact"/>
        <w:rPr>
          <w:sz w:val="20"/>
          <w:szCs w:val="20"/>
          <w:color w:val="auto"/>
        </w:rPr>
      </w:pPr>
    </w:p>
    <w:p>
      <w:pPr>
        <w:jc w:val="both"/>
        <w:ind w:firstLine="1304"/>
        <w:spacing w:after="0" w:line="259" w:lineRule="auto"/>
        <w:tabs>
          <w:tab w:leader="none" w:pos="1944" w:val="left"/>
        </w:tabs>
        <w:numPr>
          <w:ilvl w:val="0"/>
          <w:numId w:val="119"/>
        </w:numPr>
        <w:rPr>
          <w:rFonts w:ascii="Arial" w:cs="Arial" w:eastAsia="Arial" w:hAnsi="Arial"/>
          <w:sz w:val="19"/>
          <w:szCs w:val="19"/>
          <w:color w:val="auto"/>
        </w:rPr>
      </w:pPr>
      <w:r>
        <w:rPr>
          <w:rFonts w:ascii="Arial" w:cs="Arial" w:eastAsia="Arial" w:hAnsi="Arial"/>
          <w:sz w:val="19"/>
          <w:szCs w:val="19"/>
          <w:color w:val="auto"/>
        </w:rPr>
        <w:t>Each Borrower represents and warrants to Agent and Lenders that such Borrower is currently informed of the financial condition of Borrowers and of all other circumstances which a diligent inquiry would reveal and which bear upon the risk of nonpayment of the Obligations. Each Borrower further represents and warrants to Agent and Lenders that such Borrower has read and understands the terms and conditions of the Loan Documents. Each Borrower hereby covenants that such Borrower will continue to keep informed of Borrowers’ financial condition and of all other circumstances which bear upon the risk of nonpayment or nonperformance of the Obligations.</w:t>
      </w:r>
    </w:p>
    <w:p>
      <w:pPr>
        <w:spacing w:after="0" w:line="178" w:lineRule="exact"/>
        <w:rPr>
          <w:rFonts w:ascii="Arial" w:cs="Arial" w:eastAsia="Arial" w:hAnsi="Arial"/>
          <w:sz w:val="19"/>
          <w:szCs w:val="19"/>
          <w:color w:val="auto"/>
        </w:rPr>
      </w:pPr>
    </w:p>
    <w:p>
      <w:pPr>
        <w:jc w:val="both"/>
        <w:ind w:firstLine="1304"/>
        <w:spacing w:after="0" w:line="271" w:lineRule="auto"/>
        <w:tabs>
          <w:tab w:leader="none" w:pos="1944"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are made for the benefit of Agent, each member of the Lender Group, each Bank Product Provider, and their respective successors and assigns, and may be enforced by it or them from time to time against any or all Borrowers as often as occasion therefor may arise and without requirement on the part of Agent, any member of the Lender Group, any Bank Product Provider, or any of their successors or assigns first to marshal any of its or their claims or to exercise any of its or their rights against any Borrower or to exhaust any remedies available to it or them against any Borrower or to resort to any other source or means of obtaining payment of any of the Obligations hereunder or to elect any other remedy. The provisions of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shall remain in effect until all of the Obligations shall have been paid in full or otherwise fully satisfied. If at any time, any payment, or any part thereof, made in respect of any of the Obligations, is rescinded or must otherwise be restored or returned by Agent or any Lender upon the insolvency, bankruptcy or reorganization of any Borrower, or otherwise, the provisions of this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will forthwith be reinstated in effect, as though such payment had not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9" w:name="page100"/>
    <w:bookmarkEnd w:id="99"/>
    <w:p>
      <w:pPr>
        <w:ind w:left="1960" w:hanging="656"/>
        <w:spacing w:after="0"/>
        <w:tabs>
          <w:tab w:leader="none" w:pos="19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Each Borrower hereby agrees that it will not enforce any of its rights that arise from the existence,</w:t>
      </w:r>
    </w:p>
    <w:p>
      <w:pPr>
        <w:spacing w:after="0" w:line="40"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payment, performance or enforcement of the provisions of this </w:t>
      </w:r>
      <w:r>
        <w:rPr>
          <w:rFonts w:ascii="Arial" w:cs="Arial" w:eastAsia="Arial" w:hAnsi="Arial"/>
          <w:sz w:val="18"/>
          <w:szCs w:val="18"/>
          <w:u w:val="single" w:color="auto"/>
          <w:color w:val="auto"/>
        </w:rPr>
        <w:t>Section 2.15</w:t>
      </w:r>
      <w:r>
        <w:rPr>
          <w:rFonts w:ascii="Arial" w:cs="Arial" w:eastAsia="Arial" w:hAnsi="Arial"/>
          <w:sz w:val="18"/>
          <w:szCs w:val="18"/>
          <w:color w:val="auto"/>
        </w:rPr>
        <w:t>, including rights of subrogation, reimbursement, exoneration, contribution or indemnification and any right to participate in any claim or remedy of Agent, any other member of the Lender Group, or any Bank Product Provider against any Borrower, whether or not such claim, remedy or right arises in equity or under contract, statute or common law, including the right to take or receive from any Borrower, directly or indirectly, in cash or other property or by set-off or in any other manner, payment or security solely on account of such claim, remedy or right, unless and until such time as all of the Obligations have been paid in full in cash. Any claim which any Borrower may have against any other Borrower with respect to any payments to any Agent or any member of the Lender Group hereunder or under any of the Bank Product Agreements are hereby expressly made subordinate and junior in right of payment, without limitation as to any increases in the Obligations arising hereunder or thereunder, to the prior payment in full in cash of the Obligations and, in the event of any insolvency, bankruptcy, receivership, liquidation, reorganization or other similar proceeding under the laws of any jurisdiction relating to any Borrower, its debts or its assets, whether voluntary or involuntary, all such Obligations shall be paid in full in cash before any payment or distribution of any character, whether in cash, securities or other property, shall be made to any other Borrower therefor. If any amount shall be paid to any Borrower in violation of the immediately preceding sentence, such amount shall be held in trust for the benefit of Agent, for the benefit of the Lender Group and the Bank Product Providers, and shall forthwith be paid to Agent to be credited and applied to the Obligations and all other amounts payable under this Agreement, whether matured or unmatured, in accordance with the terms of this Agreement, or to be held as Collateral for any Obligations or other amounts payable under this Agreement thereafter arising. Notwithstanding anything to the contrary contained in this Agreement, no Borrower may exercise any rights of subrogation, contribution, indemnity, reimbursement or other similar rights against, and may not proceed or seek recourse against or with respect to any property or asset of, any other Borrower (the “</w:t>
      </w:r>
      <w:r>
        <w:rPr>
          <w:rFonts w:ascii="Arial" w:cs="Arial" w:eastAsia="Arial" w:hAnsi="Arial"/>
          <w:sz w:val="18"/>
          <w:szCs w:val="18"/>
          <w:u w:val="single" w:color="auto"/>
          <w:color w:val="auto"/>
        </w:rPr>
        <w:t>Foreclosed Borrower</w:t>
      </w:r>
      <w:r>
        <w:rPr>
          <w:rFonts w:ascii="Arial" w:cs="Arial" w:eastAsia="Arial" w:hAnsi="Arial"/>
          <w:sz w:val="18"/>
          <w:szCs w:val="18"/>
          <w:color w:val="auto"/>
        </w:rPr>
        <w:t>”), including after payment in full of the Obligations, if all or any portion of the Obligations have been satisfied in connection with an exercise of remedies in respect of the Equity Interests of such Foreclosed Borrower whether pursuant to this Agreement or otherwise.</w:t>
      </w:r>
    </w:p>
    <w:p>
      <w:pPr>
        <w:spacing w:after="0" w:line="182" w:lineRule="exact"/>
        <w:rPr>
          <w:sz w:val="20"/>
          <w:szCs w:val="20"/>
          <w:color w:val="auto"/>
        </w:rPr>
      </w:pPr>
    </w:p>
    <w:p>
      <w:pPr>
        <w:jc w:val="both"/>
        <w:ind w:firstLine="1304"/>
        <w:spacing w:after="0" w:line="243" w:lineRule="auto"/>
        <w:tabs>
          <w:tab w:leader="none" w:pos="1944" w:val="left"/>
        </w:tabs>
        <w:numPr>
          <w:ilvl w:val="0"/>
          <w:numId w:val="121"/>
        </w:numPr>
        <w:rPr>
          <w:rFonts w:ascii="Arial" w:cs="Arial" w:eastAsia="Arial" w:hAnsi="Arial"/>
          <w:sz w:val="20"/>
          <w:szCs w:val="20"/>
          <w:color w:val="auto"/>
        </w:rPr>
      </w:pPr>
      <w:r>
        <w:rPr>
          <w:rFonts w:ascii="Arial" w:cs="Arial" w:eastAsia="Arial" w:hAnsi="Arial"/>
          <w:sz w:val="20"/>
          <w:szCs w:val="20"/>
          <w:color w:val="auto"/>
        </w:rPr>
        <w:t>Each of the Borrowers hereby acknowledges and affirms that it understands that to the extent the Obligations are secured by Real Property located in California, the Borrowers shall be liable for the full amount of the liability hereunder notwithstanding the foreclosure on such Real Property by trustee sale or any other reason impairing such Borrower’s right to proceed against any other Loan Party. In accordance with Section 2856 of the California Civil Code or any similar laws of any other applicable jurisdiction, each of the Borrowers hereby waives until such time as the Obligations have been paid in full:</w:t>
      </w:r>
    </w:p>
    <w:p>
      <w:pPr>
        <w:spacing w:after="0" w:line="195" w:lineRule="exact"/>
        <w:rPr>
          <w:rFonts w:ascii="Arial" w:cs="Arial" w:eastAsia="Arial" w:hAnsi="Arial"/>
          <w:sz w:val="20"/>
          <w:szCs w:val="20"/>
          <w:color w:val="auto"/>
        </w:rPr>
      </w:pPr>
    </w:p>
    <w:p>
      <w:pPr>
        <w:jc w:val="both"/>
        <w:ind w:firstLine="1952"/>
        <w:spacing w:after="0" w:line="269" w:lineRule="auto"/>
        <w:tabs>
          <w:tab w:leader="none" w:pos="2592" w:val="left"/>
        </w:tabs>
        <w:numPr>
          <w:ilvl w:val="1"/>
          <w:numId w:val="121"/>
        </w:numPr>
        <w:rPr>
          <w:rFonts w:ascii="Arial" w:cs="Arial" w:eastAsia="Arial" w:hAnsi="Arial"/>
          <w:sz w:val="19"/>
          <w:szCs w:val="19"/>
          <w:color w:val="auto"/>
        </w:rPr>
      </w:pPr>
      <w:r>
        <w:rPr>
          <w:rFonts w:ascii="Arial" w:cs="Arial" w:eastAsia="Arial" w:hAnsi="Arial"/>
          <w:sz w:val="19"/>
          <w:szCs w:val="19"/>
          <w:color w:val="auto"/>
        </w:rPr>
        <w:t>all rights of subrogation, reimbursement, indemnification, and contribution and any other rights and defenses that are or may become available to the Borrowers by reason of Sections 2787 to 2855, inclusive, 2899, and 3433 of the California Civil Code or any similar laws of any other applicable jurisdiction;</w:t>
      </w:r>
    </w:p>
    <w:p>
      <w:pPr>
        <w:spacing w:after="0" w:line="169" w:lineRule="exact"/>
        <w:rPr>
          <w:rFonts w:ascii="Arial" w:cs="Arial" w:eastAsia="Arial" w:hAnsi="Arial"/>
          <w:sz w:val="19"/>
          <w:szCs w:val="19"/>
          <w:color w:val="auto"/>
        </w:rPr>
      </w:pPr>
    </w:p>
    <w:p>
      <w:pPr>
        <w:jc w:val="both"/>
        <w:ind w:firstLine="1952"/>
        <w:spacing w:after="0" w:line="272" w:lineRule="auto"/>
        <w:tabs>
          <w:tab w:leader="none" w:pos="2592"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all rights and defenses that the Borrowers may have because the Obligations are secured by Real Property located in California, meaning, among other things, that: (A) Agent, the other members of the Lender Group, and the Bank Product Providers may collect from the Borrowers without first foreclosing on any real or personal property collateral pledged by any Loan Party, and (B) if Agent, on behalf of the Lender Group, forecloses on any Real Property Collateral pledged by any Loan Party, (1) the amount of the Obligations may be reduced only by the price for which that collateral is sold at the foreclosure sale, even if the collateral is worth more than the sale price, and (2) the Lender Group may collect from the Loan Parties even if, by foreclosing on the Real Property Collateral, Agent or the other members of the Lender Group have destroyed or impaired any right the Borrowers may have to collect from any other Loan Party, it being understood that this is an unconditional and irrevocable waiver of any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0" w:name="page101"/>
    <w:bookmarkEnd w:id="100"/>
    <w:p>
      <w:pPr>
        <w:jc w:val="both"/>
        <w:spacing w:after="0" w:line="250" w:lineRule="auto"/>
        <w:rPr>
          <w:sz w:val="20"/>
          <w:szCs w:val="20"/>
          <w:color w:val="auto"/>
        </w:rPr>
      </w:pPr>
      <w:r>
        <w:rPr>
          <w:rFonts w:ascii="Arial" w:cs="Arial" w:eastAsia="Arial" w:hAnsi="Arial"/>
          <w:sz w:val="20"/>
          <w:szCs w:val="20"/>
          <w:color w:val="auto"/>
        </w:rPr>
        <w:t>and defenses the Borrowers may have because the Obligations are secured by Real Property (including any rights or defenses based upon Sections 580a, 580d, or 726 of the California Code of Civil Procedure or any similar laws of any other applicable jurisdiction); and</w:t>
      </w:r>
    </w:p>
    <w:p>
      <w:pPr>
        <w:spacing w:after="0" w:line="187" w:lineRule="exact"/>
        <w:rPr>
          <w:sz w:val="20"/>
          <w:szCs w:val="20"/>
          <w:color w:val="auto"/>
        </w:rPr>
      </w:pPr>
    </w:p>
    <w:p>
      <w:pPr>
        <w:jc w:val="both"/>
        <w:ind w:firstLine="1952"/>
        <w:spacing w:after="0" w:line="244" w:lineRule="auto"/>
        <w:tabs>
          <w:tab w:leader="none" w:pos="2592" w:val="left"/>
        </w:tabs>
        <w:numPr>
          <w:ilvl w:val="1"/>
          <w:numId w:val="122"/>
        </w:numPr>
        <w:rPr>
          <w:rFonts w:ascii="Arial" w:cs="Arial" w:eastAsia="Arial" w:hAnsi="Arial"/>
          <w:sz w:val="20"/>
          <w:szCs w:val="20"/>
          <w:color w:val="auto"/>
        </w:rPr>
      </w:pPr>
      <w:r>
        <w:rPr>
          <w:rFonts w:ascii="Arial" w:cs="Arial" w:eastAsia="Arial" w:hAnsi="Arial"/>
          <w:sz w:val="20"/>
          <w:szCs w:val="20"/>
          <w:color w:val="auto"/>
        </w:rPr>
        <w:t>all rights and defenses arising out of an election of remedies by Agent, the other members of the Lender Group, and the Bank Product Providers, even though that election of remedies, such as a nonjudicial foreclosure with respect to security for the Obligations, has destroyed the Borrowers’ rights of subrogation and reimbursement against any other Loan Party by the operation of Section 580d of the California Code of Civil Procedure or any similar laws of any other applicable jurisdiction or otherwise.</w:t>
      </w:r>
    </w:p>
    <w:p>
      <w:pPr>
        <w:spacing w:after="0" w:line="188" w:lineRule="exact"/>
        <w:rPr>
          <w:rFonts w:ascii="Arial" w:cs="Arial" w:eastAsia="Arial" w:hAnsi="Arial"/>
          <w:sz w:val="20"/>
          <w:szCs w:val="20"/>
          <w:color w:val="auto"/>
        </w:rPr>
      </w:pPr>
    </w:p>
    <w:p>
      <w:pPr>
        <w:ind w:left="660" w:hanging="652"/>
        <w:spacing w:after="0"/>
        <w:tabs>
          <w:tab w:leader="none" w:pos="660" w:val="left"/>
        </w:tabs>
        <w:numPr>
          <w:ilvl w:val="0"/>
          <w:numId w:val="123"/>
        </w:numPr>
        <w:rPr>
          <w:rFonts w:ascii="Arial" w:cs="Arial" w:eastAsia="Arial" w:hAnsi="Arial"/>
          <w:sz w:val="20"/>
          <w:szCs w:val="20"/>
          <w:b w:val="1"/>
          <w:bCs w:val="1"/>
          <w:color w:val="auto"/>
        </w:rPr>
      </w:pPr>
      <w:r>
        <w:rPr>
          <w:rFonts w:ascii="Arial" w:cs="Arial" w:eastAsia="Arial" w:hAnsi="Arial"/>
          <w:sz w:val="20"/>
          <w:szCs w:val="20"/>
          <w:b w:val="1"/>
          <w:bCs w:val="1"/>
          <w:color w:val="auto"/>
        </w:rPr>
        <w:t>CONDITIONS; TERM OF AGREEMENT.</w:t>
      </w:r>
    </w:p>
    <w:p>
      <w:pPr>
        <w:spacing w:after="0" w:line="215"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3.1</w:t>
      </w:r>
      <w:r>
        <w:rPr>
          <w:rFonts w:ascii="Arial" w:cs="Arial" w:eastAsia="Arial" w:hAnsi="Arial"/>
          <w:sz w:val="19"/>
          <w:szCs w:val="19"/>
          <w:b w:val="1"/>
          <w:bCs w:val="1"/>
          <w:u w:val="single" w:color="auto"/>
          <w:color w:val="auto"/>
        </w:rPr>
        <w:t>Conditions Precedent to the Initial Extension of Credit</w:t>
      </w:r>
      <w:r>
        <w:rPr>
          <w:rFonts w:ascii="Arial" w:cs="Arial" w:eastAsia="Arial" w:hAnsi="Arial"/>
          <w:sz w:val="19"/>
          <w:szCs w:val="19"/>
          <w:color w:val="auto"/>
        </w:rPr>
        <w:t>.  The obligation of each Lender to make the</w:t>
      </w:r>
    </w:p>
    <w:p>
      <w:pPr>
        <w:spacing w:after="0" w:line="22"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 xml:space="preserve">initial extensions of credit provided for hereunder is subject to the fulfillment, to the satisfaction of Agent and each Lender, of each of the conditions precedent set forth on </w:t>
      </w:r>
      <w:r>
        <w:rPr>
          <w:rFonts w:ascii="Arial" w:cs="Arial" w:eastAsia="Arial" w:hAnsi="Arial"/>
          <w:sz w:val="18"/>
          <w:szCs w:val="18"/>
          <w:u w:val="single" w:color="auto"/>
          <w:color w:val="auto"/>
        </w:rPr>
        <w:t>Schedule 3.1</w:t>
      </w:r>
      <w:r>
        <w:rPr>
          <w:rFonts w:ascii="Arial" w:cs="Arial" w:eastAsia="Arial" w:hAnsi="Arial"/>
          <w:sz w:val="18"/>
          <w:szCs w:val="18"/>
          <w:color w:val="auto"/>
        </w:rPr>
        <w:t xml:space="preserve"> to this Agreement (the making of such initial extensions of credit by a Lender being conclusively deemed to be its satisfaction or waiver of the conditions precedent).</w:t>
      </w:r>
    </w:p>
    <w:p>
      <w:pPr>
        <w:spacing w:after="0" w:line="15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b w:val="1"/>
          <w:bCs w:val="1"/>
          <w:u w:val="single" w:color="auto"/>
          <w:color w:val="auto"/>
        </w:rPr>
        <w:t>Conditions Precedent to all Extensions of Credit</w:t>
      </w:r>
      <w:r>
        <w:rPr>
          <w:rFonts w:ascii="Arial" w:cs="Arial" w:eastAsia="Arial" w:hAnsi="Arial"/>
          <w:sz w:val="20"/>
          <w:szCs w:val="20"/>
          <w:color w:val="auto"/>
        </w:rPr>
        <w:t>. The obligation of the Lender Group (or any member thereof) to make any Revolving Loans or Capex Advances hereunder (or to extend any other credit hereunder) at any time shall be subject to the following conditions precedent:</w:t>
      </w:r>
    </w:p>
    <w:p>
      <w:pPr>
        <w:spacing w:after="0" w:line="183" w:lineRule="exact"/>
        <w:rPr>
          <w:sz w:val="20"/>
          <w:szCs w:val="20"/>
          <w:color w:val="auto"/>
        </w:rPr>
      </w:pPr>
    </w:p>
    <w:p>
      <w:pPr>
        <w:jc w:val="both"/>
        <w:ind w:firstLine="1304"/>
        <w:spacing w:after="0" w:line="242" w:lineRule="auto"/>
        <w:tabs>
          <w:tab w:leader="none" w:pos="1944" w:val="left"/>
        </w:tabs>
        <w:numPr>
          <w:ilvl w:val="0"/>
          <w:numId w:val="124"/>
        </w:numPr>
        <w:rPr>
          <w:rFonts w:ascii="Arial" w:cs="Arial" w:eastAsia="Arial" w:hAnsi="Arial"/>
          <w:sz w:val="20"/>
          <w:szCs w:val="20"/>
          <w:color w:val="auto"/>
        </w:rPr>
      </w:pPr>
      <w:r>
        <w:rPr>
          <w:rFonts w:ascii="Arial" w:cs="Arial" w:eastAsia="Arial" w:hAnsi="Arial"/>
          <w:sz w:val="20"/>
          <w:szCs w:val="20"/>
          <w:color w:val="auto"/>
        </w:rPr>
        <w:t>the representations and warranties of each Loan Party or its Subsidiaries contained in this Agreement or in the other Loan Documents shall be true and correct in all material respects (except that such materiality qualifier shall not be applicable to any representations and warranties that already are qualified or modified by materiality in the text thereof) on and as of the date of such extension of credit, as though made on and as of such date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as of such earlier date); and</w:t>
      </w:r>
    </w:p>
    <w:p>
      <w:pPr>
        <w:spacing w:after="0" w:line="196" w:lineRule="exact"/>
        <w:rPr>
          <w:rFonts w:ascii="Arial" w:cs="Arial" w:eastAsia="Arial" w:hAnsi="Arial"/>
          <w:sz w:val="20"/>
          <w:szCs w:val="20"/>
          <w:color w:val="auto"/>
        </w:rPr>
      </w:pPr>
    </w:p>
    <w:p>
      <w:pPr>
        <w:ind w:firstLine="1304"/>
        <w:spacing w:after="0" w:line="260" w:lineRule="auto"/>
        <w:tabs>
          <w:tab w:leader="none" w:pos="1944" w:val="left"/>
        </w:tabs>
        <w:numPr>
          <w:ilvl w:val="0"/>
          <w:numId w:val="124"/>
        </w:numPr>
        <w:rPr>
          <w:rFonts w:ascii="Arial" w:cs="Arial" w:eastAsia="Arial" w:hAnsi="Arial"/>
          <w:sz w:val="20"/>
          <w:szCs w:val="20"/>
          <w:color w:val="auto"/>
        </w:rPr>
      </w:pPr>
      <w:r>
        <w:rPr>
          <w:rFonts w:ascii="Arial" w:cs="Arial" w:eastAsia="Arial" w:hAnsi="Arial"/>
          <w:sz w:val="20"/>
          <w:szCs w:val="20"/>
          <w:color w:val="auto"/>
        </w:rPr>
        <w:t>no Default or Event of Default shall have occurred and be continuing on the date of such extension of credit, nor shall either result from the making thereof.</w:t>
      </w:r>
    </w:p>
    <w:p>
      <w:pPr>
        <w:spacing w:after="0" w:line="17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b w:val="1"/>
          <w:bCs w:val="1"/>
          <w:u w:val="single" w:color="auto"/>
          <w:color w:val="auto"/>
        </w:rPr>
        <w:t>Maturity</w:t>
      </w:r>
      <w:r>
        <w:rPr>
          <w:rFonts w:ascii="Arial" w:cs="Arial" w:eastAsia="Arial" w:hAnsi="Arial"/>
          <w:sz w:val="20"/>
          <w:szCs w:val="20"/>
          <w:color w:val="auto"/>
        </w:rPr>
        <w:t>. The Commitments shall continue in full force and effect for a term ending on the Maturity Date (unless terminated earlier in accordance with the terms hereof).</w:t>
      </w:r>
    </w:p>
    <w:p>
      <w:pPr>
        <w:spacing w:after="0" w:line="16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u w:val="single" w:color="auto"/>
          <w:color w:val="auto"/>
        </w:rPr>
        <w:t>Effect of Maturity</w:t>
      </w:r>
      <w:r>
        <w:rPr>
          <w:rFonts w:ascii="Arial" w:cs="Arial" w:eastAsia="Arial" w:hAnsi="Arial"/>
          <w:sz w:val="18"/>
          <w:szCs w:val="18"/>
          <w:color w:val="auto"/>
        </w:rPr>
        <w:t>. On the Maturity Date, all commitments of the Lender Group to provide additional credit hereunder shall automatically be terminated and all of the Obligations (other than Hedge Obligations) immediately shall become due and payable without notice or demand and Borrowers shall be required to repay all of the Obligations (other than Hedge Obligations) in full. No termination of the obligations of the Lender Group (other than payment in full of the Obligations and termination of the Commitments) shall relieve or discharge any Loan Party of its duties, obligations, or covenants hereunder or under any other Loan Document and Agent’s Liens in the Collateral shall continue to secure the Obligations and shall remain in effect until all Obligations have been paid in full. When all of the Obligations have been paid in full, Agent will, at Borrowers’ sole expense, execute and deliver any termination statements, lien releases, discharges of security interests, and other similar discharge or release documents (and, if applicable, in recordable form) as are reasonably necessary to release, as of record, Agent’s Liens and all notices of security interests and liens previously filed by Agent, and deliver back to Administrative Borrower any possessory Collateral held by Agent in connection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1" w:name="page102"/>
    <w:bookmarkEnd w:id="101"/>
    <w:p>
      <w:pPr>
        <w:jc w:val="both"/>
        <w:ind w:firstLine="648"/>
        <w:spacing w:after="0" w:line="244" w:lineRule="auto"/>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b w:val="1"/>
          <w:bCs w:val="1"/>
          <w:u w:val="single" w:color="auto"/>
          <w:color w:val="auto"/>
        </w:rPr>
        <w:t>Early Termination by Borrowers</w:t>
      </w:r>
      <w:r>
        <w:rPr>
          <w:rFonts w:ascii="Arial" w:cs="Arial" w:eastAsia="Arial" w:hAnsi="Arial"/>
          <w:sz w:val="20"/>
          <w:szCs w:val="20"/>
          <w:color w:val="auto"/>
        </w:rPr>
        <w:t>. Borrowers have the option, at any time upon five Business Days prior written notice to Agent, to repay all of the Obligations in full and terminate the Commitments. The foregoing notwithstanding, (a) Borrowers may rescind termination notices relative to proposed payments in full of the Obligations with the proceeds of third party Indebtedness if the closing for such issuance or incurrence does not happen on or before the date of the proposed termination (in which case, a new notice shall be required to be sent in connection with any subsequent termination), and (b) Borrowers may extend the date of termination at any time with the consent of Agent (which consent shall not be unreasonably withheld or delayed).</w:t>
      </w:r>
    </w:p>
    <w:p>
      <w:pPr>
        <w:spacing w:after="0" w:line="18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 xml:space="preserve">3.6 </w:t>
      </w:r>
      <w:r>
        <w:rPr>
          <w:rFonts w:ascii="Arial" w:cs="Arial" w:eastAsia="Arial" w:hAnsi="Arial"/>
          <w:sz w:val="20"/>
          <w:szCs w:val="20"/>
          <w:b w:val="1"/>
          <w:bCs w:val="1"/>
          <w:u w:val="single" w:color="auto"/>
          <w:color w:val="auto"/>
        </w:rPr>
        <w:t>Conditions Subsequent</w:t>
      </w:r>
      <w:r>
        <w:rPr>
          <w:rFonts w:ascii="Arial" w:cs="Arial" w:eastAsia="Arial" w:hAnsi="Arial"/>
          <w:sz w:val="20"/>
          <w:szCs w:val="20"/>
          <w:color w:val="auto"/>
        </w:rPr>
        <w:t xml:space="preserve">. The obligation of the Lender Group (or any member thereof) to continue to make Revolving Loans and Capex Advances (or otherwise extend credit hereunder) is subject to the fulfillment, on or before the date applicable thereto, of the conditions subsequent set forth on </w:t>
      </w:r>
      <w:r>
        <w:rPr>
          <w:rFonts w:ascii="Arial" w:cs="Arial" w:eastAsia="Arial" w:hAnsi="Arial"/>
          <w:sz w:val="20"/>
          <w:szCs w:val="20"/>
          <w:u w:val="single" w:color="auto"/>
          <w:color w:val="auto"/>
        </w:rPr>
        <w:t>Schedule 3.6</w:t>
      </w:r>
      <w:r>
        <w:rPr>
          <w:rFonts w:ascii="Arial" w:cs="Arial" w:eastAsia="Arial" w:hAnsi="Arial"/>
          <w:sz w:val="20"/>
          <w:szCs w:val="20"/>
          <w:color w:val="auto"/>
        </w:rPr>
        <w:t xml:space="preserve"> to this Agreement (the failure by Borrowers to so perform or cause to be performed such conditions subsequent as and when required by the terms thereof (unless such date is extended, in writing, by Agent, which Agent may do without obtaining the consent of the other members of the Lender Group), shall constitute an Event of Default).</w:t>
      </w:r>
    </w:p>
    <w:p>
      <w:pPr>
        <w:spacing w:after="0" w:line="184"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20"/>
          <w:szCs w:val="20"/>
          <w:b w:val="1"/>
          <w:bCs w:val="1"/>
          <w:color w:val="auto"/>
        </w:rPr>
      </w:pPr>
      <w:r>
        <w:rPr>
          <w:rFonts w:ascii="Arial" w:cs="Arial" w:eastAsia="Arial" w:hAnsi="Arial"/>
          <w:sz w:val="20"/>
          <w:szCs w:val="20"/>
          <w:b w:val="1"/>
          <w:bCs w:val="1"/>
          <w:color w:val="auto"/>
        </w:rPr>
        <w:t>REPRESENTATIONS AND WARRANTIES.</w:t>
      </w:r>
    </w:p>
    <w:p>
      <w:pPr>
        <w:spacing w:after="0" w:line="222"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9"/>
          <w:szCs w:val="19"/>
          <w:color w:val="auto"/>
        </w:rPr>
        <w:t>In order to induce the Lender Group to enter into this Agreement, each Borrower makes the following representations and warranties to the Lender Group which shall be true, correct, and complete, in all material respects (except that such materiality qualifier shall not be applicable to any representations and warranties that already are qualified or modified by materiality in the text thereof), as of the Closing Date, and shall be true, correct, and complete, in all material respects (except that such materiality qualifier shall not be applicable to any representations and warranties that already are qualified or modified by materiality in the text thereof), as of the date of the making of each Revolving Loan and Capex Advance (or other extension of credit) made thereafter, as though made on and as of the date of such Revolving Loan or Capex Advance (or other extension of credit) (except to the extent that such representations and warranties relate solely to an earlier date, in which case such representations and warranties shall be true and correct in all material respects (except that such materiality qualifier shall not be applicable to any representations and warranties that already are qualified or modified by materiality in the text thereof) as of such earlier date), and such representations and warranties shall survive the execution and delivery of this Agreement:</w:t>
      </w:r>
    </w:p>
    <w:p>
      <w:pPr>
        <w:spacing w:after="0" w:line="17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8"/>
          <w:szCs w:val="18"/>
          <w:b w:val="1"/>
          <w:bCs w:val="1"/>
          <w:u w:val="single" w:color="auto"/>
          <w:color w:val="auto"/>
        </w:rPr>
        <w:t>Due Organization and Qualification; Subsidiaries</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1304"/>
        <w:spacing w:after="0" w:line="243" w:lineRule="auto"/>
        <w:tabs>
          <w:tab w:leader="none" w:pos="1944" w:val="left"/>
        </w:tabs>
        <w:numPr>
          <w:ilvl w:val="0"/>
          <w:numId w:val="126"/>
        </w:numPr>
        <w:rPr>
          <w:rFonts w:ascii="Arial" w:cs="Arial" w:eastAsia="Arial" w:hAnsi="Arial"/>
          <w:sz w:val="20"/>
          <w:szCs w:val="20"/>
          <w:color w:val="auto"/>
        </w:rPr>
      </w:pPr>
      <w:r>
        <w:rPr>
          <w:rFonts w:ascii="Arial" w:cs="Arial" w:eastAsia="Arial" w:hAnsi="Arial"/>
          <w:sz w:val="20"/>
          <w:szCs w:val="20"/>
          <w:color w:val="auto"/>
        </w:rPr>
        <w:t>Each Loan Party and each of its Subsidiaries (as applicable for each Foreign Subsidiary) (i) is duly organized and existing and in good standing under the laws of the jurisdiction of its organization, (ii) is qualified to do business in any state where the failure to be so qualified could reasonably be expected to result in a Material Adverse Effect, and (iii) has all requisite power and authority to own and operate its properties, to carry on its business as now conducted and as proposed to be conducted, to enter into the Loan Documents to which it is a party and to carry out the transactions contemplated thereby.</w:t>
      </w:r>
    </w:p>
    <w:p>
      <w:pPr>
        <w:spacing w:after="0" w:line="195" w:lineRule="exact"/>
        <w:rPr>
          <w:rFonts w:ascii="Arial" w:cs="Arial" w:eastAsia="Arial" w:hAnsi="Arial"/>
          <w:sz w:val="20"/>
          <w:szCs w:val="20"/>
          <w:color w:val="auto"/>
        </w:rPr>
      </w:pPr>
    </w:p>
    <w:p>
      <w:pPr>
        <w:jc w:val="both"/>
        <w:ind w:firstLine="1304"/>
        <w:spacing w:after="0" w:line="246" w:lineRule="auto"/>
        <w:tabs>
          <w:tab w:leader="none" w:pos="1944" w:val="left"/>
        </w:tabs>
        <w:numPr>
          <w:ilvl w:val="0"/>
          <w:numId w:val="126"/>
        </w:numPr>
        <w:rPr>
          <w:rFonts w:ascii="Arial" w:cs="Arial" w:eastAsia="Arial" w:hAnsi="Arial"/>
          <w:sz w:val="20"/>
          <w:szCs w:val="20"/>
          <w:color w:val="auto"/>
        </w:rPr>
      </w:pPr>
      <w:r>
        <w:rPr>
          <w:rFonts w:ascii="Arial" w:cs="Arial" w:eastAsia="Arial" w:hAnsi="Arial"/>
          <w:sz w:val="20"/>
          <w:szCs w:val="20"/>
          <w:color w:val="auto"/>
        </w:rPr>
        <w:t xml:space="preserve">Set forth on </w:t>
      </w:r>
      <w:r>
        <w:rPr>
          <w:rFonts w:ascii="Arial" w:cs="Arial" w:eastAsia="Arial" w:hAnsi="Arial"/>
          <w:sz w:val="20"/>
          <w:szCs w:val="20"/>
          <w:u w:val="single" w:color="auto"/>
          <w:color w:val="auto"/>
        </w:rPr>
        <w:t>Schedule 4.1(b)</w:t>
      </w:r>
      <w:r>
        <w:rPr>
          <w:rFonts w:ascii="Arial" w:cs="Arial" w:eastAsia="Arial" w:hAnsi="Arial"/>
          <w:sz w:val="20"/>
          <w:szCs w:val="20"/>
          <w:color w:val="auto"/>
        </w:rPr>
        <w:t xml:space="preserve"> to this Agreement (as such Schedule may be updated from time to time to reflect changes resulting from transactions permitted under this Agreement) is a complete and accurate description of the authorized Equity Interests of each Loan Party, by class, and, as of the Closing Date, a description of the number of shares of each such class that are issued and outstanding.</w:t>
      </w:r>
    </w:p>
    <w:p>
      <w:pPr>
        <w:spacing w:after="0" w:line="191"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126"/>
        </w:numPr>
        <w:rPr>
          <w:rFonts w:ascii="Arial" w:cs="Arial" w:eastAsia="Arial" w:hAnsi="Arial"/>
          <w:sz w:val="20"/>
          <w:szCs w:val="20"/>
          <w:color w:val="auto"/>
        </w:rPr>
      </w:pPr>
      <w:r>
        <w:rPr>
          <w:rFonts w:ascii="Arial" w:cs="Arial" w:eastAsia="Arial" w:hAnsi="Arial"/>
          <w:sz w:val="20"/>
          <w:szCs w:val="20"/>
          <w:color w:val="auto"/>
        </w:rPr>
        <w:t xml:space="preserve">Set forth on </w:t>
      </w:r>
      <w:r>
        <w:rPr>
          <w:rFonts w:ascii="Arial" w:cs="Arial" w:eastAsia="Arial" w:hAnsi="Arial"/>
          <w:sz w:val="20"/>
          <w:szCs w:val="20"/>
          <w:u w:val="single" w:color="auto"/>
          <w:color w:val="auto"/>
        </w:rPr>
        <w:t>Schedule 4.1(c)</w:t>
      </w:r>
      <w:r>
        <w:rPr>
          <w:rFonts w:ascii="Arial" w:cs="Arial" w:eastAsia="Arial" w:hAnsi="Arial"/>
          <w:sz w:val="20"/>
          <w:szCs w:val="20"/>
          <w:color w:val="auto"/>
        </w:rPr>
        <w:t xml:space="preserve"> to this Agreement (as such Schedule may be updated from time to time to reflect changes resulting from transactions permitted under this Agreement), is a complete and accurate list of the Loan Parties’ direct and indirect Subsidiaries, showing: (i) the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102" w:name="page103"/>
    <w:bookmarkEnd w:id="102"/>
    <w:p>
      <w:pPr>
        <w:jc w:val="both"/>
        <w:spacing w:after="0" w:line="291" w:lineRule="auto"/>
        <w:rPr>
          <w:sz w:val="20"/>
          <w:szCs w:val="20"/>
          <w:color w:val="auto"/>
        </w:rPr>
      </w:pPr>
      <w:r>
        <w:rPr>
          <w:rFonts w:ascii="Arial" w:cs="Arial" w:eastAsia="Arial" w:hAnsi="Arial"/>
          <w:sz w:val="18"/>
          <w:szCs w:val="18"/>
          <w:color w:val="auto"/>
        </w:rPr>
        <w:t>shares of each class of common and preferred Equity Interests authorized for each of such Subsidiaries, and (ii) the number and the percentage of the outstanding shares of each such class owned directly or indirectly by Administrative Borrower. All of the outstanding Equity Interests of each such Subsidiary has been validly issued and is fully paid and non-assessable.</w:t>
      </w:r>
    </w:p>
    <w:p>
      <w:pPr>
        <w:spacing w:after="0" w:line="153" w:lineRule="exact"/>
        <w:rPr>
          <w:sz w:val="20"/>
          <w:szCs w:val="20"/>
          <w:color w:val="auto"/>
        </w:rPr>
      </w:pPr>
    </w:p>
    <w:p>
      <w:pPr>
        <w:jc w:val="both"/>
        <w:ind w:firstLine="1304"/>
        <w:spacing w:after="0" w:line="244" w:lineRule="auto"/>
        <w:tabs>
          <w:tab w:leader="none" w:pos="1944" w:val="left"/>
        </w:tabs>
        <w:numPr>
          <w:ilvl w:val="0"/>
          <w:numId w:val="127"/>
        </w:numPr>
        <w:rPr>
          <w:rFonts w:ascii="Arial" w:cs="Arial" w:eastAsia="Arial" w:hAnsi="Arial"/>
          <w:sz w:val="20"/>
          <w:szCs w:val="20"/>
          <w:color w:val="auto"/>
        </w:rPr>
      </w:pPr>
      <w:r>
        <w:rPr>
          <w:rFonts w:ascii="Arial" w:cs="Arial" w:eastAsia="Arial" w:hAnsi="Arial"/>
          <w:sz w:val="20"/>
          <w:szCs w:val="20"/>
          <w:color w:val="auto"/>
        </w:rPr>
        <w:t xml:space="preserve">Except as set forth on </w:t>
      </w:r>
      <w:r>
        <w:rPr>
          <w:rFonts w:ascii="Arial" w:cs="Arial" w:eastAsia="Arial" w:hAnsi="Arial"/>
          <w:sz w:val="20"/>
          <w:szCs w:val="20"/>
          <w:u w:val="single" w:color="auto"/>
          <w:color w:val="auto"/>
        </w:rPr>
        <w:t>Schedule 4.1(d)</w:t>
      </w:r>
      <w:r>
        <w:rPr>
          <w:rFonts w:ascii="Arial" w:cs="Arial" w:eastAsia="Arial" w:hAnsi="Arial"/>
          <w:sz w:val="20"/>
          <w:szCs w:val="20"/>
          <w:color w:val="auto"/>
        </w:rPr>
        <w:t xml:space="preserve"> to this Agreement, there are no subscriptions, options, warrants, or calls relating to any shares of any Loan Party’s or any of its Subsidiaries’ Equity Interests, including any right of conversion or exchange under any outstanding security or other instrument. No Loan Party is subject to any obligation (contingent or otherwise) to repurchase or otherwise acquire or retire any shares of its Equity Interests or any security convertible into or exchangeable for any of its Equity Interests.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8"/>
          <w:szCs w:val="18"/>
          <w:b w:val="1"/>
          <w:bCs w:val="1"/>
          <w:u w:val="single" w:color="auto"/>
          <w:color w:val="auto"/>
        </w:rPr>
        <w:t>Due Authorization; No Conflict</w:t>
      </w:r>
      <w:r>
        <w:rPr>
          <w:rFonts w:ascii="Arial" w:cs="Arial" w:eastAsia="Arial" w:hAnsi="Arial"/>
          <w:sz w:val="18"/>
          <w:szCs w:val="18"/>
          <w:b w:val="1"/>
          <w:bCs w:val="1"/>
          <w:color w:val="auto"/>
        </w:rPr>
        <w:t>.</w:t>
      </w:r>
    </w:p>
    <w:p>
      <w:pPr>
        <w:spacing w:after="0" w:line="222" w:lineRule="exact"/>
        <w:rPr>
          <w:sz w:val="20"/>
          <w:szCs w:val="20"/>
          <w:color w:val="auto"/>
        </w:rPr>
      </w:pPr>
    </w:p>
    <w:p>
      <w:pPr>
        <w:ind w:firstLine="1304"/>
        <w:spacing w:after="0" w:line="316" w:lineRule="auto"/>
        <w:tabs>
          <w:tab w:leader="none" w:pos="194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As to each Loan Party, the execution, delivery, and performance by such Loan Party of the Loan Documents to which it is a party have been duly authorized by all necessary action on the part of such Loan Party.</w:t>
      </w:r>
    </w:p>
    <w:p>
      <w:pPr>
        <w:spacing w:after="0" w:line="129" w:lineRule="exact"/>
        <w:rPr>
          <w:rFonts w:ascii="Arial" w:cs="Arial" w:eastAsia="Arial" w:hAnsi="Arial"/>
          <w:sz w:val="18"/>
          <w:szCs w:val="18"/>
          <w:color w:val="auto"/>
        </w:rPr>
      </w:pPr>
    </w:p>
    <w:p>
      <w:pPr>
        <w:jc w:val="both"/>
        <w:ind w:firstLine="1304"/>
        <w:spacing w:after="0" w:line="270" w:lineRule="auto"/>
        <w:tabs>
          <w:tab w:leader="none" w:pos="1944"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As to each Loan Party, the execution, delivery, and performance by such Loan Party of the Loan Documents to which it is a party do not and will not (i) violate any material provision of federal, state, or local law or regulation applicable to any Loan Party or its Subsidiaries, the Governing Documents of any Loan Party or its Subsidiaries, or any material order, judgment, or decree of any court or other Governmental Authority binding on any Loan Party or its Subsidiaries, (ii) conflict with, result in a breach of, or constitute (with due notice or lapse of time or both) a default under any material agreement of any Loan Party or its Subsidiaries where any such conflict, breach or default could individually or in the aggregate reasonably be expected to have a Material Adverse Effect, (iii) result in or require the creation or imposition of any Lien of any nature whatsoever upon any assets of any Loan Party, other than Permitted Liens, or (iv) require any approval of any holder of Equity Interests of a Loan Party or any approval or consent of any Person under any material agreement of any Loan Party, other than consents or approvals that have been obtained and that are still in force and effect and except, in the case of material agreements, for consents or approvals, the failure to obtain could not individually or in the aggregate reasonably be expected to cause a Material Adverse Effect.</w:t>
      </w:r>
    </w:p>
    <w:p>
      <w:pPr>
        <w:spacing w:after="0" w:line="17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b w:val="1"/>
          <w:bCs w:val="1"/>
          <w:u w:val="single" w:color="auto"/>
          <w:color w:val="auto"/>
        </w:rPr>
        <w:t>Governmental Consents</w:t>
      </w:r>
      <w:r>
        <w:rPr>
          <w:rFonts w:ascii="Arial" w:cs="Arial" w:eastAsia="Arial" w:hAnsi="Arial"/>
          <w:sz w:val="19"/>
          <w:szCs w:val="19"/>
          <w:color w:val="auto"/>
        </w:rPr>
        <w:t>. The execution, delivery, and performance by each Loan Party of the Loan Documents to which such Loan Party is a party and the consummation of the transactions contemplated by the Loan Documents do not and will not require any registration with, consent, or approval of, or notice to, or other action with or by, any Governmental Authority, other than registrations, consents, approvals, notices, or other actions that have been obtained and that are still in force and effect and except for filings and recordings with respect to the Collateral to be made, or otherwise delivered to Agent for filing or recordation, as of the Closing Date.</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6"/>
          <w:szCs w:val="16"/>
          <w:b w:val="1"/>
          <w:bCs w:val="1"/>
          <w:u w:val="single" w:color="auto"/>
          <w:color w:val="auto"/>
        </w:rPr>
        <w:t>Binding Obligations; Perfected Liens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1304"/>
        <w:spacing w:after="0" w:line="263" w:lineRule="auto"/>
        <w:tabs>
          <w:tab w:leader="none" w:pos="1944" w:val="left"/>
        </w:tabs>
        <w:numPr>
          <w:ilvl w:val="0"/>
          <w:numId w:val="129"/>
        </w:numPr>
        <w:rPr>
          <w:rFonts w:ascii="Arial" w:cs="Arial" w:eastAsia="Arial" w:hAnsi="Arial"/>
          <w:sz w:val="19"/>
          <w:szCs w:val="19"/>
          <w:color w:val="auto"/>
        </w:rPr>
      </w:pPr>
      <w:r>
        <w:rPr>
          <w:rFonts w:ascii="Arial" w:cs="Arial" w:eastAsia="Arial" w:hAnsi="Arial"/>
          <w:sz w:val="19"/>
          <w:szCs w:val="19"/>
          <w:color w:val="auto"/>
        </w:rPr>
        <w:t>Each Loan Document has been duly executed and delivered by each Loan Party that is a party thereto and is the legally valid and binding obligation of such Loan Party, enforceable against such Loan Party in accordance with its respective terms, except as enforcement may be limited by equitable principles or by bankruptcy, insolvency, reorganization, moratorium, or similar laws relating to or limiting creditors’ rights generally.</w:t>
      </w:r>
    </w:p>
    <w:p>
      <w:pPr>
        <w:spacing w:after="0" w:line="176" w:lineRule="exact"/>
        <w:rPr>
          <w:rFonts w:ascii="Arial" w:cs="Arial" w:eastAsia="Arial" w:hAnsi="Arial"/>
          <w:sz w:val="19"/>
          <w:szCs w:val="19"/>
          <w:color w:val="auto"/>
        </w:rPr>
      </w:pPr>
    </w:p>
    <w:p>
      <w:pPr>
        <w:ind w:firstLine="1304"/>
        <w:spacing w:after="0" w:line="260" w:lineRule="auto"/>
        <w:tabs>
          <w:tab w:leader="none" w:pos="1944" w:val="left"/>
        </w:tabs>
        <w:numPr>
          <w:ilvl w:val="0"/>
          <w:numId w:val="129"/>
        </w:numPr>
        <w:rPr>
          <w:rFonts w:ascii="Arial" w:cs="Arial" w:eastAsia="Arial" w:hAnsi="Arial"/>
          <w:sz w:val="20"/>
          <w:szCs w:val="20"/>
          <w:color w:val="auto"/>
        </w:rPr>
      </w:pPr>
      <w:r>
        <w:rPr>
          <w:rFonts w:ascii="Arial" w:cs="Arial" w:eastAsia="Arial" w:hAnsi="Arial"/>
          <w:sz w:val="20"/>
          <w:szCs w:val="20"/>
          <w:color w:val="auto"/>
        </w:rPr>
        <w:t>Agent’s Liens are validly created, perfected (other than (i) in respect of motor vehicles that are subject to a certificate of title, (ii) money, (iii) letter-of-credit rights (other than supporting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3" w:name="page104"/>
    <w:bookmarkEnd w:id="103"/>
    <w:p>
      <w:pPr>
        <w:jc w:val="both"/>
        <w:spacing w:after="0" w:line="276" w:lineRule="auto"/>
        <w:rPr>
          <w:sz w:val="20"/>
          <w:szCs w:val="20"/>
          <w:color w:val="auto"/>
        </w:rPr>
      </w:pPr>
      <w:r>
        <w:rPr>
          <w:rFonts w:ascii="Arial" w:cs="Arial" w:eastAsia="Arial" w:hAnsi="Arial"/>
          <w:sz w:val="18"/>
          <w:szCs w:val="18"/>
          <w:color w:val="auto"/>
        </w:rPr>
        <w:t xml:space="preserve">obligations), (iv) commercial tort claims (other than those that, by the terms of the Guaranty and Security Agreement, are required to be perfected), and (v) any Deposit Accounts and Securities Accounts not subject to a Control Agreement as permitted by </w:t>
      </w:r>
      <w:r>
        <w:rPr>
          <w:rFonts w:ascii="Arial" w:cs="Arial" w:eastAsia="Arial" w:hAnsi="Arial"/>
          <w:sz w:val="18"/>
          <w:szCs w:val="18"/>
          <w:u w:val="single" w:color="auto"/>
          <w:color w:val="auto"/>
        </w:rPr>
        <w:t>Section 7(k)(iv)</w:t>
      </w:r>
      <w:r>
        <w:rPr>
          <w:rFonts w:ascii="Arial" w:cs="Arial" w:eastAsia="Arial" w:hAnsi="Arial"/>
          <w:sz w:val="18"/>
          <w:szCs w:val="18"/>
          <w:color w:val="auto"/>
        </w:rPr>
        <w:t xml:space="preserve"> of the Guaranty and Security Agreement, and subject only to the filing of financing statements, the recordation of the Copyright Security Agreement (if applicable), and the recordation of the Mortgages, in each case, in the appropriate filing offices), and first priority Liens, subject only to Permitted Liens which are non-consensual Permitted Liens, permitted purchase money Liens, or the interests of lessors under Capital Leases.</w:t>
      </w:r>
    </w:p>
    <w:p>
      <w:pPr>
        <w:spacing w:after="0" w:line="16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u w:val="single" w:color="auto"/>
          <w:color w:val="auto"/>
        </w:rPr>
        <w:t>Title to Assets; No Encumbrances</w:t>
      </w:r>
      <w:r>
        <w:rPr>
          <w:rFonts w:ascii="Arial" w:cs="Arial" w:eastAsia="Arial" w:hAnsi="Arial"/>
          <w:sz w:val="18"/>
          <w:szCs w:val="18"/>
          <w:color w:val="auto"/>
        </w:rPr>
        <w:t xml:space="preserve">. Each of the Loan Parties and its Subsidiaries has (a) good, sufficient and legal title to (in the case of fee interests in Real Property), (b) valid leasehold interests in (in the case of leasehold interests in real or personal property), and (c) good and marketable title to (in the case of all other personal property), all of their respective assets reflected in their most recent financial statements delivered pursuant to </w:t>
      </w:r>
      <w:r>
        <w:rPr>
          <w:rFonts w:ascii="Arial" w:cs="Arial" w:eastAsia="Arial" w:hAnsi="Arial"/>
          <w:sz w:val="18"/>
          <w:szCs w:val="18"/>
          <w:u w:val="single" w:color="auto"/>
          <w:color w:val="auto"/>
        </w:rPr>
        <w:t>Section 5.1</w:t>
      </w:r>
      <w:r>
        <w:rPr>
          <w:rFonts w:ascii="Arial" w:cs="Arial" w:eastAsia="Arial" w:hAnsi="Arial"/>
          <w:sz w:val="18"/>
          <w:szCs w:val="18"/>
          <w:color w:val="auto"/>
        </w:rPr>
        <w:t>, in each case except for assets disposed of since the date of such financial statements to the extent permitted hereby and except for minor defects in title that do not interfere with its ability to conduct its business as currently conducted or to utilize such properties and assets for their intended purpose. All of such assets are free and clear of Liens except for Permitted Liens.</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18"/>
          <w:szCs w:val="18"/>
          <w:b w:val="1"/>
          <w:bCs w:val="1"/>
          <w:u w:val="single" w:color="auto"/>
          <w:color w:val="auto"/>
        </w:rPr>
        <w:t>Litigation</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1304"/>
        <w:spacing w:after="0" w:line="250" w:lineRule="auto"/>
        <w:tabs>
          <w:tab w:leader="none" w:pos="1944"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There are no actions, suits, or proceedings pending or, to the knowledge of any Borrower, after due inquiry, threatened in writing against a Loan Party or any of its Subsidiaries that either individually or in the aggregate could reasonably be expected to result in a Material Adverse Effect.</w:t>
      </w:r>
    </w:p>
    <w:p>
      <w:pPr>
        <w:spacing w:after="0" w:line="185" w:lineRule="exact"/>
        <w:rPr>
          <w:rFonts w:ascii="Arial" w:cs="Arial" w:eastAsia="Arial" w:hAnsi="Arial"/>
          <w:sz w:val="20"/>
          <w:szCs w:val="20"/>
          <w:color w:val="auto"/>
        </w:rPr>
      </w:pPr>
    </w:p>
    <w:p>
      <w:pPr>
        <w:jc w:val="both"/>
        <w:ind w:firstLine="1304"/>
        <w:spacing w:after="0" w:line="246" w:lineRule="auto"/>
        <w:tabs>
          <w:tab w:leader="none" w:pos="1944" w:val="left"/>
        </w:tabs>
        <w:numPr>
          <w:ilvl w:val="0"/>
          <w:numId w:val="130"/>
        </w:numPr>
        <w:rPr>
          <w:rFonts w:ascii="Arial" w:cs="Arial" w:eastAsia="Arial" w:hAnsi="Arial"/>
          <w:sz w:val="20"/>
          <w:szCs w:val="20"/>
          <w:color w:val="auto"/>
        </w:rPr>
      </w:pPr>
      <w:r>
        <w:rPr>
          <w:rFonts w:ascii="Arial" w:cs="Arial" w:eastAsia="Arial" w:hAnsi="Arial"/>
          <w:sz w:val="20"/>
          <w:szCs w:val="20"/>
          <w:u w:val="single" w:color="auto"/>
          <w:color w:val="auto"/>
        </w:rPr>
        <w:t>Schedule 4.6(b)</w:t>
      </w:r>
      <w:r>
        <w:rPr>
          <w:rFonts w:ascii="Arial" w:cs="Arial" w:eastAsia="Arial" w:hAnsi="Arial"/>
          <w:sz w:val="20"/>
          <w:szCs w:val="20"/>
          <w:color w:val="auto"/>
        </w:rPr>
        <w:t xml:space="preserve"> to this Agreement sets forth a complete and accurate description of each of the actions, suits, or proceedings with asserted liabilities in excess of, or that could reasonably be expected to result in liabilities in excess of, $500,000 that, as of the Closing Date, is pending or, to the knowledge of any Borrower, after due inquiry, threatened against a Loan Party or any of its Subsidiaries.</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4.7 </w:t>
      </w:r>
      <w:r>
        <w:rPr>
          <w:rFonts w:ascii="Arial" w:cs="Arial" w:eastAsia="Arial" w:hAnsi="Arial"/>
          <w:sz w:val="19"/>
          <w:szCs w:val="19"/>
          <w:b w:val="1"/>
          <w:bCs w:val="1"/>
          <w:u w:val="single" w:color="auto"/>
          <w:color w:val="auto"/>
        </w:rPr>
        <w:t>Compliance with Laws</w:t>
      </w:r>
      <w:r>
        <w:rPr>
          <w:rFonts w:ascii="Arial" w:cs="Arial" w:eastAsia="Arial" w:hAnsi="Arial"/>
          <w:sz w:val="19"/>
          <w:szCs w:val="19"/>
          <w:color w:val="auto"/>
        </w:rPr>
        <w:t>. No Loan Party nor any of its Subsidiaries (a) is in violation of any applicable laws, rules, regulations, executive orders, or codes (including Environmental Laws) that, individually or in the aggregate, could reasonably be expected to result in a Material Adverse Effect, or (b) is subject to or in default with respect to any final judgments, writs, injunctions, decrees, rules or regulations of any court or any federal, state, municipal or other governmental department, commission, board, bureau, agency or instrumentality, domestic or foreign, that, individually or in the aggregate, could reasonably be expected to result in a Material Adverse Effect.</w:t>
      </w:r>
    </w:p>
    <w:p>
      <w:pPr>
        <w:spacing w:after="0" w:line="17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 xml:space="preserve">4.8 </w:t>
      </w:r>
      <w:r>
        <w:rPr>
          <w:rFonts w:ascii="Arial" w:cs="Arial" w:eastAsia="Arial" w:hAnsi="Arial"/>
          <w:sz w:val="19"/>
          <w:szCs w:val="19"/>
          <w:b w:val="1"/>
          <w:bCs w:val="1"/>
          <w:u w:val="single" w:color="auto"/>
          <w:color w:val="auto"/>
        </w:rPr>
        <w:t>No Material Adverse Effect</w:t>
      </w:r>
      <w:r>
        <w:rPr>
          <w:rFonts w:ascii="Arial" w:cs="Arial" w:eastAsia="Arial" w:hAnsi="Arial"/>
          <w:sz w:val="19"/>
          <w:szCs w:val="19"/>
          <w:color w:val="auto"/>
        </w:rPr>
        <w:t>. All historical financial statements relating to the Loan Parties and their Subsidiaries that have been delivered by Borrowers to Agent have been prepared in accordance with GAAP (except, in the case of unaudited financial statements, for the lack of footnotes and being subject to year-end audit adjustments) and present fairly in all material respects, the Loan Parties’ and their Subsidiaries’ consolidated financial condition as of the date thereof and results of operations for the period then ended. Since October 31, 2022, no event, circumstance, or change has occurred that has or could reasonably be expected to result in a Material Adverse Effect.</w:t>
      </w:r>
    </w:p>
    <w:p>
      <w:pPr>
        <w:spacing w:after="0" w:line="17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4.9</w:t>
      </w:r>
      <w:r>
        <w:rPr>
          <w:sz w:val="20"/>
          <w:szCs w:val="20"/>
          <w:color w:val="auto"/>
        </w:rPr>
        <w:tab/>
      </w:r>
      <w:r>
        <w:rPr>
          <w:rFonts w:ascii="Arial" w:cs="Arial" w:eastAsia="Arial" w:hAnsi="Arial"/>
          <w:sz w:val="16"/>
          <w:szCs w:val="16"/>
          <w:b w:val="1"/>
          <w:bCs w:val="1"/>
          <w:u w:val="single" w:color="auto"/>
          <w:color w:val="auto"/>
        </w:rPr>
        <w:t>Solvency</w:t>
      </w:r>
      <w:r>
        <w:rPr>
          <w:rFonts w:ascii="Arial" w:cs="Arial" w:eastAsia="Arial" w:hAnsi="Arial"/>
          <w:sz w:val="16"/>
          <w:szCs w:val="16"/>
          <w:b w:val="1"/>
          <w:bCs w:val="1"/>
          <w:color w:val="auto"/>
        </w:rPr>
        <w:t>.</w:t>
      </w:r>
    </w:p>
    <w:p>
      <w:pPr>
        <w:spacing w:after="0" w:line="222" w:lineRule="exact"/>
        <w:rPr>
          <w:sz w:val="20"/>
          <w:szCs w:val="20"/>
          <w:color w:val="auto"/>
        </w:rPr>
      </w:pPr>
    </w:p>
    <w:p>
      <w:pPr>
        <w:ind w:left="1960" w:hanging="656"/>
        <w:spacing w:after="0"/>
        <w:tabs>
          <w:tab w:leader="none" w:pos="19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Loan Parties, on a consolidated basis, are Solvent and the Borrowers, on a consolidated basis,</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are Solvent.</w:t>
      </w:r>
    </w:p>
    <w:p>
      <w:pPr>
        <w:spacing w:after="0" w:line="200" w:lineRule="exact"/>
        <w:rPr>
          <w:sz w:val="20"/>
          <w:szCs w:val="20"/>
          <w:color w:val="auto"/>
        </w:rPr>
      </w:pPr>
    </w:p>
    <w:p>
      <w:pPr>
        <w:ind w:firstLine="1304"/>
        <w:spacing w:after="0" w:line="260" w:lineRule="auto"/>
        <w:tabs>
          <w:tab w:leader="none" w:pos="1944" w:val="left"/>
        </w:tabs>
        <w:numPr>
          <w:ilvl w:val="0"/>
          <w:numId w:val="132"/>
        </w:numPr>
        <w:rPr>
          <w:rFonts w:ascii="Arial" w:cs="Arial" w:eastAsia="Arial" w:hAnsi="Arial"/>
          <w:sz w:val="20"/>
          <w:szCs w:val="20"/>
          <w:color w:val="auto"/>
        </w:rPr>
      </w:pPr>
      <w:r>
        <w:rPr>
          <w:rFonts w:ascii="Arial" w:cs="Arial" w:eastAsia="Arial" w:hAnsi="Arial"/>
          <w:sz w:val="20"/>
          <w:szCs w:val="20"/>
          <w:color w:val="auto"/>
        </w:rPr>
        <w:t>No transfer of property is being made by any Loan Party and no obligation is being incurred by any Loan Party in connection with the transactions contemplated by this Agreement or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4" w:name="page105"/>
    <w:bookmarkEnd w:id="104"/>
    <w:p>
      <w:pPr>
        <w:spacing w:after="0"/>
        <w:rPr>
          <w:sz w:val="20"/>
          <w:szCs w:val="20"/>
          <w:color w:val="auto"/>
        </w:rPr>
      </w:pPr>
      <w:r>
        <w:rPr>
          <w:rFonts w:ascii="Arial" w:cs="Arial" w:eastAsia="Arial" w:hAnsi="Arial"/>
          <w:sz w:val="19"/>
          <w:szCs w:val="19"/>
          <w:color w:val="auto"/>
        </w:rPr>
        <w:t>Loan Documents with the intent to hinder, delay, or defraud either present or future creditors of such Loan Party.</w:t>
      </w:r>
    </w:p>
    <w:p>
      <w:pPr>
        <w:spacing w:after="0" w:line="22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4.10 </w:t>
      </w:r>
      <w:r>
        <w:rPr>
          <w:rFonts w:ascii="Arial" w:cs="Arial" w:eastAsia="Arial" w:hAnsi="Arial"/>
          <w:sz w:val="20"/>
          <w:szCs w:val="20"/>
          <w:b w:val="1"/>
          <w:bCs w:val="1"/>
          <w:u w:val="single" w:color="auto"/>
          <w:color w:val="auto"/>
        </w:rPr>
        <w:t>Employee Benefits</w:t>
      </w:r>
      <w:r>
        <w:rPr>
          <w:rFonts w:ascii="Arial" w:cs="Arial" w:eastAsia="Arial" w:hAnsi="Arial"/>
          <w:sz w:val="20"/>
          <w:szCs w:val="20"/>
          <w:color w:val="auto"/>
        </w:rPr>
        <w:t>. No Loan Party, none of their Subsidiaries, nor any of their ERISA Affiliates maintains or contributes to any Benefit Plan.</w:t>
      </w:r>
    </w:p>
    <w:p>
      <w:pPr>
        <w:spacing w:after="0" w:line="16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b w:val="1"/>
          <w:bCs w:val="1"/>
          <w:u w:val="single" w:color="auto"/>
          <w:color w:val="auto"/>
        </w:rPr>
        <w:t>Environmental Condition</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4.11</w:t>
      </w:r>
      <w:r>
        <w:rPr>
          <w:rFonts w:ascii="Arial" w:cs="Arial" w:eastAsia="Arial" w:hAnsi="Arial"/>
          <w:sz w:val="18"/>
          <w:szCs w:val="18"/>
          <w:color w:val="auto"/>
        </w:rPr>
        <w:t xml:space="preserve"> to this Agreement, (a) to each Borrower’s knowledge, no Loan Party’s nor any of its Subsidiaries’ properties or assets has ever been used by a Loan Party, its Subsidiaries, or by previous owners or operators in the disposal of, or to produce, store, handle, treat, release, or transport, any Hazardous Materials, where such disposal, production, storage, handling, treatment, release or transport was in violation, in any material respect, of any applicable Environmental Law that, individually or in the aggregate, could reasonably be expected to result in a Material Adverse Effect, (b) to each Borrower’s knowledge, after due inquiry, no Loan Party’s nor any of its Subsidiaries’ properties or assets has ever been designated or identified in any manner pursuant to any environmental protection statute as a Hazardous Materials disposal site, (c) no Loan Party nor any of its Subsidiaries has received notice that a Lien arising under any Environmental Law has attached to any revenues or to any Real Property owned or operated by a Loan Party or its Subsidiaries, and (d) no Loan Party nor any of its Subsidiaries nor any of their respective facilities or operations is subject to any outstanding written order, consent decree, or settlement agreement with any Person relating to any Environmental Law or Environmental Liability that, individually or in the aggregate, could reasonably be expected to result in a Material Adverse Effect.</w:t>
      </w:r>
    </w:p>
    <w:p>
      <w:pPr>
        <w:spacing w:after="0" w:line="17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b w:val="1"/>
          <w:bCs w:val="1"/>
          <w:u w:val="single" w:color="auto"/>
          <w:color w:val="auto"/>
        </w:rPr>
        <w:t>Complete Disclosure</w:t>
      </w:r>
      <w:r>
        <w:rPr>
          <w:rFonts w:ascii="Arial" w:cs="Arial" w:eastAsia="Arial" w:hAnsi="Arial"/>
          <w:sz w:val="18"/>
          <w:szCs w:val="18"/>
          <w:color w:val="auto"/>
        </w:rPr>
        <w:t>. All factual information taken as a whole (other than forward-looking information and projections and information of a general economic nature and general information about the industry of any Loan Party or its Subsidiaries) furnished by or on behalf of a Loan Party or its Subsidiaries in writing to Agent or any Lender (including all information contained in the Schedules hereto or in the other Loan Documents) for purposes of or in connection with this Agreement or the other Loan Documents, and all other such factual information taken as a whole (other than forward-looking information and projections and information of a general economic nature and general information about the industry of any Loan Party or its Subsidiaries) hereafter furnished by or on behalf of a Loan Party or its Subsidiaries in writing to Agent or any Lender will be, true and accurate, in all material respects, on the date as of which such information is dated or certified and not incomplete by omitting to state any fact necessary to make such information (taken as a whole) not misleading in any material respect at such time in light of the circumstances under which such information was provided. The Projections delivered to Agent on May 17, 2023, represent, and as of the date on which any other Projections are delivered to Agent, such additional Projections represent, Borrowers’ good faith estimate, on the date such Projections are delivered, of the Loan Parties’ and their Subsidiaries’ future performance for the periods covered thereby based upon assumptions believed by Borrowers to be reasonable at the time of the delivery thereof to Agent (it being understood that such Projections are subject to significant uncertainties and contingencies, many of which are beyond the control of the Loan Parties and their Subsidiaries, and no assurances can be given that such Projections will be realized, and although reflecting Borrowers’ good faith estimate, projections or forecasts based on methods and assumptions which Borrowers believed to be reasonable at the time such Projections were prepared, are not to be viewed as facts, and that actual results during the period or periods covered by the Projections may differ materially from projected or estimated results).</w:t>
      </w:r>
    </w:p>
    <w:p>
      <w:pPr>
        <w:spacing w:after="0" w:line="16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color w:val="auto"/>
        </w:rPr>
        <w:t xml:space="preserve">4.13 </w:t>
      </w:r>
      <w:r>
        <w:rPr>
          <w:rFonts w:ascii="Arial" w:cs="Arial" w:eastAsia="Arial" w:hAnsi="Arial"/>
          <w:sz w:val="19"/>
          <w:szCs w:val="19"/>
          <w:b w:val="1"/>
          <w:bCs w:val="1"/>
          <w:u w:val="single" w:color="auto"/>
          <w:color w:val="auto"/>
        </w:rPr>
        <w:t>Patriot Act</w:t>
      </w:r>
      <w:r>
        <w:rPr>
          <w:rFonts w:ascii="Arial" w:cs="Arial" w:eastAsia="Arial" w:hAnsi="Arial"/>
          <w:sz w:val="19"/>
          <w:szCs w:val="19"/>
          <w:color w:val="auto"/>
        </w:rPr>
        <w:t>. To the extent applicable, each Loan Party is in compliance, in all material respects, with the (a) Trading with the Enemy Act, as amended, and each of the foreign assets control regulations of the United States Treasury Department (31 CFR, Subtitle B, Chapter V, as amended) and any other enabling legislation or executive order relating thereto, and (b) Uniting and Strengthening America by Providing Appropriate Tools Required to Intercept and Obstruct Terrorism (USA Patriot Act of 2001, as amended) (the “</w:t>
      </w:r>
      <w:r>
        <w:rPr>
          <w:rFonts w:ascii="Arial" w:cs="Arial" w:eastAsia="Arial" w:hAnsi="Arial"/>
          <w:sz w:val="19"/>
          <w:szCs w:val="19"/>
          <w:u w:val="single" w:color="auto"/>
          <w:color w:val="auto"/>
        </w:rPr>
        <w:t>Patriot Act</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5" w:name="page106"/>
    <w:bookmarkEnd w:id="105"/>
    <w:p>
      <w:pPr>
        <w:ind w:left="660"/>
        <w:spacing w:after="0"/>
        <w:tabs>
          <w:tab w:leader="none" w:pos="1280" w:val="left"/>
        </w:tabs>
        <w:rPr>
          <w:sz w:val="20"/>
          <w:szCs w:val="20"/>
          <w:color w:val="auto"/>
        </w:rPr>
      </w:pPr>
      <w:r>
        <w:rPr>
          <w:rFonts w:ascii="Arial" w:cs="Arial" w:eastAsia="Arial" w:hAnsi="Arial"/>
          <w:sz w:val="20"/>
          <w:szCs w:val="20"/>
          <w:color w:val="auto"/>
        </w:rPr>
        <w:t>4.14</w:t>
      </w:r>
      <w:r>
        <w:rPr>
          <w:sz w:val="20"/>
          <w:szCs w:val="20"/>
          <w:color w:val="auto"/>
        </w:rPr>
        <w:tab/>
      </w:r>
      <w:r>
        <w:rPr>
          <w:rFonts w:ascii="Arial" w:cs="Arial" w:eastAsia="Arial" w:hAnsi="Arial"/>
          <w:sz w:val="16"/>
          <w:szCs w:val="16"/>
          <w:b w:val="1"/>
          <w:bCs w:val="1"/>
          <w:u w:val="single" w:color="auto"/>
          <w:color w:val="auto"/>
        </w:rPr>
        <w:t>Reserved</w:t>
      </w:r>
      <w:r>
        <w:rPr>
          <w:rFonts w:ascii="Arial" w:cs="Arial" w:eastAsia="Arial" w:hAnsi="Arial"/>
          <w:sz w:val="16"/>
          <w:szCs w:val="16"/>
          <w:color w:val="auto"/>
        </w:rPr>
        <w:t>.</w:t>
      </w:r>
    </w:p>
    <w:p>
      <w:pPr>
        <w:spacing w:after="0" w:line="21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4.15 </w:t>
      </w:r>
      <w:r>
        <w:rPr>
          <w:rFonts w:ascii="Arial" w:cs="Arial" w:eastAsia="Arial" w:hAnsi="Arial"/>
          <w:sz w:val="19"/>
          <w:szCs w:val="19"/>
          <w:b w:val="1"/>
          <w:bCs w:val="1"/>
          <w:u w:val="single" w:color="auto"/>
          <w:color w:val="auto"/>
        </w:rPr>
        <w:t>Payment of Taxes</w:t>
      </w:r>
      <w:r>
        <w:rPr>
          <w:rFonts w:ascii="Arial" w:cs="Arial" w:eastAsia="Arial" w:hAnsi="Arial"/>
          <w:sz w:val="19"/>
          <w:szCs w:val="19"/>
          <w:color w:val="auto"/>
        </w:rPr>
        <w:t xml:space="preserve">. Except as otherwise permitted under </w:t>
      </w:r>
      <w:r>
        <w:rPr>
          <w:rFonts w:ascii="Arial" w:cs="Arial" w:eastAsia="Arial" w:hAnsi="Arial"/>
          <w:sz w:val="19"/>
          <w:szCs w:val="19"/>
          <w:u w:val="single" w:color="auto"/>
          <w:color w:val="auto"/>
        </w:rPr>
        <w:t>Section 5.5</w:t>
      </w:r>
      <w:r>
        <w:rPr>
          <w:rFonts w:ascii="Arial" w:cs="Arial" w:eastAsia="Arial" w:hAnsi="Arial"/>
          <w:sz w:val="19"/>
          <w:szCs w:val="19"/>
          <w:color w:val="auto"/>
        </w:rPr>
        <w:t xml:space="preserve">, all Tax returns and reports of each Loan Party and its Subsidiaries required to be filed by any of them have been timely filed, and all Taxes shown on such Tax returns to be due and payable and all other Taxes upon a Loan Party and its Subsidiaries and upon their respective assets, income, businesses and franchises that are due and payable have been paid when due and payable. Each Loan Party and each of its Subsidiaries have made adequate provision in accordance with GAAP for all Taxes not yet due and payable. No Borrower knows of any proposed Tax assessment against a Loan Party or any of its Subsidiaries that is not being actively contested by such Loan Party or such Subsidiary diligently, in good faith, and by appropriate proceedings; </w:t>
      </w:r>
      <w:r>
        <w:rPr>
          <w:rFonts w:ascii="Arial" w:cs="Arial" w:eastAsia="Arial" w:hAnsi="Arial"/>
          <w:sz w:val="19"/>
          <w:szCs w:val="19"/>
          <w:u w:val="single" w:color="auto"/>
          <w:color w:val="auto"/>
        </w:rPr>
        <w:t>provided</w:t>
      </w:r>
      <w:r>
        <w:rPr>
          <w:rFonts w:ascii="Arial" w:cs="Arial" w:eastAsia="Arial" w:hAnsi="Arial"/>
          <w:sz w:val="19"/>
          <w:szCs w:val="19"/>
          <w:color w:val="auto"/>
        </w:rPr>
        <w:t>, that such reserves or other appropriate provisions, if any, as shall be required in conformity with GAAP shall have been made or provided therefor.</w:t>
      </w:r>
    </w:p>
    <w:p>
      <w:pPr>
        <w:spacing w:after="0" w:line="17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 xml:space="preserve">4.16 </w:t>
      </w:r>
      <w:r>
        <w:rPr>
          <w:rFonts w:ascii="Arial" w:cs="Arial" w:eastAsia="Arial" w:hAnsi="Arial"/>
          <w:sz w:val="20"/>
          <w:szCs w:val="20"/>
          <w:b w:val="1"/>
          <w:bCs w:val="1"/>
          <w:u w:val="single" w:color="auto"/>
          <w:color w:val="auto"/>
        </w:rPr>
        <w:t>Margin Stock</w:t>
      </w:r>
      <w:r>
        <w:rPr>
          <w:rFonts w:ascii="Arial" w:cs="Arial" w:eastAsia="Arial" w:hAnsi="Arial"/>
          <w:sz w:val="20"/>
          <w:szCs w:val="20"/>
          <w:color w:val="auto"/>
        </w:rPr>
        <w:t>. Neither any Loan Party nor any of its Subsidiaries owns any Margin Stock or is engaged principally, or as one of its important activities, in the business of extending credit for the purpose of purchasing or carrying any Margin Stock. No part of the proceeds of the Loans made to Borrowers will be used to purchase or carry any Margin Stock or to extend credit to others for the purpose of purchasing or carrying any Margin Stock or for any purpose that violates the provisions of Regulation T, U or X of the Board of Governors. Neither any Loan Party nor any of its Subsidiaries expects to acquire any Margin Stock.</w:t>
      </w:r>
    </w:p>
    <w:p>
      <w:pPr>
        <w:spacing w:after="0" w:line="18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 xml:space="preserve">4.17 </w:t>
      </w:r>
      <w:r>
        <w:rPr>
          <w:rFonts w:ascii="Arial" w:cs="Arial" w:eastAsia="Arial" w:hAnsi="Arial"/>
          <w:sz w:val="20"/>
          <w:szCs w:val="20"/>
          <w:b w:val="1"/>
          <w:bCs w:val="1"/>
          <w:u w:val="single" w:color="auto"/>
          <w:color w:val="auto"/>
        </w:rPr>
        <w:t>Governmental Regulation</w:t>
      </w:r>
      <w:r>
        <w:rPr>
          <w:rFonts w:ascii="Arial" w:cs="Arial" w:eastAsia="Arial" w:hAnsi="Arial"/>
          <w:sz w:val="20"/>
          <w:szCs w:val="20"/>
          <w:color w:val="auto"/>
        </w:rPr>
        <w:t>. No Loan Party nor any of its Subsidiaries is subject to regulation under the Federal Power Act or the Investment Company Act of 1940 or under any other federal or state statute or regulation which may limit its ability to incur Indebtedness or which may otherwise render all or any portion of the Obligations unenforceable. No Loan Party nor any of its Subsidiaries is a “registered investment company” or a company “controlled” by a “registered investment company” or a “principal underwriter” of a “registered investment company” as such terms are defined in the Investment Company Act of 1940.</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4.18 </w:t>
      </w:r>
      <w:r>
        <w:rPr>
          <w:rFonts w:ascii="Arial" w:cs="Arial" w:eastAsia="Arial" w:hAnsi="Arial"/>
          <w:sz w:val="18"/>
          <w:szCs w:val="18"/>
          <w:b w:val="1"/>
          <w:bCs w:val="1"/>
          <w:u w:val="single" w:color="auto"/>
          <w:color w:val="auto"/>
        </w:rPr>
        <w:t>OFAC; Sanctions; Anti-Corruption Laws; Anti-Money Laundering Laws</w:t>
      </w:r>
      <w:r>
        <w:rPr>
          <w:rFonts w:ascii="Arial" w:cs="Arial" w:eastAsia="Arial" w:hAnsi="Arial"/>
          <w:sz w:val="18"/>
          <w:szCs w:val="18"/>
          <w:color w:val="auto"/>
        </w:rPr>
        <w:t>. No Loan Party or any of its Subsidiaries is in violation of any Sanctions. No Loan Party nor any of its Subsidiaries nor, to the knowledge of such Loan Party, any director, officer, employee, agent or Affiliate of such Loan Party or such Subsidiary (a) is a Sanctioned Person or a Sanctioned Entity, (b) has any assets located in Sanctioned Entities, or (c) derives revenues from investments in, or transactions with Sanctioned Persons or Sanctioned Entities. Each of the Loan Parties and its Subsidiaries has implemented and maintains in effect policies and procedures reasonably designed to ensure compliance with Sanctions, Anti-Corruption Laws and Anti-Money Laundering Laws. Each of the Loan Parties and its Subsidiaries, and to the knowledge of each such Loan Party, each director, officer, employee, agent and Affiliate of each such Loan Party and each such Subsidiary, is in compliance with all Sanctions, Anti-Corruption Laws and Anti-Money Laundering Laws. No proceeds of any Loan made or Letter of Credit issued hereunder will be used to fund any operations in, finance any investments or activities in, or make any payments to, a Sanctioned Person or a Sanctioned Entity, or otherwise used in any manner that would result in a violation of any Sanction, Anti-Corruption Law or Anti-Money Laundering Law by any Person (including any Lender, Bank Product Provider, or other individual or entity participating in any transaction).</w:t>
      </w:r>
    </w:p>
    <w:p>
      <w:pPr>
        <w:spacing w:after="0" w:line="17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 xml:space="preserve">4.19 </w:t>
      </w:r>
      <w:r>
        <w:rPr>
          <w:rFonts w:ascii="Arial" w:cs="Arial" w:eastAsia="Arial" w:hAnsi="Arial"/>
          <w:sz w:val="20"/>
          <w:szCs w:val="20"/>
          <w:b w:val="1"/>
          <w:bCs w:val="1"/>
          <w:u w:val="single" w:color="auto"/>
          <w:color w:val="auto"/>
        </w:rPr>
        <w:t>Employee and Labor Matters</w:t>
      </w:r>
      <w:r>
        <w:rPr>
          <w:rFonts w:ascii="Arial" w:cs="Arial" w:eastAsia="Arial" w:hAnsi="Arial"/>
          <w:sz w:val="20"/>
          <w:szCs w:val="20"/>
          <w:color w:val="auto"/>
        </w:rPr>
        <w:t>. There is (i) no unfair labor practice complaint pending or, to the knowledge of any Borrower, threatened against any Loan Party or its Subsidiaries before any Governmental Authority and no grievance or arbitration proceeding pending or threatened against any Loan Party or its Subsidiaries which arises out of or under any collective bargaining agreement and that could, individually or in the aggregate, reasonably be expected to result in a Material Adverse Effect, (ii) no strike, labor dispute, slowdown, stoppage or similar action or grievance pending or threatened in writing against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106" w:name="page107"/>
    <w:bookmarkEnd w:id="106"/>
    <w:p>
      <w:pPr>
        <w:jc w:val="both"/>
        <w:spacing w:after="0" w:line="255" w:lineRule="auto"/>
        <w:rPr>
          <w:sz w:val="20"/>
          <w:szCs w:val="20"/>
          <w:color w:val="auto"/>
        </w:rPr>
      </w:pPr>
      <w:r>
        <w:rPr>
          <w:rFonts w:ascii="Arial" w:cs="Arial" w:eastAsia="Arial" w:hAnsi="Arial"/>
          <w:sz w:val="19"/>
          <w:szCs w:val="19"/>
          <w:color w:val="auto"/>
        </w:rPr>
        <w:t xml:space="preserve">any Loan Party or its Subsidiaries that could, individually or in the aggregate, reasonably be expected to result in a Material Adverse Effect, or (iii) except as set forth in </w:t>
      </w:r>
      <w:r>
        <w:rPr>
          <w:rFonts w:ascii="Arial" w:cs="Arial" w:eastAsia="Arial" w:hAnsi="Arial"/>
          <w:sz w:val="19"/>
          <w:szCs w:val="19"/>
          <w:u w:val="single" w:color="auto"/>
          <w:color w:val="auto"/>
        </w:rPr>
        <w:t>Schedule 4.19</w:t>
      </w:r>
      <w:r>
        <w:rPr>
          <w:rFonts w:ascii="Arial" w:cs="Arial" w:eastAsia="Arial" w:hAnsi="Arial"/>
          <w:sz w:val="19"/>
          <w:szCs w:val="19"/>
          <w:color w:val="auto"/>
        </w:rPr>
        <w:t>, to the knowledge of any Borrower, after due inquiry, no union representation question existing with respect to the employees of any Loan Party or its Subsidiaries and no union organizing activity taking place with respect to any of the employees of any Loan Party or its Subsidiaries. None of any Loan Party or its Subsidiaries has incurred any liability or obligation under the Worker Adjustment and Retraining Notification Act or similar state law, which remains unpaid or unsatisfied. The hours worked and payments made to employees of each Loan Party and its Subsidiaries have not been in violation of the Fair Labor Standards Act or any other applicable legal requirements, except to the extent such violations could not, individually or in the aggregate, reasonably be expected to result in a Material Adverse Effect. All material payments due from any Loan Party or its Subsidiaries on account of wages and employee health and welfare insurance and other benefits have been paid or accrued as a liability on the books of Borrowers, except where the failure to do so could not, individually or in the aggregate, reasonably be expected to result in a Material Adverse Effect.</w:t>
      </w:r>
    </w:p>
    <w:p>
      <w:pPr>
        <w:spacing w:after="0" w:line="17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4.20</w:t>
      </w:r>
      <w:r>
        <w:rPr>
          <w:sz w:val="20"/>
          <w:szCs w:val="20"/>
          <w:color w:val="auto"/>
        </w:rPr>
        <w:tab/>
      </w:r>
      <w:r>
        <w:rPr>
          <w:rFonts w:ascii="Arial" w:cs="Arial" w:eastAsia="Arial" w:hAnsi="Arial"/>
          <w:sz w:val="16"/>
          <w:szCs w:val="16"/>
          <w:b w:val="1"/>
          <w:bCs w:val="1"/>
          <w:u w:val="single" w:color="auto"/>
          <w:color w:val="auto"/>
        </w:rPr>
        <w:t>[Reserved]</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4.21 </w:t>
      </w:r>
      <w:r>
        <w:rPr>
          <w:rFonts w:ascii="Arial" w:cs="Arial" w:eastAsia="Arial" w:hAnsi="Arial"/>
          <w:sz w:val="20"/>
          <w:szCs w:val="20"/>
          <w:b w:val="1"/>
          <w:bCs w:val="1"/>
          <w:u w:val="single" w:color="auto"/>
          <w:color w:val="auto"/>
        </w:rPr>
        <w:t>Leases</w:t>
      </w:r>
      <w:r>
        <w:rPr>
          <w:rFonts w:ascii="Arial" w:cs="Arial" w:eastAsia="Arial" w:hAnsi="Arial"/>
          <w:sz w:val="20"/>
          <w:szCs w:val="20"/>
          <w:color w:val="auto"/>
        </w:rPr>
        <w:t>. Each Loan Party and its Subsidiaries enjoy peaceful and undisturbed possession under all leases material to their business and to which they are parties or under which they are operating, and, subject to Permitted Protests, all of such material leases are valid and subsisting and no material default by the applicable Loan Party or its Subsidiaries exists under any of them.</w:t>
      </w:r>
    </w:p>
    <w:p>
      <w:pPr>
        <w:spacing w:after="0" w:line="18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4.22 </w:t>
      </w:r>
      <w:r>
        <w:rPr>
          <w:rFonts w:ascii="Arial" w:cs="Arial" w:eastAsia="Arial" w:hAnsi="Arial"/>
          <w:sz w:val="20"/>
          <w:szCs w:val="20"/>
          <w:b w:val="1"/>
          <w:bCs w:val="1"/>
          <w:u w:val="single" w:color="auto"/>
          <w:color w:val="auto"/>
        </w:rPr>
        <w:t>Eligible Accounts</w:t>
      </w:r>
      <w:r>
        <w:rPr>
          <w:rFonts w:ascii="Arial" w:cs="Arial" w:eastAsia="Arial" w:hAnsi="Arial"/>
          <w:sz w:val="20"/>
          <w:szCs w:val="20"/>
          <w:color w:val="auto"/>
        </w:rPr>
        <w:t>. As to each Account that is identified by Borrowers as an Eligible Account in a Borrowing Base Certificate submitted to Agent, such Account is (a) a bona fide existing payment obligation of the applicable Account Debtor created by the sale and delivery of Inventory or the rendition of services to such Account Debtor in the ordinary course of a Borrower’s business, (b) owed to a Borrower without any known defenses, disputes, offsets, counterclaims, or rights of return or cancellation (not otherwise accounted for in such Borrowing Base Certificate), and (c) not excluded as ineligible by virtue of one or more of the excluding criteria (other than any Agent-discretionary criteria) set forth in the definition of Eligible Accounts.</w:t>
      </w:r>
    </w:p>
    <w:p>
      <w:pPr>
        <w:spacing w:after="0" w:line="18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4.23 </w:t>
      </w:r>
      <w:r>
        <w:rPr>
          <w:rFonts w:ascii="Arial" w:cs="Arial" w:eastAsia="Arial" w:hAnsi="Arial"/>
          <w:sz w:val="20"/>
          <w:szCs w:val="20"/>
          <w:b w:val="1"/>
          <w:bCs w:val="1"/>
          <w:u w:val="single" w:color="auto"/>
          <w:color w:val="auto"/>
        </w:rPr>
        <w:t>Eligible Inventory</w:t>
      </w:r>
      <w:r>
        <w:rPr>
          <w:rFonts w:ascii="Arial" w:cs="Arial" w:eastAsia="Arial" w:hAnsi="Arial"/>
          <w:sz w:val="20"/>
          <w:szCs w:val="20"/>
          <w:color w:val="auto"/>
        </w:rPr>
        <w:t>. As to each item of Inventory that is identified by Borrowers as Eligible Inventory in a Borrowing Base Certificate submitted to Agent, such Inventory is (a) of good and merchantable quality, free from known material defects, and (b) not excluded as ineligible by virtue of one or more of the excluding criteria (other than any Agent-discretionary criteria) set forth in the definition of Eligible Inventory.</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4.24 </w:t>
      </w:r>
      <w:r>
        <w:rPr>
          <w:rFonts w:ascii="Arial" w:cs="Arial" w:eastAsia="Arial" w:hAnsi="Arial"/>
          <w:sz w:val="20"/>
          <w:szCs w:val="20"/>
          <w:b w:val="1"/>
          <w:bCs w:val="1"/>
          <w:u w:val="single" w:color="auto"/>
          <w:color w:val="auto"/>
        </w:rPr>
        <w:t>Eligible M&amp;E and Eligible New Equipment</w:t>
      </w:r>
      <w:r>
        <w:rPr>
          <w:rFonts w:ascii="Arial" w:cs="Arial" w:eastAsia="Arial" w:hAnsi="Arial"/>
          <w:sz w:val="20"/>
          <w:szCs w:val="20"/>
          <w:color w:val="auto"/>
        </w:rPr>
        <w:t>. As to each item of M&amp;E that is identified by Borrowers as Eligible M&amp;E in a Borrowing Base Certificate submitted to Agent or as Eligible New Equipment, such M&amp;E is (a) of good and merchantable quality, free from known material defects, and (b) not excluded as ineligible by virtue of one or more of the excluding criteria (other than any Agent-discretionary criteria) set forth in the definition of Eligible M&amp;E or Eligible New Equipment, as applicable.</w:t>
      </w:r>
    </w:p>
    <w:p>
      <w:pPr>
        <w:spacing w:after="0" w:line="18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 xml:space="preserve">4.25 </w:t>
      </w:r>
      <w:r>
        <w:rPr>
          <w:rFonts w:ascii="Arial" w:cs="Arial" w:eastAsia="Arial" w:hAnsi="Arial"/>
          <w:sz w:val="18"/>
          <w:szCs w:val="18"/>
          <w:b w:val="1"/>
          <w:bCs w:val="1"/>
          <w:u w:val="single" w:color="auto"/>
          <w:color w:val="auto"/>
        </w:rPr>
        <w:t>Location of Inventory and M&amp;E</w:t>
      </w:r>
      <w:r>
        <w:rPr>
          <w:rFonts w:ascii="Arial" w:cs="Arial" w:eastAsia="Arial" w:hAnsi="Arial"/>
          <w:sz w:val="18"/>
          <w:szCs w:val="18"/>
          <w:color w:val="auto"/>
        </w:rPr>
        <w:t xml:space="preserve">. Except as set forth in </w:t>
      </w:r>
      <w:r>
        <w:rPr>
          <w:rFonts w:ascii="Arial" w:cs="Arial" w:eastAsia="Arial" w:hAnsi="Arial"/>
          <w:sz w:val="18"/>
          <w:szCs w:val="18"/>
          <w:u w:val="single" w:color="auto"/>
          <w:color w:val="auto"/>
        </w:rPr>
        <w:t>Schedule 4.25</w:t>
      </w:r>
      <w:r>
        <w:rPr>
          <w:rFonts w:ascii="Arial" w:cs="Arial" w:eastAsia="Arial" w:hAnsi="Arial"/>
          <w:sz w:val="18"/>
          <w:szCs w:val="18"/>
          <w:color w:val="auto"/>
        </w:rPr>
        <w:t xml:space="preserve"> and excluding Inventory and M&amp;E with an aggregate value of less than $2,500,000, the Inventory and M&amp;E of the Loan Parties is not stored with a bailee, warehouseman, or similar party and is located only at, or in-transit between, or in-transit to or from any port of entry, the locations identified on </w:t>
      </w:r>
      <w:r>
        <w:rPr>
          <w:rFonts w:ascii="Arial" w:cs="Arial" w:eastAsia="Arial" w:hAnsi="Arial"/>
          <w:sz w:val="18"/>
          <w:szCs w:val="18"/>
          <w:u w:val="single" w:color="auto"/>
          <w:color w:val="auto"/>
        </w:rPr>
        <w:t>Schedule 4.25</w:t>
      </w:r>
      <w:r>
        <w:rPr>
          <w:rFonts w:ascii="Arial" w:cs="Arial" w:eastAsia="Arial" w:hAnsi="Arial"/>
          <w:sz w:val="18"/>
          <w:szCs w:val="18"/>
          <w:color w:val="auto"/>
        </w:rPr>
        <w:t xml:space="preserve"> to this Agreement (as such Schedule may be updated pursuant to </w:t>
      </w:r>
      <w:r>
        <w:rPr>
          <w:rFonts w:ascii="Arial" w:cs="Arial" w:eastAsia="Arial" w:hAnsi="Arial"/>
          <w:sz w:val="18"/>
          <w:szCs w:val="18"/>
          <w:u w:val="single" w:color="auto"/>
          <w:color w:val="auto"/>
        </w:rPr>
        <w:t>Section 5.14</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7" w:name="page108"/>
    <w:bookmarkEnd w:id="107"/>
    <w:p>
      <w:pPr>
        <w:jc w:val="both"/>
        <w:ind w:firstLine="648"/>
        <w:spacing w:after="0" w:line="324" w:lineRule="auto"/>
        <w:rPr>
          <w:sz w:val="20"/>
          <w:szCs w:val="20"/>
          <w:color w:val="auto"/>
        </w:rPr>
      </w:pPr>
      <w:r>
        <w:rPr>
          <w:rFonts w:ascii="Arial" w:cs="Arial" w:eastAsia="Arial" w:hAnsi="Arial"/>
          <w:sz w:val="18"/>
          <w:szCs w:val="18"/>
          <w:color w:val="auto"/>
        </w:rPr>
        <w:t xml:space="preserve">4.26 </w:t>
      </w:r>
      <w:r>
        <w:rPr>
          <w:rFonts w:ascii="Arial" w:cs="Arial" w:eastAsia="Arial" w:hAnsi="Arial"/>
          <w:sz w:val="18"/>
          <w:szCs w:val="18"/>
          <w:b w:val="1"/>
          <w:bCs w:val="1"/>
          <w:u w:val="single" w:color="auto"/>
          <w:color w:val="auto"/>
        </w:rPr>
        <w:t>Inventory Records</w:t>
      </w:r>
      <w:r>
        <w:rPr>
          <w:rFonts w:ascii="Arial" w:cs="Arial" w:eastAsia="Arial" w:hAnsi="Arial"/>
          <w:sz w:val="18"/>
          <w:szCs w:val="18"/>
          <w:color w:val="auto"/>
        </w:rPr>
        <w:t>. Each Loan Party keeps correct and accurate records in all material respects, itemizing and describing the type, quality, and quantity of its and its Subsidiaries’ Inventory and the book value thereof.</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4.27</w:t>
      </w:r>
      <w:r>
        <w:rPr>
          <w:sz w:val="20"/>
          <w:szCs w:val="20"/>
          <w:color w:val="auto"/>
        </w:rPr>
        <w:tab/>
      </w:r>
      <w:r>
        <w:rPr>
          <w:rFonts w:ascii="Arial" w:cs="Arial" w:eastAsia="Arial" w:hAnsi="Arial"/>
          <w:sz w:val="16"/>
          <w:szCs w:val="16"/>
          <w:b w:val="1"/>
          <w:bCs w:val="1"/>
          <w:u w:val="single" w:color="auto"/>
          <w:color w:val="auto"/>
        </w:rPr>
        <w:t>[Reserved]</w:t>
      </w:r>
      <w:r>
        <w:rPr>
          <w:rFonts w:ascii="Arial" w:cs="Arial" w:eastAsia="Arial" w:hAnsi="Arial"/>
          <w:sz w:val="16"/>
          <w:szCs w:val="16"/>
          <w:color w:val="auto"/>
        </w:rPr>
        <w: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4.28</w:t>
      </w:r>
      <w:r>
        <w:rPr>
          <w:sz w:val="20"/>
          <w:szCs w:val="20"/>
          <w:color w:val="auto"/>
        </w:rPr>
        <w:tab/>
      </w:r>
      <w:r>
        <w:rPr>
          <w:rFonts w:ascii="Arial" w:cs="Arial" w:eastAsia="Arial" w:hAnsi="Arial"/>
          <w:sz w:val="16"/>
          <w:szCs w:val="16"/>
          <w:b w:val="1"/>
          <w:bCs w:val="1"/>
          <w:u w:val="single" w:color="auto"/>
          <w:color w:val="auto"/>
        </w:rPr>
        <w:t>[Reserved]</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8"/>
          <w:szCs w:val="18"/>
          <w:color w:val="auto"/>
        </w:rPr>
        <w:t xml:space="preserve">4.29 </w:t>
      </w:r>
      <w:r>
        <w:rPr>
          <w:rFonts w:ascii="Arial" w:cs="Arial" w:eastAsia="Arial" w:hAnsi="Arial"/>
          <w:sz w:val="18"/>
          <w:szCs w:val="18"/>
          <w:b w:val="1"/>
          <w:bCs w:val="1"/>
          <w:u w:val="single" w:color="auto"/>
          <w:color w:val="auto"/>
        </w:rPr>
        <w:t>Hedge Agreements</w:t>
      </w:r>
      <w:r>
        <w:rPr>
          <w:rFonts w:ascii="Arial" w:cs="Arial" w:eastAsia="Arial" w:hAnsi="Arial"/>
          <w:sz w:val="18"/>
          <w:szCs w:val="18"/>
          <w:color w:val="auto"/>
        </w:rPr>
        <w:t>. On each date that any Hedge Agreement is executed by any Hedge Provider, Borrower and each other Loan Party satisfy all eligibility, suitability and other requirements under the Commodity Exchange Act (7 U.S.C. § 1, et seq., as in effect from time to time) and the Commodity Futures Trading Commission regulations.</w:t>
      </w:r>
    </w:p>
    <w:p>
      <w:pPr>
        <w:spacing w:after="0" w:line="144" w:lineRule="exact"/>
        <w:rPr>
          <w:sz w:val="20"/>
          <w:szCs w:val="20"/>
          <w:color w:val="auto"/>
        </w:rPr>
      </w:pPr>
    </w:p>
    <w:p>
      <w:pPr>
        <w:ind w:left="660" w:hanging="652"/>
        <w:spacing w:after="0"/>
        <w:tabs>
          <w:tab w:leader="none" w:pos="660" w:val="left"/>
        </w:tabs>
        <w:numPr>
          <w:ilvl w:val="0"/>
          <w:numId w:val="133"/>
        </w:numPr>
        <w:rPr>
          <w:rFonts w:ascii="Arial" w:cs="Arial" w:eastAsia="Arial" w:hAnsi="Arial"/>
          <w:sz w:val="20"/>
          <w:szCs w:val="20"/>
          <w:b w:val="1"/>
          <w:bCs w:val="1"/>
          <w:color w:val="auto"/>
        </w:rPr>
      </w:pPr>
      <w:r>
        <w:rPr>
          <w:rFonts w:ascii="Arial" w:cs="Arial" w:eastAsia="Arial" w:hAnsi="Arial"/>
          <w:sz w:val="20"/>
          <w:szCs w:val="20"/>
          <w:b w:val="1"/>
          <w:bCs w:val="1"/>
          <w:color w:val="auto"/>
        </w:rPr>
        <w:t>AFFIRMATIVE COVENANTS.</w:t>
      </w:r>
    </w:p>
    <w:p>
      <w:pPr>
        <w:spacing w:after="0" w:line="22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Each Borrower covenants and agrees that, until the termination of all of the Commitments and payment in full of the Obligations:</w:t>
      </w:r>
    </w:p>
    <w:p>
      <w:pPr>
        <w:spacing w:after="0" w:line="17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b w:val="1"/>
          <w:bCs w:val="1"/>
          <w:u w:val="single" w:color="auto"/>
          <w:color w:val="auto"/>
        </w:rPr>
        <w:t>Financial Statements, Reports, Certificates</w:t>
      </w:r>
      <w:r>
        <w:rPr>
          <w:rFonts w:ascii="Arial" w:cs="Arial" w:eastAsia="Arial" w:hAnsi="Arial"/>
          <w:sz w:val="19"/>
          <w:szCs w:val="19"/>
          <w:color w:val="auto"/>
        </w:rPr>
        <w:t xml:space="preserve">. Borrowers (a) will deliver to Agent, with copies to each Lender, each of the financial statements, reports, and other items set forth on </w:t>
      </w:r>
      <w:r>
        <w:rPr>
          <w:rFonts w:ascii="Arial" w:cs="Arial" w:eastAsia="Arial" w:hAnsi="Arial"/>
          <w:sz w:val="19"/>
          <w:szCs w:val="19"/>
          <w:u w:val="single" w:color="auto"/>
          <w:color w:val="auto"/>
        </w:rPr>
        <w:t>Schedule 5.1</w:t>
      </w:r>
      <w:r>
        <w:rPr>
          <w:rFonts w:ascii="Arial" w:cs="Arial" w:eastAsia="Arial" w:hAnsi="Arial"/>
          <w:sz w:val="19"/>
          <w:szCs w:val="19"/>
          <w:color w:val="auto"/>
        </w:rPr>
        <w:t xml:space="preserve"> to this Agreement no later than the times specified therein, (b) agree that no Subsidiary of a Loan Party will have a fiscal year different from that of Administrative Borrower, (c) agree to maintain a system of accounting that enables Borrowers to produce financial statements in accordance with GAAP, and (d) agree that they will, and will cause each other Loan Party to, (i) keep a reporting system that shows all additions, sales, claims, returns, and allowances with respect to their and their Subsidiaries’ sales, and (ii) maintain their billing systems and practices substantially as in effect as of the Closing Date and shall only make material modifications thereto with notice to, and with the consent of, Agent.</w:t>
      </w:r>
    </w:p>
    <w:p>
      <w:pPr>
        <w:spacing w:after="0" w:line="17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9"/>
          <w:szCs w:val="19"/>
          <w:b w:val="1"/>
          <w:bCs w:val="1"/>
          <w:u w:val="single" w:color="auto"/>
          <w:color w:val="auto"/>
        </w:rPr>
        <w:t>Reporting</w:t>
      </w:r>
      <w:r>
        <w:rPr>
          <w:rFonts w:ascii="Arial" w:cs="Arial" w:eastAsia="Arial" w:hAnsi="Arial"/>
          <w:sz w:val="19"/>
          <w:szCs w:val="19"/>
          <w:color w:val="auto"/>
        </w:rPr>
        <w:t xml:space="preserve">. Borrowers (a) will deliver to Agent (and if so requested by Agent, with copies for each Lender) each of the reports set forth on </w:t>
      </w:r>
      <w:r>
        <w:rPr>
          <w:rFonts w:ascii="Arial" w:cs="Arial" w:eastAsia="Arial" w:hAnsi="Arial"/>
          <w:sz w:val="19"/>
          <w:szCs w:val="19"/>
          <w:u w:val="single" w:color="auto"/>
          <w:color w:val="auto"/>
        </w:rPr>
        <w:t>Schedule 5.2</w:t>
      </w:r>
      <w:r>
        <w:rPr>
          <w:rFonts w:ascii="Arial" w:cs="Arial" w:eastAsia="Arial" w:hAnsi="Arial"/>
          <w:sz w:val="19"/>
          <w:szCs w:val="19"/>
          <w:color w:val="auto"/>
        </w:rPr>
        <w:t xml:space="preserve"> to this Agreement at the times specified therein, and (b) agree to use commercially reasonable efforts in cooperation with Agent to facilitate and implement a system of electronic collateral reporting in order to provide electronic reporting of each of the items set forth on such Schedule. Borrowers and Agent hereby agree that the delivery of the Borrowing Base Certificate through Agent’s electronic platform or portal, subject to Agent’s authentication process, by such other electronic method as may be approved by Agent from time to time in its sole discretion, or by such other electronic input of information necessary to calculate the Borrowing Bases as may be approved by Agent from time to time in its sole discretion, shall in each case be deemed to satisfy the obligation of Borrowers to deliver such Borrowing Base Certificate, with the same legal effect as if such Borrowing Base Certificate had been manually executed by Borrowers and delivered to Agent.</w:t>
      </w:r>
    </w:p>
    <w:p>
      <w:pPr>
        <w:spacing w:after="0" w:line="180"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u w:val="single" w:color="auto"/>
          <w:color w:val="auto"/>
        </w:rPr>
        <w:t>Existence</w:t>
      </w:r>
      <w:r>
        <w:rPr>
          <w:rFonts w:ascii="Arial" w:cs="Arial" w:eastAsia="Arial" w:hAnsi="Arial"/>
          <w:sz w:val="18"/>
          <w:szCs w:val="18"/>
          <w:color w:val="auto"/>
        </w:rPr>
        <w:t xml:space="preserve">. Except as otherwise permitted under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6.4</w:t>
      </w:r>
      <w:r>
        <w:rPr>
          <w:rFonts w:ascii="Arial" w:cs="Arial" w:eastAsia="Arial" w:hAnsi="Arial"/>
          <w:sz w:val="18"/>
          <w:szCs w:val="18"/>
          <w:color w:val="auto"/>
        </w:rPr>
        <w:t>, each Loan Party will, and will cause each of its Subsidiaries to, at all times preserve and keep in full force and effect such Person’s valid existence and good standing in its jurisdiction of organization and, except as could not reasonably be expected to result in a Material Adverse Effect, good standing with respect to all other jurisdictions in which it is qualified to do business and any rights, franchises, permits, licenses, accreditations, authorizations, or other approvals material to their businesses.</w:t>
      </w:r>
    </w:p>
    <w:p>
      <w:pPr>
        <w:spacing w:after="0" w:line="15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5.4 </w:t>
      </w:r>
      <w:r>
        <w:rPr>
          <w:rFonts w:ascii="Arial" w:cs="Arial" w:eastAsia="Arial" w:hAnsi="Arial"/>
          <w:sz w:val="19"/>
          <w:szCs w:val="19"/>
          <w:b w:val="1"/>
          <w:bCs w:val="1"/>
          <w:u w:val="single" w:color="auto"/>
          <w:color w:val="auto"/>
        </w:rPr>
        <w:t>Maintenance of Properties</w:t>
      </w:r>
      <w:r>
        <w:rPr>
          <w:rFonts w:ascii="Arial" w:cs="Arial" w:eastAsia="Arial" w:hAnsi="Arial"/>
          <w:sz w:val="19"/>
          <w:szCs w:val="19"/>
          <w:color w:val="auto"/>
        </w:rPr>
        <w:t>. Each Loan Party will, and will cause each of its Subsidiaries to, maintain and preserve all of its assets that are necessary or useful in the proper conduct of its business in good working order and condition, ordinary wear, tear, casualty, and condemnation and Permitted Dispositions excepted.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108" w:name="page109"/>
    <w:bookmarkEnd w:id="108"/>
    <w:p>
      <w:pPr>
        <w:jc w:val="both"/>
        <w:ind w:firstLine="648"/>
        <w:spacing w:after="0" w:line="266" w:lineRule="auto"/>
        <w:rPr>
          <w:sz w:val="20"/>
          <w:szCs w:val="20"/>
          <w:color w:val="auto"/>
        </w:rPr>
      </w:pPr>
      <w:r>
        <w:rPr>
          <w:rFonts w:ascii="Arial" w:cs="Arial" w:eastAsia="Arial" w:hAnsi="Arial"/>
          <w:sz w:val="19"/>
          <w:szCs w:val="19"/>
          <w:color w:val="auto"/>
        </w:rPr>
        <w:t xml:space="preserve">5.5 </w:t>
      </w:r>
      <w:r>
        <w:rPr>
          <w:rFonts w:ascii="Arial" w:cs="Arial" w:eastAsia="Arial" w:hAnsi="Arial"/>
          <w:sz w:val="19"/>
          <w:szCs w:val="19"/>
          <w:b w:val="1"/>
          <w:bCs w:val="1"/>
          <w:u w:val="single" w:color="auto"/>
          <w:color w:val="auto"/>
        </w:rPr>
        <w:t>Taxes</w:t>
      </w:r>
      <w:r>
        <w:rPr>
          <w:rFonts w:ascii="Arial" w:cs="Arial" w:eastAsia="Arial" w:hAnsi="Arial"/>
          <w:sz w:val="19"/>
          <w:szCs w:val="19"/>
          <w:color w:val="auto"/>
        </w:rPr>
        <w:t>. Each Loan Party will, and will cause each of its Subsidiaries to, pay in full before delinquency or before the expiration of any extension period all Taxes imposed, levied, or assessed against it, or any of its assets or in respect of any of its income, businesses, or franchises, other than Taxes not in excess of $500,000 outstanding at any time and other than to the extent that the validity of such Tax is the subject of a Permitted Protest.</w:t>
      </w:r>
    </w:p>
    <w:p>
      <w:pPr>
        <w:spacing w:after="0" w:line="1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5.6</w:t>
      </w:r>
      <w:r>
        <w:rPr>
          <w:sz w:val="20"/>
          <w:szCs w:val="20"/>
          <w:color w:val="auto"/>
        </w:rPr>
        <w:tab/>
      </w:r>
      <w:r>
        <w:rPr>
          <w:rFonts w:ascii="Arial" w:cs="Arial" w:eastAsia="Arial" w:hAnsi="Arial"/>
          <w:sz w:val="16"/>
          <w:szCs w:val="16"/>
          <w:b w:val="1"/>
          <w:bCs w:val="1"/>
          <w:u w:val="single" w:color="auto"/>
          <w:color w:val="auto"/>
        </w:rPr>
        <w:t>Insurance</w:t>
      </w:r>
      <w:r>
        <w:rPr>
          <w:rFonts w:ascii="Arial" w:cs="Arial" w:eastAsia="Arial" w:hAnsi="Arial"/>
          <w:sz w:val="16"/>
          <w:szCs w:val="16"/>
          <w:color w:val="auto"/>
        </w:rPr>
        <w:t>.</w:t>
      </w:r>
    </w:p>
    <w:p>
      <w:pPr>
        <w:spacing w:after="0" w:line="222" w:lineRule="exact"/>
        <w:rPr>
          <w:sz w:val="20"/>
          <w:szCs w:val="20"/>
          <w:color w:val="auto"/>
        </w:rPr>
      </w:pPr>
    </w:p>
    <w:p>
      <w:pPr>
        <w:jc w:val="both"/>
        <w:ind w:firstLine="1304"/>
        <w:spacing w:after="0" w:line="268" w:lineRule="auto"/>
        <w:tabs>
          <w:tab w:leader="none" w:pos="194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Each Loan Party will, and will cause each of its Subsidiaries to, at Borrowers’ expense, maintain insurance respecting each of each Loan Party’s and its Subsidiaries’ assets wherever located, covering liabilities, losses or damages as are customarily are insured against by other Persons engaged in same or similar businesses and similarly situated and located. All such policies of insurance shall be with financially sound and reputable insurance companies reasonably acceptable to Agent (it being agreed that, as of the Closing Date, the Loan Parties’ existing insurance providers as set forth in the certificates of insurance delivered to Agent on or about the Closing Date shall be deemed to be acceptable to Agent) and in such amounts as is carried generally in accordance with sound business practice by companies in similar businesses similarly situated and located and, in any event, in amount, adequacy, and scope reasonably satisfactory to Agent (it being agreed that the amount, adequacy, and scope of the policies of insurance of Borrowers in effect as of the Closing Date are acceptable to Agent). All property insurance policies are to be made payable to Agent for the benefit of Agent and the Lenders, as their interests may appear, in case of loss, pursuant to a standard lender’s loss payable endorsement with a standard non-contributory “lender” or “secured party” clause and are to contain such other provisions as Agent may reasonably require to fully protect the Lenders’ interest in the Collateral and to any payments to be made under such policies. All certificates of property and general liability insurance are to be delivered to Agent, with the lender’s loss payable and additional insured endorsements in favor of Agent and shall provide for not less than thirty days (ten days in the case of non-payment) prior written notice to Agent of the exercise of any right of cancellation. If any Loan Party or its Subsidiaries fails to maintain such insurance, Agent may arrange for such insurance, but at Borrowers’ expense and without any responsibility on Agent’s part for obtaining the insurance, the solvency of the insurance companies, the adequacy of the coverage, or the collection of claims.</w:t>
      </w:r>
    </w:p>
    <w:p>
      <w:pPr>
        <w:spacing w:after="0" w:line="184" w:lineRule="exact"/>
        <w:rPr>
          <w:rFonts w:ascii="Arial" w:cs="Arial" w:eastAsia="Arial" w:hAnsi="Arial"/>
          <w:sz w:val="18"/>
          <w:szCs w:val="18"/>
          <w:color w:val="auto"/>
        </w:rPr>
      </w:pPr>
    </w:p>
    <w:p>
      <w:pPr>
        <w:jc w:val="both"/>
        <w:ind w:firstLine="1304"/>
        <w:spacing w:after="0" w:line="276" w:lineRule="auto"/>
        <w:tabs>
          <w:tab w:leader="none" w:pos="194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Borrowers shall give Agent prompt notice of any loss exceeding $500,000 covered by the casualty or business interruption insurance of any Loan Party or its Subsidiaries. Upon the occurrence and during the continuance of an Event of Default, Agent shall have the sole right to file claims under any property and general liability insurance policies in respect of the Collateral,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w:t>
      </w:r>
    </w:p>
    <w:p>
      <w:pPr>
        <w:spacing w:after="0" w:line="164" w:lineRule="exact"/>
        <w:rPr>
          <w:rFonts w:ascii="Arial" w:cs="Arial" w:eastAsia="Arial" w:hAnsi="Arial"/>
          <w:sz w:val="18"/>
          <w:szCs w:val="18"/>
          <w:color w:val="auto"/>
        </w:rPr>
      </w:pPr>
    </w:p>
    <w:p>
      <w:pPr>
        <w:jc w:val="both"/>
        <w:ind w:firstLine="1304"/>
        <w:spacing w:after="0" w:line="244" w:lineRule="auto"/>
        <w:tabs>
          <w:tab w:leader="none" w:pos="1944" w:val="left"/>
        </w:tabs>
        <w:numPr>
          <w:ilvl w:val="0"/>
          <w:numId w:val="134"/>
        </w:numPr>
        <w:rPr>
          <w:rFonts w:ascii="Arial" w:cs="Arial" w:eastAsia="Arial" w:hAnsi="Arial"/>
          <w:sz w:val="20"/>
          <w:szCs w:val="20"/>
          <w:color w:val="auto"/>
        </w:rPr>
      </w:pPr>
      <w:r>
        <w:rPr>
          <w:rFonts w:ascii="Arial" w:cs="Arial" w:eastAsia="Arial" w:hAnsi="Arial"/>
          <w:sz w:val="20"/>
          <w:szCs w:val="20"/>
          <w:color w:val="auto"/>
        </w:rPr>
        <w:t>If at any time the area in which any Real Property that is subject to a Mortgage is located is designated a “flood hazard area” in any Flood Insurance Rate Map published by the Federal Emergency Management Agency (or any successor agency), obtain flood insurance in such total amount and on terms that are satisfactory to Agent and all Lenders from time to time, and otherwise comply with the Flood Laws or as is otherwise satisfactory to Agent and all Lenders.</w:t>
      </w:r>
    </w:p>
    <w:p>
      <w:pPr>
        <w:spacing w:after="0" w:line="1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5.7</w:t>
      </w:r>
      <w:r>
        <w:rPr>
          <w:sz w:val="20"/>
          <w:szCs w:val="20"/>
          <w:color w:val="auto"/>
        </w:rPr>
        <w:tab/>
      </w:r>
      <w:r>
        <w:rPr>
          <w:rFonts w:ascii="Arial" w:cs="Arial" w:eastAsia="Arial" w:hAnsi="Arial"/>
          <w:sz w:val="16"/>
          <w:szCs w:val="16"/>
          <w:b w:val="1"/>
          <w:bCs w:val="1"/>
          <w:u w:val="single" w:color="auto"/>
          <w:color w:val="auto"/>
        </w:rPr>
        <w:t>Inspection</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1304"/>
        <w:spacing w:after="0" w:line="246" w:lineRule="auto"/>
        <w:tabs>
          <w:tab w:leader="none" w:pos="1944" w:val="left"/>
        </w:tabs>
        <w:numPr>
          <w:ilvl w:val="0"/>
          <w:numId w:val="135"/>
        </w:numPr>
        <w:rPr>
          <w:rFonts w:ascii="Arial" w:cs="Arial" w:eastAsia="Arial" w:hAnsi="Arial"/>
          <w:sz w:val="20"/>
          <w:szCs w:val="20"/>
          <w:color w:val="auto"/>
        </w:rPr>
      </w:pPr>
      <w:r>
        <w:rPr>
          <w:rFonts w:ascii="Arial" w:cs="Arial" w:eastAsia="Arial" w:hAnsi="Arial"/>
          <w:sz w:val="20"/>
          <w:szCs w:val="20"/>
          <w:color w:val="auto"/>
        </w:rPr>
        <w:t>Each Loan Party will, and will cause each of its Subsidiaries to, permit Agent, any Lender, and each of their respective duly authorized representatives or agents to visit any of its properties and inspect any of its assets or books and records, to examine and make copies of its books and records, and to discuss its affairs, finances, and accounts with, and to be advised as to the same by, its officers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109" w:name="page110"/>
    <w:bookmarkEnd w:id="109"/>
    <w:p>
      <w:pPr>
        <w:jc w:val="both"/>
        <w:spacing w:after="0" w:line="283" w:lineRule="auto"/>
        <w:rPr>
          <w:sz w:val="20"/>
          <w:szCs w:val="20"/>
          <w:color w:val="auto"/>
        </w:rPr>
      </w:pPr>
      <w:r>
        <w:rPr>
          <w:rFonts w:ascii="Arial" w:cs="Arial" w:eastAsia="Arial" w:hAnsi="Arial"/>
          <w:sz w:val="18"/>
          <w:szCs w:val="18"/>
          <w:color w:val="auto"/>
        </w:rPr>
        <w:t>employees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 authorized representative of a Borrower shall be allowed to be present) at such reasonable times and intervals as Agent or any Lender, as applicable, may designate and, so long as no Default or Event of Default has occurred and is continuing, with reasonable prior notice to Borrowers and during regular business hours, at Borrowers’ expense in accordance with the provisions of the Fee Letter, subject to the limitations set forth below in </w:t>
      </w:r>
      <w:r>
        <w:rPr>
          <w:rFonts w:ascii="Arial" w:cs="Arial" w:eastAsia="Arial" w:hAnsi="Arial"/>
          <w:sz w:val="18"/>
          <w:szCs w:val="18"/>
          <w:u w:val="single" w:color="auto"/>
          <w:color w:val="auto"/>
        </w:rPr>
        <w:t>Section 5.7(c)</w:t>
      </w:r>
      <w:r>
        <w:rPr>
          <w:rFonts w:ascii="Arial" w:cs="Arial" w:eastAsia="Arial" w:hAnsi="Arial"/>
          <w:sz w:val="18"/>
          <w:szCs w:val="18"/>
          <w:color w:val="auto"/>
        </w:rPr>
        <w:t>.</w:t>
      </w:r>
    </w:p>
    <w:p>
      <w:pPr>
        <w:spacing w:after="0" w:line="159" w:lineRule="exact"/>
        <w:rPr>
          <w:sz w:val="20"/>
          <w:szCs w:val="20"/>
          <w:color w:val="auto"/>
        </w:rPr>
      </w:pPr>
    </w:p>
    <w:p>
      <w:pPr>
        <w:jc w:val="both"/>
        <w:ind w:firstLine="1304"/>
        <w:spacing w:after="0" w:line="246" w:lineRule="auto"/>
        <w:tabs>
          <w:tab w:leader="none" w:pos="1944" w:val="left"/>
        </w:tabs>
        <w:numPr>
          <w:ilvl w:val="0"/>
          <w:numId w:val="136"/>
        </w:numPr>
        <w:rPr>
          <w:rFonts w:ascii="Arial" w:cs="Arial" w:eastAsia="Arial" w:hAnsi="Arial"/>
          <w:sz w:val="20"/>
          <w:szCs w:val="20"/>
          <w:color w:val="auto"/>
        </w:rPr>
      </w:pPr>
      <w:r>
        <w:rPr>
          <w:rFonts w:ascii="Arial" w:cs="Arial" w:eastAsia="Arial" w:hAnsi="Arial"/>
          <w:sz w:val="20"/>
          <w:szCs w:val="20"/>
          <w:color w:val="auto"/>
        </w:rPr>
        <w:t xml:space="preserve">Each Loan Party will, and will cause each of its Subsidiaries to, permit Agent and each of its duly authorized representatives or agents to conduct field examinations, appraisals or valuations at such reasonable times and intervals as Agent may designate, at Borrowers’ expense in accordance with the provisions of the Fee Letter, subject to the limitations set forth below in </w:t>
      </w:r>
      <w:r>
        <w:rPr>
          <w:rFonts w:ascii="Arial" w:cs="Arial" w:eastAsia="Arial" w:hAnsi="Arial"/>
          <w:sz w:val="20"/>
          <w:szCs w:val="20"/>
          <w:u w:val="single" w:color="auto"/>
          <w:color w:val="auto"/>
        </w:rPr>
        <w:t>Section 5.7(c)</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firstLine="1304"/>
        <w:spacing w:after="0" w:line="273" w:lineRule="auto"/>
        <w:tabs>
          <w:tab w:leader="none" w:pos="1944"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So long as no Event of Default shall have occurred and be continuing during a calendar year, Borrowers shall not be obligated to reimburse Agent for more than 1 field examination in such calendar year (increasing to 2 field examinations if an Increased Reporting Event has occurred during such calendar year), 1 inventory appraisal in such calendar year (increasing to 2 inventory appraisals if an Increased Reporting Event has occurred during such calendar year), and 1 equipment appraisal in such calendar year (increasing to 2 equipment appraisals if an Increased Reporting Event has occurred during such calendar year), in each case, except for field examinations and appraisals conducted on assets or a Target in connection with a proposed Permitted Acquisition (whether or not consummated) that are to be intended to be included in the Borrowing Base, and except for field examinations and appraisals conducted prior to the Closing Date.</w:t>
      </w:r>
    </w:p>
    <w:p>
      <w:pPr>
        <w:spacing w:after="0" w:line="16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5.8 </w:t>
      </w:r>
      <w:r>
        <w:rPr>
          <w:rFonts w:ascii="Arial" w:cs="Arial" w:eastAsia="Arial" w:hAnsi="Arial"/>
          <w:sz w:val="20"/>
          <w:szCs w:val="20"/>
          <w:b w:val="1"/>
          <w:bCs w:val="1"/>
          <w:u w:val="single" w:color="auto"/>
          <w:color w:val="auto"/>
        </w:rPr>
        <w:t>Compliance with Laws</w:t>
      </w:r>
      <w:r>
        <w:rPr>
          <w:rFonts w:ascii="Arial" w:cs="Arial" w:eastAsia="Arial" w:hAnsi="Arial"/>
          <w:sz w:val="20"/>
          <w:szCs w:val="20"/>
          <w:color w:val="auto"/>
        </w:rPr>
        <w:t>. Each Loan Party will, and will cause each of its Subsidiaries to, comply with the requirements of all applicable laws, rules, regulations, and orders of any Governmental Authority, other than laws, rules, regulations, and orders the non-compliance with which, individually or in the aggregate, could not reasonably be expected to result in a Material Adverse Effect.</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5.9</w:t>
      </w:r>
      <w:r>
        <w:rPr>
          <w:sz w:val="20"/>
          <w:szCs w:val="20"/>
          <w:color w:val="auto"/>
        </w:rPr>
        <w:tab/>
      </w:r>
      <w:r>
        <w:rPr>
          <w:rFonts w:ascii="Arial" w:cs="Arial" w:eastAsia="Arial" w:hAnsi="Arial"/>
          <w:sz w:val="18"/>
          <w:szCs w:val="18"/>
          <w:b w:val="1"/>
          <w:bCs w:val="1"/>
          <w:u w:val="single" w:color="auto"/>
          <w:color w:val="auto"/>
        </w:rPr>
        <w:t>Environmental</w:t>
      </w:r>
      <w:r>
        <w:rPr>
          <w:rFonts w:ascii="Arial" w:cs="Arial" w:eastAsia="Arial" w:hAnsi="Arial"/>
          <w:sz w:val="18"/>
          <w:szCs w:val="18"/>
          <w:color w:val="auto"/>
        </w:rPr>
        <w:t>. Each Loan Party will, and will cause each of its Subsidiaries to,</w:t>
      </w:r>
    </w:p>
    <w:p>
      <w:pPr>
        <w:spacing w:after="0" w:line="222" w:lineRule="exact"/>
        <w:rPr>
          <w:sz w:val="20"/>
          <w:szCs w:val="20"/>
          <w:color w:val="auto"/>
        </w:rPr>
      </w:pPr>
    </w:p>
    <w:p>
      <w:pPr>
        <w:jc w:val="both"/>
        <w:ind w:firstLine="1304"/>
        <w:spacing w:after="0" w:line="250" w:lineRule="auto"/>
        <w:tabs>
          <w:tab w:leader="none" w:pos="1944" w:val="left"/>
        </w:tabs>
        <w:numPr>
          <w:ilvl w:val="0"/>
          <w:numId w:val="137"/>
        </w:numPr>
        <w:rPr>
          <w:rFonts w:ascii="Arial" w:cs="Arial" w:eastAsia="Arial" w:hAnsi="Arial"/>
          <w:sz w:val="20"/>
          <w:szCs w:val="20"/>
          <w:color w:val="auto"/>
        </w:rPr>
      </w:pPr>
      <w:r>
        <w:rPr>
          <w:rFonts w:ascii="Arial" w:cs="Arial" w:eastAsia="Arial" w:hAnsi="Arial"/>
          <w:sz w:val="20"/>
          <w:szCs w:val="20"/>
          <w:color w:val="auto"/>
        </w:rPr>
        <w:t>Keep any property either owned or operated by any Loan Party or its Subsidiaries free of any Environmental Liens or post bonds or other financial assurances sufficient to satisfy the obligations or liability evidenced by such Environmental Liens,</w:t>
      </w:r>
    </w:p>
    <w:p>
      <w:pPr>
        <w:spacing w:after="0" w:line="185"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137"/>
        </w:numPr>
        <w:rPr>
          <w:rFonts w:ascii="Arial" w:cs="Arial" w:eastAsia="Arial" w:hAnsi="Arial"/>
          <w:sz w:val="20"/>
          <w:szCs w:val="20"/>
          <w:color w:val="auto"/>
        </w:rPr>
      </w:pPr>
      <w:r>
        <w:rPr>
          <w:rFonts w:ascii="Arial" w:cs="Arial" w:eastAsia="Arial" w:hAnsi="Arial"/>
          <w:sz w:val="20"/>
          <w:szCs w:val="20"/>
          <w:color w:val="auto"/>
        </w:rPr>
        <w:t>Comply with Environmental Laws, except where failure to do so, individually or in the aggregate, could not reasonably be expected to have a Material Adverse Effect, and provide to Agent documentation of such compliance which Agent reasonably requests,</w:t>
      </w:r>
    </w:p>
    <w:p>
      <w:pPr>
        <w:spacing w:after="0" w:line="185" w:lineRule="exact"/>
        <w:rPr>
          <w:rFonts w:ascii="Arial" w:cs="Arial" w:eastAsia="Arial" w:hAnsi="Arial"/>
          <w:sz w:val="20"/>
          <w:szCs w:val="20"/>
          <w:color w:val="auto"/>
        </w:rPr>
      </w:pPr>
    </w:p>
    <w:p>
      <w:pPr>
        <w:jc w:val="both"/>
        <w:ind w:firstLine="1304"/>
        <w:spacing w:after="0" w:line="244" w:lineRule="auto"/>
        <w:tabs>
          <w:tab w:leader="none" w:pos="1944" w:val="left"/>
        </w:tabs>
        <w:numPr>
          <w:ilvl w:val="0"/>
          <w:numId w:val="137"/>
        </w:numPr>
        <w:rPr>
          <w:rFonts w:ascii="Arial" w:cs="Arial" w:eastAsia="Arial" w:hAnsi="Arial"/>
          <w:sz w:val="20"/>
          <w:szCs w:val="20"/>
          <w:color w:val="auto"/>
        </w:rPr>
      </w:pPr>
      <w:r>
        <w:rPr>
          <w:rFonts w:ascii="Arial" w:cs="Arial" w:eastAsia="Arial" w:hAnsi="Arial"/>
          <w:sz w:val="20"/>
          <w:szCs w:val="20"/>
          <w:color w:val="auto"/>
        </w:rPr>
        <w:t>Promptly notify Agent of any release of which any Loan Party has knowledge of a Hazardous Material in any reportable quantity from or onto property owned or operated by any Loan Party or its Subsidiaries and take any Remedial Actions required to abate said release or otherwise to come into compliance with applicable Environmental Law, except where failure to do so, individually or in the aggregate, could not reasonably be expected to have a Material Adverse Effect, and</w:t>
      </w:r>
    </w:p>
    <w:p>
      <w:pPr>
        <w:spacing w:after="0" w:line="194" w:lineRule="exact"/>
        <w:rPr>
          <w:rFonts w:ascii="Arial" w:cs="Arial" w:eastAsia="Arial" w:hAnsi="Arial"/>
          <w:sz w:val="20"/>
          <w:szCs w:val="20"/>
          <w:color w:val="auto"/>
        </w:rPr>
      </w:pPr>
    </w:p>
    <w:p>
      <w:pPr>
        <w:jc w:val="both"/>
        <w:ind w:firstLine="1304"/>
        <w:spacing w:after="0" w:line="244" w:lineRule="auto"/>
        <w:tabs>
          <w:tab w:leader="none" w:pos="1944" w:val="left"/>
        </w:tabs>
        <w:numPr>
          <w:ilvl w:val="0"/>
          <w:numId w:val="137"/>
        </w:numPr>
        <w:rPr>
          <w:rFonts w:ascii="Arial" w:cs="Arial" w:eastAsia="Arial" w:hAnsi="Arial"/>
          <w:sz w:val="20"/>
          <w:szCs w:val="20"/>
          <w:color w:val="auto"/>
        </w:rPr>
      </w:pPr>
      <w:r>
        <w:rPr>
          <w:rFonts w:ascii="Arial" w:cs="Arial" w:eastAsia="Arial" w:hAnsi="Arial"/>
          <w:sz w:val="20"/>
          <w:szCs w:val="20"/>
          <w:color w:val="auto"/>
        </w:rPr>
        <w:t>Promptly, but in any event within five Business Days of its receipt thereof, provide Agent with written notice of any of the following: (i) notice that an Environmental Lien has been filed against any of the real or personal property of a Loan Party or its Subsidiaries, (ii) commencement of any Environmental Action or written notice that an Environmental Action will be filed against a Loan Party or its Subsidiaries, and (iii) written notice of a material violation, citation, or other administrative order from a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0" w:name="page111"/>
    <w:bookmarkEnd w:id="110"/>
    <w:p>
      <w:pPr>
        <w:jc w:val="both"/>
        <w:ind w:firstLine="648"/>
        <w:spacing w:after="0" w:line="259" w:lineRule="auto"/>
        <w:rPr>
          <w:sz w:val="20"/>
          <w:szCs w:val="20"/>
          <w:color w:val="auto"/>
        </w:rPr>
      </w:pPr>
      <w:r>
        <w:rPr>
          <w:rFonts w:ascii="Arial" w:cs="Arial" w:eastAsia="Arial" w:hAnsi="Arial"/>
          <w:sz w:val="19"/>
          <w:szCs w:val="19"/>
          <w:color w:val="auto"/>
        </w:rPr>
        <w:t xml:space="preserve">5.10 </w:t>
      </w:r>
      <w:r>
        <w:rPr>
          <w:rFonts w:ascii="Arial" w:cs="Arial" w:eastAsia="Arial" w:hAnsi="Arial"/>
          <w:sz w:val="19"/>
          <w:szCs w:val="19"/>
          <w:b w:val="1"/>
          <w:bCs w:val="1"/>
          <w:u w:val="single" w:color="auto"/>
          <w:color w:val="auto"/>
        </w:rPr>
        <w:t>Disclosure Updates</w:t>
      </w:r>
      <w:r>
        <w:rPr>
          <w:rFonts w:ascii="Arial" w:cs="Arial" w:eastAsia="Arial" w:hAnsi="Arial"/>
          <w:sz w:val="19"/>
          <w:szCs w:val="19"/>
          <w:color w:val="auto"/>
        </w:rPr>
        <w:t>. Each Loan Party will, promptly and in no event later than five Business Days after obtaining knowledge thereof, notify Agent if any written information, exhibit, or report furnished to Agent or the Lenders contained, at the time it was furnished, any untrue statement of a material fact or omitted to state any material fact necessary to make the statements contained therein not misleading in light of the circumstances in which made. The foregoing to the contrary notwithstanding, any notification pursuant to the foregoing provision will not cure or remedy the effect of the prior untrue statement of a material fact or omission of any material fact nor shall any such notification have the effect of amending or modifying this Agreement or any of the Schedules hereto.</w:t>
      </w:r>
    </w:p>
    <w:p>
      <w:pPr>
        <w:spacing w:after="0" w:line="1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b w:val="1"/>
          <w:bCs w:val="1"/>
          <w:u w:val="single" w:color="auto"/>
          <w:color w:val="auto"/>
        </w:rPr>
        <w:t>Formation of Subsidiaries</w:t>
      </w:r>
      <w:r>
        <w:rPr>
          <w:rFonts w:ascii="Arial" w:cs="Arial" w:eastAsia="Arial" w:hAnsi="Arial"/>
          <w:sz w:val="18"/>
          <w:szCs w:val="18"/>
          <w:color w:val="auto"/>
        </w:rPr>
        <w:t xml:space="preserve">. Unless such Subsidiary is an Excluded Subsidiary, each Loan Party will, at the time that any Loan Party forms any direct or indirect Subsidiary, acquires any direct or indirect Subsidiary after the Closing Date, or at any time when any direct or indirect Subsidiary of a Loan Party that previously was an Excluded Subsidiary ceases to be an Excluded Subsidiary, within ten days of such event (or such later date as permitted by Agent in its sole discretion) (a) cause such new Subsidiary (i) if such Subsidiary is a Domestic Subsidiary and Administrative Borrower requests, subject to the consent of Agent, that such Domestic Subsidiary be joined as a Borrower hereunder, to provide to Agent a Joinder to this Agreement, and (ii) to provide to Agent a joinder to the Guaranty and Security Agreement, in each case, together with such other security agreements (including Mortgages with respect to any Real Property owned in fee of such new Subsidiary with a fair market value of greater than $5,000,000), as well as appropriate financing statements (and with respect to all property subject to a Mortgage, fixture filings), all in form and substance reasonably satisfactory to Agent (including being sufficient to grant Agent a first priority Lien (subject to Permitted Liens) in and to the assets of such newly formed or acquired Subsidiary), (b) provide, or cause the applicable Loan Party to provide, to Agent a pledge agreement (or an addendum to the Guaranty and Security Agreement) and appropriate certificates and powers or financing statements, pledging all of the direct or beneficial ownership interest in such new Subsidiary in form and substance reasonably satisfactory to Agent (which pledge, if reasonably requested by Agent, shall be governed by the laws of the jurisdiction of such Subsidiary), and (c) provide to Agent all other documentation, including the Governing Documents of such Subsidiary and one or more opinions of counsel reasonably satisfactory to Agent, which, in its opinion, is appropriate with respect to the execution and delivery of the applicable documentation referred to above (including policies of title insurance, flood certification documentation or other documentation with respect to all Real Property owned in fee and subject to a mortgage). Any document, agreement, or instrument executed or issued pursuant to this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shall constitute a Loan Document.</w:t>
      </w:r>
    </w:p>
    <w:p>
      <w:pPr>
        <w:spacing w:after="0" w:line="18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b w:val="1"/>
          <w:bCs w:val="1"/>
          <w:u w:val="single" w:color="auto"/>
          <w:color w:val="auto"/>
        </w:rPr>
        <w:t>Further Assurances</w:t>
      </w:r>
      <w:r>
        <w:rPr>
          <w:rFonts w:ascii="Arial" w:cs="Arial" w:eastAsia="Arial" w:hAnsi="Arial"/>
          <w:sz w:val="18"/>
          <w:szCs w:val="18"/>
          <w:color w:val="auto"/>
        </w:rPr>
        <w:t>. Each Loan Party will, and will cause each of the other Loan Parties to, at any time upon the reasonable request of Agent, execute or deliver to Agent any and all financing statements, fixture filings, security agreements, pledges, assignments, mortgages, deeds of trust, opinions of counsel, and all other documents (the “</w:t>
      </w:r>
      <w:r>
        <w:rPr>
          <w:rFonts w:ascii="Arial" w:cs="Arial" w:eastAsia="Arial" w:hAnsi="Arial"/>
          <w:sz w:val="18"/>
          <w:szCs w:val="18"/>
          <w:u w:val="single" w:color="auto"/>
          <w:color w:val="auto"/>
        </w:rPr>
        <w:t>Additional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Documents</w:t>
      </w:r>
      <w:r>
        <w:rPr>
          <w:rFonts w:ascii="Arial" w:cs="Arial" w:eastAsia="Arial" w:hAnsi="Arial"/>
          <w:sz w:val="18"/>
          <w:szCs w:val="18"/>
          <w:color w:val="auto"/>
        </w:rPr>
        <w:t xml:space="preserve">”) that Agent may reasonably request in form and substance reasonably satisfactory to Agent, to create, perfect, and continue perfected or to better perfect Agent’s Liens in all of the assets of each of the Loan Parties (whether now owned or hereafter arising or acquired, tangible or intangible, real or personal) (other than any assets expressly excluded from the Collateral (as defined in the Guaranty and Security Agreement) pursuant to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the Guaranty and Security Agreement), to create and perfect Liens in favor of Agent in any Real Property acquired by any other Loan Party with a fair market value in excess of $5,000,000, and in order to fully consummate all of the transactions contemplated hereby and under the other Loan Documents. To the maximum extent permitted by applicable law, if any Borrower or any other Loan Party refuses or fails to execute or deliver any reasonably requested Additional Documents within a reasonable period of time not to exceed 10 Business Days following the request to do so, each Borrower and each other Loan Party hereby authorizes Agent to execute any such Additional Documents in the applicable Loan Party’s name and authorizes Agent to file such executed Additional Documents in any appropriate filing office. In furtherance of, and not in limitation of, the foregoing, each Loan Party shall take such actions as Agent may reasonably request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111" w:name="page112"/>
    <w:bookmarkEnd w:id="111"/>
    <w:p>
      <w:pPr>
        <w:jc w:val="both"/>
        <w:spacing w:after="0" w:line="270" w:lineRule="auto"/>
        <w:rPr>
          <w:sz w:val="20"/>
          <w:szCs w:val="20"/>
          <w:color w:val="auto"/>
        </w:rPr>
      </w:pPr>
      <w:r>
        <w:rPr>
          <w:rFonts w:ascii="Arial" w:cs="Arial" w:eastAsia="Arial" w:hAnsi="Arial"/>
          <w:sz w:val="18"/>
          <w:szCs w:val="18"/>
          <w:color w:val="auto"/>
        </w:rPr>
        <w:t xml:space="preserve">time to time to ensure that the Obligations are guaranteed by the Guarantors and are secured by substantially all of the assets of the Loan Parties, including all of the outstanding capital Equity Interests of each Borrower and its Subsidiaries (in each case, other than with respect to any assets expressly excluded from the Collateral (as defined in the Guaranty and Security Agreement) pursuant to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the Guaranty and Security Agreement). Notwithstanding anything to the contrary contained herein (including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hereof and this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 or in any other Loan Document, (x) Agent shall not accept delivery of any Mortgage from any Loan Party unless each of the Lenders has received 45 days prior written notice thereof and Agent has received confirmation from each Lender that such Lender has completed its flood insurance diligence, has received copies of all flood insurance documentation and has confirmed that flood insurance compliance has been completed as required by the Flood Laws or as otherwise satisfactory to such Lender and (y) Agent shall not accept delivery of any joinder to any Loan Document with respect to any Subsidiary of any Loan Party that is not a Loan Party, if such Subsidiary that qualifies as a “legal entity customer” under the Beneficial Ownership Regulation unless such Subsidiary has delivered a Beneficial Ownership Certification in relation to such Subsidiary and Agent has completed its Patriot Act searches, OFAC/PEP searches and customary individual background checks for such Subsidiary, the results of which shall be satisfactory to Agent.</w:t>
      </w:r>
    </w:p>
    <w:p>
      <w:pPr>
        <w:spacing w:after="0" w:line="164"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b w:val="1"/>
          <w:bCs w:val="1"/>
          <w:u w:val="single" w:color="auto"/>
          <w:color w:val="auto"/>
        </w:rPr>
        <w:t>Lender Meetings</w:t>
      </w:r>
      <w:r>
        <w:rPr>
          <w:rFonts w:ascii="Arial" w:cs="Arial" w:eastAsia="Arial" w:hAnsi="Arial"/>
          <w:sz w:val="18"/>
          <w:szCs w:val="18"/>
          <w:color w:val="auto"/>
        </w:rPr>
        <w:t>. Borrowers will, within 90 days after the close of each fiscal year of Administrative Borrower, at the request of Agent or of the Required Lenders and upon reasonable prior notice, hold a meeting (at a mutually agreeable location and time or, at the option of Agent, by conference call) with all Lenders who choose to attend such meeting at which meeting shall be reviewed the financial results of the previous fiscal year and the financial condition of the Loan Parties and their Subsidiaries and the projections presented for the current fiscal year of Administrative Borrower.</w:t>
      </w:r>
    </w:p>
    <w:p>
      <w:pPr>
        <w:spacing w:after="0" w:line="1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5.14 </w:t>
      </w:r>
      <w:r>
        <w:rPr>
          <w:rFonts w:ascii="Arial" w:cs="Arial" w:eastAsia="Arial" w:hAnsi="Arial"/>
          <w:sz w:val="19"/>
          <w:szCs w:val="19"/>
          <w:b w:val="1"/>
          <w:bCs w:val="1"/>
          <w:u w:val="single" w:color="auto"/>
          <w:color w:val="auto"/>
        </w:rPr>
        <w:t>Location of Inventory and M&amp;E; Chief Executive Office</w:t>
      </w:r>
      <w:r>
        <w:rPr>
          <w:rFonts w:ascii="Arial" w:cs="Arial" w:eastAsia="Arial" w:hAnsi="Arial"/>
          <w:sz w:val="19"/>
          <w:szCs w:val="19"/>
          <w:color w:val="auto"/>
        </w:rPr>
        <w:t xml:space="preserve">. Each Loan Party will keep (a) their Inventory and M&amp;E (other than Inventory and M&amp;E with an aggregate value of less than $2,500,000) only at, or in-transit between, or in-transit to or from any port of entry, the locations identified on </w:t>
      </w:r>
      <w:r>
        <w:rPr>
          <w:rFonts w:ascii="Arial" w:cs="Arial" w:eastAsia="Arial" w:hAnsi="Arial"/>
          <w:sz w:val="19"/>
          <w:szCs w:val="19"/>
          <w:u w:val="single" w:color="auto"/>
          <w:color w:val="auto"/>
        </w:rPr>
        <w:t>Schedule 4.25</w:t>
      </w:r>
      <w:r>
        <w:rPr>
          <w:rFonts w:ascii="Arial" w:cs="Arial" w:eastAsia="Arial" w:hAnsi="Arial"/>
          <w:sz w:val="19"/>
          <w:szCs w:val="19"/>
          <w:color w:val="auto"/>
        </w:rPr>
        <w:t xml:space="preserve"> to this Agreement (provided that Borrowers may amend </w:t>
      </w:r>
      <w:r>
        <w:rPr>
          <w:rFonts w:ascii="Arial" w:cs="Arial" w:eastAsia="Arial" w:hAnsi="Arial"/>
          <w:sz w:val="19"/>
          <w:szCs w:val="19"/>
          <w:u w:val="single" w:color="auto"/>
          <w:color w:val="auto"/>
        </w:rPr>
        <w:t>Schedule 4.25</w:t>
      </w:r>
      <w:r>
        <w:rPr>
          <w:rFonts w:ascii="Arial" w:cs="Arial" w:eastAsia="Arial" w:hAnsi="Arial"/>
          <w:sz w:val="19"/>
          <w:szCs w:val="19"/>
          <w:color w:val="auto"/>
        </w:rPr>
        <w:t xml:space="preserve"> to this Agreement so long as such amendment occurs by written notice to Agent not less than ten days prior to the date on which such Inventory or M&amp;E is moved to such new location and such new location is within the continental United States or Canada), and (b) their respective chief executive offices only at the locations identified on Schedule 7 to the Guaranty and Security Agreement. Each Loan Party will use its commercially reasonable efforts to obtain Collateral Access Agreements for each of the locations identified on </w:t>
      </w:r>
      <w:r>
        <w:rPr>
          <w:rFonts w:ascii="Arial" w:cs="Arial" w:eastAsia="Arial" w:hAnsi="Arial"/>
          <w:sz w:val="19"/>
          <w:szCs w:val="19"/>
          <w:u w:val="single" w:color="auto"/>
          <w:color w:val="auto"/>
        </w:rPr>
        <w:t>Schedule 7</w:t>
      </w:r>
      <w:r>
        <w:rPr>
          <w:rFonts w:ascii="Arial" w:cs="Arial" w:eastAsia="Arial" w:hAnsi="Arial"/>
          <w:sz w:val="19"/>
          <w:szCs w:val="19"/>
          <w:color w:val="auto"/>
        </w:rPr>
        <w:t xml:space="preserve"> to the Guaranty and Security Agreement and </w:t>
      </w:r>
      <w:r>
        <w:rPr>
          <w:rFonts w:ascii="Arial" w:cs="Arial" w:eastAsia="Arial" w:hAnsi="Arial"/>
          <w:sz w:val="19"/>
          <w:szCs w:val="19"/>
          <w:u w:val="single" w:color="auto"/>
          <w:color w:val="auto"/>
        </w:rPr>
        <w:t>Schedule 4.25</w:t>
      </w:r>
      <w:r>
        <w:rPr>
          <w:rFonts w:ascii="Arial" w:cs="Arial" w:eastAsia="Arial" w:hAnsi="Arial"/>
          <w:sz w:val="19"/>
          <w:szCs w:val="19"/>
          <w:color w:val="auto"/>
        </w:rPr>
        <w:t xml:space="preserve"> to this Agreement.</w:t>
      </w:r>
    </w:p>
    <w:p>
      <w:pPr>
        <w:spacing w:after="0" w:line="17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 xml:space="preserve">5.15 </w:t>
      </w:r>
      <w:r>
        <w:rPr>
          <w:rFonts w:ascii="Arial" w:cs="Arial" w:eastAsia="Arial" w:hAnsi="Arial"/>
          <w:sz w:val="20"/>
          <w:szCs w:val="20"/>
          <w:b w:val="1"/>
          <w:bCs w:val="1"/>
          <w:u w:val="single" w:color="auto"/>
          <w:color w:val="auto"/>
        </w:rPr>
        <w:t>OFAC; Sanctions; Anti-Corruption Laws; Anti-Money Laundering Laws</w:t>
      </w:r>
      <w:r>
        <w:rPr>
          <w:rFonts w:ascii="Arial" w:cs="Arial" w:eastAsia="Arial" w:hAnsi="Arial"/>
          <w:sz w:val="20"/>
          <w:szCs w:val="20"/>
          <w:color w:val="auto"/>
        </w:rPr>
        <w:t>. Each Loan Party will, and will cause each of its Subsidiaries to, comply with all applicable Sanctions, Anti-Corruption Laws and Anti-Money Laundering Laws. Each of the Loan Parties and its Subsidiaries shall implement and maintain in effect policies and procedures reasonably designed to ensure compliance by the Loan Parties and their Subsidiaries and their respective directors, officers, employees, agents and Affiliates with Sanctions, Anti-Corruption Laws and Anti-Money Laundering Laws.</w:t>
      </w:r>
    </w:p>
    <w:p>
      <w:pPr>
        <w:spacing w:after="0" w:line="184" w:lineRule="exact"/>
        <w:rPr>
          <w:sz w:val="20"/>
          <w:szCs w:val="20"/>
          <w:color w:val="auto"/>
        </w:rPr>
      </w:pPr>
    </w:p>
    <w:p>
      <w:pPr>
        <w:ind w:left="660" w:hanging="652"/>
        <w:spacing w:after="0"/>
        <w:tabs>
          <w:tab w:leader="none" w:pos="660" w:val="left"/>
        </w:tabs>
        <w:numPr>
          <w:ilvl w:val="0"/>
          <w:numId w:val="138"/>
        </w:numPr>
        <w:rPr>
          <w:rFonts w:ascii="Arial" w:cs="Arial" w:eastAsia="Arial" w:hAnsi="Arial"/>
          <w:sz w:val="20"/>
          <w:szCs w:val="20"/>
          <w:b w:val="1"/>
          <w:bCs w:val="1"/>
          <w:color w:val="auto"/>
        </w:rPr>
      </w:pPr>
      <w:r>
        <w:rPr>
          <w:rFonts w:ascii="Arial" w:cs="Arial" w:eastAsia="Arial" w:hAnsi="Arial"/>
          <w:sz w:val="20"/>
          <w:szCs w:val="20"/>
          <w:b w:val="1"/>
          <w:bCs w:val="1"/>
          <w:color w:val="auto"/>
        </w:rPr>
        <w:t>NEGATIVE COVENANTS.</w:t>
      </w:r>
    </w:p>
    <w:p>
      <w:pPr>
        <w:spacing w:after="0" w:line="222" w:lineRule="exact"/>
        <w:rPr>
          <w:sz w:val="20"/>
          <w:szCs w:val="20"/>
          <w:color w:val="auto"/>
        </w:rPr>
      </w:pPr>
    </w:p>
    <w:p>
      <w:pPr>
        <w:jc w:val="both"/>
        <w:ind w:firstLine="1296"/>
        <w:spacing w:after="0" w:line="260" w:lineRule="auto"/>
        <w:rPr>
          <w:sz w:val="20"/>
          <w:szCs w:val="20"/>
          <w:color w:val="auto"/>
        </w:rPr>
      </w:pPr>
      <w:r>
        <w:rPr>
          <w:rFonts w:ascii="Arial" w:cs="Arial" w:eastAsia="Arial" w:hAnsi="Arial"/>
          <w:sz w:val="20"/>
          <w:szCs w:val="20"/>
          <w:color w:val="auto"/>
        </w:rPr>
        <w:t>Each Borrower covenants and agrees that, until the termination of all of the Commitments and the payment in full of the Obligations:</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b w:val="1"/>
          <w:bCs w:val="1"/>
          <w:u w:val="single" w:color="auto"/>
          <w:color w:val="auto"/>
        </w:rPr>
        <w:t>Indebtedness</w:t>
      </w:r>
      <w:r>
        <w:rPr>
          <w:rFonts w:ascii="Arial" w:cs="Arial" w:eastAsia="Arial" w:hAnsi="Arial"/>
          <w:sz w:val="20"/>
          <w:szCs w:val="20"/>
          <w:color w:val="auto"/>
        </w:rPr>
        <w:t>. Each Loan Party will not, and will not permit any of its Subsidiaries to, create, incur, assume, suffer to exist, guarantee, or otherwise become or remain, directly or indirectly, liable with respect to any Indebtedness, except for Permitted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2" w:name="page113"/>
    <w:bookmarkEnd w:id="112"/>
    <w:p>
      <w:pPr>
        <w:jc w:val="both"/>
        <w:ind w:firstLine="648"/>
        <w:spacing w:after="0" w:line="253" w:lineRule="auto"/>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b w:val="1"/>
          <w:bCs w:val="1"/>
          <w:u w:val="single" w:color="auto"/>
          <w:color w:val="auto"/>
        </w:rPr>
        <w:t>Liens</w:t>
      </w:r>
      <w:r>
        <w:rPr>
          <w:rFonts w:ascii="Arial" w:cs="Arial" w:eastAsia="Arial" w:hAnsi="Arial"/>
          <w:sz w:val="20"/>
          <w:szCs w:val="20"/>
          <w:color w:val="auto"/>
        </w:rPr>
        <w:t>. Each Loan Party will not, and will not permit any of its Subsidiaries to, create, incur, assume, or suffer to exist, directly or indirectly, any Lien on or with respect to any of its assets, of any kind, whether now owned or hereafter acquired, or any income or profits therefrom, except for Permitted Liens.</w:t>
      </w:r>
    </w:p>
    <w:p>
      <w:pPr>
        <w:spacing w:after="0" w:line="17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6.3 </w:t>
      </w:r>
      <w:r>
        <w:rPr>
          <w:rFonts w:ascii="Arial" w:cs="Arial" w:eastAsia="Arial" w:hAnsi="Arial"/>
          <w:sz w:val="20"/>
          <w:szCs w:val="20"/>
          <w:b w:val="1"/>
          <w:bCs w:val="1"/>
          <w:u w:val="single" w:color="auto"/>
          <w:color w:val="auto"/>
        </w:rPr>
        <w:t>Restrictions on Fundamental Changes</w:t>
      </w:r>
      <w:r>
        <w:rPr>
          <w:rFonts w:ascii="Arial" w:cs="Arial" w:eastAsia="Arial" w:hAnsi="Arial"/>
          <w:sz w:val="20"/>
          <w:szCs w:val="20"/>
          <w:color w:val="auto"/>
        </w:rPr>
        <w:t>. Each Loan Party will not, and will not permit any of its Subsidiaries to,</w:t>
      </w:r>
    </w:p>
    <w:p>
      <w:pPr>
        <w:spacing w:after="0" w:line="169" w:lineRule="exact"/>
        <w:rPr>
          <w:sz w:val="20"/>
          <w:szCs w:val="20"/>
          <w:color w:val="auto"/>
        </w:rPr>
      </w:pPr>
    </w:p>
    <w:p>
      <w:pPr>
        <w:jc w:val="both"/>
        <w:ind w:firstLine="1304"/>
        <w:spacing w:after="0" w:line="259" w:lineRule="auto"/>
        <w:tabs>
          <w:tab w:leader="none" w:pos="1944" w:val="left"/>
        </w:tabs>
        <w:numPr>
          <w:ilvl w:val="0"/>
          <w:numId w:val="139"/>
        </w:numPr>
        <w:rPr>
          <w:rFonts w:ascii="Arial" w:cs="Arial" w:eastAsia="Arial" w:hAnsi="Arial"/>
          <w:sz w:val="19"/>
          <w:szCs w:val="19"/>
          <w:color w:val="auto"/>
        </w:rPr>
      </w:pPr>
      <w:r>
        <w:rPr>
          <w:rFonts w:ascii="Arial" w:cs="Arial" w:eastAsia="Arial" w:hAnsi="Arial"/>
          <w:sz w:val="19"/>
          <w:szCs w:val="19"/>
          <w:color w:val="auto"/>
        </w:rPr>
        <w:t xml:space="preserve">Other than in order to consummate a Permitted Acquisition, enter into any merger, consolidation, reorganization, or recapitalization, or reclassify its Equity Interests, except for (i) any merger between Loan Parties; </w:t>
      </w:r>
      <w:r>
        <w:rPr>
          <w:rFonts w:ascii="Arial" w:cs="Arial" w:eastAsia="Arial" w:hAnsi="Arial"/>
          <w:sz w:val="19"/>
          <w:szCs w:val="19"/>
          <w:u w:val="single" w:color="auto"/>
          <w:color w:val="auto"/>
        </w:rPr>
        <w:t>provided</w:t>
      </w:r>
      <w:r>
        <w:rPr>
          <w:rFonts w:ascii="Arial" w:cs="Arial" w:eastAsia="Arial" w:hAnsi="Arial"/>
          <w:sz w:val="19"/>
          <w:szCs w:val="19"/>
          <w:color w:val="auto"/>
        </w:rPr>
        <w:t>, that a Borrower must be the surviving entity of any such merger to which it is a party and the Administrative Borrower must be the surviving entity of any such merger to which it is a Party, (ii) any merger between a Loan Party and a Subsidiary of such Loan Party that is not a Loan Party so long as such Loan Party is the surviving entity of any such merger, and (iii) any merger between Subsidiaries of any Loan Party that are not Loan Parties,</w:t>
      </w:r>
    </w:p>
    <w:p>
      <w:pPr>
        <w:spacing w:after="0" w:line="178" w:lineRule="exact"/>
        <w:rPr>
          <w:rFonts w:ascii="Arial" w:cs="Arial" w:eastAsia="Arial" w:hAnsi="Arial"/>
          <w:sz w:val="19"/>
          <w:szCs w:val="19"/>
          <w:color w:val="auto"/>
        </w:rPr>
      </w:pPr>
    </w:p>
    <w:p>
      <w:pPr>
        <w:jc w:val="both"/>
        <w:ind w:firstLine="1304"/>
        <w:spacing w:after="0" w:line="257" w:lineRule="auto"/>
        <w:tabs>
          <w:tab w:leader="none" w:pos="1944" w:val="left"/>
        </w:tabs>
        <w:numPr>
          <w:ilvl w:val="0"/>
          <w:numId w:val="139"/>
        </w:numPr>
        <w:rPr>
          <w:rFonts w:ascii="Arial" w:cs="Arial" w:eastAsia="Arial" w:hAnsi="Arial"/>
          <w:sz w:val="19"/>
          <w:szCs w:val="19"/>
          <w:color w:val="auto"/>
        </w:rPr>
      </w:pPr>
      <w:r>
        <w:rPr>
          <w:rFonts w:ascii="Arial" w:cs="Arial" w:eastAsia="Arial" w:hAnsi="Arial"/>
          <w:sz w:val="19"/>
          <w:szCs w:val="19"/>
          <w:color w:val="auto"/>
        </w:rPr>
        <w:t>liquidate, wind up, or dissolve itself (or suffer any liquidation or dissolution), except for (i) the liquidation or dissolution of non-operating Subsidiaries of any Loan Party with nominal assets and nominal liabilities, (ii) the liquidation or dissolution of a Loan Party (other than any Borrower) or any of its wholly-owned Subsidiaries so long as all of the assets (including any interest in any Equity Interests) of such liquidating or dissolving Loan Party or Subsidiary are transferred to a Loan Party that is not liquidating or dissolving, or (iii) the liquidation or dissolution of a Subsidiary of any Loan Party that is not a Loan Party (other than any such Subsidiary the Equity Interests of which (or any portion thereof) is subject to a Lien in favor of Agent) so long as all of the assets of such liquidating or dissolving Subsidiary are transferred to a Subsidiary of a Loan Party that is not liquidating or dissolving,</w:t>
      </w:r>
    </w:p>
    <w:p>
      <w:pPr>
        <w:spacing w:after="0" w:line="180" w:lineRule="exact"/>
        <w:rPr>
          <w:rFonts w:ascii="Arial" w:cs="Arial" w:eastAsia="Arial" w:hAnsi="Arial"/>
          <w:sz w:val="19"/>
          <w:szCs w:val="19"/>
          <w:color w:val="auto"/>
        </w:rPr>
      </w:pPr>
    </w:p>
    <w:p>
      <w:pPr>
        <w:ind w:firstLine="1304"/>
        <w:spacing w:after="0" w:line="287" w:lineRule="auto"/>
        <w:tabs>
          <w:tab w:leader="none" w:pos="1944" w:val="left"/>
        </w:tabs>
        <w:numPr>
          <w:ilvl w:val="0"/>
          <w:numId w:val="139"/>
        </w:numPr>
        <w:rPr>
          <w:rFonts w:ascii="Arial" w:cs="Arial" w:eastAsia="Arial" w:hAnsi="Arial"/>
          <w:sz w:val="19"/>
          <w:szCs w:val="19"/>
          <w:color w:val="auto"/>
        </w:rPr>
      </w:pPr>
      <w:r>
        <w:rPr>
          <w:rFonts w:ascii="Arial" w:cs="Arial" w:eastAsia="Arial" w:hAnsi="Arial"/>
          <w:sz w:val="19"/>
          <w:szCs w:val="19"/>
          <w:color w:val="auto"/>
        </w:rPr>
        <w:t xml:space="preserve">suspend or cease operating a substantial portion of its or their business, except as permitted pursuant to clauses (a) or (b) above or in connection with a transaction permitted under </w:t>
      </w:r>
      <w:r>
        <w:rPr>
          <w:rFonts w:ascii="Arial" w:cs="Arial" w:eastAsia="Arial" w:hAnsi="Arial"/>
          <w:sz w:val="19"/>
          <w:szCs w:val="19"/>
          <w:u w:val="single" w:color="auto"/>
          <w:color w:val="auto"/>
        </w:rPr>
        <w:t>Section 6.4</w:t>
      </w:r>
      <w:r>
        <w:rPr>
          <w:rFonts w:ascii="Arial" w:cs="Arial" w:eastAsia="Arial" w:hAnsi="Arial"/>
          <w:sz w:val="19"/>
          <w:szCs w:val="19"/>
          <w:color w:val="auto"/>
        </w:rPr>
        <w:t>, or</w:t>
      </w:r>
    </w:p>
    <w:p>
      <w:pPr>
        <w:spacing w:after="0" w:line="152" w:lineRule="exact"/>
        <w:rPr>
          <w:rFonts w:ascii="Arial" w:cs="Arial" w:eastAsia="Arial" w:hAnsi="Arial"/>
          <w:sz w:val="19"/>
          <w:szCs w:val="19"/>
          <w:color w:val="auto"/>
        </w:rPr>
      </w:pPr>
    </w:p>
    <w:p>
      <w:pPr>
        <w:ind w:left="1960" w:hanging="656"/>
        <w:spacing w:after="0"/>
        <w:tabs>
          <w:tab w:leader="none" w:pos="1960" w:val="left"/>
        </w:tabs>
        <w:numPr>
          <w:ilvl w:val="0"/>
          <w:numId w:val="139"/>
        </w:numPr>
        <w:rPr>
          <w:rFonts w:ascii="Arial" w:cs="Arial" w:eastAsia="Arial" w:hAnsi="Arial"/>
          <w:sz w:val="20"/>
          <w:szCs w:val="20"/>
          <w:color w:val="auto"/>
        </w:rPr>
      </w:pPr>
      <w:r>
        <w:rPr>
          <w:rFonts w:ascii="Arial" w:cs="Arial" w:eastAsia="Arial" w:hAnsi="Arial"/>
          <w:sz w:val="20"/>
          <w:szCs w:val="20"/>
          <w:color w:val="auto"/>
        </w:rPr>
        <w:t>change its classification/status for U.S. federal income tax purposes.</w:t>
      </w:r>
    </w:p>
    <w:p>
      <w:pPr>
        <w:spacing w:after="0" w:line="21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6.4 </w:t>
      </w:r>
      <w:r>
        <w:rPr>
          <w:rFonts w:ascii="Arial" w:cs="Arial" w:eastAsia="Arial" w:hAnsi="Arial"/>
          <w:sz w:val="20"/>
          <w:szCs w:val="20"/>
          <w:b w:val="1"/>
          <w:bCs w:val="1"/>
          <w:u w:val="single" w:color="auto"/>
          <w:color w:val="auto"/>
        </w:rPr>
        <w:t>Disposal of Assets</w:t>
      </w:r>
      <w:r>
        <w:rPr>
          <w:rFonts w:ascii="Arial" w:cs="Arial" w:eastAsia="Arial" w:hAnsi="Arial"/>
          <w:sz w:val="20"/>
          <w:szCs w:val="20"/>
          <w:color w:val="auto"/>
        </w:rPr>
        <w:t xml:space="preserve">. Other than Permitted Dispositions or transactions expressly permitted by </w:t>
      </w:r>
      <w:r>
        <w:rPr>
          <w:rFonts w:ascii="Arial" w:cs="Arial" w:eastAsia="Arial" w:hAnsi="Arial"/>
          <w:sz w:val="20"/>
          <w:szCs w:val="20"/>
          <w:u w:val="single" w:color="auto"/>
          <w:color w:val="auto"/>
        </w:rPr>
        <w:t>Sections 6.3</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6.9</w:t>
      </w:r>
      <w:r>
        <w:rPr>
          <w:rFonts w:ascii="Arial" w:cs="Arial" w:eastAsia="Arial" w:hAnsi="Arial"/>
          <w:sz w:val="20"/>
          <w:szCs w:val="20"/>
          <w:color w:val="auto"/>
        </w:rPr>
        <w:t>, each Loan Party will not, and will not permit any of its Subsidiaries to, convey, sell, lease, license, assign, transfer, or otherwise dispose of any of its or their assets (including by an allocation of assets among newly divided limited liability companies pursuant to a “plan of division”).</w:t>
      </w:r>
    </w:p>
    <w:p>
      <w:pPr>
        <w:spacing w:after="0" w:line="18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6.5 </w:t>
      </w:r>
      <w:r>
        <w:rPr>
          <w:rFonts w:ascii="Arial" w:cs="Arial" w:eastAsia="Arial" w:hAnsi="Arial"/>
          <w:sz w:val="20"/>
          <w:szCs w:val="20"/>
          <w:b w:val="1"/>
          <w:bCs w:val="1"/>
          <w:u w:val="single" w:color="auto"/>
          <w:color w:val="auto"/>
        </w:rPr>
        <w:t>Nature of Business</w:t>
      </w:r>
      <w:r>
        <w:rPr>
          <w:rFonts w:ascii="Arial" w:cs="Arial" w:eastAsia="Arial" w:hAnsi="Arial"/>
          <w:sz w:val="20"/>
          <w:szCs w:val="20"/>
          <w:color w:val="auto"/>
        </w:rPr>
        <w:t xml:space="preserve">. Each Loan Party will not, and will not permit any of its Subsidiaries to, make any change in the nature of its or their business as described in </w:t>
      </w:r>
      <w:r>
        <w:rPr>
          <w:rFonts w:ascii="Arial" w:cs="Arial" w:eastAsia="Arial" w:hAnsi="Arial"/>
          <w:sz w:val="20"/>
          <w:szCs w:val="20"/>
          <w:u w:val="single" w:color="auto"/>
          <w:color w:val="auto"/>
        </w:rPr>
        <w:t>Schedule 6.5</w:t>
      </w:r>
      <w:r>
        <w:rPr>
          <w:rFonts w:ascii="Arial" w:cs="Arial" w:eastAsia="Arial" w:hAnsi="Arial"/>
          <w:sz w:val="20"/>
          <w:szCs w:val="20"/>
          <w:color w:val="auto"/>
        </w:rPr>
        <w:t xml:space="preserve"> to this Agreement or acquire any properties or assets that are not reasonably related to the conduct of such business activities; </w:t>
      </w:r>
      <w:r>
        <w:rPr>
          <w:rFonts w:ascii="Arial" w:cs="Arial" w:eastAsia="Arial" w:hAnsi="Arial"/>
          <w:sz w:val="20"/>
          <w:szCs w:val="20"/>
          <w:u w:val="single" w:color="auto"/>
          <w:color w:val="auto"/>
        </w:rPr>
        <w:t>provided</w:t>
      </w:r>
      <w:r>
        <w:rPr>
          <w:rFonts w:ascii="Arial" w:cs="Arial" w:eastAsia="Arial" w:hAnsi="Arial"/>
          <w:sz w:val="20"/>
          <w:szCs w:val="20"/>
          <w:color w:val="auto"/>
        </w:rPr>
        <w:t>, that the foregoing shall not prevent any Loan Party and its Subsidiaries from engaging in any business that is complimentary, reasonably related or ancillary to its or their business.</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6.6</w:t>
      </w:r>
      <w:r>
        <w:rPr>
          <w:sz w:val="20"/>
          <w:szCs w:val="20"/>
          <w:color w:val="auto"/>
        </w:rPr>
        <w:tab/>
      </w:r>
      <w:r>
        <w:rPr>
          <w:rFonts w:ascii="Arial" w:cs="Arial" w:eastAsia="Arial" w:hAnsi="Arial"/>
          <w:sz w:val="18"/>
          <w:szCs w:val="18"/>
          <w:b w:val="1"/>
          <w:bCs w:val="1"/>
          <w:u w:val="single" w:color="auto"/>
          <w:color w:val="auto"/>
        </w:rPr>
        <w:t>Prepayments and Amendments</w:t>
      </w:r>
      <w:r>
        <w:rPr>
          <w:rFonts w:ascii="Arial" w:cs="Arial" w:eastAsia="Arial" w:hAnsi="Arial"/>
          <w:sz w:val="18"/>
          <w:szCs w:val="18"/>
          <w:color w:val="auto"/>
        </w:rPr>
        <w:t>. Each Loan Party will not, and will not permit any of its Subsidiaries to,</w:t>
      </w:r>
    </w:p>
    <w:p>
      <w:pPr>
        <w:spacing w:after="0" w:line="222" w:lineRule="exact"/>
        <w:rPr>
          <w:sz w:val="20"/>
          <w:szCs w:val="20"/>
          <w:color w:val="auto"/>
        </w:rPr>
      </w:pPr>
    </w:p>
    <w:p>
      <w:pPr>
        <w:ind w:left="1960" w:hanging="656"/>
        <w:spacing w:after="0"/>
        <w:tabs>
          <w:tab w:leader="none" w:pos="196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 xml:space="preserve">Except in connection with Refinancing Indebtedness permitted by </w:t>
      </w:r>
      <w:r>
        <w:rPr>
          <w:rFonts w:ascii="Arial" w:cs="Arial" w:eastAsia="Arial" w:hAnsi="Arial"/>
          <w:sz w:val="20"/>
          <w:szCs w:val="20"/>
          <w:u w:val="single" w:color="auto"/>
          <w:color w:val="auto"/>
        </w:rPr>
        <w:t>Section 6.1</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firstLine="1952"/>
        <w:spacing w:after="0" w:line="260" w:lineRule="auto"/>
        <w:tabs>
          <w:tab w:leader="none" w:pos="2592" w:val="left"/>
        </w:tabs>
        <w:numPr>
          <w:ilvl w:val="1"/>
          <w:numId w:val="140"/>
        </w:numPr>
        <w:rPr>
          <w:rFonts w:ascii="Arial" w:cs="Arial" w:eastAsia="Arial" w:hAnsi="Arial"/>
          <w:sz w:val="20"/>
          <w:szCs w:val="20"/>
          <w:color w:val="auto"/>
        </w:rPr>
      </w:pPr>
      <w:r>
        <w:rPr>
          <w:rFonts w:ascii="Arial" w:cs="Arial" w:eastAsia="Arial" w:hAnsi="Arial"/>
          <w:sz w:val="20"/>
          <w:szCs w:val="20"/>
          <w:color w:val="auto"/>
        </w:rPr>
        <w:t>optionally prepay, redeem, defease, purchase, or otherwise acquire any Indebtedness of any Loan Party or its Subsidiaries, other than (A) the Obligations in accordance with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113" w:name="page114"/>
    <w:bookmarkEnd w:id="113"/>
    <w:p>
      <w:pPr>
        <w:spacing w:after="0" w:line="261" w:lineRule="auto"/>
        <w:rPr>
          <w:sz w:val="20"/>
          <w:szCs w:val="20"/>
          <w:color w:val="auto"/>
        </w:rPr>
      </w:pPr>
      <w:r>
        <w:rPr>
          <w:rFonts w:ascii="Arial" w:cs="Arial" w:eastAsia="Arial" w:hAnsi="Arial"/>
          <w:sz w:val="20"/>
          <w:szCs w:val="20"/>
          <w:color w:val="auto"/>
        </w:rPr>
        <w:t>Agreement, (B) Hedge Obligations, (C) Permitted Intercompany Advances, or (D) other Indebtedness so long as the Payment Conditions are satisfied, or</w:t>
      </w:r>
    </w:p>
    <w:p>
      <w:pPr>
        <w:spacing w:after="0" w:line="176" w:lineRule="exact"/>
        <w:rPr>
          <w:sz w:val="20"/>
          <w:szCs w:val="20"/>
          <w:color w:val="auto"/>
        </w:rPr>
      </w:pPr>
    </w:p>
    <w:p>
      <w:pPr>
        <w:jc w:val="both"/>
        <w:ind w:firstLine="1952"/>
        <w:spacing w:after="0" w:line="250" w:lineRule="auto"/>
        <w:tabs>
          <w:tab w:leader="none" w:pos="2592" w:val="left"/>
        </w:tabs>
        <w:numPr>
          <w:ilvl w:val="1"/>
          <w:numId w:val="141"/>
        </w:numPr>
        <w:rPr>
          <w:rFonts w:ascii="Arial" w:cs="Arial" w:eastAsia="Arial" w:hAnsi="Arial"/>
          <w:sz w:val="20"/>
          <w:szCs w:val="20"/>
          <w:color w:val="auto"/>
        </w:rPr>
      </w:pPr>
      <w:r>
        <w:rPr>
          <w:rFonts w:ascii="Arial" w:cs="Arial" w:eastAsia="Arial" w:hAnsi="Arial"/>
          <w:sz w:val="20"/>
          <w:szCs w:val="20"/>
          <w:color w:val="auto"/>
        </w:rPr>
        <w:t>make any payment on account of Indebtedness that has been contractually subordinated in right of payment to the Obligations if such payment is not permitted at such time under the subordination terms and conditions, or</w:t>
      </w:r>
    </w:p>
    <w:p>
      <w:pPr>
        <w:spacing w:after="0" w:line="185" w:lineRule="exact"/>
        <w:rPr>
          <w:rFonts w:ascii="Arial" w:cs="Arial" w:eastAsia="Arial" w:hAnsi="Arial"/>
          <w:sz w:val="20"/>
          <w:szCs w:val="20"/>
          <w:color w:val="auto"/>
        </w:rPr>
      </w:pPr>
    </w:p>
    <w:p>
      <w:pPr>
        <w:ind w:left="1960" w:hanging="656"/>
        <w:spacing w:after="0"/>
        <w:tabs>
          <w:tab w:leader="none" w:pos="196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Directly or indirectly, amend, modify, or change any of the terms or provisions of:</w:t>
      </w:r>
    </w:p>
    <w:p>
      <w:pPr>
        <w:spacing w:after="0" w:line="215" w:lineRule="exact"/>
        <w:rPr>
          <w:rFonts w:ascii="Arial" w:cs="Arial" w:eastAsia="Arial" w:hAnsi="Arial"/>
          <w:sz w:val="20"/>
          <w:szCs w:val="20"/>
          <w:color w:val="auto"/>
        </w:rPr>
      </w:pPr>
    </w:p>
    <w:p>
      <w:pPr>
        <w:jc w:val="both"/>
        <w:ind w:firstLine="1952"/>
        <w:spacing w:after="0" w:line="257" w:lineRule="auto"/>
        <w:tabs>
          <w:tab w:leader="none" w:pos="2592" w:val="left"/>
        </w:tabs>
        <w:numPr>
          <w:ilvl w:val="1"/>
          <w:numId w:val="142"/>
        </w:numPr>
        <w:rPr>
          <w:rFonts w:ascii="Arial" w:cs="Arial" w:eastAsia="Arial" w:hAnsi="Arial"/>
          <w:sz w:val="19"/>
          <w:szCs w:val="19"/>
          <w:color w:val="auto"/>
        </w:rPr>
      </w:pPr>
      <w:r>
        <w:rPr>
          <w:rFonts w:ascii="Arial" w:cs="Arial" w:eastAsia="Arial" w:hAnsi="Arial"/>
          <w:sz w:val="19"/>
          <w:szCs w:val="19"/>
          <w:color w:val="auto"/>
        </w:rPr>
        <w:t xml:space="preserve">any agreement, instrument, document, indenture, or other writing evidencing or concerning Permitted Indebtedness other than (A) the Obligations in accordance with this Agreement, (B) Hedge Obligations, (C) Permitted Intercompany Advances, (D) Indebtedness permitted under </w:t>
      </w:r>
      <w:r>
        <w:rPr>
          <w:rFonts w:ascii="Arial" w:cs="Arial" w:eastAsia="Arial" w:hAnsi="Arial"/>
          <w:sz w:val="19"/>
          <w:szCs w:val="19"/>
          <w:u w:val="single" w:color="auto"/>
          <w:color w:val="auto"/>
        </w:rPr>
        <w:t>clauses (c)</w:t>
      </w:r>
      <w:r>
        <w:rPr>
          <w:rFonts w:ascii="Arial" w:cs="Arial" w:eastAsia="Arial" w:hAnsi="Arial"/>
          <w:sz w:val="19"/>
          <w:szCs w:val="19"/>
          <w:color w:val="auto"/>
        </w:rPr>
        <w:t xml:space="preserve">, </w:t>
      </w:r>
      <w:r>
        <w:rPr>
          <w:rFonts w:ascii="Arial" w:cs="Arial" w:eastAsia="Arial" w:hAnsi="Arial"/>
          <w:sz w:val="19"/>
          <w:szCs w:val="19"/>
          <w:u w:val="single" w:color="auto"/>
          <w:color w:val="auto"/>
        </w:rPr>
        <w:t>(h)</w:t>
      </w:r>
      <w:r>
        <w:rPr>
          <w:rFonts w:ascii="Arial" w:cs="Arial" w:eastAsia="Arial" w:hAnsi="Arial"/>
          <w:sz w:val="19"/>
          <w:szCs w:val="19"/>
          <w:color w:val="auto"/>
        </w:rPr>
        <w:t xml:space="preserve">, </w:t>
      </w:r>
      <w:r>
        <w:rPr>
          <w:rFonts w:ascii="Arial" w:cs="Arial" w:eastAsia="Arial" w:hAnsi="Arial"/>
          <w:sz w:val="19"/>
          <w:szCs w:val="19"/>
          <w:u w:val="single" w:color="auto"/>
          <w:color w:val="auto"/>
        </w:rPr>
        <w:t>(j)</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(k)</w:t>
      </w:r>
      <w:r>
        <w:rPr>
          <w:rFonts w:ascii="Arial" w:cs="Arial" w:eastAsia="Arial" w:hAnsi="Arial"/>
          <w:sz w:val="19"/>
          <w:szCs w:val="19"/>
          <w:color w:val="auto"/>
        </w:rPr>
        <w:t xml:space="preserve"> of the definition of Permitted Indebtedness, (E) Indebtedness permitted under clauses (f) and (s) of the definition of Permitted Indebtedness to the extent not prohibited by the terms of any subordination or intercreditor agreement or terms, (F) any other Permitted Indebtedness (other than Indebtedness described in the foregoing clause (E)) if the effect thereof, (x) either individually or in the aggregate, could not reasonably be expected to be materially adverse to the interests of the Lenders, or (y) would not cause such Indebtedness to no longer be Permitted Indebtedness, or</w:t>
      </w:r>
    </w:p>
    <w:p>
      <w:pPr>
        <w:spacing w:after="0" w:line="180" w:lineRule="exact"/>
        <w:rPr>
          <w:sz w:val="20"/>
          <w:szCs w:val="20"/>
          <w:color w:val="auto"/>
        </w:rPr>
      </w:pPr>
    </w:p>
    <w:p>
      <w:pPr>
        <w:ind w:firstLine="1952"/>
        <w:spacing w:after="0" w:line="316" w:lineRule="auto"/>
        <w:tabs>
          <w:tab w:leader="none" w:pos="2592"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Governing Documents of any Loan Party or any of its Subsidiaries if the effect thereof, either individually or in the aggregate, could reasonably be expected to be materially adverse to the interests of the Lenders.</w:t>
      </w:r>
    </w:p>
    <w:p>
      <w:pPr>
        <w:spacing w:after="0" w:line="124"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color w:val="auto"/>
        </w:rPr>
        <w:t xml:space="preserve">6.7 </w:t>
      </w:r>
      <w:r>
        <w:rPr>
          <w:rFonts w:ascii="Arial" w:cs="Arial" w:eastAsia="Arial" w:hAnsi="Arial"/>
          <w:sz w:val="20"/>
          <w:szCs w:val="20"/>
          <w:b w:val="1"/>
          <w:bCs w:val="1"/>
          <w:u w:val="single" w:color="auto"/>
          <w:color w:val="auto"/>
        </w:rPr>
        <w:t>Restricted Payments</w:t>
      </w:r>
      <w:r>
        <w:rPr>
          <w:rFonts w:ascii="Arial" w:cs="Arial" w:eastAsia="Arial" w:hAnsi="Arial"/>
          <w:sz w:val="20"/>
          <w:szCs w:val="20"/>
          <w:color w:val="auto"/>
        </w:rPr>
        <w:t xml:space="preserve">. Each Loan Party will not, and will not permit any of its Subsidiaries to, make any Restricted Payment; </w:t>
      </w:r>
      <w:r>
        <w:rPr>
          <w:rFonts w:ascii="Arial" w:cs="Arial" w:eastAsia="Arial" w:hAnsi="Arial"/>
          <w:sz w:val="20"/>
          <w:szCs w:val="20"/>
          <w:u w:val="single" w:color="auto"/>
          <w:color w:val="auto"/>
        </w:rPr>
        <w:t>provided</w:t>
      </w:r>
      <w:r>
        <w:rPr>
          <w:rFonts w:ascii="Arial" w:cs="Arial" w:eastAsia="Arial" w:hAnsi="Arial"/>
          <w:sz w:val="20"/>
          <w:szCs w:val="20"/>
          <w:color w:val="auto"/>
        </w:rPr>
        <w:t>, that so long as it is permitted by law,</w:t>
      </w:r>
    </w:p>
    <w:p>
      <w:pPr>
        <w:spacing w:after="0" w:line="169" w:lineRule="exact"/>
        <w:rPr>
          <w:sz w:val="20"/>
          <w:szCs w:val="20"/>
          <w:color w:val="auto"/>
        </w:rPr>
      </w:pPr>
    </w:p>
    <w:p>
      <w:pPr>
        <w:jc w:val="both"/>
        <w:ind w:firstLine="1304"/>
        <w:spacing w:after="0" w:line="276" w:lineRule="auto"/>
        <w:tabs>
          <w:tab w:leader="none" w:pos="194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so long as no Event of Default shall have occurred and be continuing or would result therefrom, Administrative Borrower may make distributions to former employees, officers, or directors of Administrative Borrower (or any spouses, ex-spouses, or estates of any of the foregoing) on account of redemptions of Equity Interests of Administrative Borrower held by such Persons;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amount of such redemptions made by Administrative Borrower during the term of this Agreement </w:t>
      </w:r>
      <w:r>
        <w:rPr>
          <w:rFonts w:ascii="Arial" w:cs="Arial" w:eastAsia="Arial" w:hAnsi="Arial"/>
          <w:sz w:val="18"/>
          <w:szCs w:val="18"/>
          <w:i w:val="1"/>
          <w:iCs w:val="1"/>
          <w:u w:val="single" w:color="auto"/>
          <w:color w:val="auto"/>
        </w:rPr>
        <w:t>plus</w:t>
      </w:r>
      <w:r>
        <w:rPr>
          <w:rFonts w:ascii="Arial" w:cs="Arial" w:eastAsia="Arial" w:hAnsi="Arial"/>
          <w:sz w:val="18"/>
          <w:szCs w:val="18"/>
          <w:color w:val="auto"/>
        </w:rPr>
        <w:t xml:space="preserve"> the amount of Indebtedness outstanding under clause (l) of the definition of Permitted Indebtedness, does not exceed $1,000,000 in the aggregate,</w:t>
      </w:r>
    </w:p>
    <w:p>
      <w:pPr>
        <w:spacing w:after="0" w:line="164" w:lineRule="exact"/>
        <w:rPr>
          <w:rFonts w:ascii="Arial" w:cs="Arial" w:eastAsia="Arial" w:hAnsi="Arial"/>
          <w:sz w:val="18"/>
          <w:szCs w:val="18"/>
          <w:color w:val="auto"/>
        </w:rPr>
      </w:pPr>
    </w:p>
    <w:p>
      <w:pPr>
        <w:jc w:val="both"/>
        <w:ind w:firstLine="1304"/>
        <w:spacing w:after="0" w:line="243" w:lineRule="auto"/>
        <w:tabs>
          <w:tab w:leader="none" w:pos="1944" w:val="left"/>
        </w:tabs>
        <w:numPr>
          <w:ilvl w:val="0"/>
          <w:numId w:val="144"/>
        </w:numPr>
        <w:rPr>
          <w:rFonts w:ascii="Arial" w:cs="Arial" w:eastAsia="Arial" w:hAnsi="Arial"/>
          <w:sz w:val="20"/>
          <w:szCs w:val="20"/>
          <w:color w:val="auto"/>
        </w:rPr>
      </w:pPr>
      <w:r>
        <w:rPr>
          <w:rFonts w:ascii="Arial" w:cs="Arial" w:eastAsia="Arial" w:hAnsi="Arial"/>
          <w:sz w:val="20"/>
          <w:szCs w:val="20"/>
          <w:color w:val="auto"/>
        </w:rPr>
        <w:t xml:space="preserve">so long as no Event of Default shall have occurred and be continuing or would result therefrom, Administrative Borrower may make distributions to former employees, officers, or directors of Administrative Borrower (or any spouses, ex-spouses, or estates of any of the foregoing), solely in the form of forgiveness of Indebtedness of such Persons owing to Administrative Borrower on account of repurchases of the Equity Interests of Administrative Borrower held by such Persons; </w:t>
      </w:r>
      <w:r>
        <w:rPr>
          <w:rFonts w:ascii="Arial" w:cs="Arial" w:eastAsia="Arial" w:hAnsi="Arial"/>
          <w:sz w:val="20"/>
          <w:szCs w:val="20"/>
          <w:u w:val="single" w:color="auto"/>
          <w:color w:val="auto"/>
        </w:rPr>
        <w:t>provided</w:t>
      </w:r>
      <w:r>
        <w:rPr>
          <w:rFonts w:ascii="Arial" w:cs="Arial" w:eastAsia="Arial" w:hAnsi="Arial"/>
          <w:sz w:val="20"/>
          <w:szCs w:val="20"/>
          <w:color w:val="auto"/>
        </w:rPr>
        <w:t>, that such Indebtedness was incurred by such Persons solely to acquire Equity Interests of Administrative Borrower,</w:t>
      </w:r>
    </w:p>
    <w:p>
      <w:pPr>
        <w:spacing w:after="0" w:line="195"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144"/>
        </w:numPr>
        <w:rPr>
          <w:rFonts w:ascii="Arial" w:cs="Arial" w:eastAsia="Arial" w:hAnsi="Arial"/>
          <w:sz w:val="20"/>
          <w:szCs w:val="20"/>
          <w:color w:val="auto"/>
        </w:rPr>
      </w:pPr>
      <w:r>
        <w:rPr>
          <w:rFonts w:ascii="Arial" w:cs="Arial" w:eastAsia="Arial" w:hAnsi="Arial"/>
          <w:sz w:val="20"/>
          <w:szCs w:val="20"/>
          <w:color w:val="auto"/>
        </w:rPr>
        <w:t>any Loan Party that is a Subsidiary of another Loan Party may make Restricted Payments to such Loan Party and any Subsidiary of a Loan Party that is not also a Loan Party may make Restricted Payments to a Loan Party or another Subsidiary that is not a Loan Party,</w:t>
      </w:r>
    </w:p>
    <w:p>
      <w:pPr>
        <w:spacing w:after="0" w:line="185" w:lineRule="exact"/>
        <w:rPr>
          <w:rFonts w:ascii="Arial" w:cs="Arial" w:eastAsia="Arial" w:hAnsi="Arial"/>
          <w:sz w:val="20"/>
          <w:szCs w:val="20"/>
          <w:color w:val="auto"/>
        </w:rPr>
      </w:pPr>
    </w:p>
    <w:p>
      <w:pPr>
        <w:ind w:left="1960" w:hanging="656"/>
        <w:spacing w:after="0"/>
        <w:tabs>
          <w:tab w:leader="none" w:pos="196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Administrative Borrower may make dividends so long as either:</w:t>
      </w:r>
    </w:p>
    <w:p>
      <w:pPr>
        <w:spacing w:after="0" w:line="215" w:lineRule="exact"/>
        <w:rPr>
          <w:rFonts w:ascii="Arial" w:cs="Arial" w:eastAsia="Arial" w:hAnsi="Arial"/>
          <w:sz w:val="20"/>
          <w:szCs w:val="20"/>
          <w:color w:val="auto"/>
        </w:rPr>
      </w:pPr>
    </w:p>
    <w:p>
      <w:pPr>
        <w:jc w:val="both"/>
        <w:ind w:firstLine="1952"/>
        <w:spacing w:after="0" w:line="246" w:lineRule="auto"/>
        <w:tabs>
          <w:tab w:leader="none" w:pos="2592" w:val="left"/>
        </w:tabs>
        <w:numPr>
          <w:ilvl w:val="1"/>
          <w:numId w:val="144"/>
        </w:numPr>
        <w:rPr>
          <w:rFonts w:ascii="Arial" w:cs="Arial" w:eastAsia="Arial" w:hAnsi="Arial"/>
          <w:sz w:val="20"/>
          <w:szCs w:val="20"/>
          <w:color w:val="auto"/>
        </w:rPr>
      </w:pPr>
      <w:r>
        <w:rPr>
          <w:rFonts w:ascii="Arial" w:cs="Arial" w:eastAsia="Arial" w:hAnsi="Arial"/>
          <w:sz w:val="20"/>
          <w:szCs w:val="20"/>
          <w:color w:val="auto"/>
        </w:rPr>
        <w:t>Excess Availability (x) at all times during the 30 consecutive days immediately preceding the date of such proposed dividend payment, calculated on a pro forma basis as if such proposed dividend payment was made, on the first day of such period, and (y) after giving effect to such proposed dividend payment, is not less than 15% of the Maximum Revolver Amount,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4" w:name="page115"/>
    <w:bookmarkEnd w:id="114"/>
    <w:p>
      <w:pPr>
        <w:jc w:val="both"/>
        <w:ind w:firstLine="1952"/>
        <w:spacing w:after="0" w:line="274" w:lineRule="auto"/>
        <w:tabs>
          <w:tab w:leader="none" w:pos="2592" w:val="left"/>
        </w:tabs>
        <w:numPr>
          <w:ilvl w:val="1"/>
          <w:numId w:val="145"/>
        </w:numPr>
        <w:rPr>
          <w:rFonts w:ascii="Arial" w:cs="Arial" w:eastAsia="Arial" w:hAnsi="Arial"/>
          <w:sz w:val="18"/>
          <w:szCs w:val="18"/>
          <w:color w:val="auto"/>
        </w:rPr>
      </w:pPr>
      <w:r>
        <w:rPr>
          <w:rFonts w:ascii="Arial" w:cs="Arial" w:eastAsia="Arial" w:hAnsi="Arial"/>
          <w:sz w:val="18"/>
          <w:szCs w:val="18"/>
          <w:color w:val="auto"/>
        </w:rPr>
        <w:t xml:space="preserve">both (A) the Fixed Charge Coverage Ratio of the Loan Parties and their Subsidiaries is equal to or greater than 1.20:1.00 for the trailing 12 month period most recently ended for which financial statements are required to have been delivered to Agent pursuant to </w:t>
      </w:r>
      <w:r>
        <w:rPr>
          <w:rFonts w:ascii="Arial" w:cs="Arial" w:eastAsia="Arial" w:hAnsi="Arial"/>
          <w:sz w:val="18"/>
          <w:szCs w:val="18"/>
          <w:u w:val="single" w:color="auto"/>
          <w:color w:val="auto"/>
        </w:rPr>
        <w:t>Schedule 5.1</w:t>
      </w:r>
      <w:r>
        <w:rPr>
          <w:rFonts w:ascii="Arial" w:cs="Arial" w:eastAsia="Arial" w:hAnsi="Arial"/>
          <w:sz w:val="18"/>
          <w:szCs w:val="18"/>
          <w:color w:val="auto"/>
        </w:rPr>
        <w:t xml:space="preserve"> to this Agreement (calculated on a pro forma basis as if such proposed dividend payment is made on the last day of such 12 month period), and (B) Excess Availability, (x) at all times during the 30 consecutive days immediately preceding the date of such proposed dividend payment, calculated on a pro forma basis as if such proposed dividend payment was made on the first day of such period, and (y) after giving effect to such proposed dividend payment is not less than 12.5% of the Maximum Revolver Amount, or</w:t>
      </w:r>
    </w:p>
    <w:p>
      <w:pPr>
        <w:spacing w:after="0" w:line="169" w:lineRule="exact"/>
        <w:rPr>
          <w:rFonts w:ascii="Arial" w:cs="Arial" w:eastAsia="Arial" w:hAnsi="Arial"/>
          <w:sz w:val="18"/>
          <w:szCs w:val="18"/>
          <w:color w:val="auto"/>
        </w:rPr>
      </w:pPr>
    </w:p>
    <w:p>
      <w:pPr>
        <w:ind w:left="1960" w:hanging="656"/>
        <w:spacing w:after="0"/>
        <w:tabs>
          <w:tab w:leader="none" w:pos="196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other Restricted Payments so long as the Payment Conditions are satisfied.</w:t>
      </w:r>
    </w:p>
    <w:p>
      <w:pPr>
        <w:spacing w:after="0" w:line="21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6.8 </w:t>
      </w:r>
      <w:r>
        <w:rPr>
          <w:rFonts w:ascii="Arial" w:cs="Arial" w:eastAsia="Arial" w:hAnsi="Arial"/>
          <w:sz w:val="20"/>
          <w:szCs w:val="20"/>
          <w:b w:val="1"/>
          <w:bCs w:val="1"/>
          <w:u w:val="single" w:color="auto"/>
          <w:color w:val="auto"/>
        </w:rPr>
        <w:t>Accounting Methods</w:t>
      </w:r>
      <w:r>
        <w:rPr>
          <w:rFonts w:ascii="Arial" w:cs="Arial" w:eastAsia="Arial" w:hAnsi="Arial"/>
          <w:sz w:val="20"/>
          <w:szCs w:val="20"/>
          <w:color w:val="auto"/>
        </w:rPr>
        <w:t>. Each Loan Party will not, and will not permit any of its Subsidiaries to, modify or change its fiscal year or its method of accounting (other than as may be required to conform to GAAP).</w:t>
      </w:r>
    </w:p>
    <w:p>
      <w:pPr>
        <w:spacing w:after="0" w:line="16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6.9 </w:t>
      </w:r>
      <w:r>
        <w:rPr>
          <w:rFonts w:ascii="Arial" w:cs="Arial" w:eastAsia="Arial" w:hAnsi="Arial"/>
          <w:sz w:val="20"/>
          <w:szCs w:val="20"/>
          <w:b w:val="1"/>
          <w:bCs w:val="1"/>
          <w:u w:val="single" w:color="auto"/>
          <w:color w:val="auto"/>
        </w:rPr>
        <w:t>Investments</w:t>
      </w:r>
      <w:r>
        <w:rPr>
          <w:rFonts w:ascii="Arial" w:cs="Arial" w:eastAsia="Arial" w:hAnsi="Arial"/>
          <w:sz w:val="20"/>
          <w:szCs w:val="20"/>
          <w:color w:val="auto"/>
        </w:rPr>
        <w:t>. Each Loan Party will not, and will not permit any of its Subsidiaries to, directly or indirectly, make or acquire any Investment or incur any liabilities (including contingent obligations) for or in connection with any Investment except for Permitted Investments.</w:t>
      </w:r>
    </w:p>
    <w:p>
      <w:pPr>
        <w:spacing w:after="0" w:line="17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6.10 </w:t>
      </w:r>
      <w:r>
        <w:rPr>
          <w:rFonts w:ascii="Arial" w:cs="Arial" w:eastAsia="Arial" w:hAnsi="Arial"/>
          <w:sz w:val="20"/>
          <w:szCs w:val="20"/>
          <w:b w:val="1"/>
          <w:bCs w:val="1"/>
          <w:u w:val="single" w:color="auto"/>
          <w:color w:val="auto"/>
        </w:rPr>
        <w:t>Transactions with Affiliates</w:t>
      </w:r>
      <w:r>
        <w:rPr>
          <w:rFonts w:ascii="Arial" w:cs="Arial" w:eastAsia="Arial" w:hAnsi="Arial"/>
          <w:sz w:val="20"/>
          <w:szCs w:val="20"/>
          <w:color w:val="auto"/>
        </w:rPr>
        <w:t>. Each Loan Party will not, and will not permit any of its Subsidiaries to, directly or indirectly, enter into or permit to exist any transaction with any Affiliate of any Loan Party or any of its Subsidiaries except for:</w:t>
      </w:r>
    </w:p>
    <w:p>
      <w:pPr>
        <w:spacing w:after="0" w:line="183" w:lineRule="exact"/>
        <w:rPr>
          <w:sz w:val="20"/>
          <w:szCs w:val="20"/>
          <w:color w:val="auto"/>
        </w:rPr>
      </w:pPr>
    </w:p>
    <w:p>
      <w:pPr>
        <w:jc w:val="both"/>
        <w:ind w:firstLine="1304"/>
        <w:spacing w:after="0" w:line="263" w:lineRule="auto"/>
        <w:tabs>
          <w:tab w:leader="none" w:pos="1944"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transactions (other than the payment of management, consulting, monitoring, or advisory fees) between such Loan Party or its Subsidiaries, on the one hand, and any Affiliate of such Loan Party or its Subsidiaries, on the other hand, so long as such transactions are no less favorable, taken as a whole, to such Loan Party or its Subsidiaries, as applicable, than would be obtained in an arm’s length transaction with a non-Affiliate,</w:t>
      </w:r>
    </w:p>
    <w:p>
      <w:pPr>
        <w:spacing w:after="0" w:line="176" w:lineRule="exact"/>
        <w:rPr>
          <w:rFonts w:ascii="Arial" w:cs="Arial" w:eastAsia="Arial" w:hAnsi="Arial"/>
          <w:sz w:val="19"/>
          <w:szCs w:val="19"/>
          <w:color w:val="auto"/>
        </w:rPr>
      </w:pPr>
    </w:p>
    <w:p>
      <w:pPr>
        <w:jc w:val="both"/>
        <w:ind w:firstLine="1304"/>
        <w:spacing w:after="0" w:line="250" w:lineRule="auto"/>
        <w:tabs>
          <w:tab w:leader="none" w:pos="1944" w:val="left"/>
        </w:tabs>
        <w:numPr>
          <w:ilvl w:val="0"/>
          <w:numId w:val="147"/>
        </w:numPr>
        <w:rPr>
          <w:rFonts w:ascii="Arial" w:cs="Arial" w:eastAsia="Arial" w:hAnsi="Arial"/>
          <w:sz w:val="20"/>
          <w:szCs w:val="20"/>
          <w:color w:val="auto"/>
        </w:rPr>
      </w:pPr>
      <w:r>
        <w:rPr>
          <w:rFonts w:ascii="Arial" w:cs="Arial" w:eastAsia="Arial" w:hAnsi="Arial"/>
          <w:sz w:val="20"/>
          <w:szCs w:val="20"/>
          <w:color w:val="auto"/>
        </w:rPr>
        <w:t>any indemnity provided for the benefit of directors (or comparable managers) of a Loan Party or one of its Subsidiaries so long as it has been approved by such Loan Party’s or such Subsidiary’s board of directors (or comparable governing body) in accordance with applicable law,</w:t>
      </w:r>
    </w:p>
    <w:p>
      <w:pPr>
        <w:spacing w:after="0" w:line="185" w:lineRule="exact"/>
        <w:rPr>
          <w:rFonts w:ascii="Arial" w:cs="Arial" w:eastAsia="Arial" w:hAnsi="Arial"/>
          <w:sz w:val="20"/>
          <w:szCs w:val="20"/>
          <w:color w:val="auto"/>
        </w:rPr>
      </w:pPr>
    </w:p>
    <w:p>
      <w:pPr>
        <w:jc w:val="both"/>
        <w:ind w:firstLine="1304"/>
        <w:spacing w:after="0" w:line="246" w:lineRule="auto"/>
        <w:tabs>
          <w:tab w:leader="none" w:pos="1944" w:val="left"/>
        </w:tabs>
        <w:numPr>
          <w:ilvl w:val="0"/>
          <w:numId w:val="147"/>
        </w:numPr>
        <w:rPr>
          <w:rFonts w:ascii="Arial" w:cs="Arial" w:eastAsia="Arial" w:hAnsi="Arial"/>
          <w:sz w:val="20"/>
          <w:szCs w:val="20"/>
          <w:color w:val="auto"/>
        </w:rPr>
      </w:pPr>
      <w:r>
        <w:rPr>
          <w:rFonts w:ascii="Arial" w:cs="Arial" w:eastAsia="Arial" w:hAnsi="Arial"/>
          <w:sz w:val="20"/>
          <w:szCs w:val="20"/>
          <w:color w:val="auto"/>
        </w:rPr>
        <w:t>the payment of reasonable compensation, severance, or employee benefit arrangements to employees, officers, and outside directors of a Loan Party or one of its Subsidiaries in the ordinary course of business and consistent with industry practice so long as it has been approved by such Loan Party’s or such Subsidiary’s board of directors (or comparable governing body) in accordance with applicable law,</w:t>
      </w:r>
    </w:p>
    <w:p>
      <w:pPr>
        <w:spacing w:after="0" w:line="191" w:lineRule="exact"/>
        <w:rPr>
          <w:rFonts w:ascii="Arial" w:cs="Arial" w:eastAsia="Arial" w:hAnsi="Arial"/>
          <w:sz w:val="20"/>
          <w:szCs w:val="20"/>
          <w:color w:val="auto"/>
        </w:rPr>
      </w:pPr>
    </w:p>
    <w:p>
      <w:pPr>
        <w:ind w:firstLine="1304"/>
        <w:spacing w:after="0" w:line="260" w:lineRule="auto"/>
        <w:tabs>
          <w:tab w:leader="none" w:pos="1944" w:val="left"/>
        </w:tabs>
        <w:numPr>
          <w:ilvl w:val="0"/>
          <w:numId w:val="147"/>
        </w:numPr>
        <w:rPr>
          <w:rFonts w:ascii="Arial" w:cs="Arial" w:eastAsia="Arial" w:hAnsi="Arial"/>
          <w:sz w:val="20"/>
          <w:szCs w:val="20"/>
          <w:color w:val="auto"/>
        </w:rPr>
      </w:pPr>
      <w:r>
        <w:rPr>
          <w:rFonts w:ascii="Arial" w:cs="Arial" w:eastAsia="Arial" w:hAnsi="Arial"/>
          <w:sz w:val="20"/>
          <w:szCs w:val="20"/>
          <w:color w:val="auto"/>
        </w:rPr>
        <w:t>(i) transactions solely among the Loan Parties, and (ii) transactions solely among Subsidiaries of Loan Parties that are not Loan Parties,</w:t>
      </w:r>
    </w:p>
    <w:p>
      <w:pPr>
        <w:spacing w:after="0" w:line="176" w:lineRule="exact"/>
        <w:rPr>
          <w:rFonts w:ascii="Arial" w:cs="Arial" w:eastAsia="Arial" w:hAnsi="Arial"/>
          <w:sz w:val="20"/>
          <w:szCs w:val="20"/>
          <w:color w:val="auto"/>
        </w:rPr>
      </w:pPr>
    </w:p>
    <w:p>
      <w:pPr>
        <w:ind w:left="1960" w:hanging="656"/>
        <w:spacing w:after="0"/>
        <w:tabs>
          <w:tab w:leader="none" w:pos="1960" w:val="left"/>
        </w:tabs>
        <w:numPr>
          <w:ilvl w:val="0"/>
          <w:numId w:val="147"/>
        </w:numPr>
        <w:rPr>
          <w:rFonts w:ascii="Arial" w:cs="Arial" w:eastAsia="Arial" w:hAnsi="Arial"/>
          <w:sz w:val="20"/>
          <w:szCs w:val="20"/>
          <w:color w:val="auto"/>
        </w:rPr>
      </w:pPr>
      <w:r>
        <w:rPr>
          <w:rFonts w:ascii="Arial" w:cs="Arial" w:eastAsia="Arial" w:hAnsi="Arial"/>
          <w:sz w:val="20"/>
          <w:szCs w:val="20"/>
          <w:color w:val="auto"/>
        </w:rPr>
        <w:t xml:space="preserve">transactions permitted by </w:t>
      </w:r>
      <w:r>
        <w:rPr>
          <w:rFonts w:ascii="Arial" w:cs="Arial" w:eastAsia="Arial" w:hAnsi="Arial"/>
          <w:sz w:val="20"/>
          <w:szCs w:val="20"/>
          <w:u w:val="single" w:color="auto"/>
          <w:color w:val="auto"/>
        </w:rPr>
        <w:t>Section 6.3</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6.7</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6.9</w:t>
      </w:r>
      <w:r>
        <w:rPr>
          <w:rFonts w:ascii="Arial" w:cs="Arial" w:eastAsia="Arial" w:hAnsi="Arial"/>
          <w:sz w:val="20"/>
          <w:szCs w:val="20"/>
          <w:color w:val="auto"/>
        </w:rPr>
        <w:t>, or</w:t>
      </w:r>
    </w:p>
    <w:p>
      <w:pPr>
        <w:spacing w:after="0" w:line="215" w:lineRule="exact"/>
        <w:rPr>
          <w:rFonts w:ascii="Arial" w:cs="Arial" w:eastAsia="Arial" w:hAnsi="Arial"/>
          <w:sz w:val="20"/>
          <w:szCs w:val="20"/>
          <w:color w:val="auto"/>
        </w:rPr>
      </w:pPr>
    </w:p>
    <w:p>
      <w:pPr>
        <w:jc w:val="both"/>
        <w:ind w:firstLine="1304"/>
        <w:spacing w:after="0" w:line="291" w:lineRule="auto"/>
        <w:tabs>
          <w:tab w:leader="none" w:pos="194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agreements for the non-exclusive licensing of intellectual property, or distribution of products, in each case, among the Loan Parties and their Subsidiaries for the purpose of the counterparty thereof operating its business, and agreements for the assignment of intellectual property from any Loan Party or any of its Subsidiaries to any Loan Party.</w:t>
      </w:r>
    </w:p>
    <w:p>
      <w:pPr>
        <w:spacing w:after="0" w:line="146"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color w:val="auto"/>
        </w:rPr>
        <w:t xml:space="preserve">6.11 </w:t>
      </w:r>
      <w:r>
        <w:rPr>
          <w:rFonts w:ascii="Arial" w:cs="Arial" w:eastAsia="Arial" w:hAnsi="Arial"/>
          <w:sz w:val="20"/>
          <w:szCs w:val="20"/>
          <w:b w:val="1"/>
          <w:bCs w:val="1"/>
          <w:u w:val="single" w:color="auto"/>
          <w:color w:val="auto"/>
        </w:rPr>
        <w:t>Use of Proceeds</w:t>
      </w:r>
      <w:r>
        <w:rPr>
          <w:rFonts w:ascii="Arial" w:cs="Arial" w:eastAsia="Arial" w:hAnsi="Arial"/>
          <w:sz w:val="20"/>
          <w:szCs w:val="20"/>
          <w:color w:val="auto"/>
        </w:rPr>
        <w:t>. Each Loan Party will not, and will not permit any of its Subsidiaries to, use the proceeds of any Loan made hereunder for any purpose other than (a) on the Closing Date, (i)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5" w:name="page116"/>
    <w:bookmarkEnd w:id="115"/>
    <w:p>
      <w:pPr>
        <w:jc w:val="both"/>
        <w:spacing w:after="0" w:line="254" w:lineRule="auto"/>
        <w:rPr>
          <w:sz w:val="20"/>
          <w:szCs w:val="20"/>
          <w:color w:val="auto"/>
        </w:rPr>
      </w:pPr>
      <w:r>
        <w:rPr>
          <w:rFonts w:ascii="Arial" w:cs="Arial" w:eastAsia="Arial" w:hAnsi="Arial"/>
          <w:sz w:val="19"/>
          <w:szCs w:val="19"/>
          <w:color w:val="auto"/>
        </w:rPr>
        <w:t>repay, in full, the outstanding principal, accrued interest, and accrued fees and expenses owing under or in connection with the Existing Credit Facility, and (ii) to pay the fees, costs, and expenses incurred in connection with this Agreement, the other Loan Documents, and the transactions contemplated hereby and thereby, in each case, as set forth in the Flow of Funds Agreement, and (b) thereafter, consistent with the terms and conditions hereof, for their lawful and permitted purposes; provided that (x) no part of the proceeds of the Loans will be used to purchase or carry any such Margin Stock or to extend credit to others for the purpose of purchasing or carrying any such Margin Stock or for any purpose that violates the provisions of Regulation T, U or X of the Board of Governors, (y) no part of the proceeds of any Loan or Letter of Credit will be used, directly or indirectly, to make any payments to a Sanctioned Entity or a Sanctioned Person, to fund any investments, loans or contributions in, or otherwise make such proceeds available to, a Sanctioned Entity or a Sanctioned Person, to fund any operations, activities or business of a Sanctioned Entity or a Sanctioned Person, or in any other manner that would result in a violation of Sanctions by any Person, and (z) that no part of the proceeds of any Loan or Letter of Credit will be used, directly or indirectly, in furtherance of an offer, payment, promise to pay, or authorization of the payment or giving of money, or anything else of value, to any Person in violation of any Sanctions, Anti-Corruption Laws or Anti-Money Laundering Laws.</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6.12 </w:t>
      </w:r>
      <w:r>
        <w:rPr>
          <w:rFonts w:ascii="Arial" w:cs="Arial" w:eastAsia="Arial" w:hAnsi="Arial"/>
          <w:sz w:val="20"/>
          <w:szCs w:val="20"/>
          <w:b w:val="1"/>
          <w:bCs w:val="1"/>
          <w:u w:val="single" w:color="auto"/>
          <w:color w:val="auto"/>
        </w:rPr>
        <w:t>Limitation on Issuance of Equity Interests</w:t>
      </w:r>
      <w:r>
        <w:rPr>
          <w:rFonts w:ascii="Arial" w:cs="Arial" w:eastAsia="Arial" w:hAnsi="Arial"/>
          <w:sz w:val="20"/>
          <w:szCs w:val="20"/>
          <w:color w:val="auto"/>
        </w:rPr>
        <w:t>. Except for the issuance or sale of Qualified Equity Interests by Administrative Borrower, each Loan Party will not, and will not permit any of its Subsidiaries to, issue or sell any of its Equity Interests.</w:t>
      </w:r>
    </w:p>
    <w:p>
      <w:pPr>
        <w:spacing w:after="0" w:line="177" w:lineRule="exact"/>
        <w:rPr>
          <w:sz w:val="20"/>
          <w:szCs w:val="20"/>
          <w:color w:val="auto"/>
        </w:rPr>
      </w:pPr>
    </w:p>
    <w:p>
      <w:pPr>
        <w:ind w:left="660" w:hanging="652"/>
        <w:spacing w:after="0"/>
        <w:tabs>
          <w:tab w:leader="none" w:pos="660" w:val="left"/>
        </w:tabs>
        <w:numPr>
          <w:ilvl w:val="0"/>
          <w:numId w:val="148"/>
        </w:numPr>
        <w:rPr>
          <w:rFonts w:ascii="Arial" w:cs="Arial" w:eastAsia="Arial" w:hAnsi="Arial"/>
          <w:sz w:val="20"/>
          <w:szCs w:val="20"/>
          <w:b w:val="1"/>
          <w:bCs w:val="1"/>
          <w:color w:val="auto"/>
        </w:rPr>
      </w:pPr>
      <w:r>
        <w:rPr>
          <w:rFonts w:ascii="Arial" w:cs="Arial" w:eastAsia="Arial" w:hAnsi="Arial"/>
          <w:sz w:val="20"/>
          <w:szCs w:val="20"/>
          <w:b w:val="1"/>
          <w:bCs w:val="1"/>
          <w:color w:val="auto"/>
        </w:rPr>
        <w:t>FINANCIAL COVENANT.</w:t>
      </w:r>
    </w:p>
    <w:p>
      <w:pPr>
        <w:spacing w:after="0" w:line="222"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9"/>
          <w:szCs w:val="19"/>
          <w:color w:val="auto"/>
        </w:rPr>
        <w:t>Each Borrower covenants and agrees that, until the termination of all of the Commitments and the payment in full of the Obligations, Borrowers will maintain a Fixed Charge Coverage Ratio, calculated for each 12 month period ending on the first day of any Covenant Testing Period and the last day of each fiscal month occurring until the end of any Covenant Testing Period (including the last day thereof), in each case of at least 1.00 to 1.00.</w:t>
      </w:r>
    </w:p>
    <w:p>
      <w:pPr>
        <w:spacing w:after="0" w:line="170" w:lineRule="exact"/>
        <w:rPr>
          <w:sz w:val="20"/>
          <w:szCs w:val="20"/>
          <w:color w:val="auto"/>
        </w:rPr>
      </w:pPr>
    </w:p>
    <w:p>
      <w:pPr>
        <w:ind w:left="660" w:hanging="652"/>
        <w:spacing w:after="0"/>
        <w:tabs>
          <w:tab w:leader="none" w:pos="660" w:val="left"/>
        </w:tabs>
        <w:numPr>
          <w:ilvl w:val="0"/>
          <w:numId w:val="149"/>
        </w:numPr>
        <w:rPr>
          <w:rFonts w:ascii="Arial" w:cs="Arial" w:eastAsia="Arial" w:hAnsi="Arial"/>
          <w:sz w:val="20"/>
          <w:szCs w:val="20"/>
          <w:b w:val="1"/>
          <w:bCs w:val="1"/>
          <w:color w:val="auto"/>
        </w:rPr>
      </w:pPr>
      <w:r>
        <w:rPr>
          <w:rFonts w:ascii="Arial" w:cs="Arial" w:eastAsia="Arial" w:hAnsi="Arial"/>
          <w:sz w:val="20"/>
          <w:szCs w:val="20"/>
          <w:b w:val="1"/>
          <w:bCs w:val="1"/>
          <w:color w:val="auto"/>
        </w:rPr>
        <w:t>EVENTS OF DEFAULT.</w:t>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Any one or more of the following events shall constitute an event of default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under this Agreement:</w:t>
      </w:r>
    </w:p>
    <w:p>
      <w:pPr>
        <w:spacing w:after="0" w:line="19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b w:val="1"/>
          <w:bCs w:val="1"/>
          <w:u w:val="single" w:color="auto"/>
          <w:color w:val="auto"/>
        </w:rPr>
        <w:t>Payments</w:t>
      </w:r>
      <w:r>
        <w:rPr>
          <w:rFonts w:ascii="Arial" w:cs="Arial" w:eastAsia="Arial" w:hAnsi="Arial"/>
          <w:sz w:val="20"/>
          <w:szCs w:val="20"/>
          <w:color w:val="auto"/>
        </w:rPr>
        <w:t>. If Borrowers fail to pay when due and payable, or when declared due and payable, (a) all or any portion of the Obligations consisting of interest, fees, or charges due the Lender Group, reimbursement of Lender Group Expenses, or other amounts (other than any portion thereof constituting principal) constituting Obligations (including any portion thereof that accrues after the commencement of an Insolvency Proceeding, regardless of whether allowed or allowable in whole or in part as a claim in any such Insolvency Proceeding), and such failure continues for a period of three Business Days, (b) all or any portion of the principal of the Loans, or (c) any amount payable to Issuing Bank in reimbursement of any drawing under a Letter of Credit;</w:t>
      </w:r>
    </w:p>
    <w:p>
      <w:pPr>
        <w:spacing w:after="0" w:line="1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8"/>
          <w:szCs w:val="18"/>
          <w:b w:val="1"/>
          <w:bCs w:val="1"/>
          <w:u w:val="single" w:color="auto"/>
          <w:color w:val="auto"/>
        </w:rPr>
        <w:t>Covenants</w:t>
      </w:r>
      <w:r>
        <w:rPr>
          <w:rFonts w:ascii="Arial" w:cs="Arial" w:eastAsia="Arial" w:hAnsi="Arial"/>
          <w:sz w:val="18"/>
          <w:szCs w:val="18"/>
          <w:color w:val="auto"/>
        </w:rPr>
        <w:t>. If any Loan Party or any of its Subsidiaries:</w:t>
      </w:r>
    </w:p>
    <w:p>
      <w:pPr>
        <w:spacing w:after="0" w:line="222" w:lineRule="exact"/>
        <w:rPr>
          <w:sz w:val="20"/>
          <w:szCs w:val="20"/>
          <w:color w:val="auto"/>
        </w:rPr>
      </w:pPr>
    </w:p>
    <w:p>
      <w:pPr>
        <w:jc w:val="both"/>
        <w:ind w:firstLine="1304"/>
        <w:spacing w:after="0" w:line="244" w:lineRule="auto"/>
        <w:tabs>
          <w:tab w:leader="none" w:pos="1944" w:val="left"/>
        </w:tabs>
        <w:numPr>
          <w:ilvl w:val="0"/>
          <w:numId w:val="150"/>
        </w:numPr>
        <w:rPr>
          <w:rFonts w:ascii="Arial" w:cs="Arial" w:eastAsia="Arial" w:hAnsi="Arial"/>
          <w:sz w:val="20"/>
          <w:szCs w:val="20"/>
          <w:color w:val="auto"/>
        </w:rPr>
      </w:pPr>
      <w:r>
        <w:rPr>
          <w:rFonts w:ascii="Arial" w:cs="Arial" w:eastAsia="Arial" w:hAnsi="Arial"/>
          <w:sz w:val="20"/>
          <w:szCs w:val="20"/>
          <w:color w:val="auto"/>
        </w:rPr>
        <w:t xml:space="preserve">fails to perform or observe any covenant or other agreement contained in any of (i) </w:t>
      </w:r>
      <w:r>
        <w:rPr>
          <w:rFonts w:ascii="Arial" w:cs="Arial" w:eastAsia="Arial" w:hAnsi="Arial"/>
          <w:sz w:val="20"/>
          <w:szCs w:val="20"/>
          <w:u w:val="single" w:color="auto"/>
          <w:color w:val="auto"/>
        </w:rPr>
        <w:t>Sections 3.6,</w:t>
      </w:r>
      <w:r>
        <w:rPr>
          <w:rFonts w:ascii="Arial" w:cs="Arial" w:eastAsia="Arial" w:hAnsi="Arial"/>
          <w:sz w:val="20"/>
          <w:szCs w:val="20"/>
          <w:color w:val="auto"/>
        </w:rPr>
        <w:t xml:space="preserve"> </w:t>
      </w:r>
      <w:r>
        <w:rPr>
          <w:rFonts w:ascii="Arial" w:cs="Arial" w:eastAsia="Arial" w:hAnsi="Arial"/>
          <w:sz w:val="20"/>
          <w:szCs w:val="20"/>
          <w:u w:val="single" w:color="auto"/>
          <w:color w:val="auto"/>
        </w:rPr>
        <w:t>5.1</w:t>
      </w:r>
      <w:r>
        <w:rPr>
          <w:rFonts w:ascii="Arial" w:cs="Arial" w:eastAsia="Arial" w:hAnsi="Arial"/>
          <w:sz w:val="20"/>
          <w:szCs w:val="20"/>
          <w:color w:val="auto"/>
        </w:rPr>
        <w:t xml:space="preserve">, </w:t>
      </w:r>
      <w:r>
        <w:rPr>
          <w:rFonts w:ascii="Arial" w:cs="Arial" w:eastAsia="Arial" w:hAnsi="Arial"/>
          <w:sz w:val="20"/>
          <w:szCs w:val="20"/>
          <w:u w:val="single" w:color="auto"/>
          <w:color w:val="auto"/>
        </w:rPr>
        <w:t>5.2</w:t>
      </w:r>
      <w:r>
        <w:rPr>
          <w:rFonts w:ascii="Arial" w:cs="Arial" w:eastAsia="Arial" w:hAnsi="Arial"/>
          <w:sz w:val="20"/>
          <w:szCs w:val="20"/>
          <w:color w:val="auto"/>
        </w:rPr>
        <w:t xml:space="preserve">, </w:t>
      </w:r>
      <w:r>
        <w:rPr>
          <w:rFonts w:ascii="Arial" w:cs="Arial" w:eastAsia="Arial" w:hAnsi="Arial"/>
          <w:sz w:val="20"/>
          <w:szCs w:val="20"/>
          <w:u w:val="single" w:color="auto"/>
          <w:color w:val="auto"/>
        </w:rPr>
        <w:t>5.3</w:t>
      </w:r>
      <w:r>
        <w:rPr>
          <w:rFonts w:ascii="Arial" w:cs="Arial" w:eastAsia="Arial" w:hAnsi="Arial"/>
          <w:sz w:val="20"/>
          <w:szCs w:val="20"/>
          <w:color w:val="auto"/>
        </w:rPr>
        <w:t xml:space="preserve"> (solely if any Borrower is not in good standing in its jurisdiction of organization), </w:t>
      </w:r>
      <w:r>
        <w:rPr>
          <w:rFonts w:ascii="Arial" w:cs="Arial" w:eastAsia="Arial" w:hAnsi="Arial"/>
          <w:sz w:val="20"/>
          <w:szCs w:val="20"/>
          <w:u w:val="single" w:color="auto"/>
          <w:color w:val="auto"/>
        </w:rPr>
        <w:t>5.6</w:t>
      </w:r>
      <w:r>
        <w:rPr>
          <w:rFonts w:ascii="Arial" w:cs="Arial" w:eastAsia="Arial" w:hAnsi="Arial"/>
          <w:sz w:val="20"/>
          <w:szCs w:val="20"/>
          <w:color w:val="auto"/>
        </w:rPr>
        <w:t xml:space="preserve">, </w:t>
      </w:r>
      <w:r>
        <w:rPr>
          <w:rFonts w:ascii="Arial" w:cs="Arial" w:eastAsia="Arial" w:hAnsi="Arial"/>
          <w:sz w:val="20"/>
          <w:szCs w:val="20"/>
          <w:u w:val="single" w:color="auto"/>
          <w:color w:val="auto"/>
        </w:rPr>
        <w:t>5.7</w:t>
      </w:r>
      <w:r>
        <w:rPr>
          <w:rFonts w:ascii="Arial" w:cs="Arial" w:eastAsia="Arial" w:hAnsi="Arial"/>
          <w:sz w:val="20"/>
          <w:szCs w:val="20"/>
          <w:color w:val="auto"/>
        </w:rPr>
        <w:t xml:space="preserve"> (solely if any Borrower refuses to allow Agent or its representatives or agents to visit any Borrower’s properties, inspect its assets or books or records, examine and make copies of its books and records, or discuss Borrowers’ affairs, finances, and accounts with officers and employees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6" w:name="page117"/>
    <w:bookmarkEnd w:id="116"/>
    <w:p>
      <w:pPr>
        <w:spacing w:after="0" w:line="261" w:lineRule="auto"/>
        <w:rPr>
          <w:sz w:val="20"/>
          <w:szCs w:val="20"/>
          <w:color w:val="auto"/>
        </w:rPr>
      </w:pPr>
      <w:r>
        <w:rPr>
          <w:rFonts w:ascii="Arial" w:cs="Arial" w:eastAsia="Arial" w:hAnsi="Arial"/>
          <w:sz w:val="20"/>
          <w:szCs w:val="20"/>
          <w:color w:val="auto"/>
        </w:rPr>
        <w:t xml:space="preserve">Borrower), or </w:t>
      </w:r>
      <w:r>
        <w:rPr>
          <w:rFonts w:ascii="Arial" w:cs="Arial" w:eastAsia="Arial" w:hAnsi="Arial"/>
          <w:sz w:val="20"/>
          <w:szCs w:val="20"/>
          <w:u w:val="single" w:color="auto"/>
          <w:color w:val="auto"/>
        </w:rPr>
        <w:t>5.13</w:t>
      </w:r>
      <w:r>
        <w:rPr>
          <w:rFonts w:ascii="Arial" w:cs="Arial" w:eastAsia="Arial" w:hAnsi="Arial"/>
          <w:sz w:val="20"/>
          <w:szCs w:val="20"/>
          <w:color w:val="auto"/>
        </w:rPr>
        <w:t xml:space="preserve"> of this Agreement, (ii) </w:t>
      </w:r>
      <w:r>
        <w:rPr>
          <w:rFonts w:ascii="Arial" w:cs="Arial" w:eastAsia="Arial" w:hAnsi="Arial"/>
          <w:sz w:val="20"/>
          <w:szCs w:val="20"/>
          <w:u w:val="single" w:color="auto"/>
          <w:color w:val="auto"/>
        </w:rPr>
        <w:t>Section 6</w:t>
      </w:r>
      <w:r>
        <w:rPr>
          <w:rFonts w:ascii="Arial" w:cs="Arial" w:eastAsia="Arial" w:hAnsi="Arial"/>
          <w:sz w:val="20"/>
          <w:szCs w:val="20"/>
          <w:color w:val="auto"/>
        </w:rPr>
        <w:t xml:space="preserve"> of this Agreement, (iii)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of this Agreement, or (iv) </w:t>
      </w:r>
      <w:r>
        <w:rPr>
          <w:rFonts w:ascii="Arial" w:cs="Arial" w:eastAsia="Arial" w:hAnsi="Arial"/>
          <w:sz w:val="20"/>
          <w:szCs w:val="20"/>
          <w:u w:val="single" w:color="auto"/>
          <w:color w:val="auto"/>
        </w:rPr>
        <w:t>Section 7</w:t>
      </w:r>
      <w:r>
        <w:rPr>
          <w:rFonts w:ascii="Arial" w:cs="Arial" w:eastAsia="Arial" w:hAnsi="Arial"/>
          <w:sz w:val="20"/>
          <w:szCs w:val="20"/>
          <w:color w:val="auto"/>
        </w:rPr>
        <w:t xml:space="preserve"> of the Guaranty and Security Agreement; or</w:t>
      </w:r>
    </w:p>
    <w:p>
      <w:pPr>
        <w:spacing w:after="0" w:line="176" w:lineRule="exact"/>
        <w:rPr>
          <w:sz w:val="20"/>
          <w:szCs w:val="20"/>
          <w:color w:val="auto"/>
        </w:rPr>
      </w:pPr>
    </w:p>
    <w:p>
      <w:pPr>
        <w:jc w:val="both"/>
        <w:ind w:firstLine="1304"/>
        <w:spacing w:after="0" w:line="278" w:lineRule="auto"/>
        <w:tabs>
          <w:tab w:leader="none" w:pos="194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 xml:space="preserve">fails to perform or observe any covenant or other agreement contained in this Agreement, or in any of the other Loan Documents, in each case, other than any such covenant or agreement that is the subject of another provision of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(in which event such other provision of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govern), and such failure continues for a period of twenty days after the earlier of (i) the date on which such failure shall first become known to any executive officer of any Borrower, or (ii) the date on which written notice thereof is given to Borrowers by Agent;</w:t>
      </w:r>
    </w:p>
    <w:p>
      <w:pPr>
        <w:spacing w:after="0" w:line="15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8.3 </w:t>
      </w:r>
      <w:r>
        <w:rPr>
          <w:rFonts w:ascii="Arial" w:cs="Arial" w:eastAsia="Arial" w:hAnsi="Arial"/>
          <w:sz w:val="19"/>
          <w:szCs w:val="19"/>
          <w:b w:val="1"/>
          <w:bCs w:val="1"/>
          <w:u w:val="single" w:color="auto"/>
          <w:color w:val="auto"/>
        </w:rPr>
        <w:t>Judgments</w:t>
      </w:r>
      <w:r>
        <w:rPr>
          <w:rFonts w:ascii="Arial" w:cs="Arial" w:eastAsia="Arial" w:hAnsi="Arial"/>
          <w:sz w:val="19"/>
          <w:szCs w:val="19"/>
          <w:color w:val="auto"/>
        </w:rPr>
        <w:t>. If one or more judgments, orders, or awards for the payment of money involving an aggregate amount of $2,000,000, or more (except to the extent fully covered (other than to the extent of customary deductibles) by insurance pursuant to which the insurer has not denied coverage) is entered or filed against a Loan Party or any of its Subsidiaries, or with respect to any of their respective assets, and either (a) there is a period of thirty consecutive days at any time after the entry of any such judgment, order, or award during which (i) the same is not discharged, satisfied, vacated, or bonded pending appeal, or (ii) a stay of enforcement thereof is not in effect, or (b) enforcement proceedings are commenced upon such judgment, order, or award;</w:t>
      </w:r>
    </w:p>
    <w:p>
      <w:pPr>
        <w:spacing w:after="0" w:line="172"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b w:val="1"/>
          <w:bCs w:val="1"/>
          <w:u w:val="single" w:color="auto"/>
          <w:color w:val="auto"/>
        </w:rPr>
        <w:t>Voluntary Bankruptcy, etc.</w:t>
      </w:r>
      <w:r>
        <w:rPr>
          <w:rFonts w:ascii="Arial" w:cs="Arial" w:eastAsia="Arial" w:hAnsi="Arial"/>
          <w:sz w:val="20"/>
          <w:szCs w:val="20"/>
          <w:color w:val="auto"/>
        </w:rPr>
        <w:t xml:space="preserve"> If an Insolvency Proceeding is commenced by a Loan Party or any of its Subsidiaries;</w:t>
      </w:r>
    </w:p>
    <w:p>
      <w:pPr>
        <w:spacing w:after="0" w:line="16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8.5 </w:t>
      </w:r>
      <w:r>
        <w:rPr>
          <w:rFonts w:ascii="Arial" w:cs="Arial" w:eastAsia="Arial" w:hAnsi="Arial"/>
          <w:sz w:val="19"/>
          <w:szCs w:val="19"/>
          <w:b w:val="1"/>
          <w:bCs w:val="1"/>
          <w:u w:val="single" w:color="auto"/>
          <w:color w:val="auto"/>
        </w:rPr>
        <w:t>Involuntary Bankruptcy, etc.</w:t>
      </w:r>
      <w:r>
        <w:rPr>
          <w:rFonts w:ascii="Arial" w:cs="Arial" w:eastAsia="Arial" w:hAnsi="Arial"/>
          <w:sz w:val="19"/>
          <w:szCs w:val="19"/>
          <w:color w:val="auto"/>
        </w:rPr>
        <w:t xml:space="preserve"> If an Insolvency Proceeding is commenced against a Loan Party or any of its Subsidiaries and any of the following events occur: (a) such Loan Party or such Subsidiary consents to the institution of such Insolvency Proceeding against it, (b) the petition commencing the Insolvency Proceeding is not timely controverted, (c) the petition commencing the Insolvency Proceeding is not dismissed within sixty calendar days of the date of the filing thereof, (d) an interim trustee is appointed to take possession of all or any substantial portion of the properties or assets of, or to operate all or any substantial portion of the business of, such Loan Party or its Subsidiary, or (e) an order for relief shall have been issued or entered therein;</w:t>
      </w:r>
    </w:p>
    <w:p>
      <w:pPr>
        <w:spacing w:after="0" w:line="17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8.6 </w:t>
      </w:r>
      <w:r>
        <w:rPr>
          <w:rFonts w:ascii="Arial" w:cs="Arial" w:eastAsia="Arial" w:hAnsi="Arial"/>
          <w:sz w:val="20"/>
          <w:szCs w:val="20"/>
          <w:b w:val="1"/>
          <w:bCs w:val="1"/>
          <w:u w:val="single" w:color="auto"/>
          <w:color w:val="auto"/>
        </w:rPr>
        <w:t>Default Under Other Agreements</w:t>
      </w:r>
      <w:r>
        <w:rPr>
          <w:rFonts w:ascii="Arial" w:cs="Arial" w:eastAsia="Arial" w:hAnsi="Arial"/>
          <w:sz w:val="20"/>
          <w:szCs w:val="20"/>
          <w:color w:val="auto"/>
        </w:rPr>
        <w:t>. If there is (a) a default in one or more agreements to which a Loan Party or any of its Subsidiaries is a party with one or more third Persons relative to a Loan Party’s or any of its Subsidiaries’ Indebtedness involving an aggregate amount of $2,000,000 or more, and such default (i) occurs at the final maturity of the obligations thereunder, or (ii) results in a right by such third Person, irrespective of whether exercised, to accelerate the maturity of such Loan Party’s or its Subsidiary’s obligations thereunder, or (b) a default in or an involuntary early termination of one or more Hedge Agreements to which a Loan Party or any of its Subsidiaries is a party involving an aggregate amount of $2,000,000 or more;</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 xml:space="preserve">8.7 </w:t>
      </w:r>
      <w:r>
        <w:rPr>
          <w:rFonts w:ascii="Arial" w:cs="Arial" w:eastAsia="Arial" w:hAnsi="Arial"/>
          <w:sz w:val="20"/>
          <w:szCs w:val="20"/>
          <w:b w:val="1"/>
          <w:bCs w:val="1"/>
          <w:u w:val="single" w:color="auto"/>
          <w:color w:val="auto"/>
        </w:rPr>
        <w:t>Representations, etc.</w:t>
      </w:r>
      <w:r>
        <w:rPr>
          <w:rFonts w:ascii="Arial" w:cs="Arial" w:eastAsia="Arial" w:hAnsi="Arial"/>
          <w:sz w:val="20"/>
          <w:szCs w:val="20"/>
          <w:color w:val="auto"/>
        </w:rPr>
        <w:t xml:space="preserve"> If any warranty, representation, certificate, statement, or Record made herein or in any other Loan Document or delivered in writing to Agent or any Lender in connection with this Agreement or any other Loan Document proves to be untrue in any material respect (except that such materiality qualifier shall not be applicable to any representations and warranties that already are qualified or modified by materiality in the text thereof) as of the date of issuance or making or deemed making thereof;</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8.8 </w:t>
      </w:r>
      <w:r>
        <w:rPr>
          <w:rFonts w:ascii="Arial" w:cs="Arial" w:eastAsia="Arial" w:hAnsi="Arial"/>
          <w:sz w:val="19"/>
          <w:szCs w:val="19"/>
          <w:b w:val="1"/>
          <w:bCs w:val="1"/>
          <w:u w:val="single" w:color="auto"/>
          <w:color w:val="auto"/>
        </w:rPr>
        <w:t>Guaranty</w:t>
      </w:r>
      <w:r>
        <w:rPr>
          <w:rFonts w:ascii="Arial" w:cs="Arial" w:eastAsia="Arial" w:hAnsi="Arial"/>
          <w:sz w:val="19"/>
          <w:szCs w:val="19"/>
          <w:color w:val="auto"/>
        </w:rPr>
        <w:t>. If the obligation of any Guarantor under the guaranty contained in the Guaranty and Security Agreement is limited or terminated by operation of law or by such Guarantor (other than in accordance with the terms of this Agreement) or if any Guarantor repudiates or revokes or purports to repudiate or revoke any such guaranty;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7" w:name="page118"/>
    <w:bookmarkEnd w:id="117"/>
    <w:p>
      <w:pPr>
        <w:jc w:val="both"/>
        <w:ind w:firstLine="648"/>
        <w:spacing w:after="0" w:line="318" w:lineRule="auto"/>
        <w:rPr>
          <w:sz w:val="20"/>
          <w:szCs w:val="20"/>
          <w:color w:val="auto"/>
        </w:rPr>
      </w:pPr>
      <w:r>
        <w:rPr>
          <w:rFonts w:ascii="Arial" w:cs="Arial" w:eastAsia="Arial" w:hAnsi="Arial"/>
          <w:sz w:val="16"/>
          <w:szCs w:val="16"/>
          <w:color w:val="auto"/>
        </w:rPr>
        <w:t xml:space="preserve">8.9 </w:t>
      </w:r>
      <w:r>
        <w:rPr>
          <w:rFonts w:ascii="Arial" w:cs="Arial" w:eastAsia="Arial" w:hAnsi="Arial"/>
          <w:sz w:val="16"/>
          <w:szCs w:val="16"/>
          <w:b w:val="1"/>
          <w:bCs w:val="1"/>
          <w:u w:val="single" w:color="auto"/>
          <w:color w:val="auto"/>
        </w:rPr>
        <w:t>Security Documents</w:t>
      </w:r>
      <w:r>
        <w:rPr>
          <w:rFonts w:ascii="Arial" w:cs="Arial" w:eastAsia="Arial" w:hAnsi="Arial"/>
          <w:sz w:val="16"/>
          <w:szCs w:val="16"/>
          <w:color w:val="auto"/>
        </w:rPr>
        <w:t>. If the Guaranty and Security Agreement or any other Loan Document that purports to create a Lien, shall, for any reason (other than solely as the result of an action or failure to act on the part of Agent), fail or cease to create a valid and perfected and, (except to the extent of Permitted Liens which are non-consensual Permitted Liens, permitted purchase money Liens or the interests of lessors under Capital Leases) first priority Lien on the Collateral covered thereby, except (a) as a result of a disposition of the applicable Collateral in a transaction permitted under this Agreement, or (b) with respect to Collateral the aggregate value of which, for all such Collateral, does not exceed at any time, $1,000,000;</w:t>
      </w:r>
    </w:p>
    <w:p>
      <w:pPr>
        <w:spacing w:after="0" w:line="131"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 xml:space="preserve">8.10 </w:t>
      </w:r>
      <w:r>
        <w:rPr>
          <w:rFonts w:ascii="Arial" w:cs="Arial" w:eastAsia="Arial" w:hAnsi="Arial"/>
          <w:sz w:val="20"/>
          <w:szCs w:val="20"/>
          <w:b w:val="1"/>
          <w:bCs w:val="1"/>
          <w:u w:val="single" w:color="auto"/>
          <w:color w:val="auto"/>
        </w:rPr>
        <w:t>Loan Documents</w:t>
      </w:r>
      <w:r>
        <w:rPr>
          <w:rFonts w:ascii="Arial" w:cs="Arial" w:eastAsia="Arial" w:hAnsi="Arial"/>
          <w:sz w:val="20"/>
          <w:szCs w:val="20"/>
          <w:color w:val="auto"/>
        </w:rPr>
        <w:t>. The validity or enforceability of any Loan Document shall at any time for any reason (other than solely as the result of an action or failure to act on the part of Agent) be declared to be null and void, or a proceeding shall be commenced by a Loan Party or its Subsidiaries, or by any Governmental Authority having jurisdiction over a Loan Party or its Subsidiaries, seeking to establish the invalidity or unenforceability thereof, or a Loan Party or its Subsidiaries shall deny that such Loan Party or its Subsidiaries has any liability or obligation purported to be created under any Loan Document; or</w:t>
      </w:r>
    </w:p>
    <w:p>
      <w:pPr>
        <w:spacing w:after="0" w:line="18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8.11</w:t>
      </w:r>
      <w:r>
        <w:rPr>
          <w:sz w:val="20"/>
          <w:szCs w:val="20"/>
          <w:color w:val="auto"/>
        </w:rPr>
        <w:tab/>
      </w:r>
      <w:r>
        <w:rPr>
          <w:rFonts w:ascii="Arial" w:cs="Arial" w:eastAsia="Arial" w:hAnsi="Arial"/>
          <w:sz w:val="18"/>
          <w:szCs w:val="18"/>
          <w:b w:val="1"/>
          <w:bCs w:val="1"/>
          <w:u w:val="single" w:color="auto"/>
          <w:color w:val="auto"/>
        </w:rPr>
        <w:t>Change of Control</w:t>
      </w:r>
      <w:r>
        <w:rPr>
          <w:rFonts w:ascii="Arial" w:cs="Arial" w:eastAsia="Arial" w:hAnsi="Arial"/>
          <w:sz w:val="18"/>
          <w:szCs w:val="18"/>
          <w:color w:val="auto"/>
        </w:rPr>
        <w:t>. A Change of Control shall occur, whether directly or indirectly.</w:t>
      </w:r>
    </w:p>
    <w:p>
      <w:pPr>
        <w:spacing w:after="0" w:line="216" w:lineRule="exact"/>
        <w:rPr>
          <w:sz w:val="20"/>
          <w:szCs w:val="20"/>
          <w:color w:val="auto"/>
        </w:rPr>
      </w:pPr>
    </w:p>
    <w:p>
      <w:pPr>
        <w:ind w:left="660" w:hanging="652"/>
        <w:spacing w:after="0"/>
        <w:tabs>
          <w:tab w:leader="none" w:pos="660" w:val="left"/>
        </w:tabs>
        <w:numPr>
          <w:ilvl w:val="0"/>
          <w:numId w:val="152"/>
        </w:numPr>
        <w:rPr>
          <w:rFonts w:ascii="Arial" w:cs="Arial" w:eastAsia="Arial" w:hAnsi="Arial"/>
          <w:sz w:val="20"/>
          <w:szCs w:val="20"/>
          <w:b w:val="1"/>
          <w:bCs w:val="1"/>
          <w:color w:val="auto"/>
        </w:rPr>
      </w:pPr>
      <w:r>
        <w:rPr>
          <w:rFonts w:ascii="Arial" w:cs="Arial" w:eastAsia="Arial" w:hAnsi="Arial"/>
          <w:sz w:val="20"/>
          <w:szCs w:val="20"/>
          <w:b w:val="1"/>
          <w:bCs w:val="1"/>
          <w:color w:val="auto"/>
        </w:rPr>
        <w:t>RIGHTS AND REMEDIES.</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9.1 </w:t>
      </w:r>
      <w:r>
        <w:rPr>
          <w:rFonts w:ascii="Arial" w:cs="Arial" w:eastAsia="Arial" w:hAnsi="Arial"/>
          <w:sz w:val="19"/>
          <w:szCs w:val="19"/>
          <w:b w:val="1"/>
          <w:bCs w:val="1"/>
          <w:u w:val="single" w:color="auto"/>
          <w:color w:val="auto"/>
        </w:rPr>
        <w:t>Rights and Remedies</w:t>
      </w:r>
      <w:r>
        <w:rPr>
          <w:rFonts w:ascii="Arial" w:cs="Arial" w:eastAsia="Arial" w:hAnsi="Arial"/>
          <w:sz w:val="19"/>
          <w:szCs w:val="19"/>
          <w:color w:val="auto"/>
        </w:rPr>
        <w:t>. Upon the occurrence and during the continuation of an Event of Default, Agent may, and, at the instruction of the Required Lenders, shall, in addition to any other rights or remedies provided for hereunder or under any other Loan Document or by applicable law, do any one or more of the following:</w:t>
      </w:r>
    </w:p>
    <w:p>
      <w:pPr>
        <w:spacing w:after="0" w:line="168" w:lineRule="exact"/>
        <w:rPr>
          <w:sz w:val="20"/>
          <w:szCs w:val="20"/>
          <w:color w:val="auto"/>
        </w:rPr>
      </w:pPr>
    </w:p>
    <w:p>
      <w:pPr>
        <w:jc w:val="both"/>
        <w:ind w:firstLine="1304"/>
        <w:spacing w:after="0" w:line="273" w:lineRule="auto"/>
        <w:tabs>
          <w:tab w:leader="none" w:pos="194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by written notice to Borrowers, (i) declare the principal of, and any and all accrued and unpaid interest and fees in respect of, the Loans and all other Obligations (other than the Bank Product Obligations), whether evidenced by this Agreement or by any of the other Loan Documents to be immediately due and payable, whereupon the same shall become and be immediately due and payable and Borrowers shall be obligated to repay all of such Obligations in full, without presentment, demand, protest, or further notice or other requirements of any kind, all of which are hereby expressly waived by each Borrower, and (ii) direct Borrowers to provide (and Borrowers agree that upon receipt of such notice Borrowers will provide) Letter of Credit Collateralization to Agent to be held as security for Borrowers’ reimbursement obligations for drawings that may subsequently occur under issued and outstanding Letters of Credit;</w:t>
      </w:r>
    </w:p>
    <w:p>
      <w:pPr>
        <w:spacing w:after="0" w:line="168" w:lineRule="exact"/>
        <w:rPr>
          <w:rFonts w:ascii="Arial" w:cs="Arial" w:eastAsia="Arial" w:hAnsi="Arial"/>
          <w:sz w:val="18"/>
          <w:szCs w:val="18"/>
          <w:color w:val="auto"/>
        </w:rPr>
      </w:pPr>
    </w:p>
    <w:p>
      <w:pPr>
        <w:jc w:val="both"/>
        <w:ind w:firstLine="1304"/>
        <w:spacing w:after="0" w:line="291" w:lineRule="auto"/>
        <w:tabs>
          <w:tab w:leader="none" w:pos="194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by written notice to Borrowers, declare the Commitments terminated, whereupon the Commitments shall immediately be terminated together with (i) any obligation of any Revolving Lender to make Revolving Loans, (ii) the obligation of the Swing Lender to make Swing Loans, and (iii) the obligation of Issuing Bank to issue Letters of Credit; and</w:t>
      </w:r>
    </w:p>
    <w:p>
      <w:pPr>
        <w:spacing w:after="0" w:line="151" w:lineRule="exact"/>
        <w:rPr>
          <w:rFonts w:ascii="Arial" w:cs="Arial" w:eastAsia="Arial" w:hAnsi="Arial"/>
          <w:sz w:val="18"/>
          <w:szCs w:val="18"/>
          <w:color w:val="auto"/>
        </w:rPr>
      </w:pPr>
    </w:p>
    <w:p>
      <w:pPr>
        <w:ind w:firstLine="1304"/>
        <w:spacing w:after="0" w:line="260" w:lineRule="auto"/>
        <w:tabs>
          <w:tab w:leader="none" w:pos="1944" w:val="left"/>
        </w:tabs>
        <w:numPr>
          <w:ilvl w:val="0"/>
          <w:numId w:val="153"/>
        </w:numPr>
        <w:rPr>
          <w:rFonts w:ascii="Arial" w:cs="Arial" w:eastAsia="Arial" w:hAnsi="Arial"/>
          <w:sz w:val="20"/>
          <w:szCs w:val="20"/>
          <w:color w:val="auto"/>
        </w:rPr>
      </w:pPr>
      <w:r>
        <w:rPr>
          <w:rFonts w:ascii="Arial" w:cs="Arial" w:eastAsia="Arial" w:hAnsi="Arial"/>
          <w:sz w:val="20"/>
          <w:szCs w:val="20"/>
          <w:color w:val="auto"/>
        </w:rPr>
        <w:t>exercise all other rights and remedies available to Agent or the Lenders under the Loan Documents, under applicable law, or in equity.</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The foregoing to the contrary notwithstanding, upon the occurrence of any Event of Default described in </w:t>
      </w:r>
      <w:r>
        <w:rPr>
          <w:rFonts w:ascii="Arial" w:cs="Arial" w:eastAsia="Arial" w:hAnsi="Arial"/>
          <w:sz w:val="20"/>
          <w:szCs w:val="20"/>
          <w:u w:val="single" w:color="auto"/>
          <w:color w:val="auto"/>
        </w:rPr>
        <w:t>Section 8.4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8.5</w:t>
      </w:r>
      <w:r>
        <w:rPr>
          <w:rFonts w:ascii="Arial" w:cs="Arial" w:eastAsia="Arial" w:hAnsi="Arial"/>
          <w:sz w:val="20"/>
          <w:szCs w:val="20"/>
          <w:color w:val="auto"/>
        </w:rPr>
        <w:t>, in addition to the remedies set forth above, without any notice to Borrowers or any other Person or any act by the Lender Group, the Commitments shall automatically terminate and the Obligations (other than the Bank Product Obligations), inclusive of the principal of, and any and all accrued and unpaid interest and fees in respect of, the Loans and all other Obligations (other than the Bank Product Obligations), whether evidenced by this Agreement or by any of the other Loan Documents, shall automatically become and be immediately due and payable and Borrowers shall automatically be obligated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118" w:name="page119"/>
    <w:bookmarkEnd w:id="118"/>
    <w:p>
      <w:pPr>
        <w:jc w:val="both"/>
        <w:spacing w:after="0" w:line="259" w:lineRule="auto"/>
        <w:rPr>
          <w:sz w:val="20"/>
          <w:szCs w:val="20"/>
          <w:color w:val="auto"/>
        </w:rPr>
      </w:pPr>
      <w:r>
        <w:rPr>
          <w:rFonts w:ascii="Arial" w:cs="Arial" w:eastAsia="Arial" w:hAnsi="Arial"/>
          <w:sz w:val="19"/>
          <w:szCs w:val="19"/>
          <w:color w:val="auto"/>
        </w:rPr>
        <w:t>to repay all of such Obligations in full (including Borrowers being obligated to provide (and Borrowers agree that they will provide) (1) Letter of Credit Collateralization to Agent to be held as security for Borrowers’ reimbursement obligations in respect of drawings that may subsequently occur under issued and outstanding Letters of Credit and (2) Bank Product Collateralization to be held as security for Borrowers’ or their Subsidiaries’ obligations in respect of outstanding Bank Products unless expressly waived by such Bank Provider), without presentment, demand, protest, or notice or other requirements of any kind, all of which are expressly waived by Borrowers.</w:t>
      </w:r>
    </w:p>
    <w:p>
      <w:pPr>
        <w:spacing w:after="0" w:line="173" w:lineRule="exact"/>
        <w:rPr>
          <w:sz w:val="20"/>
          <w:szCs w:val="20"/>
          <w:color w:val="auto"/>
        </w:rPr>
      </w:pPr>
    </w:p>
    <w:p>
      <w:pPr>
        <w:jc w:val="both"/>
        <w:ind w:firstLine="648"/>
        <w:spacing w:after="0" w:line="280"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u w:val="single" w:color="auto"/>
          <w:color w:val="auto"/>
        </w:rPr>
        <w:t>Remedies Cumulative</w:t>
      </w:r>
      <w:r>
        <w:rPr>
          <w:rFonts w:ascii="Arial" w:cs="Arial" w:eastAsia="Arial" w:hAnsi="Arial"/>
          <w:sz w:val="18"/>
          <w:szCs w:val="18"/>
          <w:color w:val="auto"/>
        </w:rPr>
        <w:t>. The rights and remedies of the Lender Group under this Agreement, the other Loan Documents, and all other agreements shall be cumulative. The Lender Group shall have all other rights and remedies not inconsistent herewith as provided under the Code, by law, or in equity. No exercise by the Lender Group of one right or remedy shall be deemed an election, and no waiver by the Lender Group of any Default or Event of Default shall be deemed a continuing waiver. No delay by the Lender Group shall constitute a waiver, election, or acquiescence by it.</w:t>
      </w:r>
    </w:p>
    <w:p>
      <w:pPr>
        <w:spacing w:after="0" w:line="156" w:lineRule="exact"/>
        <w:rPr>
          <w:sz w:val="20"/>
          <w:szCs w:val="20"/>
          <w:color w:val="auto"/>
        </w:rPr>
      </w:pPr>
    </w:p>
    <w:p>
      <w:pPr>
        <w:ind w:left="660" w:hanging="652"/>
        <w:spacing w:after="0"/>
        <w:tabs>
          <w:tab w:leader="none" w:pos="660" w:val="left"/>
        </w:tabs>
        <w:numPr>
          <w:ilvl w:val="0"/>
          <w:numId w:val="154"/>
        </w:numPr>
        <w:rPr>
          <w:rFonts w:ascii="Arial" w:cs="Arial" w:eastAsia="Arial" w:hAnsi="Arial"/>
          <w:sz w:val="20"/>
          <w:szCs w:val="20"/>
          <w:b w:val="1"/>
          <w:bCs w:val="1"/>
          <w:color w:val="auto"/>
        </w:rPr>
      </w:pPr>
      <w:r>
        <w:rPr>
          <w:rFonts w:ascii="Arial" w:cs="Arial" w:eastAsia="Arial" w:hAnsi="Arial"/>
          <w:sz w:val="20"/>
          <w:szCs w:val="20"/>
          <w:b w:val="1"/>
          <w:bCs w:val="1"/>
          <w:color w:val="auto"/>
        </w:rPr>
        <w:t>WAIVERS; INDEMNIFICATION.</w:t>
      </w:r>
    </w:p>
    <w:p>
      <w:pPr>
        <w:spacing w:after="0" w:line="21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b w:val="1"/>
          <w:bCs w:val="1"/>
          <w:u w:val="single" w:color="auto"/>
          <w:color w:val="auto"/>
        </w:rPr>
        <w:t>Demand; Protest; etc.</w:t>
      </w:r>
      <w:r>
        <w:rPr>
          <w:rFonts w:ascii="Arial" w:cs="Arial" w:eastAsia="Arial" w:hAnsi="Arial"/>
          <w:sz w:val="19"/>
          <w:szCs w:val="19"/>
          <w:color w:val="auto"/>
        </w:rPr>
        <w:t xml:space="preserve"> To the fullest extent permitted by applicable law, each Borrower waives demand, protest, notice of protest, notice of default or dishonor, notice of payment and nonpayment, nonpayment at maturity, release, compromise, settlement, extension, or renewal of documents, instruments, chattel paper, and guarantees at any time held by the Lender Group on which any Borrower may in any way be liable.</w:t>
      </w:r>
    </w:p>
    <w:p>
      <w:pPr>
        <w:spacing w:after="0" w:line="16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 xml:space="preserve">10.2 </w:t>
      </w:r>
      <w:r>
        <w:rPr>
          <w:rFonts w:ascii="Arial" w:cs="Arial" w:eastAsia="Arial" w:hAnsi="Arial"/>
          <w:sz w:val="20"/>
          <w:szCs w:val="20"/>
          <w:b w:val="1"/>
          <w:bCs w:val="1"/>
          <w:u w:val="single" w:color="auto"/>
          <w:color w:val="auto"/>
        </w:rPr>
        <w:t>The Lender Group’s Liability for Collateral</w:t>
      </w:r>
      <w:r>
        <w:rPr>
          <w:rFonts w:ascii="Arial" w:cs="Arial" w:eastAsia="Arial" w:hAnsi="Arial"/>
          <w:sz w:val="20"/>
          <w:szCs w:val="20"/>
          <w:color w:val="auto"/>
        </w:rPr>
        <w:t>. Each Borrower hereby agrees that: (a) so long as Agent complies with its obligations, if any, under the Code, the Lender Group shall not in any way or manner be liable or responsible for: (i) the safekeeping of the Collateral, (ii) any loss or damage thereto occurring or arising in any manner or fashion from any cause, (iii) any diminution in the value thereof, or (iv) any act or default of any carrier, warehouseman, bailee, forwarding agency, or other Person, and (b) all risk of loss, damage, or destruction of the Collateral shall be borne by the Loan Parties.</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 Each Borrower shall pay, indemnify, defend, and hold the Agent-Related Persons, the Lender-Related Persons, the Issuing Bank, and each Participant (each, an “</w:t>
      </w:r>
      <w:r>
        <w:rPr>
          <w:rFonts w:ascii="Arial" w:cs="Arial" w:eastAsia="Arial" w:hAnsi="Arial"/>
          <w:sz w:val="18"/>
          <w:szCs w:val="18"/>
          <w:u w:val="single" w:color="auto"/>
          <w:color w:val="auto"/>
        </w:rPr>
        <w:t>Indemnified Person</w:t>
      </w:r>
      <w:r>
        <w:rPr>
          <w:rFonts w:ascii="Arial" w:cs="Arial" w:eastAsia="Arial" w:hAnsi="Arial"/>
          <w:sz w:val="18"/>
          <w:szCs w:val="18"/>
          <w:color w:val="auto"/>
        </w:rPr>
        <w:t>”) harmless (to the fullest extent permitted by law) from and against any and all claims, demands, suits, actions, investigations, proceedings, liabilities, fines, costs, penalties, and damages, and all reasonable and documented fees and disbursements of outside attorneys, experts, or consultants and all other reasonable and documented out of pocket costs and expenses actually incurred in connection therewith or in connection with the enforcement of this indemnification (as and when they are incurred and irrespective of whether suit is brought), at any time asserted against, imposed upon, or incurred by any of them (a) in connection with or as a result of or related to the execution and delivery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Borrowers shall not be liable for costs and expenses (including attorneys’ fees) of any Lender (other than Wells Fargo) incurred in advising, structuring, drafting, reviewing, administering or syndicating the Loan Documents), enforcement, performance, or administration (including any restructuring or workout with respect hereto) of this Agreement, any of the other Loan Documents, or the transactions contemplated hereby or thereby or the monitoring of Borrowers’ and their Subsidiaries’ compliance with the terms of the Loan Documents (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indemnification in this clause (a) shall not extend to (i) disputes solely between or among the Lenders that do not involve any acts or omissions of any Loan Party, or (ii) disputes solely between or among the Lenders and their respective Affiliates that do not involve any acts or omissions of any Loan Party; it being understood and agreed that the indemnification in this clause (a) shall extend to Agent (but not the Lenders unless the dispute involves an act or omission of a Loan Party) relative to disputes between or among Agent on the one hand, and one or more Lenders, or one or more of their Affiliates, on the other hand, or (iii) any claims for Taxes, which shall be governed by </w:t>
      </w:r>
      <w:r>
        <w:rPr>
          <w:rFonts w:ascii="Arial" w:cs="Arial" w:eastAsia="Arial" w:hAnsi="Arial"/>
          <w:sz w:val="18"/>
          <w:szCs w:val="18"/>
          <w:u w:val="single" w:color="auto"/>
          <w:color w:val="auto"/>
        </w:rPr>
        <w:t>Section 16</w:t>
      </w:r>
      <w:r>
        <w:rPr>
          <w:rFonts w:ascii="Arial" w:cs="Arial" w:eastAsia="Arial" w:hAnsi="Arial"/>
          <w:sz w:val="18"/>
          <w:szCs w:val="18"/>
          <w:color w:val="auto"/>
        </w:rPr>
        <w:t>, other than Taxes which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9" w:name="page120"/>
    <w:bookmarkEnd w:id="119"/>
    <w:p>
      <w:pPr>
        <w:jc w:val="both"/>
        <w:spacing w:after="0" w:line="305" w:lineRule="auto"/>
        <w:rPr>
          <w:sz w:val="20"/>
          <w:szCs w:val="20"/>
          <w:color w:val="auto"/>
        </w:rPr>
      </w:pPr>
      <w:r>
        <w:rPr>
          <w:rFonts w:ascii="Arial" w:cs="Arial" w:eastAsia="Arial" w:hAnsi="Arial"/>
          <w:sz w:val="16"/>
          <w:szCs w:val="16"/>
          <w:color w:val="auto"/>
        </w:rPr>
        <w:t>to primarily non-Tax claims), (b) with respect to any actual or prospective investigation, litigation, or proceeding related to this Agreement, any other Loan Document, the making of any Loans or issuance of any Letters of Credit hereunder, or the use of the proceeds of the Loans or the Letters of Credit provided hereunder (irrespective of whether any Indemnified Person is a party thereto), or any act, omission, event, or circumstance in any manner related thereto, and (c) in connection with or arising out of any presence or release of Hazardous Materials at, on, under, to or from any assets or properties owned, leased or operated by any Loan Party or any of its Subsidiaries or any Environmental Actions, Environmental Liabilities or Remedial Actions related in any way to any such assets or properties of any Loan Party or any of its Subsidiaries (each and all of the foregoing, the “</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xml:space="preserve"> ”). The foregoing to the contrary notwithstanding, no Borrower shall have any obligation to any Indemnified Person under this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with respect to any Indemnified Liability that a court of competent jurisdiction finally determines to have resulted from the gross negligence or willful misconduct of such Indemnified Person or its officers, directors, employees, attorneys, or agents. This provision shall survive the termination of this Agreement and the repayment in full of the Obligations. If any Indemnified Person makes any payment to any other Indemnified Person with respect to an Indemnified Liability as to which Borrowers were required to indemnify the Indemnified Person receiving such payment, the Indemnified Person making such payment is entitled to be indemnified and reimbursed by Borrowers with respect thereto. </w:t>
      </w:r>
      <w:r>
        <w:rPr>
          <w:rFonts w:ascii="Arial" w:cs="Arial" w:eastAsia="Arial" w:hAnsi="Arial"/>
          <w:sz w:val="16"/>
          <w:szCs w:val="16"/>
          <w:b w:val="1"/>
          <w:bCs w:val="1"/>
          <w:color w:val="auto"/>
        </w:rPr>
        <w:t>WITHOUT LIMITATION, EXCEPT AS OTHERWISE SET FORTH</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20"/>
          <w:szCs w:val="20"/>
          <w:b w:val="1"/>
          <w:bCs w:val="1"/>
          <w:color w:val="auto"/>
        </w:rPr>
        <w:t>ABOVE, THE FOREGOING INDEMNITY SHALL APPLY TO EACH INDEMNIFIED PERSON WITH RESPECT TO INDEMNIFIED LIABILITIES WHICH IN WHOLE OR IN PART ARE CAUSED BY OR ARISE OUT OF ANY NEGLIGENT ACT OR OMISSION OF SUCH INDEMNIFIED PERSON OR OF ANY OTHER PERSON.</w:t>
      </w:r>
    </w:p>
    <w:p>
      <w:pPr>
        <w:spacing w:after="0" w:line="190" w:lineRule="exact"/>
        <w:rPr>
          <w:sz w:val="20"/>
          <w:szCs w:val="20"/>
          <w:color w:val="auto"/>
        </w:rPr>
      </w:pPr>
    </w:p>
    <w:p>
      <w:pPr>
        <w:ind w:left="660" w:hanging="652"/>
        <w:spacing w:after="0"/>
        <w:tabs>
          <w:tab w:leader="none" w:pos="660" w:val="left"/>
        </w:tabs>
        <w:numPr>
          <w:ilvl w:val="0"/>
          <w:numId w:val="155"/>
        </w:numPr>
        <w:rPr>
          <w:rFonts w:ascii="Arial" w:cs="Arial" w:eastAsia="Arial" w:hAnsi="Arial"/>
          <w:sz w:val="20"/>
          <w:szCs w:val="20"/>
          <w:b w:val="1"/>
          <w:bCs w:val="1"/>
          <w:color w:val="auto"/>
        </w:rPr>
      </w:pPr>
      <w:r>
        <w:rPr>
          <w:rFonts w:ascii="Arial" w:cs="Arial" w:eastAsia="Arial" w:hAnsi="Arial"/>
          <w:sz w:val="20"/>
          <w:szCs w:val="20"/>
          <w:b w:val="1"/>
          <w:bCs w:val="1"/>
          <w:color w:val="auto"/>
        </w:rPr>
        <w:t>NOTICES.</w:t>
      </w:r>
    </w:p>
    <w:p>
      <w:pPr>
        <w:spacing w:after="0" w:line="22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9"/>
          <w:szCs w:val="19"/>
          <w:color w:val="auto"/>
        </w:rPr>
        <w:t>Unless otherwise provided in this Agreement, all notices or demands relating to this Agreement or any other Loan Document shall be in writing and (except for financial statements and other informational documents which may be sent by first-class mail, postage prepaid) shall be personally delivered or sent by registered or certified mail (postage prepaid, return receipt requested), overnight courier, electronic mail (at such email addresses as a party may designate in accordance herewith), or telefacsimile. In the case of notices or demands to any Loan Party or Agent, as the case may be, they shall be sent to the respective address set forth below:</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1940" w:type="dxa"/>
            <w:vAlign w:val="bottom"/>
          </w:tcPr>
          <w:p>
            <w:pPr>
              <w:spacing w:after="0"/>
              <w:rPr>
                <w:sz w:val="20"/>
                <w:szCs w:val="20"/>
                <w:color w:val="auto"/>
              </w:rPr>
            </w:pPr>
            <w:r>
              <w:rPr>
                <w:rFonts w:ascii="Arial" w:cs="Arial" w:eastAsia="Arial" w:hAnsi="Arial"/>
                <w:sz w:val="20"/>
                <w:szCs w:val="20"/>
                <w:color w:val="auto"/>
              </w:rPr>
              <w:t>If to any Loan Party:</w:t>
            </w:r>
          </w:p>
        </w:tc>
        <w:tc>
          <w:tcPr>
            <w:tcW w:w="4680" w:type="dxa"/>
            <w:vAlign w:val="bottom"/>
            <w:gridSpan w:val="3"/>
          </w:tcPr>
          <w:p>
            <w:pPr>
              <w:ind w:left="280"/>
              <w:spacing w:after="0"/>
              <w:rPr>
                <w:sz w:val="20"/>
                <w:szCs w:val="20"/>
                <w:color w:val="auto"/>
              </w:rPr>
            </w:pPr>
            <w:r>
              <w:rPr>
                <w:rFonts w:ascii="Arial" w:cs="Arial" w:eastAsia="Arial" w:hAnsi="Arial"/>
                <w:sz w:val="20"/>
                <w:szCs w:val="20"/>
                <w:color w:val="auto"/>
              </w:rPr>
              <w:t>Administrative Borrower</w:t>
            </w:r>
          </w:p>
        </w:tc>
      </w:tr>
      <w:tr>
        <w:trPr>
          <w:trHeight w:val="230"/>
        </w:trPr>
        <w:tc>
          <w:tcPr>
            <w:tcW w:w="1940" w:type="dxa"/>
            <w:vAlign w:val="bottom"/>
          </w:tcPr>
          <w:p>
            <w:pPr>
              <w:spacing w:after="0"/>
              <w:rPr>
                <w:sz w:val="19"/>
                <w:szCs w:val="19"/>
                <w:color w:val="auto"/>
              </w:rPr>
            </w:pPr>
          </w:p>
        </w:tc>
        <w:tc>
          <w:tcPr>
            <w:tcW w:w="4680" w:type="dxa"/>
            <w:vAlign w:val="bottom"/>
            <w:gridSpan w:val="3"/>
          </w:tcPr>
          <w:p>
            <w:pPr>
              <w:ind w:left="280"/>
              <w:spacing w:after="0"/>
              <w:rPr>
                <w:sz w:val="20"/>
                <w:szCs w:val="20"/>
                <w:color w:val="auto"/>
              </w:rPr>
            </w:pPr>
            <w:r>
              <w:rPr>
                <w:rFonts w:ascii="Arial" w:cs="Arial" w:eastAsia="Arial" w:hAnsi="Arial"/>
                <w:sz w:val="20"/>
                <w:szCs w:val="20"/>
                <w:color w:val="auto"/>
              </w:rPr>
              <w:t>1141-A Cummings Road</w:t>
            </w:r>
          </w:p>
        </w:tc>
      </w:tr>
      <w:tr>
        <w:trPr>
          <w:trHeight w:val="230"/>
        </w:trPr>
        <w:tc>
          <w:tcPr>
            <w:tcW w:w="1940" w:type="dxa"/>
            <w:vAlign w:val="bottom"/>
          </w:tcPr>
          <w:p>
            <w:pPr>
              <w:spacing w:after="0"/>
              <w:rPr>
                <w:sz w:val="19"/>
                <w:szCs w:val="19"/>
                <w:color w:val="auto"/>
              </w:rPr>
            </w:pPr>
          </w:p>
        </w:tc>
        <w:tc>
          <w:tcPr>
            <w:tcW w:w="4680" w:type="dxa"/>
            <w:vAlign w:val="bottom"/>
            <w:gridSpan w:val="3"/>
          </w:tcPr>
          <w:p>
            <w:pPr>
              <w:ind w:left="280"/>
              <w:spacing w:after="0"/>
              <w:rPr>
                <w:sz w:val="20"/>
                <w:szCs w:val="20"/>
                <w:color w:val="auto"/>
              </w:rPr>
            </w:pPr>
            <w:r>
              <w:rPr>
                <w:rFonts w:ascii="Arial" w:cs="Arial" w:eastAsia="Arial" w:hAnsi="Arial"/>
                <w:sz w:val="20"/>
                <w:szCs w:val="20"/>
                <w:color w:val="auto"/>
              </w:rPr>
              <w:t>Santa Paula, CA 93060</w:t>
            </w:r>
          </w:p>
        </w:tc>
      </w:tr>
      <w:tr>
        <w:trPr>
          <w:trHeight w:val="230"/>
        </w:trPr>
        <w:tc>
          <w:tcPr>
            <w:tcW w:w="1940" w:type="dxa"/>
            <w:vAlign w:val="bottom"/>
          </w:tcPr>
          <w:p>
            <w:pPr>
              <w:spacing w:after="0"/>
              <w:rPr>
                <w:sz w:val="19"/>
                <w:szCs w:val="19"/>
                <w:color w:val="auto"/>
              </w:rPr>
            </w:pPr>
          </w:p>
        </w:tc>
        <w:tc>
          <w:tcPr>
            <w:tcW w:w="4680" w:type="dxa"/>
            <w:vAlign w:val="bottom"/>
            <w:gridSpan w:val="3"/>
          </w:tcPr>
          <w:p>
            <w:pPr>
              <w:ind w:left="280"/>
              <w:spacing w:after="0"/>
              <w:rPr>
                <w:sz w:val="20"/>
                <w:szCs w:val="20"/>
                <w:color w:val="auto"/>
              </w:rPr>
            </w:pPr>
            <w:r>
              <w:rPr>
                <w:rFonts w:ascii="Arial" w:cs="Arial" w:eastAsia="Arial" w:hAnsi="Arial"/>
                <w:sz w:val="20"/>
                <w:szCs w:val="20"/>
                <w:color w:val="auto"/>
              </w:rPr>
              <w:t>Attn: Calavo Legal</w:t>
            </w:r>
          </w:p>
        </w:tc>
      </w:tr>
      <w:tr>
        <w:trPr>
          <w:trHeight w:val="246"/>
        </w:trPr>
        <w:tc>
          <w:tcPr>
            <w:tcW w:w="1940" w:type="dxa"/>
            <w:vAlign w:val="bottom"/>
          </w:tcPr>
          <w:p>
            <w:pPr>
              <w:spacing w:after="0"/>
              <w:rPr>
                <w:sz w:val="21"/>
                <w:szCs w:val="21"/>
                <w:color w:val="auto"/>
              </w:rPr>
            </w:pPr>
          </w:p>
        </w:tc>
        <w:tc>
          <w:tcPr>
            <w:tcW w:w="4680" w:type="dxa"/>
            <w:vAlign w:val="bottom"/>
            <w:gridSpan w:val="3"/>
          </w:tcPr>
          <w:p>
            <w:pPr>
              <w:ind w:left="280"/>
              <w:spacing w:after="0"/>
              <w:rPr>
                <w:sz w:val="20"/>
                <w:szCs w:val="20"/>
                <w:color w:val="auto"/>
              </w:rPr>
            </w:pPr>
            <w:r>
              <w:rPr>
                <w:rFonts w:ascii="Arial" w:cs="Arial" w:eastAsia="Arial" w:hAnsi="Arial"/>
                <w:sz w:val="20"/>
                <w:szCs w:val="20"/>
                <w:color w:val="auto"/>
              </w:rPr>
              <w:t>Fax No.</w:t>
            </w:r>
          </w:p>
        </w:tc>
      </w:tr>
      <w:tr>
        <w:trPr>
          <w:trHeight w:val="244"/>
        </w:trPr>
        <w:tc>
          <w:tcPr>
            <w:tcW w:w="1940" w:type="dxa"/>
            <w:vAlign w:val="bottom"/>
          </w:tcPr>
          <w:p>
            <w:pPr>
              <w:spacing w:after="0"/>
              <w:rPr>
                <w:sz w:val="21"/>
                <w:szCs w:val="21"/>
                <w:color w:val="auto"/>
              </w:rPr>
            </w:pPr>
          </w:p>
        </w:tc>
        <w:tc>
          <w:tcPr>
            <w:tcW w:w="980" w:type="dxa"/>
            <w:vAlign w:val="bottom"/>
          </w:tcPr>
          <w:p>
            <w:pPr>
              <w:ind w:left="280"/>
              <w:spacing w:after="0"/>
              <w:rPr>
                <w:sz w:val="20"/>
                <w:szCs w:val="20"/>
                <w:color w:val="auto"/>
              </w:rPr>
            </w:pPr>
            <w:r>
              <w:rPr>
                <w:rFonts w:ascii="Arial" w:cs="Arial" w:eastAsia="Arial" w:hAnsi="Arial"/>
                <w:sz w:val="20"/>
                <w:szCs w:val="20"/>
                <w:color w:val="auto"/>
              </w:rPr>
              <w:t>Email:</w:t>
            </w:r>
          </w:p>
        </w:tc>
        <w:tc>
          <w:tcPr>
            <w:tcW w:w="172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legal@calavo.com</w:t>
            </w:r>
          </w:p>
        </w:tc>
        <w:tc>
          <w:tcPr>
            <w:tcW w:w="1980" w:type="dxa"/>
            <w:vAlign w:val="bottom"/>
          </w:tcPr>
          <w:p>
            <w:pPr>
              <w:spacing w:after="0"/>
              <w:rPr>
                <w:sz w:val="21"/>
                <w:szCs w:val="21"/>
                <w:color w:val="auto"/>
              </w:rPr>
            </w:pPr>
          </w:p>
        </w:tc>
      </w:tr>
      <w:tr>
        <w:trPr>
          <w:trHeight w:val="651"/>
        </w:trPr>
        <w:tc>
          <w:tcPr>
            <w:tcW w:w="1940" w:type="dxa"/>
            <w:vAlign w:val="bottom"/>
          </w:tcPr>
          <w:p>
            <w:pPr>
              <w:spacing w:after="0"/>
              <w:rPr>
                <w:sz w:val="20"/>
                <w:szCs w:val="20"/>
                <w:color w:val="auto"/>
              </w:rPr>
            </w:pPr>
            <w:r>
              <w:rPr>
                <w:rFonts w:ascii="Arial" w:cs="Arial" w:eastAsia="Arial" w:hAnsi="Arial"/>
                <w:sz w:val="20"/>
                <w:szCs w:val="20"/>
                <w:color w:val="auto"/>
              </w:rPr>
              <w:t>with copies to:</w:t>
            </w:r>
          </w:p>
        </w:tc>
        <w:tc>
          <w:tcPr>
            <w:tcW w:w="4680" w:type="dxa"/>
            <w:vAlign w:val="bottom"/>
            <w:gridSpan w:val="3"/>
          </w:tcPr>
          <w:p>
            <w:pPr>
              <w:ind w:left="280"/>
              <w:spacing w:after="0"/>
              <w:rPr>
                <w:sz w:val="20"/>
                <w:szCs w:val="20"/>
                <w:color w:val="auto"/>
              </w:rPr>
            </w:pPr>
            <w:r>
              <w:rPr>
                <w:rFonts w:ascii="Arial" w:cs="Arial" w:eastAsia="Arial" w:hAnsi="Arial"/>
                <w:sz w:val="20"/>
                <w:szCs w:val="20"/>
                <w:color w:val="auto"/>
              </w:rPr>
              <w:t>Sheppard, Mullin, Richter &amp; Hampton LLP</w:t>
            </w:r>
          </w:p>
        </w:tc>
      </w:tr>
      <w:tr>
        <w:trPr>
          <w:trHeight w:val="230"/>
        </w:trPr>
        <w:tc>
          <w:tcPr>
            <w:tcW w:w="1940" w:type="dxa"/>
            <w:vAlign w:val="bottom"/>
          </w:tcPr>
          <w:p>
            <w:pPr>
              <w:spacing w:after="0"/>
              <w:rPr>
                <w:sz w:val="19"/>
                <w:szCs w:val="19"/>
                <w:color w:val="auto"/>
              </w:rPr>
            </w:pPr>
          </w:p>
        </w:tc>
        <w:tc>
          <w:tcPr>
            <w:tcW w:w="4680" w:type="dxa"/>
            <w:vAlign w:val="bottom"/>
            <w:gridSpan w:val="3"/>
          </w:tcPr>
          <w:p>
            <w:pPr>
              <w:ind w:left="280"/>
              <w:spacing w:after="0"/>
              <w:rPr>
                <w:sz w:val="20"/>
                <w:szCs w:val="20"/>
                <w:color w:val="auto"/>
              </w:rPr>
            </w:pPr>
            <w:r>
              <w:rPr>
                <w:rFonts w:ascii="Arial" w:cs="Arial" w:eastAsia="Arial" w:hAnsi="Arial"/>
                <w:sz w:val="20"/>
                <w:szCs w:val="20"/>
                <w:color w:val="auto"/>
              </w:rPr>
              <w:t>321 North Clark St., 32nd Floor</w:t>
            </w:r>
          </w:p>
        </w:tc>
      </w:tr>
      <w:tr>
        <w:trPr>
          <w:trHeight w:val="230"/>
        </w:trPr>
        <w:tc>
          <w:tcPr>
            <w:tcW w:w="1940" w:type="dxa"/>
            <w:vAlign w:val="bottom"/>
          </w:tcPr>
          <w:p>
            <w:pPr>
              <w:spacing w:after="0"/>
              <w:rPr>
                <w:sz w:val="19"/>
                <w:szCs w:val="19"/>
                <w:color w:val="auto"/>
              </w:rPr>
            </w:pPr>
          </w:p>
        </w:tc>
        <w:tc>
          <w:tcPr>
            <w:tcW w:w="4680" w:type="dxa"/>
            <w:vAlign w:val="bottom"/>
            <w:gridSpan w:val="3"/>
          </w:tcPr>
          <w:p>
            <w:pPr>
              <w:ind w:left="280"/>
              <w:spacing w:after="0"/>
              <w:rPr>
                <w:sz w:val="20"/>
                <w:szCs w:val="20"/>
                <w:color w:val="auto"/>
              </w:rPr>
            </w:pPr>
            <w:r>
              <w:rPr>
                <w:rFonts w:ascii="Arial" w:cs="Arial" w:eastAsia="Arial" w:hAnsi="Arial"/>
                <w:sz w:val="20"/>
                <w:szCs w:val="20"/>
                <w:color w:val="auto"/>
              </w:rPr>
              <w:t>Chicago, IL 60654</w:t>
            </w:r>
          </w:p>
        </w:tc>
      </w:tr>
      <w:tr>
        <w:trPr>
          <w:trHeight w:val="229"/>
        </w:trPr>
        <w:tc>
          <w:tcPr>
            <w:tcW w:w="1940" w:type="dxa"/>
            <w:vAlign w:val="bottom"/>
          </w:tcPr>
          <w:p>
            <w:pPr>
              <w:spacing w:after="0"/>
              <w:rPr>
                <w:sz w:val="19"/>
                <w:szCs w:val="19"/>
                <w:color w:val="auto"/>
              </w:rPr>
            </w:pPr>
          </w:p>
        </w:tc>
        <w:tc>
          <w:tcPr>
            <w:tcW w:w="4680" w:type="dxa"/>
            <w:vAlign w:val="bottom"/>
            <w:gridSpan w:val="3"/>
          </w:tcPr>
          <w:p>
            <w:pPr>
              <w:ind w:left="280"/>
              <w:spacing w:after="0"/>
              <w:rPr>
                <w:sz w:val="20"/>
                <w:szCs w:val="20"/>
                <w:color w:val="auto"/>
              </w:rPr>
            </w:pPr>
            <w:r>
              <w:rPr>
                <w:rFonts w:ascii="Arial" w:cs="Arial" w:eastAsia="Arial" w:hAnsi="Arial"/>
                <w:sz w:val="20"/>
                <w:szCs w:val="20"/>
                <w:color w:val="auto"/>
              </w:rPr>
              <w:t>Attn: Kevin Ryan, Esq.</w:t>
            </w:r>
          </w:p>
        </w:tc>
      </w:tr>
      <w:tr>
        <w:trPr>
          <w:trHeight w:val="250"/>
        </w:trPr>
        <w:tc>
          <w:tcPr>
            <w:tcW w:w="1940" w:type="dxa"/>
            <w:vAlign w:val="bottom"/>
          </w:tcPr>
          <w:p>
            <w:pPr>
              <w:spacing w:after="0"/>
              <w:rPr>
                <w:sz w:val="21"/>
                <w:szCs w:val="21"/>
                <w:color w:val="auto"/>
              </w:rPr>
            </w:pPr>
          </w:p>
        </w:tc>
        <w:tc>
          <w:tcPr>
            <w:tcW w:w="4680" w:type="dxa"/>
            <w:vAlign w:val="bottom"/>
            <w:gridSpan w:val="3"/>
          </w:tcPr>
          <w:p>
            <w:pPr>
              <w:ind w:left="280"/>
              <w:spacing w:after="0"/>
              <w:rPr>
                <w:sz w:val="20"/>
                <w:szCs w:val="20"/>
                <w:color w:val="auto"/>
              </w:rPr>
            </w:pPr>
            <w:r>
              <w:rPr>
                <w:rFonts w:ascii="Arial" w:cs="Arial" w:eastAsia="Arial" w:hAnsi="Arial"/>
                <w:sz w:val="20"/>
                <w:szCs w:val="20"/>
                <w:color w:val="auto"/>
              </w:rPr>
              <w:t>Email: kryan@sheppardmullin.com</w:t>
            </w:r>
          </w:p>
        </w:tc>
      </w:tr>
      <w:tr>
        <w:trPr>
          <w:trHeight w:val="668"/>
        </w:trPr>
        <w:tc>
          <w:tcPr>
            <w:tcW w:w="1940" w:type="dxa"/>
            <w:vAlign w:val="bottom"/>
          </w:tcPr>
          <w:p>
            <w:pPr>
              <w:spacing w:after="0"/>
              <w:rPr>
                <w:sz w:val="20"/>
                <w:szCs w:val="20"/>
                <w:color w:val="auto"/>
              </w:rPr>
            </w:pPr>
            <w:r>
              <w:rPr>
                <w:rFonts w:ascii="Arial" w:cs="Arial" w:eastAsia="Arial" w:hAnsi="Arial"/>
                <w:sz w:val="20"/>
                <w:szCs w:val="20"/>
                <w:color w:val="auto"/>
              </w:rPr>
              <w:t>If to Agent:</w:t>
            </w:r>
          </w:p>
        </w:tc>
        <w:tc>
          <w:tcPr>
            <w:tcW w:w="4680" w:type="dxa"/>
            <w:vAlign w:val="bottom"/>
            <w:gridSpan w:val="3"/>
          </w:tcPr>
          <w:p>
            <w:pPr>
              <w:ind w:left="280"/>
              <w:spacing w:after="0"/>
              <w:rPr>
                <w:sz w:val="20"/>
                <w:szCs w:val="20"/>
                <w:color w:val="auto"/>
              </w:rPr>
            </w:pPr>
            <w:r>
              <w:rPr>
                <w:rFonts w:ascii="Arial" w:cs="Arial" w:eastAsia="Arial" w:hAnsi="Arial"/>
                <w:sz w:val="20"/>
                <w:szCs w:val="20"/>
                <w:color w:val="auto"/>
                <w:w w:val="95"/>
              </w:rPr>
              <w:t>WELLS FARGO BANK, NATIONAL ASSOCIATION</w:t>
            </w:r>
          </w:p>
        </w:tc>
      </w:tr>
      <w:tr>
        <w:trPr>
          <w:trHeight w:val="229"/>
        </w:trPr>
        <w:tc>
          <w:tcPr>
            <w:tcW w:w="1940" w:type="dxa"/>
            <w:vAlign w:val="bottom"/>
          </w:tcPr>
          <w:p>
            <w:pPr>
              <w:spacing w:after="0"/>
              <w:rPr>
                <w:sz w:val="19"/>
                <w:szCs w:val="19"/>
                <w:color w:val="auto"/>
              </w:rPr>
            </w:pPr>
          </w:p>
        </w:tc>
        <w:tc>
          <w:tcPr>
            <w:tcW w:w="4680" w:type="dxa"/>
            <w:vAlign w:val="bottom"/>
            <w:gridSpan w:val="3"/>
          </w:tcPr>
          <w:p>
            <w:pPr>
              <w:ind w:left="280"/>
              <w:spacing w:after="0"/>
              <w:rPr>
                <w:sz w:val="20"/>
                <w:szCs w:val="20"/>
                <w:color w:val="auto"/>
              </w:rPr>
            </w:pPr>
            <w:r>
              <w:rPr>
                <w:rFonts w:ascii="Arial" w:cs="Arial" w:eastAsia="Arial" w:hAnsi="Arial"/>
                <w:sz w:val="20"/>
                <w:szCs w:val="20"/>
                <w:color w:val="auto"/>
              </w:rPr>
              <w:t>8601 N Scottsdale Rd, 2nd Suite 240</w:t>
            </w:r>
          </w:p>
        </w:tc>
      </w:tr>
      <w:tr>
        <w:trPr>
          <w:trHeight w:val="250"/>
        </w:trPr>
        <w:tc>
          <w:tcPr>
            <w:tcW w:w="1940" w:type="dxa"/>
            <w:vAlign w:val="bottom"/>
          </w:tcPr>
          <w:p>
            <w:pPr>
              <w:spacing w:after="0"/>
              <w:rPr>
                <w:sz w:val="21"/>
                <w:szCs w:val="21"/>
                <w:color w:val="auto"/>
              </w:rPr>
            </w:pPr>
          </w:p>
        </w:tc>
        <w:tc>
          <w:tcPr>
            <w:tcW w:w="4680" w:type="dxa"/>
            <w:vAlign w:val="bottom"/>
            <w:gridSpan w:val="3"/>
          </w:tcPr>
          <w:p>
            <w:pPr>
              <w:ind w:left="280"/>
              <w:spacing w:after="0"/>
              <w:rPr>
                <w:sz w:val="20"/>
                <w:szCs w:val="20"/>
                <w:color w:val="auto"/>
              </w:rPr>
            </w:pPr>
            <w:r>
              <w:rPr>
                <w:rFonts w:ascii="Arial" w:cs="Arial" w:eastAsia="Arial" w:hAnsi="Arial"/>
                <w:sz w:val="20"/>
                <w:szCs w:val="20"/>
                <w:color w:val="auto"/>
              </w:rPr>
              <w:t>Scottsdale, AZ 85253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0" w:name="page121"/>
    <w:bookmarkEnd w:id="120"/>
    <w:p>
      <w:pPr>
        <w:ind w:left="3520"/>
        <w:spacing w:after="0"/>
        <w:rPr>
          <w:sz w:val="20"/>
          <w:szCs w:val="20"/>
          <w:color w:val="auto"/>
        </w:rPr>
      </w:pPr>
      <w:r>
        <w:rPr>
          <w:rFonts w:ascii="Arial" w:cs="Arial" w:eastAsia="Arial" w:hAnsi="Arial"/>
          <w:sz w:val="18"/>
          <w:szCs w:val="18"/>
          <w:color w:val="auto"/>
        </w:rPr>
        <w:t>Attn: Loan Portfolio Manager</w:t>
      </w:r>
    </w:p>
    <w:p>
      <w:pPr>
        <w:spacing w:after="0" w:line="39" w:lineRule="exact"/>
        <w:rPr>
          <w:sz w:val="20"/>
          <w:szCs w:val="20"/>
          <w:color w:val="auto"/>
        </w:rPr>
      </w:pPr>
    </w:p>
    <w:p>
      <w:pPr>
        <w:ind w:left="3520"/>
        <w:spacing w:after="0"/>
        <w:rPr>
          <w:sz w:val="20"/>
          <w:szCs w:val="20"/>
          <w:color w:val="auto"/>
        </w:rPr>
      </w:pPr>
      <w:r>
        <w:rPr>
          <w:rFonts w:ascii="Arial" w:cs="Arial" w:eastAsia="Arial" w:hAnsi="Arial"/>
          <w:sz w:val="20"/>
          <w:szCs w:val="20"/>
          <w:color w:val="auto"/>
        </w:rPr>
        <w:t>Fax No.: (877) 724-1259</w:t>
      </w:r>
    </w:p>
    <w:p>
      <w:pPr>
        <w:sectPr>
          <w:pgSz w:w="11900" w:h="16838" w:orient="portrait"/>
          <w:cols w:equalWidth="0" w:num="1">
            <w:col w:w="9920"/>
          </w:cols>
          <w:pgMar w:left="980" w:top="339" w:right="99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copies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color w:val="auto"/>
        </w:rPr>
        <w:t>Morgan, Lewis &amp; Bockius LLP</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300 South Grand Avenue, 22nd Floor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 90071-3132</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Attention: Chris Exberger, Esq.</w:t>
      </w:r>
    </w:p>
    <w:p>
      <w:pPr>
        <w:spacing w:after="0"/>
        <w:rPr>
          <w:sz w:val="20"/>
          <w:szCs w:val="20"/>
          <w:color w:val="auto"/>
        </w:rPr>
      </w:pPr>
      <w:r>
        <w:rPr>
          <w:rFonts w:ascii="Arial" w:cs="Arial" w:eastAsia="Arial" w:hAnsi="Arial"/>
          <w:sz w:val="20"/>
          <w:szCs w:val="20"/>
          <w:color w:val="auto"/>
        </w:rPr>
        <w:t>Facsimile No: (213) 612-2501</w:t>
      </w:r>
    </w:p>
    <w:p>
      <w:pPr>
        <w:spacing w:after="0" w:line="200" w:lineRule="exact"/>
        <w:rPr>
          <w:sz w:val="20"/>
          <w:szCs w:val="20"/>
          <w:color w:val="auto"/>
        </w:rPr>
      </w:pPr>
    </w:p>
    <w:p>
      <w:pPr>
        <w:sectPr>
          <w:pgSz w:w="11900" w:h="16838" w:orient="portrait"/>
          <w:cols w:equalWidth="0" w:num="2">
            <w:col w:w="2800" w:space="720"/>
            <w:col w:w="6400"/>
          </w:cols>
          <w:pgMar w:left="980" w:top="339" w:right="999" w:bottom="1440" w:gutter="0" w:footer="0" w:header="0"/>
          <w:type w:val="continuous"/>
        </w:sectPr>
      </w:pPr>
    </w:p>
    <w:p>
      <w:pPr>
        <w:spacing w:after="0" w:line="13"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8"/>
          <w:szCs w:val="18"/>
          <w:color w:val="auto"/>
        </w:rPr>
        <w:t xml:space="preserve">Any party hereto may change the address at which they are to receive notices hereunder, by notice in writing in the foregoing manner given to the other party. All notices or demands sent in accordance with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be deemed received on the earlier of the date of actual receipt or three Business Days after the deposit thereof in the mail; </w:t>
      </w:r>
      <w:r>
        <w:rPr>
          <w:rFonts w:ascii="Arial" w:cs="Arial" w:eastAsia="Arial" w:hAnsi="Arial"/>
          <w:sz w:val="18"/>
          <w:szCs w:val="18"/>
          <w:u w:val="single" w:color="auto"/>
          <w:color w:val="auto"/>
        </w:rPr>
        <w:t>provided</w:t>
      </w:r>
      <w:r>
        <w:rPr>
          <w:rFonts w:ascii="Arial" w:cs="Arial" w:eastAsia="Arial" w:hAnsi="Arial"/>
          <w:sz w:val="18"/>
          <w:szCs w:val="18"/>
          <w:color w:val="auto"/>
        </w:rPr>
        <w:t>, that (a) notices sent by overnight courier service shall be deemed to have been given when received, (b) notices by facsimile shall be deemed to have been given when sent (except that, if not given during normal business hours for the recipient, shall be deemed to have been given at the opening of business on the next Business Day for the recipient) and (c) notices by electronic mail shall be deemed received upon the sender’s receipt of an acknowledgment from the intended recipient (such as by the “return receipt requested” function, as available, return email or other written acknowledgment).</w:t>
      </w:r>
    </w:p>
    <w:p>
      <w:pPr>
        <w:spacing w:after="0" w:line="162" w:lineRule="exact"/>
        <w:rPr>
          <w:sz w:val="20"/>
          <w:szCs w:val="20"/>
          <w:color w:val="auto"/>
        </w:rPr>
      </w:pPr>
    </w:p>
    <w:p>
      <w:pPr>
        <w:ind w:left="660" w:hanging="652"/>
        <w:spacing w:after="0"/>
        <w:tabs>
          <w:tab w:leader="none" w:pos="660" w:val="left"/>
        </w:tabs>
        <w:numPr>
          <w:ilvl w:val="0"/>
          <w:numId w:val="156"/>
        </w:numPr>
        <w:rPr>
          <w:rFonts w:ascii="Arial" w:cs="Arial" w:eastAsia="Arial" w:hAnsi="Arial"/>
          <w:sz w:val="20"/>
          <w:szCs w:val="20"/>
          <w:b w:val="1"/>
          <w:bCs w:val="1"/>
          <w:color w:val="auto"/>
        </w:rPr>
      </w:pPr>
      <w:r>
        <w:rPr>
          <w:rFonts w:ascii="Arial" w:cs="Arial" w:eastAsia="Arial" w:hAnsi="Arial"/>
          <w:sz w:val="20"/>
          <w:szCs w:val="20"/>
          <w:b w:val="1"/>
          <w:bCs w:val="1"/>
          <w:color w:val="auto"/>
        </w:rPr>
        <w:t>CHOICE OF LAW AND VENUE; JURY TRIAL WAIVER; JUDICIAL REFERENCE PROVISION.</w:t>
      </w:r>
    </w:p>
    <w:p>
      <w:pPr>
        <w:spacing w:after="0" w:line="215" w:lineRule="exact"/>
        <w:rPr>
          <w:rFonts w:ascii="Arial" w:cs="Arial" w:eastAsia="Arial" w:hAnsi="Arial"/>
          <w:sz w:val="20"/>
          <w:szCs w:val="20"/>
          <w:b w:val="1"/>
          <w:bCs w:val="1"/>
          <w:color w:val="auto"/>
        </w:rPr>
      </w:pPr>
    </w:p>
    <w:p>
      <w:pPr>
        <w:jc w:val="both"/>
        <w:ind w:firstLine="1304"/>
        <w:spacing w:after="0" w:line="243" w:lineRule="auto"/>
        <w:tabs>
          <w:tab w:leader="none" w:pos="1944" w:val="left"/>
        </w:tabs>
        <w:numPr>
          <w:ilvl w:val="1"/>
          <w:numId w:val="156"/>
        </w:numPr>
        <w:rPr>
          <w:rFonts w:ascii="Arial" w:cs="Arial" w:eastAsia="Arial" w:hAnsi="Arial"/>
          <w:sz w:val="20"/>
          <w:szCs w:val="20"/>
          <w:color w:val="auto"/>
        </w:rPr>
      </w:pPr>
      <w:r>
        <w:rPr>
          <w:rFonts w:ascii="Arial" w:cs="Arial" w:eastAsia="Arial" w:hAnsi="Arial"/>
          <w:sz w:val="20"/>
          <w:szCs w:val="20"/>
          <w:b w:val="1"/>
          <w:bCs w:val="1"/>
          <w:color w:val="auto"/>
        </w:rPr>
        <w:t>THE VALIDITY OF THIS AGREEMENT AND THE OTHER LOAN DOCUMENTS (UNLESS EXPRESSLY PROVIDED TO THE CONTRARY IN ANOTHER LOAN DOCUMENT IN RESPECT OF SUCH OTHER LOAN DOCUMENT), THE CONSTRUCTION, INTERPRETATION, AND ENFORCEMENT HEREOF AND THEREOF, THE RIGHTS OF THE PARTIES HERETO AND THERETO WITH RESPECT TO ALL MATTERS ARISING HEREUNDER OR THEREUNDER OR RELATED HERETO OR THERETO, AND ANY CLAIMS, CONTROVERSIES OR DISPUTES ARISING HEREUNDER OR THEREUNDER OR RELATED HERETO OR THERETO SHALL BE DETERMINED UNDER, GOVERNED BY, AND CONSTRUED IN ACCORDANCE WITH THE LAWS OF THE STATE OF CALIFORNIA.</w:t>
      </w:r>
    </w:p>
    <w:p>
      <w:pPr>
        <w:spacing w:after="0" w:line="189" w:lineRule="exact"/>
        <w:rPr>
          <w:rFonts w:ascii="Arial" w:cs="Arial" w:eastAsia="Arial" w:hAnsi="Arial"/>
          <w:sz w:val="20"/>
          <w:szCs w:val="20"/>
          <w:color w:val="auto"/>
        </w:rPr>
      </w:pPr>
    </w:p>
    <w:p>
      <w:pPr>
        <w:jc w:val="both"/>
        <w:ind w:firstLine="1304"/>
        <w:spacing w:after="0" w:line="242" w:lineRule="auto"/>
        <w:tabs>
          <w:tab w:leader="none" w:pos="1944" w:val="left"/>
        </w:tabs>
        <w:numPr>
          <w:ilvl w:val="1"/>
          <w:numId w:val="156"/>
        </w:numPr>
        <w:rPr>
          <w:rFonts w:ascii="Arial" w:cs="Arial" w:eastAsia="Arial" w:hAnsi="Arial"/>
          <w:sz w:val="20"/>
          <w:szCs w:val="20"/>
          <w:color w:val="auto"/>
        </w:rPr>
      </w:pPr>
      <w:r>
        <w:rPr>
          <w:rFonts w:ascii="Arial" w:cs="Arial" w:eastAsia="Arial" w:hAnsi="Arial"/>
          <w:sz w:val="20"/>
          <w:szCs w:val="20"/>
          <w:b w:val="1"/>
          <w:bCs w:val="1"/>
          <w:color w:val="auto"/>
        </w:rPr>
        <w:t xml:space="preserve">THE PARTIES AGREE THAT ALL ACTIONS OR PROCEEDINGS ARISING IN CONNECTION WITH THIS AGREEMENT AND THE OTHER LOAN DOCUMENTS SHALL BE TRIED AND LITIGATED ONLY IN THE STATE AND, TO THE EXTENT PERMITTED BY APPLICABLE LAW, FEDERAL COURTS LOCATED IN THE COUNTY OF LOS ANGELES, STATE OF CALIFORNIA; </w:t>
      </w:r>
      <w:r>
        <w:rPr>
          <w:rFonts w:ascii="Arial" w:cs="Arial" w:eastAsia="Arial" w:hAnsi="Arial"/>
          <w:sz w:val="20"/>
          <w:szCs w:val="20"/>
          <w:b w:val="1"/>
          <w:bCs w:val="1"/>
          <w:u w:val="single" w:color="auto"/>
          <w:color w:val="auto"/>
        </w:rPr>
        <w:t>PROVIDED</w:t>
      </w:r>
      <w:r>
        <w:rPr>
          <w:rFonts w:ascii="Arial" w:cs="Arial" w:eastAsia="Arial" w:hAnsi="Arial"/>
          <w:sz w:val="20"/>
          <w:szCs w:val="20"/>
          <w:b w:val="1"/>
          <w:bCs w:val="1"/>
          <w:color w:val="auto"/>
        </w:rPr>
        <w:t xml:space="preserve">, THAT ANY SUIT SEEKING ENFORCEMENT AGAINST ANY COLLATERAL OR OTHER PROPERTY MAY BE BROUGHT, AT AGENT’S OPTION, IN THE COURTS OF ANY JURISDICTION WHERE AGENT ELECTS TO BRING SUCH ACTION OR WHERE SUCH COLLATERAL OR OTHER PROPERTY MAY BE FOUND. EACH BORROWER AND EACH MEMBER OF THE LENDER GROUP WAIVE, TO THE EXTENT PERMITTED UNDER APPLICABLE LAW, ANY RIGHT EACH MAY HAVE TO ASSERT THE DOCTRINE OF </w:t>
      </w:r>
      <w:r>
        <w:rPr>
          <w:rFonts w:ascii="Arial" w:cs="Arial" w:eastAsia="Arial" w:hAnsi="Arial"/>
          <w:sz w:val="20"/>
          <w:szCs w:val="20"/>
          <w:b w:val="1"/>
          <w:bCs w:val="1"/>
          <w:u w:val="single" w:color="auto"/>
          <w:color w:val="auto"/>
        </w:rPr>
        <w:t>FORUM NON</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CONVENIENS</w:t>
      </w:r>
      <w:r>
        <w:rPr>
          <w:rFonts w:ascii="Arial" w:cs="Arial" w:eastAsia="Arial" w:hAnsi="Arial"/>
          <w:sz w:val="20"/>
          <w:szCs w:val="20"/>
          <w:b w:val="1"/>
          <w:bCs w:val="1"/>
          <w:color w:val="auto"/>
        </w:rPr>
        <w:t xml:space="preserve"> OR TO OBJECT TO VENUE TO THE EXTENT ANY PROCEEDING IS BROUGHT IN ACCORDANCE WITH THIS </w:t>
      </w:r>
      <w:r>
        <w:rPr>
          <w:rFonts w:ascii="Arial" w:cs="Arial" w:eastAsia="Arial" w:hAnsi="Arial"/>
          <w:sz w:val="20"/>
          <w:szCs w:val="20"/>
          <w:b w:val="1"/>
          <w:bCs w:val="1"/>
          <w:u w:val="single" w:color="auto"/>
          <w:color w:val="auto"/>
        </w:rPr>
        <w:t>SECTION 12(b)</w:t>
      </w:r>
      <w:r>
        <w:rPr>
          <w:rFonts w:ascii="Arial" w:cs="Arial" w:eastAsia="Arial" w:hAnsi="Arial"/>
          <w:sz w:val="20"/>
          <w:szCs w:val="20"/>
          <w:b w:val="1"/>
          <w:bCs w:val="1"/>
          <w:color w:val="auto"/>
        </w:rPr>
        <w:t>.</w:t>
      </w:r>
    </w:p>
    <w:p>
      <w:pPr>
        <w:spacing w:after="0" w:line="189" w:lineRule="exact"/>
        <w:rPr>
          <w:rFonts w:ascii="Arial" w:cs="Arial" w:eastAsia="Arial" w:hAnsi="Arial"/>
          <w:sz w:val="20"/>
          <w:szCs w:val="20"/>
          <w:color w:val="auto"/>
        </w:rPr>
      </w:pPr>
    </w:p>
    <w:p>
      <w:pPr>
        <w:jc w:val="both"/>
        <w:ind w:firstLine="1304"/>
        <w:spacing w:after="0" w:line="248" w:lineRule="auto"/>
        <w:tabs>
          <w:tab w:leader="none" w:pos="1944" w:val="left"/>
        </w:tabs>
        <w:numPr>
          <w:ilvl w:val="1"/>
          <w:numId w:val="156"/>
        </w:numPr>
        <w:rPr>
          <w:rFonts w:ascii="Arial" w:cs="Arial" w:eastAsia="Arial" w:hAnsi="Arial"/>
          <w:sz w:val="20"/>
          <w:szCs w:val="20"/>
          <w:color w:val="auto"/>
        </w:rPr>
      </w:pPr>
      <w:r>
        <w:rPr>
          <w:rFonts w:ascii="Arial" w:cs="Arial" w:eastAsia="Arial" w:hAnsi="Arial"/>
          <w:sz w:val="20"/>
          <w:szCs w:val="20"/>
          <w:b w:val="1"/>
          <w:bCs w:val="1"/>
          <w:color w:val="auto"/>
        </w:rPr>
        <w:t>TO THE MAXIMUM EXTENT PERMITTED BY APPLICABLE LAW, EACH BORROWER AND EACH MEMBER OF THE LENDER GROUP HEREBY WAIVE THEIR RESPECTIVE RIGHTS, IF ANY, TO A JURY TRIAL OF ANY CLAIM, CONTROVERSY, DISPUTE OR CAUSE OF ACTION DIRECTLY OR INDIRECTLY 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39" w:right="999" w:bottom="1440" w:gutter="0" w:footer="0" w:header="0"/>
          <w:type w:val="continuous"/>
        </w:sectPr>
      </w:pPr>
    </w:p>
    <w:bookmarkStart w:id="121" w:name="page122"/>
    <w:bookmarkEnd w:id="121"/>
    <w:p>
      <w:pPr>
        <w:jc w:val="both"/>
        <w:spacing w:after="0" w:line="244" w:lineRule="auto"/>
        <w:rPr>
          <w:sz w:val="20"/>
          <w:szCs w:val="20"/>
          <w:color w:val="auto"/>
        </w:rPr>
      </w:pPr>
      <w:r>
        <w:rPr>
          <w:rFonts w:ascii="Arial" w:cs="Arial" w:eastAsia="Arial" w:hAnsi="Arial"/>
          <w:sz w:val="20"/>
          <w:szCs w:val="20"/>
          <w:b w:val="1"/>
          <w:bCs w:val="1"/>
          <w:color w:val="auto"/>
        </w:rPr>
        <w:t>UPON OR ARISING OUT OF ANY OF THE LOAN DOCUMENTS OR ANY OF THE TRANSACTIONS CONTEMPLATED THEREIN, INCLUDING CONTRACT CLAIMS, TORT CLAIMS, BREACH OF DUTY CLAIMS, AND ALL OTHER COMMON LAW OR STATUTORY CLAIMS (EACH A “CLAIM”). EACH BORROWER AND EACH MEMBER OF THE LENDER GROUP REPRESENT THAT EACH HAS REVIEWED THIS WAIVER AND EACH KNOWINGLY AND VOLUNTARILY WAIVES ITS JURY TRIAL RIGHTS FOLLOWING CONSULTATION WITH LEGAL COUNSEL. IN THE EVENT OF LITIGATION, A COPY OF THIS AGREEMENT MAY BE FILED AS A WRITTEN CONSENT TO A TRIAL BY THE COURT.</w:t>
      </w:r>
    </w:p>
    <w:p>
      <w:pPr>
        <w:spacing w:after="0" w:line="187" w:lineRule="exact"/>
        <w:rPr>
          <w:sz w:val="20"/>
          <w:szCs w:val="20"/>
          <w:color w:val="auto"/>
        </w:rPr>
      </w:pPr>
    </w:p>
    <w:p>
      <w:pPr>
        <w:jc w:val="both"/>
        <w:ind w:firstLine="1304"/>
        <w:spacing w:after="0" w:line="242" w:lineRule="auto"/>
        <w:tabs>
          <w:tab w:leader="none" w:pos="1944" w:val="left"/>
        </w:tabs>
        <w:numPr>
          <w:ilvl w:val="0"/>
          <w:numId w:val="157"/>
        </w:numPr>
        <w:rPr>
          <w:rFonts w:ascii="Arial" w:cs="Arial" w:eastAsia="Arial" w:hAnsi="Arial"/>
          <w:sz w:val="20"/>
          <w:szCs w:val="20"/>
          <w:color w:val="auto"/>
        </w:rPr>
      </w:pPr>
      <w:r>
        <w:rPr>
          <w:rFonts w:ascii="Arial" w:cs="Arial" w:eastAsia="Arial" w:hAnsi="Arial"/>
          <w:sz w:val="20"/>
          <w:szCs w:val="20"/>
          <w:b w:val="1"/>
          <w:bCs w:val="1"/>
          <w:color w:val="auto"/>
        </w:rPr>
        <w:t>EACH BORROWER HEREBY IRREVOCABLY AND UNCONDITIONALLY SUBMITS TO THE EXCLUSIVE JURISDICTION OF THE STATE AND FEDERAL COURTS LOCATED IN THE COUNTY OF LOS ANGELES AND THE STATE OF CALIFORNIA, IN ANY ACTION OR PROCEEDING ARISING OUT OF OR RELATING TO ANY LOAN DOCUMENTS, OR FOR RECOGNITION OR ENFORCEMENT OF ANY JUDGMENT. EACH OF THE PARTIES HERETO AGREES THAT A FINAL JUDGMENT IN ANY SUCH ACTION OR PROCEEDING SHALL BE CONCLUSIVE AND MAY BE ENFORCED IN OTHER JURISDICTIONS BY SUIT ON THE JUDGMENT OR IN ANY OTHER MANNER PROVIDED BY LAW. NOTHING IN THIS AGREEMENT OR ANY OTHER LOAN DOCUMENT SHALL AFFECT ANY RIGHT THAT AGENT MAY OTHERWISE HAVE TO BRING ANY ACTION OR PROCEEDING RELATING TO THIS AGREEMENT OR ANY OTHER LOAN DOCUMENT AGAINST ANY LOAN PARTY OR ITS PROPERTIES IN THE COURTS OF ANY JURISDICTION.</w:t>
      </w:r>
    </w:p>
    <w:p>
      <w:pPr>
        <w:spacing w:after="0" w:line="189" w:lineRule="exact"/>
        <w:rPr>
          <w:rFonts w:ascii="Arial" w:cs="Arial" w:eastAsia="Arial" w:hAnsi="Arial"/>
          <w:sz w:val="20"/>
          <w:szCs w:val="20"/>
          <w:color w:val="auto"/>
        </w:rPr>
      </w:pPr>
    </w:p>
    <w:p>
      <w:pPr>
        <w:jc w:val="both"/>
        <w:ind w:firstLine="1304"/>
        <w:spacing w:after="0" w:line="242" w:lineRule="auto"/>
        <w:tabs>
          <w:tab w:leader="none" w:pos="1944" w:val="left"/>
        </w:tabs>
        <w:numPr>
          <w:ilvl w:val="0"/>
          <w:numId w:val="157"/>
        </w:numPr>
        <w:rPr>
          <w:rFonts w:ascii="Arial" w:cs="Arial" w:eastAsia="Arial" w:hAnsi="Arial"/>
          <w:sz w:val="20"/>
          <w:szCs w:val="20"/>
          <w:color w:val="auto"/>
        </w:rPr>
      </w:pPr>
      <w:r>
        <w:rPr>
          <w:rFonts w:ascii="Arial" w:cs="Arial" w:eastAsia="Arial" w:hAnsi="Arial"/>
          <w:sz w:val="20"/>
          <w:szCs w:val="20"/>
          <w:b w:val="1"/>
          <w:bCs w:val="1"/>
          <w:color w:val="auto"/>
        </w:rPr>
        <w:t>NO CLAIM MAY BE MADE BY ANY LOAN PARTY AGAINST AGENT, THE SWING LENDER, ANY OTHER LENDER, ISSUING BANK, OR ANY AFFILIATE, DIRECTOR, OFFICER, EMPLOYEE, COUNSEL, REPRESENTATIVE, AGENT, OR ATTORNEY-IN-FACT OF ANY OF THEM FOR ANY SPECIAL, INDIRECT, CONSEQUENTIAL, PUNITIVE OR EXEMPLARY DAMAGES OR LOSSES IN RESPECT OF ANY CLAIM FOR BREACH OF CONTRACT OR ANY OTHER THEORY OF LIABILITY ARISING OUT OF OR RELATED TO THE TRANSACTIONS CONTEMPLATED BY THIS AGREEMENT OR ANY OTHER LOAN DOCUMENT, OR ANY ACT, OMISSION, OR EVENT OCCURRING IN CONNECTION THEREWITH, AND EACH LOAN PARTY HEREBY WAIVES, RELEASES, AND AGREES NOT TO SUE UPON ANY CLAIM FOR SUCH DAMAGES, WHETHER OR NOT ACCRUED AND WHETHER OR NOT KNOWN OR SUSPECTED TO EXIST IN ITS FAVOR.</w:t>
      </w:r>
    </w:p>
    <w:p>
      <w:pPr>
        <w:spacing w:after="0" w:line="192" w:lineRule="exact"/>
        <w:rPr>
          <w:rFonts w:ascii="Arial" w:cs="Arial" w:eastAsia="Arial" w:hAnsi="Arial"/>
          <w:sz w:val="20"/>
          <w:szCs w:val="20"/>
          <w:color w:val="auto"/>
        </w:rPr>
      </w:pPr>
    </w:p>
    <w:p>
      <w:pPr>
        <w:jc w:val="both"/>
        <w:ind w:firstLine="1304"/>
        <w:spacing w:after="0" w:line="248" w:lineRule="auto"/>
        <w:tabs>
          <w:tab w:leader="none" w:pos="1944" w:val="left"/>
        </w:tabs>
        <w:numPr>
          <w:ilvl w:val="0"/>
          <w:numId w:val="157"/>
        </w:numPr>
        <w:rPr>
          <w:rFonts w:ascii="Arial" w:cs="Arial" w:eastAsia="Arial" w:hAnsi="Arial"/>
          <w:sz w:val="20"/>
          <w:szCs w:val="20"/>
          <w:color w:val="auto"/>
        </w:rPr>
      </w:pPr>
      <w:r>
        <w:rPr>
          <w:rFonts w:ascii="Arial" w:cs="Arial" w:eastAsia="Arial" w:hAnsi="Arial"/>
          <w:sz w:val="20"/>
          <w:szCs w:val="20"/>
          <w:b w:val="1"/>
          <w:bCs w:val="1"/>
          <w:color w:val="auto"/>
        </w:rPr>
        <w:t>IN THE EVENT ANY LEGAL PROCEEDING IS FILED IN A COURT OF THE STATE OF CALIFORNIA (THE “COURT”) BY OR AGAINST ANY PARTY HERETO IN CONNECTION WITH ANY CLAIM AND THE WAIVER SET FORTH IN CLAUSE (C) ABOVE IS NOT ENFORCEABLE IN SUCH PROCEEDING, THE PARTIES HERETO AGREE AS FOLLOWS:</w:t>
      </w:r>
    </w:p>
    <w:p>
      <w:pPr>
        <w:spacing w:after="0" w:line="183" w:lineRule="exact"/>
        <w:rPr>
          <w:rFonts w:ascii="Arial" w:cs="Arial" w:eastAsia="Arial" w:hAnsi="Arial"/>
          <w:sz w:val="20"/>
          <w:szCs w:val="20"/>
          <w:color w:val="auto"/>
        </w:rPr>
      </w:pPr>
    </w:p>
    <w:p>
      <w:pPr>
        <w:ind w:left="2600" w:hanging="648"/>
        <w:spacing w:after="0"/>
        <w:tabs>
          <w:tab w:leader="none" w:pos="2600" w:val="left"/>
        </w:tabs>
        <w:numPr>
          <w:ilvl w:val="1"/>
          <w:numId w:val="157"/>
        </w:numPr>
        <w:rPr>
          <w:rFonts w:ascii="Arial" w:cs="Arial" w:eastAsia="Arial" w:hAnsi="Arial"/>
          <w:sz w:val="20"/>
          <w:szCs w:val="20"/>
          <w:color w:val="auto"/>
        </w:rPr>
      </w:pPr>
      <w:r>
        <w:rPr>
          <w:rFonts w:ascii="Arial" w:cs="Arial" w:eastAsia="Arial" w:hAnsi="Arial"/>
          <w:sz w:val="20"/>
          <w:szCs w:val="20"/>
          <w:b w:val="1"/>
          <w:bCs w:val="1"/>
          <w:color w:val="auto"/>
        </w:rPr>
        <w:t>WITH THE EXCEPTION OF THE MATTERS SPECIFIED IN SUBCLAUSE (ii)</w:t>
      </w:r>
    </w:p>
    <w:p>
      <w:pPr>
        <w:spacing w:after="0" w:line="21" w:lineRule="exact"/>
        <w:rPr>
          <w:rFonts w:ascii="Arial" w:cs="Arial" w:eastAsia="Arial" w:hAnsi="Arial"/>
          <w:sz w:val="20"/>
          <w:szCs w:val="20"/>
          <w:color w:val="auto"/>
        </w:rPr>
      </w:pPr>
    </w:p>
    <w:p>
      <w:pPr>
        <w:jc w:val="both"/>
        <w:spacing w:after="0"/>
        <w:rPr>
          <w:rFonts w:ascii="Arial" w:cs="Arial" w:eastAsia="Arial" w:hAnsi="Arial"/>
          <w:sz w:val="20"/>
          <w:szCs w:val="20"/>
          <w:color w:val="auto"/>
        </w:rPr>
      </w:pPr>
      <w:r>
        <w:rPr>
          <w:rFonts w:ascii="Arial" w:cs="Arial" w:eastAsia="Arial" w:hAnsi="Arial"/>
          <w:sz w:val="20"/>
          <w:szCs w:val="20"/>
          <w:b w:val="1"/>
          <w:bCs w:val="1"/>
          <w:color w:val="auto"/>
        </w:rPr>
        <w:t>BELOW, ANY CLAIM SHALL BE DETERMINED BY A GENERAL REFERENCE PROCEEDING IN ACCORDANCE WITH THE PROVISIONS OF CALIFORNIA CODE OF CIVIL PROCEDURE SECTIONS 638 THROUGH 645.1. THE PARTIES INTEND THIS GENERAL REFERENCE AGREEMENT TO BE SPECIFICALLY ENFORCEABLE. VENUE FOR THE REFERENCE PROCEEDING SHALL BE IN THE COUNTY OF LOS ANGELES, CALIFORNIA.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122" w:name="page123"/>
    <w:bookmarkEnd w:id="122"/>
    <w:p>
      <w:pPr>
        <w:jc w:val="both"/>
        <w:ind w:firstLine="1952"/>
        <w:spacing w:after="0" w:line="242" w:lineRule="auto"/>
        <w:tabs>
          <w:tab w:leader="none" w:pos="2592" w:val="left"/>
        </w:tabs>
        <w:numPr>
          <w:ilvl w:val="0"/>
          <w:numId w:val="158"/>
        </w:numPr>
        <w:rPr>
          <w:rFonts w:ascii="Arial" w:cs="Arial" w:eastAsia="Arial" w:hAnsi="Arial"/>
          <w:sz w:val="20"/>
          <w:szCs w:val="20"/>
          <w:color w:val="auto"/>
        </w:rPr>
      </w:pPr>
      <w:r>
        <w:rPr>
          <w:rFonts w:ascii="Arial" w:cs="Arial" w:eastAsia="Arial" w:hAnsi="Arial"/>
          <w:sz w:val="20"/>
          <w:szCs w:val="20"/>
          <w:b w:val="1"/>
          <w:bCs w:val="1"/>
          <w:color w:val="auto"/>
        </w:rPr>
        <w:t>THE FOLLOWING MATTERS SHALL NOT BE SUBJECT TO A GENERAL REFERENCE PROCEEDING: (A) NON-JUDICIAL FORECLOSURE OF ANY SECURITY INTERESTS IN REAL OR PERSONAL PROPERTY, (B) EXERCISE OF SELF-HELP REMEDIES (INCLUDING SET-OFF OR RECOUPMENT), (C) APPOINTMENT OF A RECEIVER, AND (D) TEMPORARY, PROVISIONAL, OR ANCILLARY REMEDIES (INCLUDING WRITS OF ATTACHMENT, WRITS OF POSSESSION, TEMPORARY RESTRAINING ORDERS, OR PRELIMINARY INJUNCTIONS). THIS AGREEMENT DOES NOT LIMIT THE RIGHT OF ANY PARTY TO EXERCISE OR OPPOSE ANY OF THE RIGHTS AND REMEDIES DESCRIBED IN CLAUSES (A) - (D) AND ANY SUCH EXERCISE OR OPPOSITION DOES NOT WAIVE THE RIGHT OF ANY PARTY TO PARTICIPATE IN A REFERENCE PROCEEDING PURSUANT TO THIS AGREEMENT WITH RESPECT TO ANY OTHER MATTER.</w:t>
      </w:r>
    </w:p>
    <w:p>
      <w:pPr>
        <w:spacing w:after="0" w:line="193" w:lineRule="exact"/>
        <w:rPr>
          <w:rFonts w:ascii="Arial" w:cs="Arial" w:eastAsia="Arial" w:hAnsi="Arial"/>
          <w:sz w:val="20"/>
          <w:szCs w:val="20"/>
          <w:color w:val="auto"/>
        </w:rPr>
      </w:pPr>
    </w:p>
    <w:p>
      <w:pPr>
        <w:jc w:val="both"/>
        <w:ind w:firstLine="1952"/>
        <w:spacing w:after="0" w:line="244" w:lineRule="auto"/>
        <w:tabs>
          <w:tab w:leader="none" w:pos="2592" w:val="left"/>
        </w:tabs>
        <w:numPr>
          <w:ilvl w:val="0"/>
          <w:numId w:val="158"/>
        </w:numPr>
        <w:rPr>
          <w:rFonts w:ascii="Arial" w:cs="Arial" w:eastAsia="Arial" w:hAnsi="Arial"/>
          <w:sz w:val="20"/>
          <w:szCs w:val="20"/>
          <w:color w:val="auto"/>
        </w:rPr>
      </w:pPr>
      <w:r>
        <w:rPr>
          <w:rFonts w:ascii="Arial" w:cs="Arial" w:eastAsia="Arial" w:hAnsi="Arial"/>
          <w:sz w:val="20"/>
          <w:szCs w:val="20"/>
          <w:b w:val="1"/>
          <w:bCs w:val="1"/>
          <w:color w:val="auto"/>
        </w:rPr>
        <w:t>UPON THE WRITTEN REQUEST OF ANY PARTY, THE PARTIES SHALL SELECT A SINGLE REFEREE, WHO SHALL BE A RETIRED JUDGE OR JUSTICE. IF THE PARTIES DO NOT AGREE UPON A REFEREE WITHIN TEN DAYS OF SUCH WRITTEN REQUEST, THEN, ANY PARTY SHALL HAVE THE RIGHT TO REQUEST THE COURT TO APPOINT A REFEREE PURSUANT TO CALIFORNIA CODE OF CIVIL PROCEDURE SECTION 640(B). THE REFEREE SHALL BE APPOINTED TO SIT WITH ALL OF THE POWERS PROVIDED BY LAW. PENDING APPOINTMENT OF THE REFEREE, THE COURT SHALL HAVE THE POWER TO ISSUE TEMPORARY OR PROVISIONAL REMEDIES.</w:t>
      </w:r>
    </w:p>
    <w:p>
      <w:pPr>
        <w:spacing w:after="0" w:line="185" w:lineRule="exact"/>
        <w:rPr>
          <w:rFonts w:ascii="Arial" w:cs="Arial" w:eastAsia="Arial" w:hAnsi="Arial"/>
          <w:sz w:val="20"/>
          <w:szCs w:val="20"/>
          <w:color w:val="auto"/>
        </w:rPr>
      </w:pPr>
    </w:p>
    <w:p>
      <w:pPr>
        <w:jc w:val="both"/>
        <w:ind w:firstLine="1952"/>
        <w:spacing w:after="0" w:line="242" w:lineRule="auto"/>
        <w:tabs>
          <w:tab w:leader="none" w:pos="2592" w:val="left"/>
        </w:tabs>
        <w:numPr>
          <w:ilvl w:val="0"/>
          <w:numId w:val="158"/>
        </w:numPr>
        <w:rPr>
          <w:rFonts w:ascii="Arial" w:cs="Arial" w:eastAsia="Arial" w:hAnsi="Arial"/>
          <w:sz w:val="20"/>
          <w:szCs w:val="20"/>
          <w:color w:val="auto"/>
        </w:rPr>
      </w:pPr>
      <w:r>
        <w:rPr>
          <w:rFonts w:ascii="Arial" w:cs="Arial" w:eastAsia="Arial" w:hAnsi="Arial"/>
          <w:sz w:val="20"/>
          <w:szCs w:val="20"/>
          <w:b w:val="1"/>
          <w:bCs w:val="1"/>
          <w:color w:val="auto"/>
        </w:rPr>
        <w:t xml:space="preserve">EXCEPT AS EXPRESSLY SET FORTH IN THIS AGREEMENT, THE REFEREE SHALL DETERMINE THE MANNER IN WHICH THE REFERENCE PROCEEDING IS CONDUCTED INCLUDING THE TIME AND PLACE OF HEARINGS, THE ORDER OF PRESENTATION OF EVIDENCE, AND ALL OTHER QUESTIONS THAT ARISE WITH RESPECT TO THE COURSE OF THE REFERENCE PROCEEDING. ALL PROCEEDINGS AND HEARINGS CONDUCTED BEFORE THE REFEREE, EXCEPT FOR TRIAL, SHALL BE CONDUCTED WITHOUT A COURT REPORTER, EXCEPT WHEN ANY PARTY SO REQUESTS A COURT REPORTER AND A TRANSCRIPT IS ORDERED, A COURT REPORTER SHALL BE USED AND THE REFEREE SHALL BE PROVIDED A COURTESY COPY OF THE TRANSCRIPT. THE PARTY MAKING SUCH REQUEST SHALL HAVE THE OBLIGATION TO ARRANGE FOR AND PAY THE COSTS OF THE COURT REPORTER; </w:t>
      </w:r>
      <w:r>
        <w:rPr>
          <w:rFonts w:ascii="Arial" w:cs="Arial" w:eastAsia="Arial" w:hAnsi="Arial"/>
          <w:sz w:val="20"/>
          <w:szCs w:val="20"/>
          <w:b w:val="1"/>
          <w:bCs w:val="1"/>
          <w:u w:val="single" w:color="auto"/>
          <w:color w:val="auto"/>
        </w:rPr>
        <w:t>PROVIDED</w:t>
      </w:r>
      <w:r>
        <w:rPr>
          <w:rFonts w:ascii="Arial" w:cs="Arial" w:eastAsia="Arial" w:hAnsi="Arial"/>
          <w:sz w:val="20"/>
          <w:szCs w:val="20"/>
          <w:b w:val="1"/>
          <w:bCs w:val="1"/>
          <w:color w:val="auto"/>
        </w:rPr>
        <w:t>, THAT SUCH COSTS, ALONG WITH THE REFEREE’S FEES, SHALL ULTIMATELY BE BORNE BY THE PARTY WHO DOES NOT PREVAIL, AS DETERMINED BY THE REFEREE.</w:t>
      </w:r>
    </w:p>
    <w:p>
      <w:pPr>
        <w:spacing w:after="0" w:line="187" w:lineRule="exact"/>
        <w:rPr>
          <w:rFonts w:ascii="Arial" w:cs="Arial" w:eastAsia="Arial" w:hAnsi="Arial"/>
          <w:sz w:val="20"/>
          <w:szCs w:val="20"/>
          <w:color w:val="auto"/>
        </w:rPr>
      </w:pPr>
    </w:p>
    <w:p>
      <w:pPr>
        <w:jc w:val="both"/>
        <w:ind w:firstLine="1952"/>
        <w:spacing w:after="0" w:line="246" w:lineRule="auto"/>
        <w:tabs>
          <w:tab w:leader="none" w:pos="2592" w:val="left"/>
        </w:tabs>
        <w:numPr>
          <w:ilvl w:val="0"/>
          <w:numId w:val="158"/>
        </w:numPr>
        <w:rPr>
          <w:rFonts w:ascii="Arial" w:cs="Arial" w:eastAsia="Arial" w:hAnsi="Arial"/>
          <w:sz w:val="20"/>
          <w:szCs w:val="20"/>
          <w:color w:val="auto"/>
        </w:rPr>
      </w:pPr>
      <w:r>
        <w:rPr>
          <w:rFonts w:ascii="Arial" w:cs="Arial" w:eastAsia="Arial" w:hAnsi="Arial"/>
          <w:sz w:val="20"/>
          <w:szCs w:val="20"/>
          <w:b w:val="1"/>
          <w:bCs w:val="1"/>
          <w:color w:val="auto"/>
        </w:rPr>
        <w:t>THE REFEREE MAY REQUIRE ONE OR MORE PREHEARING CONFERENCES. THE PARTIES HERETO SHALL BE ENTITLED TO DISCOVERY, AND THE REFEREE SHALL OVERSEE DISCOVERY IN ACCORDANCE WITH THE RULES OF DISCOVERY, AND SHALL ENFORCE ALL DISCOVERY ORDERS IN THE SAME MANNER AS ANY TRIAL COURT JUDGE IN PROCEEDINGS AT LAW IN THE STATE OF CALIFORNIA.</w:t>
      </w:r>
    </w:p>
    <w:p>
      <w:pPr>
        <w:spacing w:after="0" w:line="184" w:lineRule="exact"/>
        <w:rPr>
          <w:rFonts w:ascii="Arial" w:cs="Arial" w:eastAsia="Arial" w:hAnsi="Arial"/>
          <w:sz w:val="20"/>
          <w:szCs w:val="20"/>
          <w:color w:val="auto"/>
        </w:rPr>
      </w:pPr>
    </w:p>
    <w:p>
      <w:pPr>
        <w:jc w:val="both"/>
        <w:ind w:firstLine="1952"/>
        <w:spacing w:after="0" w:line="246" w:lineRule="auto"/>
        <w:tabs>
          <w:tab w:leader="none" w:pos="2592" w:val="left"/>
        </w:tabs>
        <w:numPr>
          <w:ilvl w:val="0"/>
          <w:numId w:val="158"/>
        </w:numPr>
        <w:rPr>
          <w:rFonts w:ascii="Arial" w:cs="Arial" w:eastAsia="Arial" w:hAnsi="Arial"/>
          <w:sz w:val="20"/>
          <w:szCs w:val="20"/>
          <w:color w:val="auto"/>
        </w:rPr>
      </w:pPr>
      <w:r>
        <w:rPr>
          <w:rFonts w:ascii="Arial" w:cs="Arial" w:eastAsia="Arial" w:hAnsi="Arial"/>
          <w:sz w:val="20"/>
          <w:szCs w:val="20"/>
          <w:b w:val="1"/>
          <w:bCs w:val="1"/>
          <w:color w:val="auto"/>
        </w:rPr>
        <w:t>THE REFEREE SHALL APPLY THE RULES OF EVIDENCE APPLICABLE TO PROCEEDINGS AT LAW IN THE STATE OF CALIFORNIA AND SHALL DETERMINE ALL ISSUES IN ACCORDANCE WITH CALIFORNIA SUBSTANTIVE AND PROCEDURAL LAW. THE REFEREE SHALL BE EMPOWERED TO ENTER EQUITABLE AS WELL AS LEGAL RELIEF AND RULE ON ANY MOTION WHICH WOULD BE AUTHORIZED IN A TRIAL, INCLUDING MOTIONS FOR DEFAULT JUDGMENT OR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123" w:name="page124"/>
    <w:bookmarkEnd w:id="123"/>
    <w:p>
      <w:pPr>
        <w:jc w:val="both"/>
        <w:spacing w:after="0" w:line="244" w:lineRule="auto"/>
        <w:rPr>
          <w:sz w:val="20"/>
          <w:szCs w:val="20"/>
          <w:color w:val="auto"/>
        </w:rPr>
      </w:pPr>
      <w:r>
        <w:rPr>
          <w:rFonts w:ascii="Arial" w:cs="Arial" w:eastAsia="Arial" w:hAnsi="Arial"/>
          <w:sz w:val="20"/>
          <w:szCs w:val="20"/>
          <w:b w:val="1"/>
          <w:bCs w:val="1"/>
          <w:color w:val="auto"/>
        </w:rPr>
        <w:t>JUDGMENT. THE REFEREE SHALL REPORT HIS OR HER DECISION, WHICH REPORT SHALL ALSO INCLUDE FINDINGS OF FACT AND CONCLUSIONS OF LAW. THE REFEREE SHALL ISSUE A DECISION AND PURSUANT TO CALIFORNIA CODE OF CIVIL PROCEDURE, SECTION 644, THE REFEREE’S DECISION SHALL BE ENTERED BY THE COURT AS A JUDGMENT IN THE SAME MANNER AS IF THE ACTION HAD BEEN TRIED BY THE COURT. THE FINAL JUDGMENT OR ORDER FROM ANY APPEALABLE DECISION OR ORDER ENTERED BY THE REFEREE SHALL BE FULLY APPEALABLE AS IF IT HAS BEEN ENTERED BY THE COURT.</w:t>
      </w:r>
    </w:p>
    <w:p>
      <w:pPr>
        <w:spacing w:after="0" w:line="187" w:lineRule="exact"/>
        <w:rPr>
          <w:sz w:val="20"/>
          <w:szCs w:val="20"/>
          <w:color w:val="auto"/>
        </w:rPr>
      </w:pPr>
    </w:p>
    <w:p>
      <w:pPr>
        <w:jc w:val="both"/>
        <w:ind w:firstLine="1952"/>
        <w:spacing w:after="0" w:line="244" w:lineRule="auto"/>
        <w:tabs>
          <w:tab w:leader="none" w:pos="2592" w:val="left"/>
        </w:tabs>
        <w:numPr>
          <w:ilvl w:val="2"/>
          <w:numId w:val="159"/>
        </w:numPr>
        <w:rPr>
          <w:rFonts w:ascii="Arial" w:cs="Arial" w:eastAsia="Arial" w:hAnsi="Arial"/>
          <w:sz w:val="20"/>
          <w:szCs w:val="20"/>
          <w:color w:val="auto"/>
        </w:rPr>
      </w:pPr>
      <w:r>
        <w:rPr>
          <w:rFonts w:ascii="Arial" w:cs="Arial" w:eastAsia="Arial" w:hAnsi="Arial"/>
          <w:sz w:val="20"/>
          <w:szCs w:val="20"/>
          <w:b w:val="1"/>
          <w:bCs w:val="1"/>
          <w:color w:val="auto"/>
        </w:rPr>
        <w:t>THE PARTIES RECOGNIZE AND AGREE THAT ALL CLAIMS RESOLVED IN A GENERAL REFERENCE PROCEEDING PURSUANT HERETO WILL BE DECIDED BY A REFEREE AND NOT BY A JURY. AFTER CONSULTING (OR HAVING HAD THE OPPORTUNITY TO CONSULT) WITH COUNSEL OF THEIR OWN CHOICE, EACH PARTY HERETO KNOWINGLY AND VOLUNTARILY AND FOR THEIR MUTUAL BENEFIT AGREES THAT THIS REFERENCE PROVISION SHALL APPLY TO ANY DISPUTE BETWEEN THEM THAT ARISES OUT OF OR IS RELATED TO THIS AGREEMENT OR THE OTHER LOAN DOCUMENTS.</w:t>
      </w:r>
    </w:p>
    <w:p>
      <w:pPr>
        <w:spacing w:after="0" w:line="185" w:lineRule="exact"/>
        <w:rPr>
          <w:rFonts w:ascii="Arial" w:cs="Arial" w:eastAsia="Arial" w:hAnsi="Arial"/>
          <w:sz w:val="20"/>
          <w:szCs w:val="20"/>
          <w:color w:val="auto"/>
        </w:rPr>
      </w:pPr>
    </w:p>
    <w:p>
      <w:pPr>
        <w:ind w:left="660" w:hanging="652"/>
        <w:spacing w:after="0"/>
        <w:tabs>
          <w:tab w:leader="none" w:pos="660" w:val="left"/>
        </w:tabs>
        <w:numPr>
          <w:ilvl w:val="0"/>
          <w:numId w:val="160"/>
        </w:numPr>
        <w:rPr>
          <w:rFonts w:ascii="Arial" w:cs="Arial" w:eastAsia="Arial" w:hAnsi="Arial"/>
          <w:sz w:val="20"/>
          <w:szCs w:val="20"/>
          <w:b w:val="1"/>
          <w:bCs w:val="1"/>
          <w:color w:val="auto"/>
        </w:rPr>
      </w:pPr>
      <w:r>
        <w:rPr>
          <w:rFonts w:ascii="Arial" w:cs="Arial" w:eastAsia="Arial" w:hAnsi="Arial"/>
          <w:sz w:val="20"/>
          <w:szCs w:val="20"/>
          <w:b w:val="1"/>
          <w:bCs w:val="1"/>
          <w:color w:val="auto"/>
        </w:rPr>
        <w:t>ASSIGNMENTS AND PARTICIPATIONS; SUCCESSORS.</w:t>
      </w:r>
    </w:p>
    <w:p>
      <w:pPr>
        <w:spacing w:after="0" w:line="215"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 xml:space="preserve">13.1   </w:t>
      </w:r>
      <w:r>
        <w:rPr>
          <w:rFonts w:ascii="Arial" w:cs="Arial" w:eastAsia="Arial" w:hAnsi="Arial"/>
          <w:sz w:val="20"/>
          <w:szCs w:val="20"/>
          <w:b w:val="1"/>
          <w:bCs w:val="1"/>
          <w:u w:val="single" w:color="auto"/>
          <w:color w:val="auto"/>
        </w:rPr>
        <w:t>Assignments and Participations</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b w:val="1"/>
          <w:bCs w:val="1"/>
          <w:color w:val="auto"/>
        </w:rPr>
      </w:pPr>
    </w:p>
    <w:p>
      <w:pPr>
        <w:jc w:val="both"/>
        <w:ind w:firstLine="1304"/>
        <w:spacing w:after="0" w:line="263" w:lineRule="auto"/>
        <w:tabs>
          <w:tab w:leader="none" w:pos="1944" w:val="left"/>
        </w:tabs>
        <w:numPr>
          <w:ilvl w:val="1"/>
          <w:numId w:val="160"/>
        </w:numPr>
        <w:rPr>
          <w:rFonts w:ascii="Arial" w:cs="Arial" w:eastAsia="Arial" w:hAnsi="Arial"/>
          <w:sz w:val="19"/>
          <w:szCs w:val="19"/>
          <w:color w:val="auto"/>
        </w:rPr>
      </w:pPr>
      <w:r>
        <w:rPr>
          <w:rFonts w:ascii="Arial" w:cs="Arial" w:eastAsia="Arial" w:hAnsi="Arial"/>
          <w:sz w:val="19"/>
          <w:szCs w:val="19"/>
          <w:color w:val="auto"/>
        </w:rPr>
        <w:t>(i) Subject to the conditions set forth in clause (a)(ii) below, any Lender may assign and delegate all or any portion of its rights and duties under the Loan Documents (including the Obligations owed to it and its Commitments) to one or more assignees so long as such prospective assignee is an Eligible Transferee (each, an “</w:t>
      </w:r>
      <w:r>
        <w:rPr>
          <w:rFonts w:ascii="Arial" w:cs="Arial" w:eastAsia="Arial" w:hAnsi="Arial"/>
          <w:sz w:val="19"/>
          <w:szCs w:val="19"/>
          <w:u w:val="single" w:color="auto"/>
          <w:color w:val="auto"/>
        </w:rPr>
        <w:t>Assignee</w:t>
      </w:r>
      <w:r>
        <w:rPr>
          <w:rFonts w:ascii="Arial" w:cs="Arial" w:eastAsia="Arial" w:hAnsi="Arial"/>
          <w:sz w:val="19"/>
          <w:szCs w:val="19"/>
          <w:color w:val="auto"/>
        </w:rPr>
        <w:t>”), with the prior written consent (such consent not be unreasonably withheld or delayed) of:</w:t>
      </w:r>
    </w:p>
    <w:p>
      <w:pPr>
        <w:spacing w:after="0" w:line="176" w:lineRule="exact"/>
        <w:rPr>
          <w:sz w:val="20"/>
          <w:szCs w:val="20"/>
          <w:color w:val="auto"/>
        </w:rPr>
      </w:pPr>
    </w:p>
    <w:p>
      <w:pPr>
        <w:jc w:val="both"/>
        <w:ind w:firstLine="1952"/>
        <w:spacing w:after="0" w:line="244" w:lineRule="auto"/>
        <w:tabs>
          <w:tab w:leader="none" w:pos="2592" w:val="left"/>
        </w:tabs>
        <w:numPr>
          <w:ilvl w:val="1"/>
          <w:numId w:val="161"/>
        </w:numPr>
        <w:rPr>
          <w:rFonts w:ascii="Arial" w:cs="Arial" w:eastAsia="Arial" w:hAnsi="Arial"/>
          <w:sz w:val="20"/>
          <w:szCs w:val="20"/>
          <w:color w:val="auto"/>
        </w:rPr>
      </w:pPr>
      <w:r>
        <w:rPr>
          <w:rFonts w:ascii="Arial" w:cs="Arial" w:eastAsia="Arial" w:hAnsi="Arial"/>
          <w:sz w:val="20"/>
          <w:szCs w:val="20"/>
          <w:color w:val="auto"/>
        </w:rPr>
        <w:t xml:space="preserve">Borrowers;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consent of Borrowers shall be required (1) if an Event of Default has occurred and is continuing, or (2) in connection with an assignment to a Person that is a Lender or an Affiliate (other than natural persons) of a Lender; </w:t>
      </w:r>
      <w:r>
        <w:rPr>
          <w:rFonts w:ascii="Arial" w:cs="Arial" w:eastAsia="Arial" w:hAnsi="Arial"/>
          <w:sz w:val="20"/>
          <w:szCs w:val="20"/>
          <w:u w:val="single" w:color="auto"/>
          <w:color w:val="auto"/>
        </w:rPr>
        <w:t>provided further</w:t>
      </w:r>
      <w:r>
        <w:rPr>
          <w:rFonts w:ascii="Arial" w:cs="Arial" w:eastAsia="Arial" w:hAnsi="Arial"/>
          <w:sz w:val="20"/>
          <w:szCs w:val="20"/>
          <w:color w:val="auto"/>
        </w:rPr>
        <w:t>, that Borrowers shall be deemed to have consented to a proposed assignment unless they object thereto by written notice to Agent within five Business Days after having received notice thereof; and</w:t>
      </w:r>
    </w:p>
    <w:p>
      <w:pPr>
        <w:spacing w:after="0" w:line="194" w:lineRule="exact"/>
        <w:rPr>
          <w:rFonts w:ascii="Arial" w:cs="Arial" w:eastAsia="Arial" w:hAnsi="Arial"/>
          <w:sz w:val="20"/>
          <w:szCs w:val="20"/>
          <w:color w:val="auto"/>
        </w:rPr>
      </w:pPr>
    </w:p>
    <w:p>
      <w:pPr>
        <w:ind w:left="2600" w:hanging="648"/>
        <w:spacing w:after="0"/>
        <w:tabs>
          <w:tab w:leader="none" w:pos="26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Agent and if an assignment of Revolving Commitment, Swing Lender and Issuing Bank.</w:t>
      </w:r>
    </w:p>
    <w:p>
      <w:pPr>
        <w:spacing w:after="0" w:line="238" w:lineRule="exact"/>
        <w:rPr>
          <w:rFonts w:ascii="Arial" w:cs="Arial" w:eastAsia="Arial" w:hAnsi="Arial"/>
          <w:sz w:val="18"/>
          <w:szCs w:val="18"/>
          <w:color w:val="auto"/>
        </w:rPr>
      </w:pPr>
    </w:p>
    <w:p>
      <w:pPr>
        <w:ind w:left="1960" w:hanging="656"/>
        <w:spacing w:after="0"/>
        <w:tabs>
          <w:tab w:leader="none" w:pos="196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Assignments shall be subject to the following additional conditions:</w:t>
      </w:r>
    </w:p>
    <w:p>
      <w:pPr>
        <w:spacing w:after="0" w:line="215" w:lineRule="exact"/>
        <w:rPr>
          <w:rFonts w:ascii="Arial" w:cs="Arial" w:eastAsia="Arial" w:hAnsi="Arial"/>
          <w:sz w:val="20"/>
          <w:szCs w:val="20"/>
          <w:color w:val="auto"/>
        </w:rPr>
      </w:pPr>
    </w:p>
    <w:p>
      <w:pPr>
        <w:ind w:left="2600" w:hanging="648"/>
        <w:spacing w:after="0"/>
        <w:tabs>
          <w:tab w:leader="none" w:pos="2600" w:val="left"/>
        </w:tabs>
        <w:numPr>
          <w:ilvl w:val="1"/>
          <w:numId w:val="162"/>
        </w:numPr>
        <w:rPr>
          <w:rFonts w:ascii="Arial" w:cs="Arial" w:eastAsia="Arial" w:hAnsi="Arial"/>
          <w:sz w:val="20"/>
          <w:szCs w:val="20"/>
          <w:color w:val="auto"/>
        </w:rPr>
      </w:pPr>
      <w:r>
        <w:rPr>
          <w:rFonts w:ascii="Arial" w:cs="Arial" w:eastAsia="Arial" w:hAnsi="Arial"/>
          <w:sz w:val="20"/>
          <w:szCs w:val="20"/>
          <w:color w:val="auto"/>
        </w:rPr>
        <w:t>no assignment may be made to a natural person,</w:t>
      </w:r>
    </w:p>
    <w:p>
      <w:pPr>
        <w:spacing w:after="0" w:line="215" w:lineRule="exact"/>
        <w:rPr>
          <w:rFonts w:ascii="Arial" w:cs="Arial" w:eastAsia="Arial" w:hAnsi="Arial"/>
          <w:sz w:val="20"/>
          <w:szCs w:val="20"/>
          <w:color w:val="auto"/>
        </w:rPr>
      </w:pPr>
    </w:p>
    <w:p>
      <w:pPr>
        <w:ind w:left="2600" w:hanging="648"/>
        <w:spacing w:after="0"/>
        <w:tabs>
          <w:tab w:leader="none" w:pos="260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no assignment may be made to a Loan Party or an Affiliate of a Loan Party or a Defaulting</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Lender,</w:t>
      </w:r>
    </w:p>
    <w:p>
      <w:pPr>
        <w:spacing w:after="0" w:line="199" w:lineRule="exact"/>
        <w:rPr>
          <w:rFonts w:ascii="Arial" w:cs="Arial" w:eastAsia="Arial" w:hAnsi="Arial"/>
          <w:sz w:val="18"/>
          <w:szCs w:val="18"/>
          <w:color w:val="auto"/>
        </w:rPr>
      </w:pPr>
    </w:p>
    <w:p>
      <w:pPr>
        <w:jc w:val="both"/>
        <w:ind w:firstLine="1952"/>
        <w:spacing w:after="0" w:line="243" w:lineRule="auto"/>
        <w:tabs>
          <w:tab w:leader="none" w:pos="2592" w:val="left"/>
        </w:tabs>
        <w:numPr>
          <w:ilvl w:val="1"/>
          <w:numId w:val="162"/>
        </w:numPr>
        <w:rPr>
          <w:rFonts w:ascii="Arial" w:cs="Arial" w:eastAsia="Arial" w:hAnsi="Arial"/>
          <w:sz w:val="20"/>
          <w:szCs w:val="20"/>
          <w:color w:val="auto"/>
        </w:rPr>
      </w:pPr>
      <w:r>
        <w:rPr>
          <w:rFonts w:ascii="Arial" w:cs="Arial" w:eastAsia="Arial" w:hAnsi="Arial"/>
          <w:sz w:val="20"/>
          <w:szCs w:val="20"/>
          <w:color w:val="auto"/>
        </w:rPr>
        <w:t>the amount of the Commitments and the other rights and obligations of the assigning Lender hereunder and under the other Loan Documents subject to each such assignment (determined as of the date the Assignment and Acceptance with respect to such assignment is delivered to Agent) shall be in a minimum amount (unless waived by Agent) of $5,000,000 (except such minimum amount shall not apply to (I) an assignment or delegation by any Lender to any other Lender, an Affiliate of any Lender, or a Related Fund of such Lender, or (II) a group of new Lenders, each of which is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124" w:name="page125"/>
    <w:bookmarkEnd w:id="124"/>
    <w:p>
      <w:pPr>
        <w:spacing w:after="0" w:line="261" w:lineRule="auto"/>
        <w:rPr>
          <w:sz w:val="20"/>
          <w:szCs w:val="20"/>
          <w:color w:val="auto"/>
        </w:rPr>
      </w:pPr>
      <w:r>
        <w:rPr>
          <w:rFonts w:ascii="Arial" w:cs="Arial" w:eastAsia="Arial" w:hAnsi="Arial"/>
          <w:sz w:val="20"/>
          <w:szCs w:val="20"/>
          <w:color w:val="auto"/>
        </w:rPr>
        <w:t>Affiliate of each other or a Related Fund of such new Lender to the extent that the aggregate amount to be assigned to all such new Lenders is at least $5,000,000),</w:t>
      </w:r>
    </w:p>
    <w:p>
      <w:pPr>
        <w:spacing w:after="0" w:line="176" w:lineRule="exact"/>
        <w:rPr>
          <w:sz w:val="20"/>
          <w:szCs w:val="20"/>
          <w:color w:val="auto"/>
        </w:rPr>
      </w:pPr>
    </w:p>
    <w:p>
      <w:pPr>
        <w:ind w:firstLine="1952"/>
        <w:spacing w:after="0" w:line="260" w:lineRule="auto"/>
        <w:tabs>
          <w:tab w:leader="none" w:pos="2592" w:val="left"/>
        </w:tabs>
        <w:numPr>
          <w:ilvl w:val="1"/>
          <w:numId w:val="163"/>
        </w:numPr>
        <w:rPr>
          <w:rFonts w:ascii="Arial" w:cs="Arial" w:eastAsia="Arial" w:hAnsi="Arial"/>
          <w:sz w:val="20"/>
          <w:szCs w:val="20"/>
          <w:color w:val="auto"/>
        </w:rPr>
      </w:pPr>
      <w:r>
        <w:rPr>
          <w:rFonts w:ascii="Arial" w:cs="Arial" w:eastAsia="Arial" w:hAnsi="Arial"/>
          <w:sz w:val="20"/>
          <w:szCs w:val="20"/>
          <w:color w:val="auto"/>
        </w:rPr>
        <w:t>each partial assignment shall be made as an assignment of a proportionate part of all the assigning Lender’s rights and obligations under this Agreement,</w:t>
      </w:r>
    </w:p>
    <w:p>
      <w:pPr>
        <w:spacing w:after="0" w:line="176" w:lineRule="exact"/>
        <w:rPr>
          <w:rFonts w:ascii="Arial" w:cs="Arial" w:eastAsia="Arial" w:hAnsi="Arial"/>
          <w:sz w:val="20"/>
          <w:szCs w:val="20"/>
          <w:color w:val="auto"/>
        </w:rPr>
      </w:pPr>
    </w:p>
    <w:p>
      <w:pPr>
        <w:jc w:val="both"/>
        <w:ind w:firstLine="1952"/>
        <w:spacing w:after="0" w:line="244" w:lineRule="auto"/>
        <w:tabs>
          <w:tab w:leader="none" w:pos="2592" w:val="left"/>
        </w:tabs>
        <w:numPr>
          <w:ilvl w:val="1"/>
          <w:numId w:val="163"/>
        </w:numPr>
        <w:rPr>
          <w:rFonts w:ascii="Arial" w:cs="Arial" w:eastAsia="Arial" w:hAnsi="Arial"/>
          <w:sz w:val="20"/>
          <w:szCs w:val="20"/>
          <w:color w:val="auto"/>
        </w:rPr>
      </w:pPr>
      <w:r>
        <w:rPr>
          <w:rFonts w:ascii="Arial" w:cs="Arial" w:eastAsia="Arial" w:hAnsi="Arial"/>
          <w:sz w:val="20"/>
          <w:szCs w:val="20"/>
          <w:color w:val="auto"/>
        </w:rPr>
        <w:t xml:space="preserve">the parties to each assignment shall execute and deliver to Agent an Assignment and Acceptance; </w:t>
      </w:r>
      <w:r>
        <w:rPr>
          <w:rFonts w:ascii="Arial" w:cs="Arial" w:eastAsia="Arial" w:hAnsi="Arial"/>
          <w:sz w:val="20"/>
          <w:szCs w:val="20"/>
          <w:u w:val="single" w:color="auto"/>
          <w:color w:val="auto"/>
        </w:rPr>
        <w:t>provided</w:t>
      </w:r>
      <w:r>
        <w:rPr>
          <w:rFonts w:ascii="Arial" w:cs="Arial" w:eastAsia="Arial" w:hAnsi="Arial"/>
          <w:sz w:val="20"/>
          <w:szCs w:val="20"/>
          <w:color w:val="auto"/>
        </w:rPr>
        <w:t>, that Borrowers and Agent may continue to deal solely and directly with the assigning Lender in connection with the interest so assigned to an Assignee until written notice of such assignment, together with payment instructions, addresses, and related information with respect to the Assignee, have been given to Borrowers and Agent by such Lender and the Assignee,</w:t>
      </w:r>
    </w:p>
    <w:p>
      <w:pPr>
        <w:spacing w:after="0" w:line="194" w:lineRule="exact"/>
        <w:rPr>
          <w:rFonts w:ascii="Arial" w:cs="Arial" w:eastAsia="Arial" w:hAnsi="Arial"/>
          <w:sz w:val="20"/>
          <w:szCs w:val="20"/>
          <w:color w:val="auto"/>
        </w:rPr>
      </w:pPr>
    </w:p>
    <w:p>
      <w:pPr>
        <w:ind w:firstLine="1952"/>
        <w:spacing w:after="0" w:line="260" w:lineRule="auto"/>
        <w:tabs>
          <w:tab w:leader="none" w:pos="2592" w:val="left"/>
        </w:tabs>
        <w:numPr>
          <w:ilvl w:val="1"/>
          <w:numId w:val="163"/>
        </w:numPr>
        <w:rPr>
          <w:rFonts w:ascii="Arial" w:cs="Arial" w:eastAsia="Arial" w:hAnsi="Arial"/>
          <w:sz w:val="20"/>
          <w:szCs w:val="20"/>
          <w:color w:val="auto"/>
        </w:rPr>
      </w:pPr>
      <w:r>
        <w:rPr>
          <w:rFonts w:ascii="Arial" w:cs="Arial" w:eastAsia="Arial" w:hAnsi="Arial"/>
          <w:sz w:val="20"/>
          <w:szCs w:val="20"/>
          <w:color w:val="auto"/>
        </w:rPr>
        <w:t>unless waived by Agent, the assigning Lender or Assignee has paid to Agent, for Agent’s separate account, a processing fee in the amount of $3,500, and</w:t>
      </w:r>
    </w:p>
    <w:p>
      <w:pPr>
        <w:spacing w:after="0" w:line="176" w:lineRule="exact"/>
        <w:rPr>
          <w:rFonts w:ascii="Arial" w:cs="Arial" w:eastAsia="Arial" w:hAnsi="Arial"/>
          <w:sz w:val="20"/>
          <w:szCs w:val="20"/>
          <w:color w:val="auto"/>
        </w:rPr>
      </w:pPr>
    </w:p>
    <w:p>
      <w:pPr>
        <w:ind w:firstLine="1952"/>
        <w:spacing w:after="0" w:line="260" w:lineRule="auto"/>
        <w:tabs>
          <w:tab w:leader="none" w:pos="2592" w:val="left"/>
        </w:tabs>
        <w:numPr>
          <w:ilvl w:val="1"/>
          <w:numId w:val="163"/>
        </w:numPr>
        <w:rPr>
          <w:rFonts w:ascii="Arial" w:cs="Arial" w:eastAsia="Arial" w:hAnsi="Arial"/>
          <w:sz w:val="20"/>
          <w:szCs w:val="20"/>
          <w:color w:val="auto"/>
        </w:rPr>
      </w:pPr>
      <w:r>
        <w:rPr>
          <w:rFonts w:ascii="Arial" w:cs="Arial" w:eastAsia="Arial" w:hAnsi="Arial"/>
          <w:sz w:val="20"/>
          <w:szCs w:val="20"/>
          <w:color w:val="auto"/>
        </w:rPr>
        <w:t>the assignee, if it is not a Lender, shall deliver to Agent an Administrative Questionnaire in a form approved by Agent (the “</w:t>
      </w:r>
      <w:r>
        <w:rPr>
          <w:rFonts w:ascii="Arial" w:cs="Arial" w:eastAsia="Arial" w:hAnsi="Arial"/>
          <w:sz w:val="20"/>
          <w:szCs w:val="20"/>
          <w:u w:val="single" w:color="auto"/>
          <w:color w:val="auto"/>
        </w:rPr>
        <w:t>Administrative Questionnaire</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firstLine="1304"/>
        <w:spacing w:after="0" w:line="255" w:lineRule="auto"/>
        <w:tabs>
          <w:tab w:leader="none" w:pos="1944" w:val="left"/>
        </w:tabs>
        <w:numPr>
          <w:ilvl w:val="0"/>
          <w:numId w:val="164"/>
        </w:numPr>
        <w:rPr>
          <w:rFonts w:ascii="Arial" w:cs="Arial" w:eastAsia="Arial" w:hAnsi="Arial"/>
          <w:sz w:val="19"/>
          <w:szCs w:val="19"/>
          <w:color w:val="auto"/>
        </w:rPr>
      </w:pPr>
      <w:r>
        <w:rPr>
          <w:rFonts w:ascii="Arial" w:cs="Arial" w:eastAsia="Arial" w:hAnsi="Arial"/>
          <w:sz w:val="19"/>
          <w:szCs w:val="19"/>
          <w:color w:val="auto"/>
        </w:rPr>
        <w:t xml:space="preserve">From and after the date that Agent receives the executed Assignment and Acceptance and, if applicable, payment of the required processing fee, (i) the Assignee thereunder shall be a party hereto and, to the extent that rights and obligations hereunder have been assigned to it pursuant to such Assignment and Acceptance, shall be a “Lender” and shall have the rights and obligations of a Lender under the Loan Documents, and (ii) the assigning Lender shall, to the extent that rights and obligations hereunder and under the other Loan Documents have been assigned by it pursuant to such Assignment and Acceptance, relinquish its rights (except with respect to </w:t>
      </w:r>
      <w:r>
        <w:rPr>
          <w:rFonts w:ascii="Arial" w:cs="Arial" w:eastAsia="Arial" w:hAnsi="Arial"/>
          <w:sz w:val="19"/>
          <w:szCs w:val="19"/>
          <w:u w:val="single" w:color="auto"/>
          <w:color w:val="auto"/>
        </w:rPr>
        <w:t>Section 10.3</w:t>
      </w:r>
      <w:r>
        <w:rPr>
          <w:rFonts w:ascii="Arial" w:cs="Arial" w:eastAsia="Arial" w:hAnsi="Arial"/>
          <w:sz w:val="19"/>
          <w:szCs w:val="19"/>
          <w:color w:val="auto"/>
        </w:rPr>
        <w:t xml:space="preserve">) and be released from any future obligations under this Agreement (and in the case of an Assignment and Acceptance covering all or the remaining portion of an assigning Lender’s rights and obligations under this Agreement and the other Loan Documents, such Lender shall cease to be a party hereto and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contained herein shall release any assigning Lender from obligations that survive the termination of this Agreement, including such assigning Lender’s obligations under </w:t>
      </w:r>
      <w:r>
        <w:rPr>
          <w:rFonts w:ascii="Arial" w:cs="Arial" w:eastAsia="Arial" w:hAnsi="Arial"/>
          <w:sz w:val="19"/>
          <w:szCs w:val="19"/>
          <w:u w:val="single" w:color="auto"/>
          <w:color w:val="auto"/>
        </w:rPr>
        <w:t>Section 15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17.9(a)</w:t>
      </w:r>
      <w:r>
        <w:rPr>
          <w:rFonts w:ascii="Arial" w:cs="Arial" w:eastAsia="Arial" w:hAnsi="Arial"/>
          <w:sz w:val="19"/>
          <w:szCs w:val="19"/>
          <w:color w:val="auto"/>
        </w:rPr>
        <w:t>.</w:t>
      </w:r>
    </w:p>
    <w:p>
      <w:pPr>
        <w:spacing w:after="0" w:line="186" w:lineRule="exact"/>
        <w:rPr>
          <w:rFonts w:ascii="Arial" w:cs="Arial" w:eastAsia="Arial" w:hAnsi="Arial"/>
          <w:sz w:val="19"/>
          <w:szCs w:val="19"/>
          <w:color w:val="auto"/>
        </w:rPr>
      </w:pPr>
    </w:p>
    <w:p>
      <w:pPr>
        <w:jc w:val="both"/>
        <w:ind w:firstLine="1304"/>
        <w:spacing w:after="0" w:line="269" w:lineRule="auto"/>
        <w:tabs>
          <w:tab w:leader="none" w:pos="1944" w:val="left"/>
        </w:tabs>
        <w:numPr>
          <w:ilvl w:val="0"/>
          <w:numId w:val="164"/>
        </w:numPr>
        <w:rPr>
          <w:rFonts w:ascii="Arial" w:cs="Arial" w:eastAsia="Arial" w:hAnsi="Arial"/>
          <w:sz w:val="18"/>
          <w:szCs w:val="18"/>
          <w:color w:val="auto"/>
        </w:rPr>
      </w:pPr>
      <w:r>
        <w:rPr>
          <w:rFonts w:ascii="Arial" w:cs="Arial" w:eastAsia="Arial" w:hAnsi="Arial"/>
          <w:sz w:val="18"/>
          <w:szCs w:val="18"/>
          <w:color w:val="auto"/>
        </w:rPr>
        <w:t>By executing and delivering an Assignment and Acceptance, the assigning Lender thereunder and the Assignee thereunder confirm to and agree with each other and the other parties hereto as follows: (i) other than as provided in such Assignment and Acceptance, such assigning Lender makes no representation or warranty and assumes no responsibility with respect to any statements, warranties or representations made in or in connection with this Agreement or the execution, legality, validity, enforceability, genuineness, sufficiency or value of this Agreement or any other Loan Document furnished pursuant hereto, (ii) such assigning Lender makes no representation or warranty and assumes no responsibility with respect to the financial condition of any Loan Party or the performance or observance by any Loan Party of any of its obligations under this Agreement or any other Loan Document furnished pursuant hereto, (iii) such Assignee confirms that it has received a copy of this Agreement, together with such other documents and information as it has deemed appropriate to make its own credit analysis and decision to enter into such Assignment and Acceptance, (iv) such Assignee will, independently and without reliance upon Agent, such assigning Lender or any other Lender, and based on such documents and information as it shall deem appropriate at the time, continue to make its own credit decisions in taking or not taking action under this Agreement, (v) such Assignee appoints and authorizes Agent to take such actions and to exercise such powers under this Agreement and the other Loan Documents as are delegated to Agent, by the terms hereof and thereof, together with such powers as are reasonably incidental thereto, and (vi) such Assignee agrees that it will perform all of the obligations which by the terms of this Agreement are required to be performed by it as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5" w:name="page126"/>
    <w:bookmarkEnd w:id="125"/>
    <w:p>
      <w:pPr>
        <w:jc w:val="both"/>
        <w:ind w:firstLine="1304"/>
        <w:spacing w:after="0" w:line="283" w:lineRule="auto"/>
        <w:tabs>
          <w:tab w:leader="none" w:pos="1944" w:val="left"/>
        </w:tabs>
        <w:numPr>
          <w:ilvl w:val="1"/>
          <w:numId w:val="165"/>
        </w:numPr>
        <w:rPr>
          <w:rFonts w:ascii="Arial" w:cs="Arial" w:eastAsia="Arial" w:hAnsi="Arial"/>
          <w:sz w:val="18"/>
          <w:szCs w:val="18"/>
          <w:color w:val="auto"/>
        </w:rPr>
      </w:pPr>
      <w:r>
        <w:rPr>
          <w:rFonts w:ascii="Arial" w:cs="Arial" w:eastAsia="Arial" w:hAnsi="Arial"/>
          <w:sz w:val="18"/>
          <w:szCs w:val="18"/>
          <w:color w:val="auto"/>
        </w:rPr>
        <w:t xml:space="preserve">Immediately upon Agent’s receipt of the required processing fee, if applicable, and delivery of notice to the assigning Lender pursuant to </w:t>
      </w:r>
      <w:r>
        <w:rPr>
          <w:rFonts w:ascii="Arial" w:cs="Arial" w:eastAsia="Arial" w:hAnsi="Arial"/>
          <w:sz w:val="18"/>
          <w:szCs w:val="18"/>
          <w:u w:val="single" w:color="auto"/>
          <w:color w:val="auto"/>
        </w:rPr>
        <w:t>Section 13.1(b)</w:t>
      </w:r>
      <w:r>
        <w:rPr>
          <w:rFonts w:ascii="Arial" w:cs="Arial" w:eastAsia="Arial" w:hAnsi="Arial"/>
          <w:sz w:val="18"/>
          <w:szCs w:val="18"/>
          <w:color w:val="auto"/>
        </w:rPr>
        <w:t xml:space="preserve">, this Agreement shall be deemed to be amended to the extent, but only to the extent, necessary to reflect the addition of the Assignee and the resulting adjustment of the Commitments arising therefrom. The Commitment allocated to each Assignee shall reduce such Commitments of the assigning Lender </w:t>
      </w:r>
      <w:r>
        <w:rPr>
          <w:rFonts w:ascii="Arial" w:cs="Arial" w:eastAsia="Arial" w:hAnsi="Arial"/>
          <w:sz w:val="18"/>
          <w:szCs w:val="18"/>
          <w:i w:val="1"/>
          <w:iCs w:val="1"/>
          <w:color w:val="auto"/>
        </w:rPr>
        <w:t>pro tanto</w:t>
      </w:r>
      <w:r>
        <w:rPr>
          <w:rFonts w:ascii="Arial" w:cs="Arial" w:eastAsia="Arial" w:hAnsi="Arial"/>
          <w:sz w:val="18"/>
          <w:szCs w:val="18"/>
          <w:color w:val="auto"/>
        </w:rPr>
        <w:t>.</w:t>
      </w:r>
    </w:p>
    <w:p>
      <w:pPr>
        <w:spacing w:after="0" w:line="158" w:lineRule="exact"/>
        <w:rPr>
          <w:rFonts w:ascii="Arial" w:cs="Arial" w:eastAsia="Arial" w:hAnsi="Arial"/>
          <w:sz w:val="18"/>
          <w:szCs w:val="18"/>
          <w:color w:val="auto"/>
        </w:rPr>
      </w:pPr>
    </w:p>
    <w:p>
      <w:pPr>
        <w:jc w:val="both"/>
        <w:ind w:firstLine="1304"/>
        <w:spacing w:after="0" w:line="267" w:lineRule="auto"/>
        <w:tabs>
          <w:tab w:leader="none" w:pos="1944" w:val="left"/>
        </w:tabs>
        <w:numPr>
          <w:ilvl w:val="1"/>
          <w:numId w:val="165"/>
        </w:numPr>
        <w:rPr>
          <w:rFonts w:ascii="Arial" w:cs="Arial" w:eastAsia="Arial" w:hAnsi="Arial"/>
          <w:sz w:val="18"/>
          <w:szCs w:val="18"/>
          <w:color w:val="auto"/>
        </w:rPr>
      </w:pPr>
      <w:r>
        <w:rPr>
          <w:rFonts w:ascii="Arial" w:cs="Arial" w:eastAsia="Arial" w:hAnsi="Arial"/>
          <w:sz w:val="18"/>
          <w:szCs w:val="18"/>
          <w:color w:val="auto"/>
        </w:rPr>
        <w:t>Any Lender may at any time sell to one or more commercial banks, financial institutions, or other Persons (a “</w:t>
      </w:r>
      <w:r>
        <w:rPr>
          <w:rFonts w:ascii="Arial" w:cs="Arial" w:eastAsia="Arial" w:hAnsi="Arial"/>
          <w:sz w:val="18"/>
          <w:szCs w:val="18"/>
          <w:u w:val="single" w:color="auto"/>
          <w:color w:val="auto"/>
        </w:rPr>
        <w:t>Participant</w:t>
      </w:r>
      <w:r>
        <w:rPr>
          <w:rFonts w:ascii="Arial" w:cs="Arial" w:eastAsia="Arial" w:hAnsi="Arial"/>
          <w:sz w:val="18"/>
          <w:szCs w:val="18"/>
          <w:color w:val="auto"/>
        </w:rPr>
        <w:t>”) participating interests in all or any portion of its Obligations, its Commitment, and the other rights and interests of that Lender (the “</w:t>
      </w:r>
      <w:r>
        <w:rPr>
          <w:rFonts w:ascii="Arial" w:cs="Arial" w:eastAsia="Arial" w:hAnsi="Arial"/>
          <w:sz w:val="18"/>
          <w:szCs w:val="18"/>
          <w:u w:val="single" w:color="auto"/>
          <w:color w:val="auto"/>
        </w:rPr>
        <w:t>Originating Lender</w:t>
      </w:r>
      <w:r>
        <w:rPr>
          <w:rFonts w:ascii="Arial" w:cs="Arial" w:eastAsia="Arial" w:hAnsi="Arial"/>
          <w:sz w:val="18"/>
          <w:szCs w:val="18"/>
          <w:color w:val="auto"/>
        </w:rPr>
        <w:t xml:space="preserve">”) hereunder and under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that (i) the Originating Lender shall remain a “Lender” for all purposes of this Agreement and the other Loan Documents and the Participant receiving the participating interest in the Obligations, the Commitments, and the other rights and interests of the Originating Lender hereunder shall not constitute a “Lender” hereunder or under the other Loan Documents and the Originating Lender’s obligations under this Agreement shall remain unchanged, (ii) the Originating Lender shall remain solely responsible for the performance of such obligations, (iii) Borrowers, Agent, and the Lenders shall continue to deal solely and directly with the Originating Lender in connection with the Originating Lender’s rights and obligations under this Agreement and the other Loan Documents, (iv) no Lender shall transfer or grant any participating interest under which the Participant has the right to approve any amendment to, or any consent or waiver with respect to, this Agreement or any other Loan Document, except to the extent such amendment to, or consent or waiver with respect to this Agreement or of any other Loan Document would (A) extend the final maturity date of the Obligations hereunder in which such Participant is participating, (B) reduce the interest rate applicable to the Obligations hereunder in which such Participant is participating,</w:t>
      </w:r>
    </w:p>
    <w:p>
      <w:pPr>
        <w:spacing w:after="0" w:line="5" w:lineRule="exact"/>
        <w:rPr>
          <w:rFonts w:ascii="Arial" w:cs="Arial" w:eastAsia="Arial" w:hAnsi="Arial"/>
          <w:sz w:val="18"/>
          <w:szCs w:val="18"/>
          <w:color w:val="auto"/>
        </w:rPr>
      </w:pPr>
    </w:p>
    <w:p>
      <w:pPr>
        <w:jc w:val="both"/>
        <w:ind w:firstLine="8"/>
        <w:spacing w:after="0" w:line="268" w:lineRule="auto"/>
        <w:tabs>
          <w:tab w:leader="none" w:pos="32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release all or substantially all of the Collateral or guaranties (except to the extent expressly provided herein or in any of the Loan Documents) supporting the Obligations hereunder in which such Participant is participating, (D) postpone the payment of, or reduce the amount of, the interest or fees payable to such Participant through such Lender (other than a waiver of default interest), or (E) decrease the amount or postpone the due dates of scheduled principal repayments or prepayments or premiums payable to such Participant through such Lender, (v) no participation shall be sold to a natural person, (vi) no participation shall be sold to a Loan Party or an Affiliate of a Loan Party or a Defaulting Lender, and (vii) all amounts payable by Borrowers hereunder shall be determined as if such Lender had not sold such participation, except that, if amounts outstanding under this Agreement are due and unpaid, or shall have been declared or shall have become due and payable upon the occurrence of an Event of Default, each Participant shall be deemed to have the right of set off in respect of its participating interest in amounts owing under this Agreement to the same extent as if the amount of its participating interest were owing directly to it as a Lender under this Agreement. The rights of any Participant only shall be derivative through the Originating Lender with whom such Participant participates and no Participant shall have any rights under this Agreement or the other Loan Documents or any direct rights as to the other Lenders, Agent, Borrowers, the Collateral, or otherwise in respect of the Obligations. No Participant shall have the right to participate directly in the making of decisions by the Lenders among themselves.</w:t>
      </w:r>
    </w:p>
    <w:p>
      <w:pPr>
        <w:spacing w:after="0" w:line="175" w:lineRule="exact"/>
        <w:rPr>
          <w:rFonts w:ascii="Arial" w:cs="Arial" w:eastAsia="Arial" w:hAnsi="Arial"/>
          <w:sz w:val="18"/>
          <w:szCs w:val="18"/>
          <w:color w:val="auto"/>
        </w:rPr>
      </w:pPr>
    </w:p>
    <w:p>
      <w:pPr>
        <w:jc w:val="both"/>
        <w:ind w:firstLine="1304"/>
        <w:spacing w:after="0" w:line="246" w:lineRule="auto"/>
        <w:tabs>
          <w:tab w:leader="none" w:pos="1944" w:val="left"/>
        </w:tabs>
        <w:numPr>
          <w:ilvl w:val="1"/>
          <w:numId w:val="166"/>
        </w:numPr>
        <w:rPr>
          <w:rFonts w:ascii="Arial" w:cs="Arial" w:eastAsia="Arial" w:hAnsi="Arial"/>
          <w:sz w:val="20"/>
          <w:szCs w:val="20"/>
          <w:color w:val="auto"/>
        </w:rPr>
      </w:pPr>
      <w:r>
        <w:rPr>
          <w:rFonts w:ascii="Arial" w:cs="Arial" w:eastAsia="Arial" w:hAnsi="Arial"/>
          <w:sz w:val="20"/>
          <w:szCs w:val="20"/>
          <w:color w:val="auto"/>
        </w:rPr>
        <w:t xml:space="preserve">In connection with any such assignment or participation or proposed assignment or participation or any grant of a security interest in, or pledge of, its rights under and interest in this Agreement, a Lender may, subject to the provisions of </w:t>
      </w:r>
      <w:r>
        <w:rPr>
          <w:rFonts w:ascii="Arial" w:cs="Arial" w:eastAsia="Arial" w:hAnsi="Arial"/>
          <w:sz w:val="20"/>
          <w:szCs w:val="20"/>
          <w:u w:val="single" w:color="auto"/>
          <w:color w:val="auto"/>
        </w:rPr>
        <w:t>Section 17.9</w:t>
      </w:r>
      <w:r>
        <w:rPr>
          <w:rFonts w:ascii="Arial" w:cs="Arial" w:eastAsia="Arial" w:hAnsi="Arial"/>
          <w:sz w:val="20"/>
          <w:szCs w:val="20"/>
          <w:color w:val="auto"/>
        </w:rPr>
        <w:t>, disclose all documents and information which it now or hereafter may have relating to any Loan Party and its Subsidiaries and their respective businesses.</w:t>
      </w:r>
    </w:p>
    <w:p>
      <w:pPr>
        <w:spacing w:after="0" w:line="191" w:lineRule="exact"/>
        <w:rPr>
          <w:rFonts w:ascii="Arial" w:cs="Arial" w:eastAsia="Arial" w:hAnsi="Arial"/>
          <w:sz w:val="20"/>
          <w:szCs w:val="20"/>
          <w:color w:val="auto"/>
        </w:rPr>
      </w:pPr>
    </w:p>
    <w:p>
      <w:pPr>
        <w:jc w:val="both"/>
        <w:ind w:firstLine="1304"/>
        <w:spacing w:after="0" w:line="244" w:lineRule="auto"/>
        <w:tabs>
          <w:tab w:leader="none" w:pos="1944" w:val="left"/>
        </w:tabs>
        <w:numPr>
          <w:ilvl w:val="1"/>
          <w:numId w:val="166"/>
        </w:numPr>
        <w:rPr>
          <w:rFonts w:ascii="Arial" w:cs="Arial" w:eastAsia="Arial" w:hAnsi="Arial"/>
          <w:sz w:val="20"/>
          <w:szCs w:val="20"/>
          <w:color w:val="auto"/>
        </w:rPr>
      </w:pPr>
      <w:r>
        <w:rPr>
          <w:rFonts w:ascii="Arial" w:cs="Arial" w:eastAsia="Arial" w:hAnsi="Arial"/>
          <w:sz w:val="20"/>
          <w:szCs w:val="20"/>
          <w:color w:val="auto"/>
        </w:rPr>
        <w:t>Any other provision in this Agreement notwithstanding, any Lender may at any time create a security interest in, or pledge, all or any portion of its rights under and interest in this Agreement to secure obligations of such Lender, including any pledge in favor of any Federal Reserve Bank in accordance with Regulation A of the Federal Reserve Bank or U.S. Treasury Regulation 31 CFR §203.24, and such Federal Reserve Bank may enforce such pledge or security interest in any manner permitted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6" w:name="page127"/>
    <w:bookmarkEnd w:id="126"/>
    <w:p>
      <w:pPr>
        <w:spacing w:after="0" w:line="261" w:lineRule="auto"/>
        <w:rPr>
          <w:sz w:val="20"/>
          <w:szCs w:val="20"/>
          <w:color w:val="auto"/>
        </w:rPr>
      </w:pPr>
      <w:r>
        <w:rPr>
          <w:rFonts w:ascii="Arial" w:cs="Arial" w:eastAsia="Arial" w:hAnsi="Arial"/>
          <w:sz w:val="20"/>
          <w:szCs w:val="20"/>
          <w:color w:val="auto"/>
        </w:rPr>
        <w:t xml:space="preserve">applicable law; </w:t>
      </w:r>
      <w:r>
        <w:rPr>
          <w:rFonts w:ascii="Arial" w:cs="Arial" w:eastAsia="Arial" w:hAnsi="Arial"/>
          <w:sz w:val="20"/>
          <w:szCs w:val="20"/>
          <w:u w:val="single" w:color="auto"/>
          <w:color w:val="auto"/>
        </w:rPr>
        <w:t>provided</w:t>
      </w:r>
      <w:r>
        <w:rPr>
          <w:rFonts w:ascii="Arial" w:cs="Arial" w:eastAsia="Arial" w:hAnsi="Arial"/>
          <w:sz w:val="20"/>
          <w:szCs w:val="20"/>
          <w:color w:val="auto"/>
        </w:rPr>
        <w:t>, that no such pledge shall release such Lender from any of its obligations hereunder or substitute any such pledgee or assignee for such Lender as a party hereto.</w:t>
      </w:r>
    </w:p>
    <w:p>
      <w:pPr>
        <w:spacing w:after="0" w:line="176" w:lineRule="exact"/>
        <w:rPr>
          <w:sz w:val="20"/>
          <w:szCs w:val="20"/>
          <w:color w:val="auto"/>
        </w:rPr>
      </w:pPr>
    </w:p>
    <w:p>
      <w:pPr>
        <w:jc w:val="both"/>
        <w:ind w:firstLine="1304"/>
        <w:spacing w:after="0" w:line="269" w:lineRule="auto"/>
        <w:tabs>
          <w:tab w:leader="none" w:pos="194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Agent (as a non-fiduciary agent on behalf of Borrowers) shall maintain, or cause to be maintained, a register (the “</w:t>
      </w:r>
      <w:r>
        <w:rPr>
          <w:rFonts w:ascii="Arial" w:cs="Arial" w:eastAsia="Arial" w:hAnsi="Arial"/>
          <w:sz w:val="18"/>
          <w:szCs w:val="18"/>
          <w:u w:val="single" w:color="auto"/>
          <w:color w:val="auto"/>
        </w:rPr>
        <w:t>Register</w:t>
      </w:r>
      <w:r>
        <w:rPr>
          <w:rFonts w:ascii="Arial" w:cs="Arial" w:eastAsia="Arial" w:hAnsi="Arial"/>
          <w:sz w:val="18"/>
          <w:szCs w:val="18"/>
          <w:color w:val="auto"/>
        </w:rPr>
        <w:t>”) on which it enters the name and address of each Lender as the registered owner of the Capex Advances (and the principal amount thereof and stated interest thereon) held by such Lender (each, a “</w:t>
      </w:r>
      <w:r>
        <w:rPr>
          <w:rFonts w:ascii="Arial" w:cs="Arial" w:eastAsia="Arial" w:hAnsi="Arial"/>
          <w:sz w:val="18"/>
          <w:szCs w:val="18"/>
          <w:u w:val="single" w:color="auto"/>
          <w:color w:val="auto"/>
        </w:rPr>
        <w:t>Registered Loan</w:t>
      </w:r>
      <w:r>
        <w:rPr>
          <w:rFonts w:ascii="Arial" w:cs="Arial" w:eastAsia="Arial" w:hAnsi="Arial"/>
          <w:sz w:val="18"/>
          <w:szCs w:val="18"/>
          <w:color w:val="auto"/>
        </w:rPr>
        <w:t>”). Other than in connection with an assignment by a Lender of all or any portion of its portion of the Capex Advances to an Affiliate of such Lender or a Related Fund of such Lender (i) a Registered Loan (and the registered note, if any, evidencing the same) may be assigned or sold in whole or in part only by registration of such assignment or sale on the Register (and each registered note shall expressly so provide) and (ii) any assignment or sale of all or part of such Registered Loan (and the registered note, if any, evidencing the same) may be effected only by registration of such assignment or sale on the Register, together with the surrender of the registered note, if any, evidencing the same duly endorsed by (or accompanied by a written instrument of assignment or sale duly executed by) the holder of such registered note, whereupon, at the request of the designated assignee(s) or transferee(s), one or more new registered notes in the same aggregate principal amount shall be issued to the designated assignee(s) or transferee(s). Prior to the registration of assignment or sale of any Registered Loan (and the registered note, if any evidencing the same), Borrowers shall treat the Person in whose name such Registered Loan (and the registered note, if any, evidencing the same) is registered as the owner thereof for the purpose of receiving all payments thereon and for all other purposes, notwithstanding notice to the contrary. In the case of any assignment by a Lender of all or any portion of its Capex Advances to an Affiliate of such Lender or a Related Fund of such Lender, and which assignment is not recorded in the Register, the assigning Lender, on behalf of Borrowers, shall maintain a register comparable to the Register.</w:t>
      </w:r>
    </w:p>
    <w:p>
      <w:pPr>
        <w:spacing w:after="0" w:line="171" w:lineRule="exact"/>
        <w:rPr>
          <w:rFonts w:ascii="Arial" w:cs="Arial" w:eastAsia="Arial" w:hAnsi="Arial"/>
          <w:sz w:val="18"/>
          <w:szCs w:val="18"/>
          <w:color w:val="auto"/>
        </w:rPr>
      </w:pPr>
    </w:p>
    <w:p>
      <w:pPr>
        <w:jc w:val="both"/>
        <w:ind w:firstLine="1304"/>
        <w:spacing w:after="0" w:line="269" w:lineRule="auto"/>
        <w:tabs>
          <w:tab w:leader="none" w:pos="194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In the event that a Lender sells participations in the Registered Loan, such Lender, as a non-fiduciary agent on behalf of Borrowers, shall maintain (or cause to be maintained) a register on which it enters the name of all participants in the Registered Loans held by it (and the principal amount (and stated interest thereon) of the portion of such Registered Loans that is subject to such participations)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A Registered Loan (and the Registered Note, if any, evidencing the same) may be participated in whole or in part only by registration of such participation on the Participant Register (and each registered note shall expressly so provide). Any participation of such Registered Loan (and the registered note, if any, evidencing the same) may be effected only by the registration of such participation on the Participant Register.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Agent (in its capacity as Agent) shall have no responsibility for maintaining a Participant Register.</w:t>
      </w:r>
    </w:p>
    <w:p>
      <w:pPr>
        <w:spacing w:after="0" w:line="178" w:lineRule="exact"/>
        <w:rPr>
          <w:rFonts w:ascii="Arial" w:cs="Arial" w:eastAsia="Arial" w:hAnsi="Arial"/>
          <w:sz w:val="18"/>
          <w:szCs w:val="18"/>
          <w:color w:val="auto"/>
        </w:rPr>
      </w:pPr>
    </w:p>
    <w:p>
      <w:pPr>
        <w:ind w:firstLine="1304"/>
        <w:spacing w:after="0" w:line="316" w:lineRule="auto"/>
        <w:tabs>
          <w:tab w:leader="none" w:pos="194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Agent shall make a copy of the Register (and each Lender shall make a copy of its Participant Register to the extent it has one) available for review by Borrowers from time to time as Borrowers may reasonably request.</w:t>
      </w:r>
    </w:p>
    <w:p>
      <w:pPr>
        <w:spacing w:after="0" w:line="12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13.2 </w:t>
      </w:r>
      <w:r>
        <w:rPr>
          <w:rFonts w:ascii="Arial" w:cs="Arial" w:eastAsia="Arial" w:hAnsi="Arial"/>
          <w:sz w:val="20"/>
          <w:szCs w:val="20"/>
          <w:b w:val="1"/>
          <w:bCs w:val="1"/>
          <w:u w:val="single" w:color="auto"/>
          <w:color w:val="auto"/>
        </w:rPr>
        <w:t>Successors</w:t>
      </w:r>
      <w:r>
        <w:rPr>
          <w:rFonts w:ascii="Arial" w:cs="Arial" w:eastAsia="Arial" w:hAnsi="Arial"/>
          <w:sz w:val="20"/>
          <w:szCs w:val="20"/>
          <w:color w:val="auto"/>
        </w:rPr>
        <w:t xml:space="preserve">. This Agreement shall bind and inure to the benefit of the respective successors and assigns of each of the parties;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Borrower may assign this Agreement or any rights or duties hereunder without the Lenders’ prior written consent and any prohibited assignment shall be absolutely void </w:t>
      </w:r>
      <w:r>
        <w:rPr>
          <w:rFonts w:ascii="Arial" w:cs="Arial" w:eastAsia="Arial" w:hAnsi="Arial"/>
          <w:sz w:val="20"/>
          <w:szCs w:val="20"/>
          <w:i w:val="1"/>
          <w:iCs w:val="1"/>
          <w:color w:val="auto"/>
        </w:rPr>
        <w:t>ab initio</w:t>
      </w:r>
      <w:r>
        <w:rPr>
          <w:rFonts w:ascii="Arial" w:cs="Arial" w:eastAsia="Arial" w:hAnsi="Arial"/>
          <w:sz w:val="20"/>
          <w:szCs w:val="20"/>
          <w:color w:val="auto"/>
        </w:rPr>
        <w:t>. No consent to assignment by the Lenders shall release any Borrower from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7" w:name="page128"/>
    <w:bookmarkEnd w:id="127"/>
    <w:p>
      <w:pPr>
        <w:jc w:val="both"/>
        <w:spacing w:after="0" w:line="250" w:lineRule="auto"/>
        <w:rPr>
          <w:sz w:val="20"/>
          <w:szCs w:val="20"/>
          <w:color w:val="auto"/>
        </w:rPr>
      </w:pPr>
      <w:r>
        <w:rPr>
          <w:rFonts w:ascii="Arial" w:cs="Arial" w:eastAsia="Arial" w:hAnsi="Arial"/>
          <w:sz w:val="20"/>
          <w:szCs w:val="20"/>
          <w:color w:val="auto"/>
        </w:rPr>
        <w:t xml:space="preserve">Obligations. A Lender may assign this Agreement and the other Loan Documents and its rights and duties hereunder and thereunder pursuant to </w:t>
      </w:r>
      <w:r>
        <w:rPr>
          <w:rFonts w:ascii="Arial" w:cs="Arial" w:eastAsia="Arial" w:hAnsi="Arial"/>
          <w:sz w:val="20"/>
          <w:szCs w:val="20"/>
          <w:u w:val="single" w:color="auto"/>
          <w:color w:val="auto"/>
        </w:rPr>
        <w:t>Section 13.1</w:t>
      </w:r>
      <w:r>
        <w:rPr>
          <w:rFonts w:ascii="Arial" w:cs="Arial" w:eastAsia="Arial" w:hAnsi="Arial"/>
          <w:sz w:val="20"/>
          <w:szCs w:val="20"/>
          <w:color w:val="auto"/>
        </w:rPr>
        <w:t xml:space="preserve"> and, except as expressly required pursuant to </w:t>
      </w:r>
      <w:r>
        <w:rPr>
          <w:rFonts w:ascii="Arial" w:cs="Arial" w:eastAsia="Arial" w:hAnsi="Arial"/>
          <w:sz w:val="20"/>
          <w:szCs w:val="20"/>
          <w:u w:val="single" w:color="auto"/>
          <w:color w:val="auto"/>
        </w:rPr>
        <w:t>Section 13.1</w:t>
      </w:r>
      <w:r>
        <w:rPr>
          <w:rFonts w:ascii="Arial" w:cs="Arial" w:eastAsia="Arial" w:hAnsi="Arial"/>
          <w:sz w:val="20"/>
          <w:szCs w:val="20"/>
          <w:color w:val="auto"/>
        </w:rPr>
        <w:t>, no consent or approval by any Borrower is required in connection with any such assignment.</w:t>
      </w:r>
    </w:p>
    <w:p>
      <w:pPr>
        <w:spacing w:after="0" w:line="181" w:lineRule="exact"/>
        <w:rPr>
          <w:sz w:val="20"/>
          <w:szCs w:val="20"/>
          <w:color w:val="auto"/>
        </w:rPr>
      </w:pPr>
    </w:p>
    <w:p>
      <w:pPr>
        <w:ind w:left="660" w:hanging="652"/>
        <w:spacing w:after="0"/>
        <w:tabs>
          <w:tab w:leader="none" w:pos="660" w:val="left"/>
        </w:tabs>
        <w:numPr>
          <w:ilvl w:val="0"/>
          <w:numId w:val="168"/>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WAIVERS.</w:t>
      </w:r>
    </w:p>
    <w:p>
      <w:pPr>
        <w:spacing w:after="0" w:line="215" w:lineRule="exact"/>
        <w:rPr>
          <w:rFonts w:ascii="Arial" w:cs="Arial" w:eastAsia="Arial" w:hAnsi="Arial"/>
          <w:sz w:val="20"/>
          <w:szCs w:val="20"/>
          <w:b w:val="1"/>
          <w:bCs w:val="1"/>
          <w:color w:val="auto"/>
        </w:rPr>
      </w:pPr>
    </w:p>
    <w:p>
      <w:pPr>
        <w:ind w:left="660"/>
        <w:spacing w:after="0"/>
        <w:rPr>
          <w:rFonts w:ascii="Arial" w:cs="Arial" w:eastAsia="Arial" w:hAnsi="Arial"/>
          <w:sz w:val="20"/>
          <w:szCs w:val="20"/>
          <w:b w:val="1"/>
          <w:bCs w:val="1"/>
          <w:color w:val="auto"/>
        </w:rPr>
      </w:pPr>
      <w:r>
        <w:rPr>
          <w:rFonts w:ascii="Arial" w:cs="Arial" w:eastAsia="Arial" w:hAnsi="Arial"/>
          <w:sz w:val="20"/>
          <w:szCs w:val="20"/>
          <w:color w:val="auto"/>
        </w:rPr>
        <w:t xml:space="preserve">14.1   </w:t>
      </w:r>
      <w:r>
        <w:rPr>
          <w:rFonts w:ascii="Arial" w:cs="Arial" w:eastAsia="Arial" w:hAnsi="Arial"/>
          <w:sz w:val="20"/>
          <w:szCs w:val="20"/>
          <w:b w:val="1"/>
          <w:bCs w:val="1"/>
          <w:u w:val="single" w:color="auto"/>
          <w:color w:val="auto"/>
        </w:rPr>
        <w:t>Amendments and Waivers</w:t>
      </w:r>
      <w:r>
        <w:rPr>
          <w:rFonts w:ascii="Arial" w:cs="Arial" w:eastAsia="Arial" w:hAnsi="Arial"/>
          <w:sz w:val="20"/>
          <w:szCs w:val="20"/>
          <w:b w:val="1"/>
          <w:bCs w:val="1"/>
          <w:color w:val="auto"/>
        </w:rPr>
        <w:t>.</w:t>
      </w:r>
    </w:p>
    <w:p>
      <w:pPr>
        <w:spacing w:after="0" w:line="221" w:lineRule="exact"/>
        <w:rPr>
          <w:rFonts w:ascii="Arial" w:cs="Arial" w:eastAsia="Arial" w:hAnsi="Arial"/>
          <w:sz w:val="20"/>
          <w:szCs w:val="20"/>
          <w:b w:val="1"/>
          <w:bCs w:val="1"/>
          <w:color w:val="auto"/>
        </w:rPr>
      </w:pPr>
    </w:p>
    <w:p>
      <w:pPr>
        <w:jc w:val="both"/>
        <w:ind w:firstLine="1304"/>
        <w:spacing w:after="0" w:line="243" w:lineRule="auto"/>
        <w:tabs>
          <w:tab w:leader="none" w:pos="1944" w:val="left"/>
        </w:tabs>
        <w:numPr>
          <w:ilvl w:val="1"/>
          <w:numId w:val="168"/>
        </w:numPr>
        <w:rPr>
          <w:rFonts w:ascii="Arial" w:cs="Arial" w:eastAsia="Arial" w:hAnsi="Arial"/>
          <w:sz w:val="20"/>
          <w:szCs w:val="20"/>
          <w:color w:val="auto"/>
        </w:rPr>
      </w:pPr>
      <w:r>
        <w:rPr>
          <w:rFonts w:ascii="Arial" w:cs="Arial" w:eastAsia="Arial" w:hAnsi="Arial"/>
          <w:sz w:val="20"/>
          <w:szCs w:val="20"/>
          <w:color w:val="auto"/>
        </w:rPr>
        <w:t xml:space="preserve">No amendment, waiver or other modification of any provision of this Agreement or any other Loan Document (other than the Fee Letter), and no consent with respect to any departure by any Borrower therefrom, shall be effective unless the same shall be in writing and signed by the Required Lenders (or by Agent at the written request of the Required Lenders) and the Loan Parties that are party thereto and then any such waiver or consent shall be effective, but only in the specific instance and for the specific purpose for which given; </w:t>
      </w:r>
      <w:r>
        <w:rPr>
          <w:rFonts w:ascii="Arial" w:cs="Arial" w:eastAsia="Arial" w:hAnsi="Arial"/>
          <w:sz w:val="20"/>
          <w:szCs w:val="20"/>
          <w:u w:val="single" w:color="auto"/>
          <w:color w:val="auto"/>
        </w:rPr>
        <w:t>provided</w:t>
      </w:r>
      <w:r>
        <w:rPr>
          <w:rFonts w:ascii="Arial" w:cs="Arial" w:eastAsia="Arial" w:hAnsi="Arial"/>
          <w:sz w:val="20"/>
          <w:szCs w:val="20"/>
          <w:color w:val="auto"/>
        </w:rPr>
        <w:t>, that no such waiver, amendment, or consent shall, unless in writing and signed by all of the Lenders directly affected thereby and all of the Loan Parties that are party thereto, do any of the following:</w:t>
      </w:r>
    </w:p>
    <w:p>
      <w:pPr>
        <w:spacing w:after="0" w:line="192" w:lineRule="exact"/>
        <w:rPr>
          <w:rFonts w:ascii="Arial" w:cs="Arial" w:eastAsia="Arial" w:hAnsi="Arial"/>
          <w:sz w:val="20"/>
          <w:szCs w:val="20"/>
          <w:color w:val="auto"/>
        </w:rPr>
      </w:pPr>
    </w:p>
    <w:p>
      <w:pPr>
        <w:jc w:val="both"/>
        <w:ind w:firstLine="1952"/>
        <w:spacing w:after="0" w:line="246" w:lineRule="auto"/>
        <w:tabs>
          <w:tab w:leader="none" w:pos="2592" w:val="left"/>
        </w:tabs>
        <w:numPr>
          <w:ilvl w:val="2"/>
          <w:numId w:val="168"/>
        </w:numPr>
        <w:rPr>
          <w:rFonts w:ascii="Arial" w:cs="Arial" w:eastAsia="Arial" w:hAnsi="Arial"/>
          <w:sz w:val="20"/>
          <w:szCs w:val="20"/>
          <w:color w:val="auto"/>
        </w:rPr>
      </w:pPr>
      <w:r>
        <w:rPr>
          <w:rFonts w:ascii="Arial" w:cs="Arial" w:eastAsia="Arial" w:hAnsi="Arial"/>
          <w:sz w:val="20"/>
          <w:szCs w:val="20"/>
          <w:color w:val="auto"/>
        </w:rPr>
        <w:t xml:space="preserve">increase the amount of or extend the expiration date of any Commitment of any Lender (it being understood that any amendment to or waiver of any condition precedent set forth in </w:t>
      </w:r>
      <w:r>
        <w:rPr>
          <w:rFonts w:ascii="Arial" w:cs="Arial" w:eastAsia="Arial" w:hAnsi="Arial"/>
          <w:sz w:val="20"/>
          <w:szCs w:val="20"/>
          <w:u w:val="single" w:color="auto"/>
          <w:color w:val="auto"/>
        </w:rPr>
        <w:t>Section 3.2</w:t>
      </w:r>
      <w:r>
        <w:rPr>
          <w:rFonts w:ascii="Arial" w:cs="Arial" w:eastAsia="Arial" w:hAnsi="Arial"/>
          <w:sz w:val="20"/>
          <w:szCs w:val="20"/>
          <w:color w:val="auto"/>
        </w:rPr>
        <w:t>, Default, Event of Default or mandatory prepayment of the Loans pursuant to this Agreement shall not constitute such an increase or extension),</w:t>
      </w:r>
    </w:p>
    <w:p>
      <w:pPr>
        <w:spacing w:after="0" w:line="191" w:lineRule="exact"/>
        <w:rPr>
          <w:rFonts w:ascii="Arial" w:cs="Arial" w:eastAsia="Arial" w:hAnsi="Arial"/>
          <w:sz w:val="20"/>
          <w:szCs w:val="20"/>
          <w:color w:val="auto"/>
        </w:rPr>
      </w:pPr>
    </w:p>
    <w:p>
      <w:pPr>
        <w:jc w:val="both"/>
        <w:ind w:firstLine="1952"/>
        <w:spacing w:after="0" w:line="246" w:lineRule="auto"/>
        <w:tabs>
          <w:tab w:leader="none" w:pos="2592" w:val="left"/>
        </w:tabs>
        <w:numPr>
          <w:ilvl w:val="2"/>
          <w:numId w:val="168"/>
        </w:numPr>
        <w:rPr>
          <w:rFonts w:ascii="Arial" w:cs="Arial" w:eastAsia="Arial" w:hAnsi="Arial"/>
          <w:sz w:val="20"/>
          <w:szCs w:val="20"/>
          <w:color w:val="auto"/>
        </w:rPr>
      </w:pPr>
      <w:r>
        <w:rPr>
          <w:rFonts w:ascii="Arial" w:cs="Arial" w:eastAsia="Arial" w:hAnsi="Arial"/>
          <w:sz w:val="20"/>
          <w:szCs w:val="20"/>
          <w:color w:val="auto"/>
        </w:rPr>
        <w:t>postpone or delay any date fixed by this Agreement or any other Loan Document for any payment of principal, interest, fees, or other amounts due hereunder or under any other Loan Document (it being understood that the waiver of any Default or Event of Default shall not constitute a postponement or delay of any payment under this Agreement or the other Loan Document),</w:t>
      </w:r>
    </w:p>
    <w:p>
      <w:pPr>
        <w:spacing w:after="0" w:line="191" w:lineRule="exact"/>
        <w:rPr>
          <w:rFonts w:ascii="Arial" w:cs="Arial" w:eastAsia="Arial" w:hAnsi="Arial"/>
          <w:sz w:val="20"/>
          <w:szCs w:val="20"/>
          <w:color w:val="auto"/>
        </w:rPr>
      </w:pPr>
    </w:p>
    <w:p>
      <w:pPr>
        <w:jc w:val="both"/>
        <w:ind w:firstLine="1952"/>
        <w:spacing w:after="0" w:line="278" w:lineRule="auto"/>
        <w:tabs>
          <w:tab w:leader="none" w:pos="2592" w:val="left"/>
        </w:tabs>
        <w:numPr>
          <w:ilvl w:val="2"/>
          <w:numId w:val="168"/>
        </w:numPr>
        <w:rPr>
          <w:rFonts w:ascii="Arial" w:cs="Arial" w:eastAsia="Arial" w:hAnsi="Arial"/>
          <w:sz w:val="18"/>
          <w:szCs w:val="18"/>
          <w:color w:val="auto"/>
        </w:rPr>
      </w:pPr>
      <w:r>
        <w:rPr>
          <w:rFonts w:ascii="Arial" w:cs="Arial" w:eastAsia="Arial" w:hAnsi="Arial"/>
          <w:sz w:val="18"/>
          <w:szCs w:val="18"/>
          <w:color w:val="auto"/>
        </w:rPr>
        <w:t xml:space="preserve">reduce the principal of, or the rate of interest on, any loan or other extension of credit hereunder, or reduce any fees or other amounts payable hereunder or under any other Loan Document (except (y) in connection with the waiver of applicability of </w:t>
      </w:r>
      <w:r>
        <w:rPr>
          <w:rFonts w:ascii="Arial" w:cs="Arial" w:eastAsia="Arial" w:hAnsi="Arial"/>
          <w:sz w:val="18"/>
          <w:szCs w:val="18"/>
          <w:u w:val="single" w:color="auto"/>
          <w:color w:val="auto"/>
        </w:rPr>
        <w:t>Section 2.6(c)</w:t>
      </w:r>
      <w:r>
        <w:rPr>
          <w:rFonts w:ascii="Arial" w:cs="Arial" w:eastAsia="Arial" w:hAnsi="Arial"/>
          <w:sz w:val="18"/>
          <w:szCs w:val="18"/>
          <w:color w:val="auto"/>
        </w:rPr>
        <w:t xml:space="preserve"> (which waiver shall be effective with the written consent of the Required Lenders), and (z) that any amendment or modification of defined terms used in the financial covenants in this Agreement shall not constitute a reduction in the rate of interest or a reduction of fees for purposes of this clause (iii)),</w:t>
      </w:r>
    </w:p>
    <w:p>
      <w:pPr>
        <w:spacing w:after="0" w:line="164" w:lineRule="exact"/>
        <w:rPr>
          <w:rFonts w:ascii="Arial" w:cs="Arial" w:eastAsia="Arial" w:hAnsi="Arial"/>
          <w:sz w:val="18"/>
          <w:szCs w:val="18"/>
          <w:color w:val="auto"/>
        </w:rPr>
      </w:pPr>
    </w:p>
    <w:p>
      <w:pPr>
        <w:ind w:firstLine="1952"/>
        <w:spacing w:after="0" w:line="260" w:lineRule="auto"/>
        <w:tabs>
          <w:tab w:leader="none" w:pos="2592" w:val="left"/>
        </w:tabs>
        <w:numPr>
          <w:ilvl w:val="2"/>
          <w:numId w:val="168"/>
        </w:numPr>
        <w:rPr>
          <w:rFonts w:ascii="Arial" w:cs="Arial" w:eastAsia="Arial" w:hAnsi="Arial"/>
          <w:sz w:val="20"/>
          <w:szCs w:val="20"/>
          <w:color w:val="auto"/>
        </w:rPr>
      </w:pPr>
      <w:r>
        <w:rPr>
          <w:rFonts w:ascii="Arial" w:cs="Arial" w:eastAsia="Arial" w:hAnsi="Arial"/>
          <w:sz w:val="20"/>
          <w:szCs w:val="20"/>
          <w:color w:val="auto"/>
        </w:rPr>
        <w:t>amend, modify, or eliminate this Section or any provision of this Agreement providing for consent or other action by all Lenders,</w:t>
      </w:r>
    </w:p>
    <w:p>
      <w:pPr>
        <w:spacing w:after="0" w:line="176" w:lineRule="exact"/>
        <w:rPr>
          <w:rFonts w:ascii="Arial" w:cs="Arial" w:eastAsia="Arial" w:hAnsi="Arial"/>
          <w:sz w:val="20"/>
          <w:szCs w:val="20"/>
          <w:color w:val="auto"/>
        </w:rPr>
      </w:pPr>
    </w:p>
    <w:p>
      <w:pPr>
        <w:ind w:left="2600" w:hanging="648"/>
        <w:spacing w:after="0"/>
        <w:tabs>
          <w:tab w:leader="none" w:pos="2600" w:val="left"/>
        </w:tabs>
        <w:numPr>
          <w:ilvl w:val="2"/>
          <w:numId w:val="168"/>
        </w:numPr>
        <w:rPr>
          <w:rFonts w:ascii="Arial" w:cs="Arial" w:eastAsia="Arial" w:hAnsi="Arial"/>
          <w:sz w:val="20"/>
          <w:szCs w:val="20"/>
          <w:color w:val="auto"/>
        </w:rPr>
      </w:pPr>
      <w:r>
        <w:rPr>
          <w:rFonts w:ascii="Arial" w:cs="Arial" w:eastAsia="Arial" w:hAnsi="Arial"/>
          <w:sz w:val="20"/>
          <w:szCs w:val="20"/>
          <w:color w:val="auto"/>
        </w:rPr>
        <w:t xml:space="preserve">amend, modify, or eliminate </w:t>
      </w:r>
      <w:r>
        <w:rPr>
          <w:rFonts w:ascii="Arial" w:cs="Arial" w:eastAsia="Arial" w:hAnsi="Arial"/>
          <w:sz w:val="20"/>
          <w:szCs w:val="20"/>
          <w:u w:val="single" w:color="auto"/>
          <w:color w:val="auto"/>
        </w:rPr>
        <w:t>Section 3.1</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2600" w:hanging="648"/>
        <w:spacing w:after="0"/>
        <w:tabs>
          <w:tab w:leader="none" w:pos="2600" w:val="left"/>
        </w:tabs>
        <w:numPr>
          <w:ilvl w:val="2"/>
          <w:numId w:val="168"/>
        </w:numPr>
        <w:rPr>
          <w:rFonts w:ascii="Arial" w:cs="Arial" w:eastAsia="Arial" w:hAnsi="Arial"/>
          <w:sz w:val="20"/>
          <w:szCs w:val="20"/>
          <w:color w:val="auto"/>
        </w:rPr>
      </w:pPr>
      <w:r>
        <w:rPr>
          <w:rFonts w:ascii="Arial" w:cs="Arial" w:eastAsia="Arial" w:hAnsi="Arial"/>
          <w:sz w:val="20"/>
          <w:szCs w:val="20"/>
          <w:color w:val="auto"/>
        </w:rPr>
        <w:t xml:space="preserve">amend, modify, or eliminate </w:t>
      </w:r>
      <w:r>
        <w:rPr>
          <w:rFonts w:ascii="Arial" w:cs="Arial" w:eastAsia="Arial" w:hAnsi="Arial"/>
          <w:sz w:val="20"/>
          <w:szCs w:val="20"/>
          <w:u w:val="single" w:color="auto"/>
          <w:color w:val="auto"/>
        </w:rPr>
        <w:t>Section 15.11</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2600" w:hanging="648"/>
        <w:spacing w:after="0"/>
        <w:tabs>
          <w:tab w:leader="none" w:pos="2600" w:val="left"/>
        </w:tabs>
        <w:numPr>
          <w:ilvl w:val="2"/>
          <w:numId w:val="168"/>
        </w:numPr>
        <w:rPr>
          <w:rFonts w:ascii="Arial" w:cs="Arial" w:eastAsia="Arial" w:hAnsi="Arial"/>
          <w:sz w:val="18"/>
          <w:szCs w:val="18"/>
          <w:color w:val="auto"/>
        </w:rPr>
      </w:pPr>
      <w:r>
        <w:rPr>
          <w:rFonts w:ascii="Arial" w:cs="Arial" w:eastAsia="Arial" w:hAnsi="Arial"/>
          <w:sz w:val="18"/>
          <w:szCs w:val="18"/>
          <w:color w:val="auto"/>
        </w:rPr>
        <w:t xml:space="preserve">other than as permitted by </w:t>
      </w:r>
      <w:r>
        <w:rPr>
          <w:rFonts w:ascii="Arial" w:cs="Arial" w:eastAsia="Arial" w:hAnsi="Arial"/>
          <w:sz w:val="18"/>
          <w:szCs w:val="18"/>
          <w:u w:val="single" w:color="auto"/>
          <w:color w:val="auto"/>
        </w:rPr>
        <w:t>Section 15.11</w:t>
      </w:r>
      <w:r>
        <w:rPr>
          <w:rFonts w:ascii="Arial" w:cs="Arial" w:eastAsia="Arial" w:hAnsi="Arial"/>
          <w:sz w:val="18"/>
          <w:szCs w:val="18"/>
          <w:color w:val="auto"/>
        </w:rPr>
        <w:t>, release or contractually subordinate Agent’s Lien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in and to any of the Collateral,</w:t>
      </w:r>
    </w:p>
    <w:p>
      <w:pPr>
        <w:spacing w:after="0" w:line="199" w:lineRule="exact"/>
        <w:rPr>
          <w:rFonts w:ascii="Arial" w:cs="Arial" w:eastAsia="Arial" w:hAnsi="Arial"/>
          <w:sz w:val="18"/>
          <w:szCs w:val="18"/>
          <w:color w:val="auto"/>
        </w:rPr>
      </w:pPr>
    </w:p>
    <w:p>
      <w:pPr>
        <w:ind w:left="2600" w:hanging="648"/>
        <w:spacing w:after="0"/>
        <w:tabs>
          <w:tab w:leader="none" w:pos="2600" w:val="left"/>
        </w:tabs>
        <w:numPr>
          <w:ilvl w:val="2"/>
          <w:numId w:val="168"/>
        </w:numPr>
        <w:rPr>
          <w:rFonts w:ascii="Arial" w:cs="Arial" w:eastAsia="Arial" w:hAnsi="Arial"/>
          <w:sz w:val="18"/>
          <w:szCs w:val="18"/>
          <w:color w:val="auto"/>
        </w:rPr>
      </w:pPr>
      <w:r>
        <w:rPr>
          <w:rFonts w:ascii="Arial" w:cs="Arial" w:eastAsia="Arial" w:hAnsi="Arial"/>
          <w:sz w:val="18"/>
          <w:szCs w:val="18"/>
          <w:color w:val="auto"/>
        </w:rPr>
        <w:t>amend, modify, or eliminate the definitions of “Required Lenders”, Supermajority Lenders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or “Pro Rata Share”,</w:t>
      </w:r>
    </w:p>
    <w:p>
      <w:pPr>
        <w:spacing w:after="0" w:line="199" w:lineRule="exact"/>
        <w:rPr>
          <w:rFonts w:ascii="Arial" w:cs="Arial" w:eastAsia="Arial" w:hAnsi="Arial"/>
          <w:sz w:val="18"/>
          <w:szCs w:val="18"/>
          <w:color w:val="auto"/>
        </w:rPr>
      </w:pPr>
    </w:p>
    <w:p>
      <w:pPr>
        <w:jc w:val="both"/>
        <w:ind w:firstLine="1952"/>
        <w:spacing w:after="0" w:line="250" w:lineRule="auto"/>
        <w:tabs>
          <w:tab w:leader="none" w:pos="2592" w:val="left"/>
        </w:tabs>
        <w:numPr>
          <w:ilvl w:val="2"/>
          <w:numId w:val="168"/>
        </w:numPr>
        <w:rPr>
          <w:rFonts w:ascii="Arial" w:cs="Arial" w:eastAsia="Arial" w:hAnsi="Arial"/>
          <w:sz w:val="20"/>
          <w:szCs w:val="20"/>
          <w:color w:val="auto"/>
        </w:rPr>
      </w:pPr>
      <w:r>
        <w:rPr>
          <w:rFonts w:ascii="Arial" w:cs="Arial" w:eastAsia="Arial" w:hAnsi="Arial"/>
          <w:sz w:val="20"/>
          <w:szCs w:val="20"/>
          <w:color w:val="auto"/>
        </w:rPr>
        <w:t>other than in connection with a merger, liquidation, dissolution or sale of such Person expressly permitted by the terms hereof or the other Loan Documents, release any Borrower or any Guarantor from any obligation for the payment of money or consent to the assignment or transfer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8" w:name="page129"/>
    <w:bookmarkEnd w:id="128"/>
    <w:p>
      <w:pPr>
        <w:spacing w:after="0"/>
        <w:rPr>
          <w:sz w:val="20"/>
          <w:szCs w:val="20"/>
          <w:color w:val="auto"/>
        </w:rPr>
      </w:pPr>
      <w:r>
        <w:rPr>
          <w:rFonts w:ascii="Arial" w:cs="Arial" w:eastAsia="Arial" w:hAnsi="Arial"/>
          <w:sz w:val="20"/>
          <w:szCs w:val="20"/>
          <w:color w:val="auto"/>
        </w:rPr>
        <w:t>any Borrower or any Guarantor of any of its rights or duties under this Agreement or the other Loan Documents,</w:t>
      </w:r>
    </w:p>
    <w:p>
      <w:pPr>
        <w:spacing w:after="0" w:line="217" w:lineRule="exact"/>
        <w:rPr>
          <w:sz w:val="20"/>
          <w:szCs w:val="20"/>
          <w:color w:val="auto"/>
        </w:rPr>
      </w:pPr>
    </w:p>
    <w:p>
      <w:pPr>
        <w:ind w:left="2600" w:hanging="648"/>
        <w:spacing w:after="0"/>
        <w:tabs>
          <w:tab w:leader="none" w:pos="26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amend, modify, or eliminate any of the provisions of </w:t>
      </w:r>
      <w:r>
        <w:rPr>
          <w:rFonts w:ascii="Arial" w:cs="Arial" w:eastAsia="Arial" w:hAnsi="Arial"/>
          <w:sz w:val="18"/>
          <w:szCs w:val="18"/>
          <w:u w:val="single" w:color="auto"/>
          <w:color w:val="auto"/>
        </w:rPr>
        <w:t>Section 2.4(b)(i)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2.4(e)</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(f)</w:t>
      </w:r>
      <w:r>
        <w:rPr>
          <w:rFonts w:ascii="Arial" w:cs="Arial" w:eastAsia="Arial" w:hAnsi="Arial"/>
          <w:sz w:val="20"/>
          <w:szCs w:val="20"/>
          <w:color w:val="auto"/>
        </w:rPr>
        <w:t>,</w:t>
      </w:r>
    </w:p>
    <w:p>
      <w:pPr>
        <w:spacing w:after="0" w:line="200" w:lineRule="exact"/>
        <w:rPr>
          <w:sz w:val="20"/>
          <w:szCs w:val="20"/>
          <w:color w:val="auto"/>
        </w:rPr>
      </w:pPr>
    </w:p>
    <w:p>
      <w:pPr>
        <w:jc w:val="both"/>
        <w:ind w:firstLine="1952"/>
        <w:spacing w:after="0" w:line="250" w:lineRule="auto"/>
        <w:tabs>
          <w:tab w:leader="none" w:pos="2592" w:val="left"/>
        </w:tabs>
        <w:numPr>
          <w:ilvl w:val="1"/>
          <w:numId w:val="170"/>
        </w:numPr>
        <w:rPr>
          <w:rFonts w:ascii="Arial" w:cs="Arial" w:eastAsia="Arial" w:hAnsi="Arial"/>
          <w:sz w:val="20"/>
          <w:szCs w:val="20"/>
          <w:color w:val="auto"/>
        </w:rPr>
      </w:pPr>
      <w:r>
        <w:rPr>
          <w:rFonts w:ascii="Arial" w:cs="Arial" w:eastAsia="Arial" w:hAnsi="Arial"/>
          <w:sz w:val="20"/>
          <w:szCs w:val="20"/>
          <w:color w:val="auto"/>
        </w:rPr>
        <w:t>at any time that any Real Property is included in the Collateral, add, increase, renew or extend any Loan, Letter of Credit or Commitment hereunder until the completion of flood due diligence, documentation and coverage as required by the Flood Laws or as otherwise satisfactory to all Lenders, or</w:t>
      </w:r>
    </w:p>
    <w:p>
      <w:pPr>
        <w:spacing w:after="0" w:line="185" w:lineRule="exact"/>
        <w:rPr>
          <w:rFonts w:ascii="Arial" w:cs="Arial" w:eastAsia="Arial" w:hAnsi="Arial"/>
          <w:sz w:val="20"/>
          <w:szCs w:val="20"/>
          <w:color w:val="auto"/>
        </w:rPr>
      </w:pPr>
    </w:p>
    <w:p>
      <w:pPr>
        <w:ind w:firstLine="1952"/>
        <w:spacing w:after="0" w:line="260" w:lineRule="auto"/>
        <w:tabs>
          <w:tab w:leader="none" w:pos="2592" w:val="left"/>
        </w:tabs>
        <w:numPr>
          <w:ilvl w:val="1"/>
          <w:numId w:val="170"/>
        </w:numPr>
        <w:rPr>
          <w:rFonts w:ascii="Arial" w:cs="Arial" w:eastAsia="Arial" w:hAnsi="Arial"/>
          <w:sz w:val="20"/>
          <w:szCs w:val="20"/>
          <w:color w:val="auto"/>
        </w:rPr>
      </w:pPr>
      <w:r>
        <w:rPr>
          <w:rFonts w:ascii="Arial" w:cs="Arial" w:eastAsia="Arial" w:hAnsi="Arial"/>
          <w:sz w:val="20"/>
          <w:szCs w:val="20"/>
          <w:color w:val="auto"/>
        </w:rPr>
        <w:t xml:space="preserve">amend, modify, or eliminate any of the provisions of </w:t>
      </w:r>
      <w:r>
        <w:rPr>
          <w:rFonts w:ascii="Arial" w:cs="Arial" w:eastAsia="Arial" w:hAnsi="Arial"/>
          <w:sz w:val="20"/>
          <w:szCs w:val="20"/>
          <w:u w:val="single" w:color="auto"/>
          <w:color w:val="auto"/>
        </w:rPr>
        <w:t>Section 13.1</w:t>
      </w:r>
      <w:r>
        <w:rPr>
          <w:rFonts w:ascii="Arial" w:cs="Arial" w:eastAsia="Arial" w:hAnsi="Arial"/>
          <w:sz w:val="20"/>
          <w:szCs w:val="20"/>
          <w:color w:val="auto"/>
        </w:rPr>
        <w:t xml:space="preserve"> with respect to assignments to, or participations with, Persons who are Loan Parties or Affiliates of a Loan Party;</w:t>
      </w:r>
    </w:p>
    <w:p>
      <w:pPr>
        <w:spacing w:after="0" w:line="176" w:lineRule="exact"/>
        <w:rPr>
          <w:rFonts w:ascii="Arial" w:cs="Arial" w:eastAsia="Arial" w:hAnsi="Arial"/>
          <w:sz w:val="20"/>
          <w:szCs w:val="20"/>
          <w:color w:val="auto"/>
        </w:rPr>
      </w:pPr>
    </w:p>
    <w:p>
      <w:pPr>
        <w:ind w:left="1960" w:hanging="656"/>
        <w:spacing w:after="0"/>
        <w:tabs>
          <w:tab w:leader="none" w:pos="196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No amendment, waiver, modification, or consent shall amend, modify, waive, or eliminate,</w:t>
      </w:r>
    </w:p>
    <w:p>
      <w:pPr>
        <w:spacing w:after="0" w:line="215" w:lineRule="exact"/>
        <w:rPr>
          <w:rFonts w:ascii="Arial" w:cs="Arial" w:eastAsia="Arial" w:hAnsi="Arial"/>
          <w:sz w:val="20"/>
          <w:szCs w:val="20"/>
          <w:color w:val="auto"/>
        </w:rPr>
      </w:pPr>
    </w:p>
    <w:p>
      <w:pPr>
        <w:ind w:firstLine="1952"/>
        <w:spacing w:after="0" w:line="260" w:lineRule="auto"/>
        <w:tabs>
          <w:tab w:leader="none" w:pos="2592" w:val="left"/>
        </w:tabs>
        <w:numPr>
          <w:ilvl w:val="1"/>
          <w:numId w:val="171"/>
        </w:numPr>
        <w:rPr>
          <w:rFonts w:ascii="Arial" w:cs="Arial" w:eastAsia="Arial" w:hAnsi="Arial"/>
          <w:sz w:val="20"/>
          <w:szCs w:val="20"/>
          <w:color w:val="auto"/>
        </w:rPr>
      </w:pPr>
      <w:r>
        <w:rPr>
          <w:rFonts w:ascii="Arial" w:cs="Arial" w:eastAsia="Arial" w:hAnsi="Arial"/>
          <w:sz w:val="20"/>
          <w:szCs w:val="20"/>
          <w:color w:val="auto"/>
        </w:rPr>
        <w:t>the definition of, or any of the terms or provisions of, the Fee Letter, without the written consent of Agent and Borrowers (and shall not require the written consent of any of the Lenders),</w:t>
      </w:r>
    </w:p>
    <w:p>
      <w:pPr>
        <w:spacing w:after="0" w:line="176" w:lineRule="exact"/>
        <w:rPr>
          <w:rFonts w:ascii="Arial" w:cs="Arial" w:eastAsia="Arial" w:hAnsi="Arial"/>
          <w:sz w:val="20"/>
          <w:szCs w:val="20"/>
          <w:color w:val="auto"/>
        </w:rPr>
      </w:pPr>
    </w:p>
    <w:p>
      <w:pPr>
        <w:ind w:firstLine="1952"/>
        <w:spacing w:after="0" w:line="316" w:lineRule="auto"/>
        <w:tabs>
          <w:tab w:leader="none" w:pos="2592" w:val="left"/>
        </w:tabs>
        <w:numPr>
          <w:ilvl w:val="1"/>
          <w:numId w:val="171"/>
        </w:numPr>
        <w:rPr>
          <w:rFonts w:ascii="Arial" w:cs="Arial" w:eastAsia="Arial" w:hAnsi="Arial"/>
          <w:sz w:val="18"/>
          <w:szCs w:val="18"/>
          <w:color w:val="auto"/>
        </w:rPr>
      </w:pPr>
      <w:r>
        <w:rPr>
          <w:rFonts w:ascii="Arial" w:cs="Arial" w:eastAsia="Arial" w:hAnsi="Arial"/>
          <w:sz w:val="18"/>
          <w:szCs w:val="18"/>
          <w:color w:val="auto"/>
        </w:rPr>
        <w:t xml:space="preserve">any provision of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pertaining to Agent, or any other rights or duties of Agent under this Agreement or the other Loan Documents, without the written consent of Agent, Borrowers, and the Required Lenders;</w:t>
      </w:r>
    </w:p>
    <w:p>
      <w:pPr>
        <w:spacing w:after="0" w:line="129" w:lineRule="exact"/>
        <w:rPr>
          <w:rFonts w:ascii="Arial" w:cs="Arial" w:eastAsia="Arial" w:hAnsi="Arial"/>
          <w:sz w:val="18"/>
          <w:szCs w:val="18"/>
          <w:color w:val="auto"/>
        </w:rPr>
      </w:pPr>
    </w:p>
    <w:p>
      <w:pPr>
        <w:jc w:val="both"/>
        <w:ind w:firstLine="1304"/>
        <w:spacing w:after="0" w:line="243" w:lineRule="auto"/>
        <w:tabs>
          <w:tab w:leader="none" w:pos="1944" w:val="left"/>
        </w:tabs>
        <w:numPr>
          <w:ilvl w:val="0"/>
          <w:numId w:val="171"/>
        </w:numPr>
        <w:rPr>
          <w:rFonts w:ascii="Arial" w:cs="Arial" w:eastAsia="Arial" w:hAnsi="Arial"/>
          <w:sz w:val="20"/>
          <w:szCs w:val="20"/>
          <w:color w:val="auto"/>
        </w:rPr>
      </w:pPr>
      <w:r>
        <w:rPr>
          <w:rFonts w:ascii="Arial" w:cs="Arial" w:eastAsia="Arial" w:hAnsi="Arial"/>
          <w:sz w:val="20"/>
          <w:szCs w:val="20"/>
          <w:color w:val="auto"/>
        </w:rPr>
        <w:t xml:space="preserve">No amendment, waiver, modification, elimination, or consent shall amend, without written consent of Agent, Borrowers and the Supermajority Lenders, modify, or eliminate the definition of Borrowing Base or any of the defined terms (including the definitions of Eligible Accounts, Eligible Inventory, Eligible New Equipment, and Eligible M&amp;E) that are used in such definition to the extent that any such change results in more credit being made available to Borrowers based upon the Borrowing Base, but not otherwise, or the definition of Maximum Revolver Amount, or change </w:t>
      </w:r>
      <w:r>
        <w:rPr>
          <w:rFonts w:ascii="Arial" w:cs="Arial" w:eastAsia="Arial" w:hAnsi="Arial"/>
          <w:sz w:val="20"/>
          <w:szCs w:val="20"/>
          <w:u w:val="single" w:color="auto"/>
          <w:color w:val="auto"/>
        </w:rPr>
        <w:t>Section 2.1(c)</w:t>
      </w:r>
      <w:r>
        <w:rPr>
          <w:rFonts w:ascii="Arial" w:cs="Arial" w:eastAsia="Arial" w:hAnsi="Arial"/>
          <w:sz w:val="20"/>
          <w:szCs w:val="20"/>
          <w:color w:val="auto"/>
        </w:rPr>
        <w:t>;</w:t>
      </w:r>
    </w:p>
    <w:p>
      <w:pPr>
        <w:spacing w:after="0" w:line="195" w:lineRule="exact"/>
        <w:rPr>
          <w:rFonts w:ascii="Arial" w:cs="Arial" w:eastAsia="Arial" w:hAnsi="Arial"/>
          <w:sz w:val="20"/>
          <w:szCs w:val="20"/>
          <w:color w:val="auto"/>
        </w:rPr>
      </w:pPr>
    </w:p>
    <w:p>
      <w:pPr>
        <w:jc w:val="both"/>
        <w:ind w:firstLine="1304"/>
        <w:spacing w:after="0" w:line="246" w:lineRule="auto"/>
        <w:tabs>
          <w:tab w:leader="none" w:pos="1944" w:val="left"/>
        </w:tabs>
        <w:numPr>
          <w:ilvl w:val="0"/>
          <w:numId w:val="171"/>
        </w:numPr>
        <w:rPr>
          <w:rFonts w:ascii="Arial" w:cs="Arial" w:eastAsia="Arial" w:hAnsi="Arial"/>
          <w:sz w:val="20"/>
          <w:szCs w:val="20"/>
          <w:color w:val="auto"/>
        </w:rPr>
      </w:pPr>
      <w:r>
        <w:rPr>
          <w:rFonts w:ascii="Arial" w:cs="Arial" w:eastAsia="Arial" w:hAnsi="Arial"/>
          <w:sz w:val="20"/>
          <w:szCs w:val="20"/>
          <w:color w:val="auto"/>
        </w:rPr>
        <w:t>No amendment, waiver, modification, elimination, or consent shall amend, modify, or waive any provision of this Agreement or the other Loan Documents pertaining to Issuing Bank, or any other rights or duties of Issuing Bank under this Agreement or the other Loan Documents, without the written consent of Issuing Bank, Agent, Borrowers, and the Required Lenders;</w:t>
      </w:r>
    </w:p>
    <w:p>
      <w:pPr>
        <w:spacing w:after="0" w:line="191" w:lineRule="exact"/>
        <w:rPr>
          <w:rFonts w:ascii="Arial" w:cs="Arial" w:eastAsia="Arial" w:hAnsi="Arial"/>
          <w:sz w:val="20"/>
          <w:szCs w:val="20"/>
          <w:color w:val="auto"/>
        </w:rPr>
      </w:pPr>
    </w:p>
    <w:p>
      <w:pPr>
        <w:jc w:val="both"/>
        <w:ind w:firstLine="1304"/>
        <w:spacing w:after="0" w:line="246" w:lineRule="auto"/>
        <w:tabs>
          <w:tab w:leader="none" w:pos="1944" w:val="left"/>
        </w:tabs>
        <w:numPr>
          <w:ilvl w:val="0"/>
          <w:numId w:val="171"/>
        </w:numPr>
        <w:rPr>
          <w:rFonts w:ascii="Arial" w:cs="Arial" w:eastAsia="Arial" w:hAnsi="Arial"/>
          <w:sz w:val="20"/>
          <w:szCs w:val="20"/>
          <w:color w:val="auto"/>
        </w:rPr>
      </w:pPr>
      <w:r>
        <w:rPr>
          <w:rFonts w:ascii="Arial" w:cs="Arial" w:eastAsia="Arial" w:hAnsi="Arial"/>
          <w:sz w:val="20"/>
          <w:szCs w:val="20"/>
          <w:color w:val="auto"/>
        </w:rPr>
        <w:t>No amendment, waiver, modification, elimination, or consent shall amend, modify, or waive any provision of this Agreement or the other Loan Documents pertaining to Swing Lender, or any other rights or duties of Swing Lender under this Agreement or the other Loan Documents, without the written consent of Swing Lender, Agent, Borrowers, and the Required Lenders; and</w:t>
      </w:r>
    </w:p>
    <w:p>
      <w:pPr>
        <w:spacing w:after="0" w:line="191" w:lineRule="exact"/>
        <w:rPr>
          <w:rFonts w:ascii="Arial" w:cs="Arial" w:eastAsia="Arial" w:hAnsi="Arial"/>
          <w:sz w:val="20"/>
          <w:szCs w:val="20"/>
          <w:color w:val="auto"/>
        </w:rPr>
      </w:pPr>
    </w:p>
    <w:p>
      <w:pPr>
        <w:jc w:val="both"/>
        <w:ind w:firstLine="1304"/>
        <w:spacing w:after="0" w:line="274" w:lineRule="auto"/>
        <w:tabs>
          <w:tab w:leader="none" w:pos="194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Anything in this </w:t>
      </w:r>
      <w:r>
        <w:rPr>
          <w:rFonts w:ascii="Arial" w:cs="Arial" w:eastAsia="Arial" w:hAnsi="Arial"/>
          <w:sz w:val="18"/>
          <w:szCs w:val="18"/>
          <w:u w:val="single" w:color="auto"/>
          <w:color w:val="auto"/>
        </w:rPr>
        <w:t>Section 14.1</w:t>
      </w:r>
      <w:r>
        <w:rPr>
          <w:rFonts w:ascii="Arial" w:cs="Arial" w:eastAsia="Arial" w:hAnsi="Arial"/>
          <w:sz w:val="18"/>
          <w:szCs w:val="18"/>
          <w:color w:val="auto"/>
        </w:rPr>
        <w:t xml:space="preserve"> to the contrary notwithstanding, (i) any amendment, waiver, modification, elimination, or consent of or with respect to any provision of this Agreement or any other Loan Document may be entered into without the consent of, or over the objection of, any Defaulting Lender other than any of the matters governed by </w:t>
      </w:r>
      <w:r>
        <w:rPr>
          <w:rFonts w:ascii="Arial" w:cs="Arial" w:eastAsia="Arial" w:hAnsi="Arial"/>
          <w:sz w:val="18"/>
          <w:szCs w:val="18"/>
          <w:u w:val="single" w:color="auto"/>
          <w:color w:val="auto"/>
        </w:rPr>
        <w:t>Section 14.1(a)(i)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that affect such Lender, (ii) any amendment contemplated by </w:t>
      </w:r>
      <w:r>
        <w:rPr>
          <w:rFonts w:ascii="Arial" w:cs="Arial" w:eastAsia="Arial" w:hAnsi="Arial"/>
          <w:sz w:val="18"/>
          <w:szCs w:val="18"/>
          <w:u w:val="single" w:color="auto"/>
          <w:color w:val="auto"/>
        </w:rPr>
        <w:t>Section 2.12(d)(iii)</w:t>
      </w:r>
      <w:r>
        <w:rPr>
          <w:rFonts w:ascii="Arial" w:cs="Arial" w:eastAsia="Arial" w:hAnsi="Arial"/>
          <w:sz w:val="18"/>
          <w:szCs w:val="18"/>
          <w:color w:val="auto"/>
        </w:rPr>
        <w:t xml:space="preserve"> of this Agreement in connection with a Benchmark Transition Event shall be effective as contemplated by such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2.12(d)(iii)</w:t>
      </w:r>
      <w:r>
        <w:rPr>
          <w:rFonts w:ascii="Arial" w:cs="Arial" w:eastAsia="Arial" w:hAnsi="Arial"/>
          <w:sz w:val="18"/>
          <w:szCs w:val="18"/>
          <w:color w:val="auto"/>
        </w:rPr>
        <w:t xml:space="preserve"> hereof and (iii) any amendment contemplated by </w:t>
      </w:r>
      <w:r>
        <w:rPr>
          <w:rFonts w:ascii="Arial" w:cs="Arial" w:eastAsia="Arial" w:hAnsi="Arial"/>
          <w:sz w:val="18"/>
          <w:szCs w:val="18"/>
          <w:u w:val="single" w:color="auto"/>
          <w:color w:val="auto"/>
        </w:rPr>
        <w:t>Section 2.6(g)</w:t>
      </w:r>
      <w:r>
        <w:rPr>
          <w:rFonts w:ascii="Arial" w:cs="Arial" w:eastAsia="Arial" w:hAnsi="Arial"/>
          <w:sz w:val="18"/>
          <w:szCs w:val="18"/>
          <w:color w:val="auto"/>
        </w:rPr>
        <w:t xml:space="preserve"> of this Agreement in connection with the use or administration of Term SOFR shall be effective as contemplated by such </w:t>
      </w:r>
      <w:r>
        <w:rPr>
          <w:rFonts w:ascii="Arial" w:cs="Arial" w:eastAsia="Arial" w:hAnsi="Arial"/>
          <w:sz w:val="18"/>
          <w:szCs w:val="18"/>
          <w:u w:val="single" w:color="auto"/>
          <w:color w:val="auto"/>
        </w:rPr>
        <w:t>Section 2.6(g)</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9" w:name="page130"/>
    <w:bookmarkEnd w:id="129"/>
    <w:p>
      <w:pPr>
        <w:ind w:left="660"/>
        <w:spacing w:after="0"/>
        <w:tabs>
          <w:tab w:leader="none" w:pos="1280" w:val="left"/>
        </w:tabs>
        <w:rPr>
          <w:sz w:val="20"/>
          <w:szCs w:val="20"/>
          <w:color w:val="auto"/>
        </w:rPr>
      </w:pPr>
      <w:r>
        <w:rPr>
          <w:rFonts w:ascii="Arial" w:cs="Arial" w:eastAsia="Arial" w:hAnsi="Arial"/>
          <w:sz w:val="20"/>
          <w:szCs w:val="20"/>
          <w:color w:val="auto"/>
        </w:rPr>
        <w:t>14.2</w:t>
      </w:r>
      <w:r>
        <w:rPr>
          <w:sz w:val="20"/>
          <w:szCs w:val="20"/>
          <w:color w:val="auto"/>
        </w:rPr>
        <w:tab/>
      </w:r>
      <w:r>
        <w:rPr>
          <w:rFonts w:ascii="Arial" w:cs="Arial" w:eastAsia="Arial" w:hAnsi="Arial"/>
          <w:sz w:val="16"/>
          <w:szCs w:val="16"/>
          <w:b w:val="1"/>
          <w:bCs w:val="1"/>
          <w:u w:val="single" w:color="auto"/>
          <w:color w:val="auto"/>
        </w:rPr>
        <w:t>Replacement of Certain Lenders</w:t>
      </w:r>
      <w:r>
        <w:rPr>
          <w:rFonts w:ascii="Arial" w:cs="Arial" w:eastAsia="Arial" w:hAnsi="Arial"/>
          <w:sz w:val="16"/>
          <w:szCs w:val="16"/>
          <w:b w:val="1"/>
          <w:bCs w:val="1"/>
          <w:color w:val="auto"/>
        </w:rPr>
        <w:t>.</w:t>
      </w:r>
    </w:p>
    <w:p>
      <w:pPr>
        <w:spacing w:after="0" w:line="223" w:lineRule="exact"/>
        <w:rPr>
          <w:sz w:val="20"/>
          <w:szCs w:val="20"/>
          <w:color w:val="auto"/>
        </w:rPr>
      </w:pPr>
    </w:p>
    <w:p>
      <w:pPr>
        <w:ind w:firstLine="1304"/>
        <w:spacing w:after="0" w:line="272" w:lineRule="auto"/>
        <w:tabs>
          <w:tab w:leader="none" w:pos="194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If (i) any action to be taken by the Lender Group or Agent hereunder requires the consent, authorization, or agreement of all Lenders or all Lenders affected thereby and if such action has received the consent, authorization, or agreement of the Required Lenders but not of all Lenders or all Lenders affected thereby, or (ii) any Lender makes a claim for compensation under </w:t>
      </w:r>
      <w:r>
        <w:rPr>
          <w:rFonts w:ascii="Arial" w:cs="Arial" w:eastAsia="Arial" w:hAnsi="Arial"/>
          <w:sz w:val="18"/>
          <w:szCs w:val="18"/>
          <w:u w:val="single" w:color="auto"/>
          <w:color w:val="auto"/>
        </w:rPr>
        <w:t>Section 16</w:t>
      </w:r>
      <w:r>
        <w:rPr>
          <w:rFonts w:ascii="Arial" w:cs="Arial" w:eastAsia="Arial" w:hAnsi="Arial"/>
          <w:sz w:val="18"/>
          <w:szCs w:val="18"/>
          <w:color w:val="auto"/>
        </w:rPr>
        <w:t>, then Borrowers or Agent, upon at least five Business Days prior irrevocable notice, may permanently replace any Lender that failed to give its consent, authorization, or agreement (a “</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or any Lender that made a claim for compensation (a “</w:t>
      </w:r>
      <w:r>
        <w:rPr>
          <w:rFonts w:ascii="Arial" w:cs="Arial" w:eastAsia="Arial" w:hAnsi="Arial"/>
          <w:sz w:val="18"/>
          <w:szCs w:val="18"/>
          <w:u w:val="single" w:color="auto"/>
          <w:color w:val="auto"/>
        </w:rPr>
        <w:t>Tax Lender</w:t>
      </w:r>
      <w:r>
        <w:rPr>
          <w:rFonts w:ascii="Arial" w:cs="Arial" w:eastAsia="Arial" w:hAnsi="Arial"/>
          <w:sz w:val="18"/>
          <w:szCs w:val="18"/>
          <w:color w:val="auto"/>
        </w:rPr>
        <w:t>”) with one or more Replacement Lenders, and the Non-Consenting Lender or Tax Lender, as applicable, shall have no right to refuse to be replaced hereunder. Such notice to replace the Non-Consenting Lender or Tax Lender, as applicable, shall specify an effective date for such replacement, which date shall not be later than 15 Business Days after the date such notice is given.</w:t>
      </w:r>
    </w:p>
    <w:p>
      <w:pPr>
        <w:spacing w:after="0" w:line="170" w:lineRule="exact"/>
        <w:rPr>
          <w:rFonts w:ascii="Arial" w:cs="Arial" w:eastAsia="Arial" w:hAnsi="Arial"/>
          <w:sz w:val="18"/>
          <w:szCs w:val="18"/>
          <w:color w:val="auto"/>
        </w:rPr>
      </w:pPr>
    </w:p>
    <w:p>
      <w:pPr>
        <w:jc w:val="both"/>
        <w:ind w:firstLine="1304"/>
        <w:spacing w:after="0" w:line="269" w:lineRule="auto"/>
        <w:tabs>
          <w:tab w:leader="none" w:pos="194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Prior to the effective date of such replacement, the Non-Consenting Lender or Tax Lender, as applicable, and each Replacement Lender shall execute and deliver an Assignment and Acceptance, subject only to the Non-Consenting Lender or Tax Lender, as applicable, being repaid in full its share of the outstanding Obligations (without any premium or penalty of any kind whatsoever, but including (i) all interest, fees and other amounts that may be due in payable in respect thereof, (ii) an assumption of its Pro Rata Share of participations in the Letters of Credit, and (iii) Funding Losses). If the Non-Consenting Lender or Tax Lender, as applicable, shall refuse or fail to execute and deliver any such Assignment and Acceptance prior to the effective date of such replacement, Agent may, but shall not be required to, execute and deliver such Assignment and Acceptance in the name or and on behalf of the Non-Consenting Lender or Tax Lender, as applicable, and irrespective of whether Agent executes and delivers such Assignment and Acceptance, the Non-Consenting Lender or Tax Lender, as applicable, shall be deemed to have executed and delivered such Assignment and Acceptance. The replacement of any Non-Consenting Lender or Tax Lender, as applicable, shall be made in accordance with the terms of </w:t>
      </w:r>
      <w:r>
        <w:rPr>
          <w:rFonts w:ascii="Arial" w:cs="Arial" w:eastAsia="Arial" w:hAnsi="Arial"/>
          <w:sz w:val="18"/>
          <w:szCs w:val="18"/>
          <w:u w:val="single" w:color="auto"/>
          <w:color w:val="auto"/>
        </w:rPr>
        <w:t>Section 13.1</w:t>
      </w:r>
      <w:r>
        <w:rPr>
          <w:rFonts w:ascii="Arial" w:cs="Arial" w:eastAsia="Arial" w:hAnsi="Arial"/>
          <w:sz w:val="18"/>
          <w:szCs w:val="18"/>
          <w:color w:val="auto"/>
        </w:rPr>
        <w:t>. Until such time as one or more Replacement Lenders shall have acquired all of the Obligations, the Commitments, and the other rights and obligations of the Non-Consenting Lender or Tax Lender, as applicable, hereunder and under the other Loan Documents, the Non-Consenting Lender or Tax Lender, as applicable, shall remain obligated to make the Non-Consenting Lender’s or Tax Lender’s, as applicable, Pro Rata Share of Revolving Loans and Capex Advances and to purchase a participation in each Letter of Credit, in an amount equal to its Pro Rata Share of participations in such Letters of Credit.</w:t>
      </w:r>
    </w:p>
    <w:p>
      <w:pPr>
        <w:spacing w:after="0" w:line="16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 xml:space="preserve">14.3 </w:t>
      </w:r>
      <w:r>
        <w:rPr>
          <w:rFonts w:ascii="Arial" w:cs="Arial" w:eastAsia="Arial" w:hAnsi="Arial"/>
          <w:sz w:val="19"/>
          <w:szCs w:val="19"/>
          <w:b w:val="1"/>
          <w:bCs w:val="1"/>
          <w:u w:val="single" w:color="auto"/>
          <w:color w:val="auto"/>
        </w:rPr>
        <w:t>No Waivers; Cumulative Remedies</w:t>
      </w:r>
      <w:r>
        <w:rPr>
          <w:rFonts w:ascii="Arial" w:cs="Arial" w:eastAsia="Arial" w:hAnsi="Arial"/>
          <w:sz w:val="19"/>
          <w:szCs w:val="19"/>
          <w:color w:val="auto"/>
        </w:rPr>
        <w:t>. No failure by Agent or any Lender to exercise any right, remedy, or option under this Agreement or any other Loan Document, or delay by Agent or any Lender in exercising the same, will operate as a waiver thereof. No waiver by Agent or any Lender will be effective unless it is in writing, and then only to the extent specifically stated. No waiver by Agent or any Lender on any occasion shall affect or diminish Agent’s and each Lender’s rights thereafter to require strict performance by Borrowers of any provision of this Agreement. Agent’s and each Lender’s rights under this Agreement and the other Loan Documents will be cumulative and not exclusive of any other right or remedy that Agent or any Lender may have.</w:t>
      </w:r>
    </w:p>
    <w:p>
      <w:pPr>
        <w:spacing w:after="0" w:line="172" w:lineRule="exact"/>
        <w:rPr>
          <w:sz w:val="20"/>
          <w:szCs w:val="20"/>
          <w:color w:val="auto"/>
        </w:rPr>
      </w:pPr>
    </w:p>
    <w:p>
      <w:pPr>
        <w:ind w:left="660" w:hanging="652"/>
        <w:spacing w:after="0"/>
        <w:tabs>
          <w:tab w:leader="none" w:pos="660" w:val="left"/>
        </w:tabs>
        <w:numPr>
          <w:ilvl w:val="0"/>
          <w:numId w:val="173"/>
        </w:numPr>
        <w:rPr>
          <w:rFonts w:ascii="Arial" w:cs="Arial" w:eastAsia="Arial" w:hAnsi="Arial"/>
          <w:sz w:val="20"/>
          <w:szCs w:val="20"/>
          <w:b w:val="1"/>
          <w:bCs w:val="1"/>
          <w:color w:val="auto"/>
        </w:rPr>
      </w:pPr>
      <w:r>
        <w:rPr>
          <w:rFonts w:ascii="Arial" w:cs="Arial" w:eastAsia="Arial" w:hAnsi="Arial"/>
          <w:sz w:val="20"/>
          <w:szCs w:val="20"/>
          <w:b w:val="1"/>
          <w:bCs w:val="1"/>
          <w:color w:val="auto"/>
        </w:rPr>
        <w:t>AGENT; THE LENDER GROUP.</w:t>
      </w:r>
    </w:p>
    <w:p>
      <w:pPr>
        <w:spacing w:after="0" w:line="21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 xml:space="preserve">15.1 </w:t>
      </w:r>
      <w:r>
        <w:rPr>
          <w:rFonts w:ascii="Arial" w:cs="Arial" w:eastAsia="Arial" w:hAnsi="Arial"/>
          <w:sz w:val="20"/>
          <w:szCs w:val="20"/>
          <w:b w:val="1"/>
          <w:bCs w:val="1"/>
          <w:u w:val="single" w:color="auto"/>
          <w:color w:val="auto"/>
        </w:rPr>
        <w:t>Appointment and Authorization of Agent</w:t>
      </w:r>
      <w:r>
        <w:rPr>
          <w:rFonts w:ascii="Arial" w:cs="Arial" w:eastAsia="Arial" w:hAnsi="Arial"/>
          <w:sz w:val="20"/>
          <w:szCs w:val="20"/>
          <w:color w:val="auto"/>
        </w:rPr>
        <w:t>. Each Lender hereby designates and appoints Wells Fargo as its agent under this Agreement and the other Loan Documents and each Lender hereby irrevocably authorizes (and by entering into a Bank Product Agreement, each Bank Product Provider shall be deemed to designate, appoint, and authorize) Agent to execute and deliver each of the other Loan Documents on its behalf and to take such other action on its behalf under the provisions of this Agreement and each other Loan Document and to exercise such powers and perform such duties as are expressly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130" w:name="page131"/>
    <w:bookmarkEnd w:id="130"/>
    <w:p>
      <w:pPr>
        <w:jc w:val="both"/>
        <w:spacing w:after="0" w:line="302" w:lineRule="auto"/>
        <w:rPr>
          <w:sz w:val="20"/>
          <w:szCs w:val="20"/>
          <w:color w:val="auto"/>
        </w:rPr>
      </w:pPr>
      <w:r>
        <w:rPr>
          <w:rFonts w:ascii="Arial" w:cs="Arial" w:eastAsia="Arial" w:hAnsi="Arial"/>
          <w:sz w:val="16"/>
          <w:szCs w:val="16"/>
          <w:color w:val="auto"/>
        </w:rPr>
        <w:t xml:space="preserve">delegated to Agent by the terms of this Agreement or any other Loan Document, together with such powers as are reasonably incidental thereto. Agent agrees to act as agent for and on behalf of the Lenders (and the Bank Product Providers) on the conditions contained in this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Any provision to the contrary contained elsewhere in this Agreement or in any other Loan Document notwithstanding, Agent shall not have any duties or responsibilities, except those expressly set forth herein or in the other Loan Documents, nor shall Agent have or be deemed to have any fiduciary relationship with any Lender (or Bank Product Provider), and no implied covenants, functions, responsibilities, duties, obligations or liabilities shall be read into this Agreement or any other Loan Document or otherwise exist against Agent. Without limiting the generality of the foregoing, the use of the term “agent” in this Agreement or the other Loan Documents with reference to Agent is not intended to connote any fiduciary or other implied (or express) obligations arising under agency doctrine of any applicable law. Instead, such term is used merely as a matter of market custom, and is intended to create or reflect only a representative relationship between independent contracting parties. Each Lender hereby further authorizes (and by entering into a Bank Product Agreement, each Bank Product Provider shall be deemed to authorize) Agent to act as the secured party under each of the Loan Documents that create a Lien on any item of Collateral. Except as expressly otherwise provided in this Agreement, Agent shall have and may use its sole discretion with respect to exercising or refraining from exercising any discretionary rights or taking or refraining from taking any actions that Agent expressly is entitled to take or assert under or pursuant to this Agreement and the other Loan Documents. Without limiting the generality of the foregoing, or of any other provision of the Loan Documents that provides rights or powers to Agent, Lenders agree that Agent shall have the right to exercise the following powers as long as this Agreement remains in effect: (a) maintain, in accordance with its customary business practices, ledgers and records reflecting the status of the Obligations, the Collateral, payments and proceeds of Collateral, and related matters, (b) execute or file any and all financing or similar statements or notices, amendments, renewals, supplements, documents, instruments, proofs of claim, notices and other written agreements with respect to the Loan Documents, or to take any other action with respect to any Collateral or Loan Documents which may be necessary to perfect, and maintain perfected, the security interests and Liens upon Collateral pursuant to the Loan Documents, (c) make Revolving Loans, for itself or on behalf of Lenders, as provided in the Loan Documents, (d) exclusively receive, apply, and distribute payments and proceeds of the Collateral as provided in the Loan Documents, (e) open and maintain such bank accounts and cash management arrangements as Agent deems necessary and appropriate in accordance with the Loan Documents for the foregoing purposes, (f) perform, exercise, and enforce any and all other rights and remedies of the Lender Group with respect to any Loan Party or its Subsidiaries, the Obligations, the Collateral, or otherwise related to any of same as provided in the Loan Documents, and (g) incur and pay such Lender Group Expenses as Agent may deem necessary or appropriate for the performance and fulfillment of its functions and powers pursuant to the Loan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 xml:space="preserve">15.2 </w:t>
      </w:r>
      <w:r>
        <w:rPr>
          <w:rFonts w:ascii="Arial" w:cs="Arial" w:eastAsia="Arial" w:hAnsi="Arial"/>
          <w:sz w:val="19"/>
          <w:szCs w:val="19"/>
          <w:b w:val="1"/>
          <w:bCs w:val="1"/>
          <w:u w:val="single" w:color="auto"/>
          <w:color w:val="auto"/>
        </w:rPr>
        <w:t>Delegation of Duties</w:t>
      </w:r>
      <w:r>
        <w:rPr>
          <w:rFonts w:ascii="Arial" w:cs="Arial" w:eastAsia="Arial" w:hAnsi="Arial"/>
          <w:sz w:val="19"/>
          <w:szCs w:val="19"/>
          <w:color w:val="auto"/>
        </w:rPr>
        <w:t>. Agent may execute any of its duties under this Agreement or any other Loan Document by or through agents, employees or attorneys in fact and shall be entitled to advice of counsel concerning all matters pertaining to such duties. Agent shall not be responsible for the negligence or misconduct of any agent or attorney in fact that it selects as long as such selection was made without gross negligence or willful misconduct.</w:t>
      </w:r>
    </w:p>
    <w:p>
      <w:pPr>
        <w:spacing w:after="0" w:line="16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b w:val="1"/>
          <w:bCs w:val="1"/>
          <w:u w:val="single" w:color="auto"/>
          <w:color w:val="auto"/>
        </w:rPr>
        <w:t>Liability of Agent</w:t>
      </w:r>
      <w:r>
        <w:rPr>
          <w:rFonts w:ascii="Arial" w:cs="Arial" w:eastAsia="Arial" w:hAnsi="Arial"/>
          <w:sz w:val="18"/>
          <w:szCs w:val="18"/>
          <w:color w:val="auto"/>
        </w:rPr>
        <w:t>. None of the Agent-Related Persons shall (a) be liable for any action taken or omitted to be taken by any of them under or in connection with this Agreement or any other Loan Document or the transactions contemplated hereby (except for its own gross negligence or willful misconduct), or (b) be responsible in any manner to any of the Lenders (or Bank Product Providers) for any recital, statement, representation or warranty made by any Loan Party or any of its Subsidiaries or Affiliates, or any officer or director thereof, contained in this Agreement or in any other Loan Document, or in any certificate, report, statement or other document referred to or provided for in, or received by Agent under or in connection with, this Agreement or any other Loan Document, or the validity, effectiveness,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1" w:name="page132"/>
    <w:bookmarkEnd w:id="131"/>
    <w:p>
      <w:pPr>
        <w:jc w:val="both"/>
        <w:spacing w:after="0" w:line="272" w:lineRule="auto"/>
        <w:rPr>
          <w:sz w:val="20"/>
          <w:szCs w:val="20"/>
          <w:color w:val="auto"/>
        </w:rPr>
      </w:pPr>
      <w:r>
        <w:rPr>
          <w:rFonts w:ascii="Arial" w:cs="Arial" w:eastAsia="Arial" w:hAnsi="Arial"/>
          <w:sz w:val="18"/>
          <w:szCs w:val="18"/>
          <w:color w:val="auto"/>
        </w:rPr>
        <w:t>genuineness, enforceability or sufficiency of this Agreement or any other Loan Document, or for any failure of any Loan Party or its Subsidiaries or any other party to any Loan Document to perform its obligations hereunder or thereunder. No Agent-Related Person shall be under any obligation to any Lenders (or Bank Product Providers) to ascertain or to inquire as to the observance or performance of any of the agreements contained in, or conditions of, this Agreement or any other Loan Document, or to inspect the books and records or properties of any Loan Party or its Subsidiaries. No Agent-Related Person shall have any liability to any Lender, and Loan Party or any of their respective Affiliates if any request for a Loan, Letter of Credit or other extension of credit was not authorized by the applicable Borrower. Agent shall not be required to take any action that, in its reasonable opinion or in the reasonable opinion of its counsel, may expose it to liability or that is contrary to any Loan Document or applicable law or regulation.</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15.4 </w:t>
      </w:r>
      <w:r>
        <w:rPr>
          <w:rFonts w:ascii="Arial" w:cs="Arial" w:eastAsia="Arial" w:hAnsi="Arial"/>
          <w:sz w:val="18"/>
          <w:szCs w:val="18"/>
          <w:b w:val="1"/>
          <w:bCs w:val="1"/>
          <w:u w:val="single" w:color="auto"/>
          <w:color w:val="auto"/>
        </w:rPr>
        <w:t>Reliance by Agent</w:t>
      </w:r>
      <w:r>
        <w:rPr>
          <w:rFonts w:ascii="Arial" w:cs="Arial" w:eastAsia="Arial" w:hAnsi="Arial"/>
          <w:sz w:val="18"/>
          <w:szCs w:val="18"/>
          <w:color w:val="auto"/>
        </w:rPr>
        <w:t>. Agent shall be entitled to rely, and shall be fully protected in relying, upon any writing, resolution, notice, consent, certificate, affidavit, letter, telegram, telefacsimile or other electronic method of transmission, telex or telephone message, statement or other document or conversation believed by it to be genuine and correct and to have been signed, sent, or made by the proper Person or Persons, and upon advice and statements of legal counsel (including counsel to Borrowers or counsel to any Lender), independent accountants and other experts selected by Agent. Agent shall be fully justified in failing or refusing to take any action under this Agreement or any other Loan Document unless Agent shall first receive such advice or concurrence of the Lenders as it deems appropriate and until such instructions are received, Agent shall act, or refrain from acting, as it deems advisable. If Agent so requests, it shall first be indemnified to its reasonable satisfaction by the Lenders (and, if it so elects, the Bank Product Providers) against any and all liability and expense that may be incurred by it by reason of taking or continuing to take any such action. Agent shall in all cases be fully protected in acting, or in refraining from acting, under this Agreement or any other Loan Document in accordance with a request or consent of the Required Lenders and such request and any action taken or failure to act pursuant thereto shall be binding upon all of the Lenders (and Bank Product Providers).</w:t>
      </w:r>
    </w:p>
    <w:p>
      <w:pPr>
        <w:spacing w:after="0" w:line="17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15.5 </w:t>
      </w:r>
      <w:r>
        <w:rPr>
          <w:rFonts w:ascii="Arial" w:cs="Arial" w:eastAsia="Arial" w:hAnsi="Arial"/>
          <w:sz w:val="18"/>
          <w:szCs w:val="18"/>
          <w:b w:val="1"/>
          <w:bCs w:val="1"/>
          <w:u w:val="single" w:color="auto"/>
          <w:color w:val="auto"/>
        </w:rPr>
        <w:t>Notice of Default or Event of Default</w:t>
      </w:r>
      <w:r>
        <w:rPr>
          <w:rFonts w:ascii="Arial" w:cs="Arial" w:eastAsia="Arial" w:hAnsi="Arial"/>
          <w:sz w:val="18"/>
          <w:szCs w:val="18"/>
          <w:color w:val="auto"/>
        </w:rPr>
        <w:t xml:space="preserve">. Agent shall not be deemed to have knowledge or notice of the occurrence of any Default or Event of Default, except with respect to defaults in the payment of principal, interest, fees, and expenses required to be paid to Agent for the account of the Lenders and, except with respect to Events of Default of which Agent has actual knowledge, unless Agent shall have received written notice from a Lender or Borrowers referring to this Agreement, describing such Default or Event of Default, and stating that such notice is a “notice of default.” Agent promptly will notify the Lenders of its receipt of any such notice or of any Event of Default of which Agent has actual knowledge. If any Lender obtains actual knowledge of any Event of Default, such Lender promptly shall notify the other Lenders and Agent of such Event of Default. Each Lender shall be solely responsible for giving any notices to its Participants, if any. Subject to </w:t>
      </w:r>
      <w:r>
        <w:rPr>
          <w:rFonts w:ascii="Arial" w:cs="Arial" w:eastAsia="Arial" w:hAnsi="Arial"/>
          <w:sz w:val="18"/>
          <w:szCs w:val="18"/>
          <w:u w:val="single" w:color="auto"/>
          <w:color w:val="auto"/>
        </w:rPr>
        <w:t>Section 15.4</w:t>
      </w:r>
      <w:r>
        <w:rPr>
          <w:rFonts w:ascii="Arial" w:cs="Arial" w:eastAsia="Arial" w:hAnsi="Arial"/>
          <w:sz w:val="18"/>
          <w:szCs w:val="18"/>
          <w:color w:val="auto"/>
        </w:rPr>
        <w:t xml:space="preserve">, Agent shall take such action with respect to such Default or Event of Default as may be requested by the Required Lenders in accordance with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that unless and until Agent has received any such request, Agent may (but shall not be obligated to) take such action, or refrain from taking such action, with respect to such Default or Event of Default as it shall deem advisable.</w:t>
      </w:r>
    </w:p>
    <w:p>
      <w:pPr>
        <w:spacing w:after="0" w:line="16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15.6 </w:t>
      </w:r>
      <w:r>
        <w:rPr>
          <w:rFonts w:ascii="Arial" w:cs="Arial" w:eastAsia="Arial" w:hAnsi="Arial"/>
          <w:sz w:val="18"/>
          <w:szCs w:val="18"/>
          <w:b w:val="1"/>
          <w:bCs w:val="1"/>
          <w:u w:val="single" w:color="auto"/>
          <w:color w:val="auto"/>
        </w:rPr>
        <w:t>Credit Decision</w:t>
      </w:r>
      <w:r>
        <w:rPr>
          <w:rFonts w:ascii="Arial" w:cs="Arial" w:eastAsia="Arial" w:hAnsi="Arial"/>
          <w:sz w:val="18"/>
          <w:szCs w:val="18"/>
          <w:color w:val="auto"/>
        </w:rPr>
        <w:t>. Each Lender (and Bank Product Provider) acknowledges that none of the Agent-Related Persons has made any representation or warranty to it, and that no act by Agent hereinafter taken, including any review of the affairs of any Loan Party and its Subsidiaries or Affiliates, shall be deemed to constitute any representation or warranty by any Agent-Related Person to any Lender (or Bank Product Provider). Each Lender represents (and by entering into a Bank Product Agreement, each Bank Product Provider shall be deemed to represent) to Agent that it has, independently and without reliance upon any Agent-Related Person and based on such due diligence, documents and information as it has deemed appropriate, made its own appraisal of and investigation into the business, prospects, operations, property, financial and other condition and creditworthiness of each Borrower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2" w:name="page133"/>
    <w:bookmarkEnd w:id="132"/>
    <w:p>
      <w:pPr>
        <w:jc w:val="both"/>
        <w:spacing w:after="0" w:line="269" w:lineRule="auto"/>
        <w:rPr>
          <w:sz w:val="20"/>
          <w:szCs w:val="20"/>
          <w:color w:val="auto"/>
        </w:rPr>
      </w:pPr>
      <w:r>
        <w:rPr>
          <w:rFonts w:ascii="Arial" w:cs="Arial" w:eastAsia="Arial" w:hAnsi="Arial"/>
          <w:sz w:val="18"/>
          <w:szCs w:val="18"/>
          <w:color w:val="auto"/>
        </w:rPr>
        <w:t>Person party to a Loan Document, and all applicable bank regulatory laws relating to the transactions contemplated hereby, and made its own decision to enter into this Agreement and to extend credit to Borrowers. Each Lender also represents (and by entering into a Bank Product Agreement, each Bank Product Provider shall be deemed to represent)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each Borrower or any other Person party to a Loan Document. Except for notices, reports, and other documents expressly herein required to be furnished to the Lenders by Agent, Agent shall not have any duty or responsibility to provide any Lender (or Bank Product Provider) with any credit or other information concerning the business, prospects, operations, property, financial and other condition or creditworthiness of any Borrower or any other Person party to a Loan Document that may come into the possession of any of the Agent-Related Persons. Each Lender acknowledges (and by entering into a Bank Product Agreement, each Bank Product Provider shall be deemed to acknowledge) that Agent does not have any duty or responsibility, either initially or on a continuing basis (except to the extent, if any, that is expressly specified herein) to provide such Lender (or Bank Product Provider) with any credit or other information with respect to any Borrower, its Affiliates or any of their respective business, legal, financial or other affairs, and irrespective of whether such information came into Agent’s or its Affiliates’ or representatives’ possession before or after the date on which such Lender became a party to this Agreement (or such Bank Product Provider entered into a Bank Product Agreement).</w:t>
      </w:r>
    </w:p>
    <w:p>
      <w:pPr>
        <w:spacing w:after="0" w:line="16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15.7 </w:t>
      </w:r>
      <w:r>
        <w:rPr>
          <w:rFonts w:ascii="Arial" w:cs="Arial" w:eastAsia="Arial" w:hAnsi="Arial"/>
          <w:sz w:val="18"/>
          <w:szCs w:val="18"/>
          <w:b w:val="1"/>
          <w:bCs w:val="1"/>
          <w:u w:val="single" w:color="auto"/>
          <w:color w:val="auto"/>
        </w:rPr>
        <w:t>Costs and Expenses; Indemnification</w:t>
      </w:r>
      <w:r>
        <w:rPr>
          <w:rFonts w:ascii="Arial" w:cs="Arial" w:eastAsia="Arial" w:hAnsi="Arial"/>
          <w:sz w:val="18"/>
          <w:szCs w:val="18"/>
          <w:color w:val="auto"/>
        </w:rPr>
        <w:t xml:space="preserve">. Agent may incur and pay Lender Group Expenses to the extent Agent reasonably deems necessary or appropriate for the performance and fulfillment of its functions, powers, and obligations pursuant to the Loan Documents, including court costs, attorneys’ fees and expenses, fees and expenses of financial accountants, advisors, consultants, and appraisers, costs of collection by outside collection agencies, auctioneer fees and expenses, and costs of security guards or insurance premiums paid to maintain the Collateral, whether or not Borrowers are obligated to reimburse Agent or Lenders for such expenses pursuant to this Agreement or otherwise. Agent is authorized and directed to deduct and retain sufficient amounts from payments or proceeds of the Collateral received by Agent to reimburse Agent for such out-of-pocket costs and expenses prior to the distribution of any amounts to Lenders (or Bank Product Providers). In the event Agent is not reimbursed for such costs and expenses by the Loan Parties and their Subsidiaries, each Lender hereby agrees that it is and shall be obligated to pay to Agent such Lender’s ratable share thereof. Whether or not the transactions contemplated hereby are consummated, each of the Lenders, on a ratable basis, shall indemnify and defend the Agent-Related Persons (to the extent not reimbursed by or on behalf of Borrowers and without limiting the obligation of Borrowers to do so) from and against any and all Indemnified Liabilities;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that no Lender shall be liable for the payment to any Agent-Related Person of any portion of such Indemnified Liabilities resulting solely from such Person’s gross negligence or willful misconduct nor shall any Lender be liable for the obligations of any Defaulting Lender in failing to make a Revolving Loan, Capex Advance, or other extension of credit hereunder. Without limitation of the foregoing, each Lender shall reimburse Agent upon demand for such Lender’s ratable share of any costs or out of pocket expenses (including attorneys, accountants, advisors, and consultants fees and expenses) incurred by Agent in connection with the preparation, execution, delivery, administration, modification, amendment, or enforcement (whether through negotiations, legal proceedings or otherwise) of, or legal advice in respect of rights or responsibilities under, this Agreement or any other Loan Document to the extent that Agent is not reimbursed for such expenses by or on behalf of Borrowers. The undertaking in this Section shall survive the payment of all Obligations hereunder and the resignation or replacement of Agent.</w:t>
      </w:r>
    </w:p>
    <w:p>
      <w:pPr>
        <w:spacing w:after="0" w:line="178"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15.8 </w:t>
      </w:r>
      <w:r>
        <w:rPr>
          <w:rFonts w:ascii="Arial" w:cs="Arial" w:eastAsia="Arial" w:hAnsi="Arial"/>
          <w:sz w:val="20"/>
          <w:szCs w:val="20"/>
          <w:b w:val="1"/>
          <w:bCs w:val="1"/>
          <w:u w:val="single" w:color="auto"/>
          <w:color w:val="auto"/>
        </w:rPr>
        <w:t>Agent in Individual Capacity</w:t>
      </w:r>
      <w:r>
        <w:rPr>
          <w:rFonts w:ascii="Arial" w:cs="Arial" w:eastAsia="Arial" w:hAnsi="Arial"/>
          <w:sz w:val="20"/>
          <w:szCs w:val="20"/>
          <w:color w:val="auto"/>
        </w:rPr>
        <w:t>. Wells Fargo and its Affiliates may make loans to, issue letters of credit for the account of, accept deposits from, provide Bank Products to, acquire Equity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3" w:name="page134"/>
    <w:bookmarkEnd w:id="133"/>
    <w:p>
      <w:pPr>
        <w:jc w:val="both"/>
        <w:spacing w:after="0" w:line="255" w:lineRule="auto"/>
        <w:rPr>
          <w:sz w:val="20"/>
          <w:szCs w:val="20"/>
          <w:color w:val="auto"/>
        </w:rPr>
      </w:pPr>
      <w:r>
        <w:rPr>
          <w:rFonts w:ascii="Arial" w:cs="Arial" w:eastAsia="Arial" w:hAnsi="Arial"/>
          <w:sz w:val="19"/>
          <w:szCs w:val="19"/>
          <w:color w:val="auto"/>
        </w:rPr>
        <w:t>in, and generally engage in any kind of banking, trust, financial advisory, underwriting, or other business with any Loan Party and its Subsidiaries and Affiliates and any other Person party to any Loan Document as though Wells Fargo were not Agent hereunder, and, in each case, without notice to or consent of the other members of the Lender Group. The other members of the Lender Group acknowledge (and by entering into a Bank Product Agreement, each Bank Product Provider shall be deemed to acknowledge) that, pursuant to such activities, Wells Fargo or its Affiliates may receive information regarding a Loan Party or its Affiliates or any other Person party to any Loan Documents that is subject to confidentiality obligations in favor of such Loan Party or such other Person and that prohibit the disclosure of such information to the Lenders (or Bank Product Providers), and the Lenders acknowledge (and by entering into a Bank Product Agreement, each Bank Product Provider shall be deemed to acknowledge) that, in such circumstances (and in the absence of a waiver of such confidentiality obligations, which waiver Agent will use its reasonable best efforts to obtain), Agent shall not be under any obligation to provide such information to them. The terms “Lender” and “Lenders” include Wells Fargo in its individual capacity.</w:t>
      </w:r>
    </w:p>
    <w:p>
      <w:pPr>
        <w:spacing w:after="0" w:line="17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15.9 </w:t>
      </w:r>
      <w:r>
        <w:rPr>
          <w:rFonts w:ascii="Arial" w:cs="Arial" w:eastAsia="Arial" w:hAnsi="Arial"/>
          <w:sz w:val="18"/>
          <w:szCs w:val="18"/>
          <w:b w:val="1"/>
          <w:bCs w:val="1"/>
          <w:u w:val="single" w:color="auto"/>
          <w:color w:val="auto"/>
        </w:rPr>
        <w:t>Successor Agent</w:t>
      </w:r>
      <w:r>
        <w:rPr>
          <w:rFonts w:ascii="Arial" w:cs="Arial" w:eastAsia="Arial" w:hAnsi="Arial"/>
          <w:sz w:val="18"/>
          <w:szCs w:val="18"/>
          <w:color w:val="auto"/>
        </w:rPr>
        <w:t xml:space="preserve">. Agent may resign as Agent upon 30 days (ten days if an Event of Default has occurred and is continuing) prior written notice to the Lenders (unless such notice is waived by the Required Lenders) and Borrowers (unless such notice is waived by Borrowers or an Event of Default has occurred and is continuing) and without any notice to the Bank Product Providers. If Agent resigns under this Agreement, the Required Lenders shall be entitled, with (so long as no Event of Default has occurred and is continuing) the consent of Borrowers (such consent not to be unreasonably withheld, delayed, or conditioned), appoint a successor Agent for the Lenders (and the Bank Product Providers). If, at the time that Agent’s resignation is effective, it is acting as Issuing Bank or the Swing Lender, such resignation shall also operate to effectuate its resignation as Issuing Bank or the Swing Lender, as applicable, and it shall automatically be relieved of any further obligation to issue Letters of Credit, or to make Swing Loans. If no successor Agent is appointed prior to the effective date of the resignation of Agent, Agent may appoint, after consulting with the Lenders and Borrowers, a successor Agent. If Agent has materially breached or failed to perform any material provision of this Agreement or of applicable law, the Required Lenders may agree in writing to remove and replace Agent with a successor Agent from among the Lenders with (so long as no Event of Default has occurred and is continuing) the consent of Borrowers (such consent not to be unreasonably withheld, delayed, or conditioned). In any such event, upon the acceptance of its appointment as successor Agent hereunder, such successor Agent shall succeed to all the rights, powers, and duties of the retiring Agent and the term “Agent” shall mean such successor Agent and the retiring Agent’s appointment, powers, and duties as Agent shall be terminated. After any retiring Agent’s resignation hereunder as Agent, the provisions of this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shall inure to its benefit as to any actions taken or omitted to be taken by it while it was Agent under this Agreement. If no successor Agent has accepted appointment as Agent by the date which is 30 days following a retiring Agent’s notice of resignation, the retiring Agent’s resignation shall nevertheless thereupon become effective and the Lenders shall perform all of the duties of Agent hereunder until such time, if any, as the Lenders appoint a successor Agent as provided for above.</w:t>
      </w:r>
    </w:p>
    <w:p>
      <w:pPr>
        <w:spacing w:after="0" w:line="18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15.10 </w:t>
      </w:r>
      <w:r>
        <w:rPr>
          <w:rFonts w:ascii="Arial" w:cs="Arial" w:eastAsia="Arial" w:hAnsi="Arial"/>
          <w:sz w:val="19"/>
          <w:szCs w:val="19"/>
          <w:b w:val="1"/>
          <w:bCs w:val="1"/>
          <w:u w:val="single" w:color="auto"/>
          <w:color w:val="auto"/>
        </w:rPr>
        <w:t>Lender in Individual Capacity</w:t>
      </w:r>
      <w:r>
        <w:rPr>
          <w:rFonts w:ascii="Arial" w:cs="Arial" w:eastAsia="Arial" w:hAnsi="Arial"/>
          <w:sz w:val="19"/>
          <w:szCs w:val="19"/>
          <w:color w:val="auto"/>
        </w:rPr>
        <w:t>. Any Lender and its respective Affiliates may make loans to, issue letters of credit for the account of, accept deposits from, provide Bank Products to, acquire Equity Interests in and generally engage in any kind of banking, trust, financial advisory, underwriting, or other business with any Loan Party and its Subsidiaries and Affiliates and any other Person party to any Loan Documents as though such Lender were not a Lender hereunder without notice to or consent of the other members of the Lender Group (or the Bank Product Providers). The other members of the Lender Group acknowledge (and by entering into a Bank Product Agreement, each Bank Product Provider shall be deemed to acknowledge) that, pursuant to such activities, such Lender and its respective Affiliates may receive information regarding a Loan Party or its Affiliates or any other Person party to any Loan Documents that is subject to confidentiality obligations in favor of such Loan Party or such other Person and that prohibit the disclosure of such information to the Lenders, and the Lenders acknowledge (and by entering into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4" w:name="page135"/>
    <w:bookmarkEnd w:id="134"/>
    <w:p>
      <w:pPr>
        <w:jc w:val="both"/>
        <w:spacing w:after="0" w:line="270" w:lineRule="auto"/>
        <w:rPr>
          <w:sz w:val="20"/>
          <w:szCs w:val="20"/>
          <w:color w:val="auto"/>
        </w:rPr>
      </w:pPr>
      <w:r>
        <w:rPr>
          <w:rFonts w:ascii="Arial" w:cs="Arial" w:eastAsia="Arial" w:hAnsi="Arial"/>
          <w:sz w:val="19"/>
          <w:szCs w:val="19"/>
          <w:color w:val="auto"/>
        </w:rPr>
        <w:t>Bank Product Agreement, each Bank Product Provider shall be deemed to acknowledge) that, in such circumstances (and in the absence of a waiver of such confidentiality obligations, which waiver such Lender will use its reasonable best efforts to obtain), such Lender shall not be under any obligation to provide such information to them.</w:t>
      </w:r>
    </w:p>
    <w:p>
      <w:pPr>
        <w:spacing w:after="0" w:line="16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15.11</w:t>
      </w:r>
      <w:r>
        <w:rPr>
          <w:sz w:val="20"/>
          <w:szCs w:val="20"/>
          <w:color w:val="auto"/>
        </w:rPr>
        <w:tab/>
      </w:r>
      <w:r>
        <w:rPr>
          <w:rFonts w:ascii="Arial" w:cs="Arial" w:eastAsia="Arial" w:hAnsi="Arial"/>
          <w:sz w:val="18"/>
          <w:szCs w:val="18"/>
          <w:b w:val="1"/>
          <w:bCs w:val="1"/>
          <w:u w:val="single" w:color="auto"/>
          <w:color w:val="auto"/>
        </w:rPr>
        <w:t>Collateral Matters</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1304"/>
        <w:spacing w:after="0" w:line="272" w:lineRule="auto"/>
        <w:tabs>
          <w:tab w:leader="none" w:pos="1944" w:val="left"/>
        </w:tabs>
        <w:numPr>
          <w:ilvl w:val="1"/>
          <w:numId w:val="174"/>
        </w:numPr>
        <w:rPr>
          <w:rFonts w:ascii="Arial" w:cs="Arial" w:eastAsia="Arial" w:hAnsi="Arial"/>
          <w:sz w:val="18"/>
          <w:szCs w:val="18"/>
          <w:color w:val="auto"/>
        </w:rPr>
      </w:pPr>
      <w:r>
        <w:rPr>
          <w:rFonts w:ascii="Arial" w:cs="Arial" w:eastAsia="Arial" w:hAnsi="Arial"/>
          <w:sz w:val="18"/>
          <w:szCs w:val="18"/>
          <w:color w:val="auto"/>
        </w:rPr>
        <w:t>The Lenders hereby irrevocably authorize (and by entering into a Bank Product Agreement, each Bank Product Provider shall be deemed to authorize) Agent to release any Lien on any Collateral (i) upon the termination of the Commitments and payment and satisfaction in full by the Loan Parties and their Subsidiaries of all of the Obligations,</w:t>
      </w:r>
    </w:p>
    <w:p>
      <w:pPr>
        <w:ind w:firstLine="8"/>
        <w:spacing w:after="0" w:line="267" w:lineRule="auto"/>
        <w:tabs>
          <w:tab w:leader="none" w:pos="33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 xml:space="preserve">constituting property being sold or disposed of if a release is required or desirable in connection therewith and if Borrowers certify to Agent that the sale or disposition is permitted under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(and Agent may rely conclusively on any such certificate, without further inquiry), (iii) constituting property in which no Loan Party or any of its Subsidiaries owned any interest at the time Agent’s Lien was granted nor at any time thereafter, (iv) constituting property leased or licensed to a Loan Party or its Subsidiaries under a lease or license that has expired or is terminated in a transaction permitted under this Agreement, or (v) in connection with a credit bid or purchase authorized under this </w:t>
      </w:r>
      <w:r>
        <w:rPr>
          <w:rFonts w:ascii="Arial" w:cs="Arial" w:eastAsia="Arial" w:hAnsi="Arial"/>
          <w:sz w:val="18"/>
          <w:szCs w:val="18"/>
          <w:u w:val="single" w:color="auto"/>
          <w:color w:val="auto"/>
        </w:rPr>
        <w:t>Section 15.11</w:t>
      </w:r>
      <w:r>
        <w:rPr>
          <w:rFonts w:ascii="Arial" w:cs="Arial" w:eastAsia="Arial" w:hAnsi="Arial"/>
          <w:sz w:val="18"/>
          <w:szCs w:val="18"/>
          <w:color w:val="auto"/>
        </w:rPr>
        <w:t xml:space="preserve">. The Loan Parties and the Lenders hereby irrevocably authorize (and by entering into a Bank Product Agreement, each Bank Product Provider shall be deemed to authorize) Agent, based upon the instruction of the Required Lenders, to (a) consent to the sale of, credit bid, or purchase (either directly or indirectly through one or more entities) all or any portion of the Collateral at any sale thereof conducted under the provisions of the Bankruptcy Code, including Section 363 of the Bankruptcy Code, (b) credit bid or purchase (either directly or indirectly through one or more entities) all or any portion of the Collateral at any sale or other disposition thereof conducted under the provisions of the Code, including pursuant to Sections 9-610 or 9-620 of the Code, or (c) credit bid or purchase (either directly or indirectly through one or more entities) all or any portion of the Collateral at any other sale or foreclosure conducted or consented to by Agent in accordance with applicable law in any judicial action or proceeding or by the exercise of any legal or equitable remedy. In connection with any such credit bid or purchase, (i) the Obligations owed to the Lenders and the Bank Product Providers shall be entitled to be, and shall be, credit bid on a ratable basis (with Obligations with respect to contingent or unliquidated claims being estimated for such purpose if the fixing or liquidation thereof would not impair or unduly delay the ability of Agent to credit bid or purchase at such sale or other disposition of the Collateral and, if such contingent or unliquidated claims cannot be estimated without impairing or unduly delaying the ability of Agent to credit bid at such sale or other disposition, then such claims shall be disregarded, not credit bid, and not entitled to any interest in the Collateral that is the subject of such credit bid or purchase) and the Lenders and the Bank Product Providers whose Obligations are credit bid shall be entitled to receive interests (ratably based upon the proportion of their Obligations credit bid in relation to the aggregate amount of Obligations so credit bid) in the Collateral that is the subject of such credit bid or purchase (or in the Equity Interests of any entities that are used to consummate such credit bid or purchase), and (ii) Agent, based upon the instruction of the Required Lenders, may accept non-cash consideration, including debt and equity securities issued by any entities used to consummate such credit bid or purchase and in connection therewith Agent may reduce the Obligations owed to the Lenders and the Bank Product Providers (ratably based upon the proportion of their Obligations credit bid in relation to the aggregate amount of Obligations so credit bid) based upon the value of such non-cash consideration;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Bank Product Obligations not entitled to the application set forth in </w:t>
      </w:r>
      <w:r>
        <w:rPr>
          <w:rFonts w:ascii="Arial" w:cs="Arial" w:eastAsia="Arial" w:hAnsi="Arial"/>
          <w:sz w:val="18"/>
          <w:szCs w:val="18"/>
          <w:u w:val="single" w:color="auto"/>
          <w:color w:val="auto"/>
        </w:rPr>
        <w:t>Section 2.4(b)(iii)(J)</w:t>
      </w:r>
      <w:r>
        <w:rPr>
          <w:rFonts w:ascii="Arial" w:cs="Arial" w:eastAsia="Arial" w:hAnsi="Arial"/>
          <w:sz w:val="18"/>
          <w:szCs w:val="18"/>
          <w:color w:val="auto"/>
        </w:rPr>
        <w:t xml:space="preserve"> shall not be entitled to be, and shall not be, credit bid, or used in the calculation of the ratable interest of the Lenders and Bank Product Providers in the Obligations which are credit bid. Except as provided above, Agent will not execute and deliver a release of any Lien on any Collateral without the prior written authorization of (y) if the release is of all or substantially all of the Collateral, all of the Lenders (without requiring the authorization of the Bank Product Providers), or (z) otherwise, the Required Lenders (without requiring the authorization of the Bank Product Providers). Upon request by Agent or Borrowers at any time, the Lenders will (and if so requested,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5" w:name="page136"/>
    <w:bookmarkEnd w:id="135"/>
    <w:p>
      <w:pPr>
        <w:jc w:val="both"/>
        <w:spacing w:after="0" w:line="305" w:lineRule="auto"/>
        <w:rPr>
          <w:sz w:val="20"/>
          <w:szCs w:val="20"/>
          <w:color w:val="auto"/>
        </w:rPr>
      </w:pPr>
      <w:r>
        <w:rPr>
          <w:rFonts w:ascii="Arial" w:cs="Arial" w:eastAsia="Arial" w:hAnsi="Arial"/>
          <w:sz w:val="16"/>
          <w:szCs w:val="16"/>
          <w:color w:val="auto"/>
        </w:rPr>
        <w:t xml:space="preserve">Bank Product Providers will) confirm in writing Agent’s authority to release any such Liens on particular types or items of Collateral pursuant to this </w:t>
      </w:r>
      <w:r>
        <w:rPr>
          <w:rFonts w:ascii="Arial" w:cs="Arial" w:eastAsia="Arial" w:hAnsi="Arial"/>
          <w:sz w:val="16"/>
          <w:szCs w:val="16"/>
          <w:u w:val="single" w:color="auto"/>
          <w:color w:val="auto"/>
        </w:rPr>
        <w:t>Section 15.11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(1) anything to the contrary contained in any of the Loan Documents notwithstanding, Agent shall not be required to execute any document or take any action necessary to evidence such release on terms that, in Agent’s opinion, could expose Agent to liability or create any obligation or entail any consequence other than the release of such Lien without recourse, representation, or warranty, and (2) such release shall not in any manner discharge, affect, or impair the Obligations or any Liens (other than those expressly released) upon (or obligations of Borrowers in respect of) any and all interests retained by any Borrower, including, the proceeds of any sale, all of which shall continue to constitute part of the Collateral. Each Lender further hereby irrevocably authorizes (and by entering into a Bank Product Agreement, each Bank Product Provider shall be deemed to irrevocably authorize) Agent, at its option and in its sole discretion, to subordinate (by contract or otherwise) any Lien granted to or held by Agent on any property under any Loan Document (a) to the holder of any Permitted Lien on such property if such Permitted Lien secures purchase money Indebtedness (including Capitalized Lease Obligations) which constitute Permitted Indebtedness and (b) to the extent Agent has the authority under this </w:t>
      </w:r>
      <w:r>
        <w:rPr>
          <w:rFonts w:ascii="Arial" w:cs="Arial" w:eastAsia="Arial" w:hAnsi="Arial"/>
          <w:sz w:val="16"/>
          <w:szCs w:val="16"/>
          <w:u w:val="single" w:color="auto"/>
          <w:color w:val="auto"/>
        </w:rPr>
        <w:t>Section 15.11</w:t>
      </w:r>
      <w:r>
        <w:rPr>
          <w:rFonts w:ascii="Arial" w:cs="Arial" w:eastAsia="Arial" w:hAnsi="Arial"/>
          <w:sz w:val="16"/>
          <w:szCs w:val="16"/>
          <w:color w:val="auto"/>
        </w:rPr>
        <w:t xml:space="preserve"> to release its Lien on such property. Notwithstanding the provisions of this </w:t>
      </w:r>
      <w:r>
        <w:rPr>
          <w:rFonts w:ascii="Arial" w:cs="Arial" w:eastAsia="Arial" w:hAnsi="Arial"/>
          <w:sz w:val="16"/>
          <w:szCs w:val="16"/>
          <w:u w:val="single" w:color="auto"/>
          <w:color w:val="auto"/>
        </w:rPr>
        <w:t>Section 15.11</w:t>
      </w:r>
      <w:r>
        <w:rPr>
          <w:rFonts w:ascii="Arial" w:cs="Arial" w:eastAsia="Arial" w:hAnsi="Arial"/>
          <w:sz w:val="16"/>
          <w:szCs w:val="16"/>
          <w:color w:val="auto"/>
        </w:rPr>
        <w:t>, Agent shall be authorized, without the consent of any Lender and without the requirement that an asset sale consisting of the sale, transfer or other disposition having occurred, to release any security interest in any building, structure or improvement located in an area determined by the Federal Emergency Management Agency to have special flood hazards.</w:t>
      </w:r>
    </w:p>
    <w:p>
      <w:pPr>
        <w:spacing w:after="0" w:line="382" w:lineRule="exact"/>
        <w:rPr>
          <w:sz w:val="20"/>
          <w:szCs w:val="20"/>
          <w:color w:val="auto"/>
        </w:rPr>
      </w:pPr>
    </w:p>
    <w:p>
      <w:pPr>
        <w:jc w:val="both"/>
        <w:ind w:firstLine="1304"/>
        <w:spacing w:after="0" w:line="255" w:lineRule="auto"/>
        <w:tabs>
          <w:tab w:leader="none" w:pos="1944" w:val="left"/>
        </w:tabs>
        <w:numPr>
          <w:ilvl w:val="0"/>
          <w:numId w:val="176"/>
        </w:numPr>
        <w:rPr>
          <w:rFonts w:ascii="Arial" w:cs="Arial" w:eastAsia="Arial" w:hAnsi="Arial"/>
          <w:sz w:val="19"/>
          <w:szCs w:val="19"/>
          <w:color w:val="auto"/>
        </w:rPr>
      </w:pPr>
      <w:r>
        <w:rPr>
          <w:rFonts w:ascii="Arial" w:cs="Arial" w:eastAsia="Arial" w:hAnsi="Arial"/>
          <w:sz w:val="19"/>
          <w:szCs w:val="19"/>
          <w:color w:val="auto"/>
        </w:rPr>
        <w:t>Agent shall have no obligation whatsoever to any of the Lenders (or the Bank Product Providers) (i) to verify or assure that the Collateral exists or is owned by a Loan Party or any of its Subsidiaries or is cared for, protected, or insured or has been encumbered, (ii) to verify or assure that Agent’s Liens have been properly or sufficiently or lawfully created, perfected, protected, or enforced or are entitled to any particular priority, (iii) to verify or assure that any particular items of Collateral meet the eligibility criteria applicable in respect thereof, (iv) to impose, maintain, increase, reduce, implement, or eliminate any particular reserve hereunder or to determine whether the amount of any reserve is appropriate or not, or (v) to exercise at all or in any particular manner or under any duty of care, disclosure or fidelity, or to continue exercising, any of the rights, authorities and powers granted or available to Agent pursuant to any of the Loan Documents, it being understood and agreed that in respect of the Collateral, or any act, omission, or event related thereto, subject to the terms and conditions contained herein, Agent may act in any manner it may deem appropriate, in its sole discretion given Agent’s own interest in the Collateral in its capacity as one of the Lenders and that Agent shall have no other duty or liability whatsoever to any Lender (or Bank Product Provider) as to any of the foregoing, except as otherwise expressly provided herein.</w:t>
      </w:r>
    </w:p>
    <w:p>
      <w:pPr>
        <w:spacing w:after="0" w:line="17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15.12</w:t>
      </w:r>
      <w:r>
        <w:rPr>
          <w:sz w:val="20"/>
          <w:szCs w:val="20"/>
          <w:color w:val="auto"/>
        </w:rPr>
        <w:tab/>
      </w:r>
      <w:r>
        <w:rPr>
          <w:rFonts w:ascii="Arial" w:cs="Arial" w:eastAsia="Arial" w:hAnsi="Arial"/>
          <w:sz w:val="16"/>
          <w:szCs w:val="16"/>
          <w:b w:val="1"/>
          <w:bCs w:val="1"/>
          <w:u w:val="single" w:color="auto"/>
          <w:color w:val="auto"/>
        </w:rPr>
        <w:t>Restrictions on Actions by Lenders; Sharing of Payments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1304"/>
        <w:spacing w:after="0" w:line="242" w:lineRule="auto"/>
        <w:tabs>
          <w:tab w:leader="none" w:pos="1944" w:val="left"/>
        </w:tabs>
        <w:numPr>
          <w:ilvl w:val="0"/>
          <w:numId w:val="177"/>
        </w:numPr>
        <w:rPr>
          <w:rFonts w:ascii="Arial" w:cs="Arial" w:eastAsia="Arial" w:hAnsi="Arial"/>
          <w:sz w:val="20"/>
          <w:szCs w:val="20"/>
          <w:color w:val="auto"/>
        </w:rPr>
      </w:pPr>
      <w:r>
        <w:rPr>
          <w:rFonts w:ascii="Arial" w:cs="Arial" w:eastAsia="Arial" w:hAnsi="Arial"/>
          <w:sz w:val="20"/>
          <w:szCs w:val="20"/>
          <w:color w:val="auto"/>
        </w:rPr>
        <w:t>Each of the Lenders agrees that it shall not, without the express written consent of Agent, and that it shall, to the extent it is lawfully entitled to do so, upon the written request of Agent following the occurrence and during the continuance of an Event of Default, set off against the Obligations, any amounts owing by such Lender to any Loan Party or its Subsidiaries or any deposit accounts of any Loan Party or its Subsidiaries now or hereafter maintained with such Lender. Each of the Lenders further agrees that it shall not, unless specifically requested to do so in writing by Agent, take or cause to be taken any action, including, the commencement of any legal or equitable proceedings to enforce any Loan Document against any Borrower or any Guarantor or to foreclose any Lien on, or otherwise enforce any security interest in, any of the Collateral.</w:t>
      </w:r>
    </w:p>
    <w:p>
      <w:pPr>
        <w:spacing w:after="0" w:line="196" w:lineRule="exact"/>
        <w:rPr>
          <w:rFonts w:ascii="Arial" w:cs="Arial" w:eastAsia="Arial" w:hAnsi="Arial"/>
          <w:sz w:val="20"/>
          <w:szCs w:val="20"/>
          <w:color w:val="auto"/>
        </w:rPr>
      </w:pPr>
    </w:p>
    <w:p>
      <w:pPr>
        <w:jc w:val="both"/>
        <w:ind w:firstLine="1304"/>
        <w:spacing w:after="0" w:line="250" w:lineRule="auto"/>
        <w:tabs>
          <w:tab w:leader="none" w:pos="1944" w:val="left"/>
        </w:tabs>
        <w:numPr>
          <w:ilvl w:val="0"/>
          <w:numId w:val="177"/>
        </w:numPr>
        <w:rPr>
          <w:rFonts w:ascii="Arial" w:cs="Arial" w:eastAsia="Arial" w:hAnsi="Arial"/>
          <w:sz w:val="20"/>
          <w:szCs w:val="20"/>
          <w:color w:val="auto"/>
        </w:rPr>
      </w:pPr>
      <w:r>
        <w:rPr>
          <w:rFonts w:ascii="Arial" w:cs="Arial" w:eastAsia="Arial" w:hAnsi="Arial"/>
          <w:sz w:val="20"/>
          <w:szCs w:val="20"/>
          <w:color w:val="auto"/>
        </w:rPr>
        <w:t>If, at any time or times any Lender shall receive (i) by payment, foreclosure, setoff, or otherwise, any proceeds of Collateral or any payments with respect to the Obligations, except for any such proceeds or payments received by such Lender from Agent pursuant to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6" w:name="page137"/>
    <w:bookmarkEnd w:id="136"/>
    <w:p>
      <w:pPr>
        <w:jc w:val="both"/>
        <w:spacing w:after="0" w:line="256" w:lineRule="auto"/>
        <w:rPr>
          <w:sz w:val="20"/>
          <w:szCs w:val="20"/>
          <w:color w:val="auto"/>
        </w:rPr>
      </w:pPr>
      <w:r>
        <w:rPr>
          <w:rFonts w:ascii="Arial" w:cs="Arial" w:eastAsia="Arial" w:hAnsi="Arial"/>
          <w:sz w:val="19"/>
          <w:szCs w:val="19"/>
          <w:color w:val="auto"/>
        </w:rPr>
        <w:t xml:space="preserve">or (ii) payments from Agent in excess of such Lender’s Pro Rata Share of all such distributions by Agent, such Lender promptly shall (A) turn the same over to Agent, in kind, and with such endorsements as may be required to negotiate the same to Agent, or in immediately available funds, as applicable, for the account of all of the Lenders and for application to the Obligations in accordance with the applicable provisions of this Agreement, or (B) purchase, without recourse or warranty, an undivided interest and participation in the Obligations owed to the other Lenders so that such excess payment received shall be applied ratably as among the Lenders in accordance with their Pro Rata Shares; </w:t>
      </w:r>
      <w:r>
        <w:rPr>
          <w:rFonts w:ascii="Arial" w:cs="Arial" w:eastAsia="Arial" w:hAnsi="Arial"/>
          <w:sz w:val="19"/>
          <w:szCs w:val="19"/>
          <w:u w:val="single" w:color="auto"/>
          <w:color w:val="auto"/>
        </w:rPr>
        <w:t>provided</w:t>
      </w:r>
      <w:r>
        <w:rPr>
          <w:rFonts w:ascii="Arial" w:cs="Arial" w:eastAsia="Arial" w:hAnsi="Arial"/>
          <w:sz w:val="19"/>
          <w:szCs w:val="19"/>
          <w:color w:val="auto"/>
        </w:rPr>
        <w:t>, that to the extent that such excess payment received by the purchasing party is thereafter recovered from it, those purchases of participations shall be rescinded in whole or in part, as applicable, and the applicable portion of the purchase price paid therefor shall be returned to such purchasing party, but without interest except to the extent that such purchasing party is required to pay interest in connection with the recovery of the excess payment.</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15.13 </w:t>
      </w:r>
      <w:r>
        <w:rPr>
          <w:rFonts w:ascii="Arial" w:cs="Arial" w:eastAsia="Arial" w:hAnsi="Arial"/>
          <w:sz w:val="18"/>
          <w:szCs w:val="18"/>
          <w:b w:val="1"/>
          <w:bCs w:val="1"/>
          <w:u w:val="single" w:color="auto"/>
          <w:color w:val="auto"/>
        </w:rPr>
        <w:t>Agency for Perfection</w:t>
      </w:r>
      <w:r>
        <w:rPr>
          <w:rFonts w:ascii="Arial" w:cs="Arial" w:eastAsia="Arial" w:hAnsi="Arial"/>
          <w:sz w:val="18"/>
          <w:szCs w:val="18"/>
          <w:color w:val="auto"/>
        </w:rPr>
        <w:t>. Agent hereby appoints each other Lender (and each Bank Product Provider) as its agent (and each Lender hereby accepts (and by entering into a Bank Product Agreement, each Bank Product Provider shall be deemed to accept) such appointment) for the purpose of perfecting Agent’s Liens in assets which, in accordance with Article 8 or Article 9, as applicable, of the Code can be perfected by possession or control. Should any Lender obtain possession or control of any such Collateral, such Lender shall notify Agent thereof, and, promptly upon Agent’s request therefor shall deliver possession or control of such Collateral to Agent or in accordance with Agent’s instructions.</w:t>
      </w:r>
    </w:p>
    <w:p>
      <w:pPr>
        <w:spacing w:after="0" w:line="16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color w:val="auto"/>
        </w:rPr>
        <w:t xml:space="preserve">15.14 </w:t>
      </w:r>
      <w:r>
        <w:rPr>
          <w:rFonts w:ascii="Arial" w:cs="Arial" w:eastAsia="Arial" w:hAnsi="Arial"/>
          <w:sz w:val="18"/>
          <w:szCs w:val="18"/>
          <w:b w:val="1"/>
          <w:bCs w:val="1"/>
          <w:u w:val="single" w:color="auto"/>
          <w:color w:val="auto"/>
        </w:rPr>
        <w:t>Payments by Agent to the Lenders</w:t>
      </w:r>
      <w:r>
        <w:rPr>
          <w:rFonts w:ascii="Arial" w:cs="Arial" w:eastAsia="Arial" w:hAnsi="Arial"/>
          <w:sz w:val="18"/>
          <w:szCs w:val="18"/>
          <w:color w:val="auto"/>
        </w:rPr>
        <w:t>. All payments to be made by Agent to the Lenders (or Bank Product Providers) shall be made by bank wire transfer of immediately available funds pursuant to such wire transfer instructions as each party may designate for itself by written notice to Agent. Concurrently with each such payment, Agent shall identify whether such payment (or any portion thereof) represents principal, premium, fees, or interest of the Obligations.</w:t>
      </w:r>
    </w:p>
    <w:p>
      <w:pPr>
        <w:spacing w:after="0" w:line="15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15.15 </w:t>
      </w:r>
      <w:r>
        <w:rPr>
          <w:rFonts w:ascii="Arial" w:cs="Arial" w:eastAsia="Arial" w:hAnsi="Arial"/>
          <w:sz w:val="18"/>
          <w:szCs w:val="18"/>
          <w:b w:val="1"/>
          <w:bCs w:val="1"/>
          <w:u w:val="single" w:color="auto"/>
          <w:color w:val="auto"/>
        </w:rPr>
        <w:t>Concerning the Collateral and Related Loan Documents</w:t>
      </w:r>
      <w:r>
        <w:rPr>
          <w:rFonts w:ascii="Arial" w:cs="Arial" w:eastAsia="Arial" w:hAnsi="Arial"/>
          <w:sz w:val="18"/>
          <w:szCs w:val="18"/>
          <w:color w:val="auto"/>
        </w:rPr>
        <w:t>. Each member of the Lender Group authorizes and directs Agent to enter into this Agreement and the other Loan Documents. Each member of the Lender Group agrees (and by entering into a Bank Product Agreement, each Bank Product Provider shall be deemed to agree) that any action taken by Agent in accordance with the terms of this Agreement or the other Loan Documents relating to the Collateral and the exercise by Agent of its powers set forth therein or herein, together with such other powers that are reasonably incidental thereto, shall be binding upon all of the Lenders (and such Bank Product Provider).</w:t>
      </w:r>
    </w:p>
    <w:p>
      <w:pPr>
        <w:spacing w:after="0" w:line="160" w:lineRule="exact"/>
        <w:rPr>
          <w:sz w:val="20"/>
          <w:szCs w:val="20"/>
          <w:color w:val="auto"/>
        </w:rPr>
      </w:pPr>
    </w:p>
    <w:p>
      <w:pPr>
        <w:ind w:left="660"/>
        <w:spacing w:after="0"/>
        <w:tabs>
          <w:tab w:leader="none" w:pos="1280" w:val="left"/>
          <w:tab w:leader="none" w:pos="1880" w:val="left"/>
          <w:tab w:leader="none" w:pos="3160" w:val="left"/>
          <w:tab w:leader="none" w:pos="4060" w:val="left"/>
          <w:tab w:leader="none" w:pos="5580" w:val="left"/>
          <w:tab w:leader="none" w:pos="6740" w:val="left"/>
          <w:tab w:leader="none" w:pos="7120" w:val="left"/>
          <w:tab w:leader="none" w:pos="8060" w:val="left"/>
          <w:tab w:leader="none" w:pos="8740" w:val="left"/>
          <w:tab w:leader="none" w:pos="9580" w:val="left"/>
        </w:tabs>
        <w:rPr>
          <w:sz w:val="20"/>
          <w:szCs w:val="20"/>
          <w:color w:val="auto"/>
        </w:rPr>
      </w:pPr>
      <w:r>
        <w:rPr>
          <w:rFonts w:ascii="Arial" w:cs="Arial" w:eastAsia="Arial" w:hAnsi="Arial"/>
          <w:sz w:val="20"/>
          <w:szCs w:val="20"/>
          <w:color w:val="auto"/>
        </w:rPr>
        <w:t>15.16</w:t>
      </w:r>
      <w:r>
        <w:rPr>
          <w:sz w:val="20"/>
          <w:szCs w:val="20"/>
          <w:color w:val="auto"/>
        </w:rPr>
        <w:tab/>
      </w:r>
      <w:r>
        <w:rPr>
          <w:rFonts w:ascii="Arial" w:cs="Arial" w:eastAsia="Arial" w:hAnsi="Arial"/>
          <w:sz w:val="20"/>
          <w:szCs w:val="20"/>
          <w:b w:val="1"/>
          <w:bCs w:val="1"/>
          <w:u w:val="single" w:color="auto"/>
          <w:color w:val="auto"/>
        </w:rPr>
        <w:t>Field</w:t>
        <w:tab/>
        <w:t>Examination</w:t>
        <w:tab/>
        <w:t>Reports;</w:t>
        <w:tab/>
        <w:t>Confidentiality;</w:t>
        <w:tab/>
        <w:t>Disclaimers</w:t>
        <w:tab/>
        <w:t>by</w:t>
        <w:tab/>
        <w:t>Lenders;</w:t>
        <w:tab/>
        <w:t>Other</w:t>
        <w:tab/>
        <w:t>Reports</w:t>
      </w:r>
      <w:r>
        <w:rPr>
          <w:sz w:val="20"/>
          <w:szCs w:val="20"/>
          <w:color w:val="auto"/>
        </w:rPr>
        <w:tab/>
      </w:r>
      <w:r>
        <w:rPr>
          <w:rFonts w:ascii="Arial" w:cs="Arial" w:eastAsia="Arial" w:hAnsi="Arial"/>
          <w:sz w:val="16"/>
          <w:szCs w:val="16"/>
          <w:b w:val="1"/>
          <w:bCs w:val="1"/>
          <w:u w:val="single" w:color="auto"/>
          <w:color w:val="auto"/>
        </w:rPr>
        <w:t>and</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Information</w:t>
      </w:r>
      <w:r>
        <w:rPr>
          <w:rFonts w:ascii="Arial" w:cs="Arial" w:eastAsia="Arial" w:hAnsi="Arial"/>
          <w:sz w:val="20"/>
          <w:szCs w:val="20"/>
          <w:b w:val="1"/>
          <w:bCs w:val="1"/>
          <w:color w:val="auto"/>
        </w:rPr>
        <w:t xml:space="preserve">. </w:t>
      </w:r>
      <w:r>
        <w:rPr>
          <w:rFonts w:ascii="Arial" w:cs="Arial" w:eastAsia="Arial" w:hAnsi="Arial"/>
          <w:sz w:val="20"/>
          <w:szCs w:val="20"/>
          <w:color w:val="auto"/>
        </w:rPr>
        <w:t>By becoming a party to this Agreement, each Lender:</w:t>
      </w:r>
    </w:p>
    <w:p>
      <w:pPr>
        <w:spacing w:after="0" w:line="200" w:lineRule="exact"/>
        <w:rPr>
          <w:sz w:val="20"/>
          <w:szCs w:val="20"/>
          <w:color w:val="auto"/>
        </w:rPr>
      </w:pPr>
    </w:p>
    <w:p>
      <w:pPr>
        <w:jc w:val="both"/>
        <w:ind w:firstLine="1304"/>
        <w:spacing w:after="0" w:line="250" w:lineRule="auto"/>
        <w:tabs>
          <w:tab w:leader="none" w:pos="1944" w:val="left"/>
        </w:tabs>
        <w:numPr>
          <w:ilvl w:val="0"/>
          <w:numId w:val="178"/>
        </w:numPr>
        <w:rPr>
          <w:rFonts w:ascii="Arial" w:cs="Arial" w:eastAsia="Arial" w:hAnsi="Arial"/>
          <w:sz w:val="20"/>
          <w:szCs w:val="20"/>
          <w:color w:val="auto"/>
        </w:rPr>
      </w:pPr>
      <w:r>
        <w:rPr>
          <w:rFonts w:ascii="Arial" w:cs="Arial" w:eastAsia="Arial" w:hAnsi="Arial"/>
          <w:sz w:val="20"/>
          <w:szCs w:val="20"/>
          <w:color w:val="auto"/>
        </w:rPr>
        <w:t>is deemed to have requested that Agent furnish such Lender, promptly after it becomes available, a copy of each field examination report respecting any Loan Party or its Subsidiaries (each, a “</w:t>
      </w:r>
      <w:r>
        <w:rPr>
          <w:rFonts w:ascii="Arial" w:cs="Arial" w:eastAsia="Arial" w:hAnsi="Arial"/>
          <w:sz w:val="20"/>
          <w:szCs w:val="20"/>
          <w:u w:val="single" w:color="auto"/>
          <w:color w:val="auto"/>
        </w:rPr>
        <w:t>Report</w:t>
      </w:r>
      <w:r>
        <w:rPr>
          <w:rFonts w:ascii="Arial" w:cs="Arial" w:eastAsia="Arial" w:hAnsi="Arial"/>
          <w:sz w:val="20"/>
          <w:szCs w:val="20"/>
          <w:color w:val="auto"/>
        </w:rPr>
        <w:t>”) prepared by or at the request of Agent, and Agent shall so furnish each Lender with such Reports,</w:t>
      </w:r>
    </w:p>
    <w:p>
      <w:pPr>
        <w:spacing w:after="0" w:line="185" w:lineRule="exact"/>
        <w:rPr>
          <w:rFonts w:ascii="Arial" w:cs="Arial" w:eastAsia="Arial" w:hAnsi="Arial"/>
          <w:sz w:val="20"/>
          <w:szCs w:val="20"/>
          <w:color w:val="auto"/>
        </w:rPr>
      </w:pPr>
    </w:p>
    <w:p>
      <w:pPr>
        <w:ind w:firstLine="1304"/>
        <w:spacing w:after="0" w:line="287" w:lineRule="auto"/>
        <w:tabs>
          <w:tab w:leader="none" w:pos="1944" w:val="left"/>
        </w:tabs>
        <w:numPr>
          <w:ilvl w:val="0"/>
          <w:numId w:val="178"/>
        </w:numPr>
        <w:rPr>
          <w:rFonts w:ascii="Arial" w:cs="Arial" w:eastAsia="Arial" w:hAnsi="Arial"/>
          <w:sz w:val="19"/>
          <w:szCs w:val="19"/>
          <w:color w:val="auto"/>
        </w:rPr>
      </w:pPr>
      <w:r>
        <w:rPr>
          <w:rFonts w:ascii="Arial" w:cs="Arial" w:eastAsia="Arial" w:hAnsi="Arial"/>
          <w:sz w:val="19"/>
          <w:szCs w:val="19"/>
          <w:color w:val="auto"/>
        </w:rPr>
        <w:t>expressly agrees and acknowledges that Agent does not (i) make any representation or warranty as to the accuracy of any Report, and (ii) shall not be liable for any information contained in any Report,</w:t>
      </w:r>
    </w:p>
    <w:p>
      <w:pPr>
        <w:spacing w:after="0" w:line="152" w:lineRule="exact"/>
        <w:rPr>
          <w:rFonts w:ascii="Arial" w:cs="Arial" w:eastAsia="Arial" w:hAnsi="Arial"/>
          <w:sz w:val="19"/>
          <w:szCs w:val="19"/>
          <w:color w:val="auto"/>
        </w:rPr>
      </w:pPr>
    </w:p>
    <w:p>
      <w:pPr>
        <w:jc w:val="both"/>
        <w:ind w:firstLine="1304"/>
        <w:spacing w:after="0" w:line="246" w:lineRule="auto"/>
        <w:tabs>
          <w:tab w:leader="none" w:pos="1944" w:val="left"/>
        </w:tabs>
        <w:numPr>
          <w:ilvl w:val="0"/>
          <w:numId w:val="178"/>
        </w:numPr>
        <w:rPr>
          <w:rFonts w:ascii="Arial" w:cs="Arial" w:eastAsia="Arial" w:hAnsi="Arial"/>
          <w:sz w:val="20"/>
          <w:szCs w:val="20"/>
          <w:color w:val="auto"/>
        </w:rPr>
      </w:pPr>
      <w:r>
        <w:rPr>
          <w:rFonts w:ascii="Arial" w:cs="Arial" w:eastAsia="Arial" w:hAnsi="Arial"/>
          <w:sz w:val="20"/>
          <w:szCs w:val="20"/>
          <w:color w:val="auto"/>
        </w:rPr>
        <w:t>expressly agrees and acknowledges that the Reports are not comprehensive audits or examinations, that Agent or other party performing any field examination will inspect only specific information regarding the Loan Parties and their Subsidiaries and will rely significantly upon Borrowers’ and their Subsidiaries’ books and records, as well as on representations of Borrowers’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7" w:name="page138"/>
    <w:bookmarkEnd w:id="137"/>
    <w:p>
      <w:pPr>
        <w:jc w:val="both"/>
        <w:ind w:firstLine="1304"/>
        <w:spacing w:after="0" w:line="250" w:lineRule="auto"/>
        <w:tabs>
          <w:tab w:leader="none" w:pos="1944" w:val="left"/>
        </w:tabs>
        <w:numPr>
          <w:ilvl w:val="0"/>
          <w:numId w:val="179"/>
        </w:numPr>
        <w:rPr>
          <w:rFonts w:ascii="Arial" w:cs="Arial" w:eastAsia="Arial" w:hAnsi="Arial"/>
          <w:sz w:val="20"/>
          <w:szCs w:val="20"/>
          <w:color w:val="auto"/>
        </w:rPr>
      </w:pPr>
      <w:r>
        <w:rPr>
          <w:rFonts w:ascii="Arial" w:cs="Arial" w:eastAsia="Arial" w:hAnsi="Arial"/>
          <w:sz w:val="20"/>
          <w:szCs w:val="20"/>
          <w:color w:val="auto"/>
        </w:rPr>
        <w:t xml:space="preserve">agrees to keep all Reports and other material, non-public information regarding the Loan Parties and their Subsidiaries and their operations, assets, and existing and contemplated business plans in a confidential manner in accordance with </w:t>
      </w:r>
      <w:r>
        <w:rPr>
          <w:rFonts w:ascii="Arial" w:cs="Arial" w:eastAsia="Arial" w:hAnsi="Arial"/>
          <w:sz w:val="20"/>
          <w:szCs w:val="20"/>
          <w:u w:val="single" w:color="auto"/>
          <w:color w:val="auto"/>
        </w:rPr>
        <w:t>Section 17.9</w:t>
      </w:r>
      <w:r>
        <w:rPr>
          <w:rFonts w:ascii="Arial" w:cs="Arial" w:eastAsia="Arial" w:hAnsi="Arial"/>
          <w:sz w:val="20"/>
          <w:szCs w:val="20"/>
          <w:color w:val="auto"/>
        </w:rPr>
        <w:t>, and</w:t>
      </w:r>
    </w:p>
    <w:p>
      <w:pPr>
        <w:spacing w:after="0" w:line="186" w:lineRule="exact"/>
        <w:rPr>
          <w:rFonts w:ascii="Arial" w:cs="Arial" w:eastAsia="Arial" w:hAnsi="Arial"/>
          <w:sz w:val="20"/>
          <w:szCs w:val="20"/>
          <w:color w:val="auto"/>
        </w:rPr>
      </w:pPr>
    </w:p>
    <w:p>
      <w:pPr>
        <w:jc w:val="both"/>
        <w:ind w:firstLine="1304"/>
        <w:spacing w:after="0" w:line="272" w:lineRule="auto"/>
        <w:tabs>
          <w:tab w:leader="none" w:pos="194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without limiting the generality of any other indemnification provision contained in this Agreement, agrees: (i) to hold Agent and any other Lender preparing a Report harmless from any action the indemnifying Lender may take or fail to take or any conclusion the indemnifying Lender may reach or draw from any Report in connection with any loans or other credit accommodations that the indemnifying Lender has made or may make to Borrowers, or the indemnifying Lender’s participation in, or the indemnifying Lender’s purchase of, a loan or loans of Borrowers, and (ii) to pay and protect, and indemnify, defend and hold Agent, and any such other Lender preparing a Report harmless from and against, the claims, actions, proceedings, damages, costs, expenses, and other amounts (including, attorneys’ fees and costs) incurred by Agent and any such other Lender preparing a Report as the direct or indirect result of any third parties who might obtain all or part of any Report through the indemnifying Lender.</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addition to the foregoing, (x) any Lender may from time to time request of Agent in writing that Agent provide to such Lender a copy of any report or document provided by any Loan Party or its Subsidiaries to Agent that has not been contemporaneously provided by such Loan Party or such Subsidiary to such Lender, and, upon receipt of such request, Agent promptly shall provide a copy of same to such Lender, (y) to the extent that Agent is entitled, under any provision of the Loan Documents, to request additional reports or information from any Loan Party or its Subsidiaries, any Lender may, from time to time, reasonably request Agent to exercise such right as specified in such Lender’s notice to Agent, whereupon Agent promptly shall request of Borrowers the additional reports or information reasonably specified by such Lender, and, upon receipt thereof from such Loan Party or such Subsidiary, Agent promptly shall provide a copy of same to such Lender, and</w:t>
      </w:r>
    </w:p>
    <w:p>
      <w:pPr>
        <w:spacing w:after="0" w:line="6" w:lineRule="exact"/>
        <w:rPr>
          <w:sz w:val="20"/>
          <w:szCs w:val="20"/>
          <w:color w:val="auto"/>
        </w:rPr>
      </w:pPr>
    </w:p>
    <w:p>
      <w:pPr>
        <w:ind w:firstLine="8"/>
        <w:spacing w:after="0" w:line="244" w:lineRule="auto"/>
        <w:tabs>
          <w:tab w:leader="none" w:pos="297" w:val="left"/>
        </w:tabs>
        <w:numPr>
          <w:ilvl w:val="0"/>
          <w:numId w:val="180"/>
        </w:numPr>
        <w:rPr>
          <w:rFonts w:ascii="Arial" w:cs="Arial" w:eastAsia="Arial" w:hAnsi="Arial"/>
          <w:sz w:val="20"/>
          <w:szCs w:val="20"/>
          <w:color w:val="auto"/>
        </w:rPr>
      </w:pPr>
      <w:r>
        <w:rPr>
          <w:rFonts w:ascii="Arial" w:cs="Arial" w:eastAsia="Arial" w:hAnsi="Arial"/>
          <w:sz w:val="20"/>
          <w:szCs w:val="20"/>
          <w:color w:val="auto"/>
        </w:rPr>
        <w:t>any time that Agent renders to Borrowers a statement regarding the Loan Account, Agent shall send a copy of such statement to each Lender.</w:t>
      </w:r>
    </w:p>
    <w:p>
      <w:pPr>
        <w:spacing w:after="0" w:line="18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15.17 </w:t>
      </w:r>
      <w:r>
        <w:rPr>
          <w:rFonts w:ascii="Arial" w:cs="Arial" w:eastAsia="Arial" w:hAnsi="Arial"/>
          <w:sz w:val="18"/>
          <w:szCs w:val="18"/>
          <w:b w:val="1"/>
          <w:bCs w:val="1"/>
          <w:u w:val="single" w:color="auto"/>
          <w:color w:val="auto"/>
        </w:rPr>
        <w:t>Several Obligations; No Liability</w:t>
      </w:r>
      <w:r>
        <w:rPr>
          <w:rFonts w:ascii="Arial" w:cs="Arial" w:eastAsia="Arial" w:hAnsi="Arial"/>
          <w:sz w:val="18"/>
          <w:szCs w:val="18"/>
          <w:color w:val="auto"/>
        </w:rPr>
        <w:t xml:space="preserve">. Notwithstanding that certain of the Loan Documents now or hereafter may have been or will be executed only by or in favor of Agent in its capacity as such, and not by or in favor of the Lenders, any and all obligations on the part of Agent (if any) to make any credit available hereunder shall constitute the several (and not joint) obligations of the respective Lenders on a ratable basis, according to their respective Commitments, to make an amount of such credit not to exceed, in principal amount, at any one time outstanding, the amount of their respective Commitments. Nothing contained herein shall confer upon any Lender any interest in, or subject any Lender to any liability for, or in respect of, the business, assets, profits, losses, or liabilities of any other Lender. Each Lender shall be solely responsible for notifying its Participants of any matters relating to the Loan Documents to the extent any such notice may be required, and no Lender shall have any obligation, duty, or liability to any Participant of any other Lender. Except as provided in </w:t>
      </w:r>
      <w:r>
        <w:rPr>
          <w:rFonts w:ascii="Arial" w:cs="Arial" w:eastAsia="Arial" w:hAnsi="Arial"/>
          <w:sz w:val="18"/>
          <w:szCs w:val="18"/>
          <w:u w:val="single" w:color="auto"/>
          <w:color w:val="auto"/>
        </w:rPr>
        <w:t>Section 15.7</w:t>
      </w:r>
      <w:r>
        <w:rPr>
          <w:rFonts w:ascii="Arial" w:cs="Arial" w:eastAsia="Arial" w:hAnsi="Arial"/>
          <w:sz w:val="18"/>
          <w:szCs w:val="18"/>
          <w:color w:val="auto"/>
        </w:rPr>
        <w:t>, no member of the Lender Group shall have any liability for the acts of any other member of the Lender Group. No Lender shall be responsible to any Borrower or any other Person for any failure by any other Lender (or Bank Product Provider) to fulfill its obligations to make credit available hereunder, nor to advance for such Lender (or Bank Product Provider) or on its behalf, nor to take any other action on behalf of such Lender (or Bank Product Provider) hereunder or in connection with the financing contemplated herein.</w:t>
      </w:r>
    </w:p>
    <w:p>
      <w:pPr>
        <w:spacing w:after="0" w:line="169" w:lineRule="exact"/>
        <w:rPr>
          <w:sz w:val="20"/>
          <w:szCs w:val="20"/>
          <w:color w:val="auto"/>
        </w:rPr>
      </w:pPr>
    </w:p>
    <w:p>
      <w:pPr>
        <w:ind w:left="660" w:hanging="652"/>
        <w:spacing w:after="0"/>
        <w:tabs>
          <w:tab w:leader="none" w:pos="660" w:val="left"/>
        </w:tabs>
        <w:numPr>
          <w:ilvl w:val="0"/>
          <w:numId w:val="181"/>
        </w:numPr>
        <w:rPr>
          <w:rFonts w:ascii="Arial" w:cs="Arial" w:eastAsia="Arial" w:hAnsi="Arial"/>
          <w:sz w:val="20"/>
          <w:szCs w:val="20"/>
          <w:b w:val="1"/>
          <w:bCs w:val="1"/>
          <w:color w:val="auto"/>
        </w:rPr>
      </w:pPr>
      <w:r>
        <w:rPr>
          <w:rFonts w:ascii="Arial" w:cs="Arial" w:eastAsia="Arial" w:hAnsi="Arial"/>
          <w:sz w:val="20"/>
          <w:szCs w:val="20"/>
          <w:b w:val="1"/>
          <w:bCs w:val="1"/>
          <w:color w:val="auto"/>
        </w:rPr>
        <w:t>WITHHOLDING TAXES.</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color w:val="auto"/>
        </w:rPr>
        <w:t xml:space="preserve">16.1 </w:t>
      </w:r>
      <w:r>
        <w:rPr>
          <w:rFonts w:ascii="Arial" w:cs="Arial" w:eastAsia="Arial" w:hAnsi="Arial"/>
          <w:sz w:val="20"/>
          <w:szCs w:val="20"/>
          <w:b w:val="1"/>
          <w:bCs w:val="1"/>
          <w:u w:val="single" w:color="auto"/>
          <w:color w:val="auto"/>
        </w:rPr>
        <w:t>Payments</w:t>
      </w:r>
      <w:r>
        <w:rPr>
          <w:rFonts w:ascii="Arial" w:cs="Arial" w:eastAsia="Arial" w:hAnsi="Arial"/>
          <w:sz w:val="20"/>
          <w:szCs w:val="20"/>
          <w:color w:val="auto"/>
        </w:rPr>
        <w:t>. All payments made by any Loan Party under any Loan Document will be made free and clear of, and without deduction or withholding for, any Taxes, except as otherwise required by applicable law, and in the event any deduction or withholding of Taxes is required, the applicable Loan Party shall make the requisite withholding, promptly pay over to the applicable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8" w:name="page139"/>
    <w:bookmarkEnd w:id="138"/>
    <w:p>
      <w:pPr>
        <w:jc w:val="both"/>
        <w:spacing w:after="0" w:line="269" w:lineRule="auto"/>
        <w:rPr>
          <w:sz w:val="20"/>
          <w:szCs w:val="20"/>
          <w:color w:val="auto"/>
        </w:rPr>
      </w:pPr>
      <w:r>
        <w:rPr>
          <w:rFonts w:ascii="Arial" w:cs="Arial" w:eastAsia="Arial" w:hAnsi="Arial"/>
          <w:sz w:val="18"/>
          <w:szCs w:val="18"/>
          <w:color w:val="auto"/>
        </w:rPr>
        <w:t xml:space="preserve">the withheld tax, and furnish to Agent as promptly as possible after the date the payment of any such Tax is due pursuant to applicable law, certified copies of tax receipts evidencing such payment by the Loan Parties. Furthermore, if any such Tax is an Indemnified Taxes or an Indemnified Tax is so levied or imposed, the Loan Parties agree to pay the full amount of such Indemnified Taxes and such additional amounts as may be necessary so that every payment of all amounts due under this Agreement, any note, or Loan Document, including any amount paid pursuant to this </w:t>
      </w:r>
      <w:r>
        <w:rPr>
          <w:rFonts w:ascii="Arial" w:cs="Arial" w:eastAsia="Arial" w:hAnsi="Arial"/>
          <w:sz w:val="18"/>
          <w:szCs w:val="18"/>
          <w:u w:val="single" w:color="auto"/>
          <w:color w:val="auto"/>
        </w:rPr>
        <w:t>Section 16.1</w:t>
      </w:r>
      <w:r>
        <w:rPr>
          <w:rFonts w:ascii="Arial" w:cs="Arial" w:eastAsia="Arial" w:hAnsi="Arial"/>
          <w:sz w:val="18"/>
          <w:szCs w:val="18"/>
          <w:color w:val="auto"/>
        </w:rPr>
        <w:t xml:space="preserve"> after withholding or deduction for or on account of any Indemnified Taxes, will not be less than the amount provided for herein. The Loan Parties will promptly pay any Other Taxes or reimburse Agent for such Other Taxes upon Agent’s demand. The Loan Parties shall jointly and severally indemnify each Indemnified Person (as defined in </w:t>
      </w:r>
      <w:r>
        <w:rPr>
          <w:rFonts w:ascii="Arial" w:cs="Arial" w:eastAsia="Arial" w:hAnsi="Arial"/>
          <w:sz w:val="18"/>
          <w:szCs w:val="18"/>
          <w:u w:val="single" w:color="auto"/>
          <w:color w:val="auto"/>
        </w:rPr>
        <w:t>Section 10.3</w:t>
      </w:r>
      <w:r>
        <w:rPr>
          <w:rFonts w:ascii="Arial" w:cs="Arial" w:eastAsia="Arial" w:hAnsi="Arial"/>
          <w:sz w:val="18"/>
          <w:szCs w:val="18"/>
          <w:color w:val="auto"/>
        </w:rPr>
        <w:t>) (collectively a “</w:t>
      </w:r>
      <w:r>
        <w:rPr>
          <w:rFonts w:ascii="Arial" w:cs="Arial" w:eastAsia="Arial" w:hAnsi="Arial"/>
          <w:sz w:val="18"/>
          <w:szCs w:val="18"/>
          <w:u w:val="single" w:color="auto"/>
          <w:color w:val="auto"/>
        </w:rPr>
        <w:t>Tax Indemnitee</w:t>
      </w:r>
      <w:r>
        <w:rPr>
          <w:rFonts w:ascii="Arial" w:cs="Arial" w:eastAsia="Arial" w:hAnsi="Arial"/>
          <w:sz w:val="18"/>
          <w:szCs w:val="18"/>
          <w:color w:val="auto"/>
        </w:rPr>
        <w:t xml:space="preserve">”) for the full amount of Indemnified Taxes arising in connection with this Agreement or any other Loan Document or breach thereof by any Loan Party (including any Indemnified Taxes imposed or asserted on, or attributable to, amounts payable under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imposed on, or paid by, such Tax Indemnitee and all reasonable costs and expenses related thereto (including fees and disbursements of attorneys and other tax professionals), as and when they are incurred and irrespective of whether suit is brought, whether or not such Indemnified Taxes were correctly or legally imposed or asserted by the relevant Governmental Authority (other than Indemnified Taxes and additional amounts that a court of competent jurisdiction finally determines to have resulted from the gross negligence or willful misconduct of such Tax Indemnitee). The obligations of the Loan Parties under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shall survive the termination of this Agreement, the resignation and replacement of Agent, and the repayment of the Obligations.</w:t>
      </w:r>
    </w:p>
    <w:p>
      <w:pPr>
        <w:spacing w:after="0" w:line="16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16.2</w:t>
      </w:r>
      <w:r>
        <w:rPr>
          <w:sz w:val="20"/>
          <w:szCs w:val="20"/>
          <w:color w:val="auto"/>
        </w:rPr>
        <w:tab/>
      </w:r>
      <w:r>
        <w:rPr>
          <w:rFonts w:ascii="Arial" w:cs="Arial" w:eastAsia="Arial" w:hAnsi="Arial"/>
          <w:sz w:val="16"/>
          <w:szCs w:val="16"/>
          <w:b w:val="1"/>
          <w:bCs w:val="1"/>
          <w:u w:val="single" w:color="auto"/>
          <w:color w:val="auto"/>
        </w:rPr>
        <w:t>Exemptions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1304"/>
        <w:spacing w:after="0" w:line="246" w:lineRule="auto"/>
        <w:tabs>
          <w:tab w:leader="none" w:pos="1944" w:val="left"/>
        </w:tabs>
        <w:numPr>
          <w:ilvl w:val="0"/>
          <w:numId w:val="182"/>
        </w:numPr>
        <w:rPr>
          <w:rFonts w:ascii="Arial" w:cs="Arial" w:eastAsia="Arial" w:hAnsi="Arial"/>
          <w:sz w:val="20"/>
          <w:szCs w:val="20"/>
          <w:color w:val="auto"/>
        </w:rPr>
      </w:pPr>
      <w:r>
        <w:rPr>
          <w:rFonts w:ascii="Arial" w:cs="Arial" w:eastAsia="Arial" w:hAnsi="Arial"/>
          <w:sz w:val="20"/>
          <w:szCs w:val="20"/>
          <w:color w:val="auto"/>
        </w:rPr>
        <w:t>If a Lender or Participant is entitled to claim an exemption or reduction from United States withholding tax, such Lender or Participant agrees with and in favor of Agent, to deliver to Agent (or, in the case of a Participant, to the Lender granting the participation only) and Administrative Borrower on behalf of all Borrowers one of the following before receiving its first payment under this Agreement:</w:t>
      </w:r>
    </w:p>
    <w:p>
      <w:pPr>
        <w:spacing w:after="0" w:line="191" w:lineRule="exact"/>
        <w:rPr>
          <w:rFonts w:ascii="Arial" w:cs="Arial" w:eastAsia="Arial" w:hAnsi="Arial"/>
          <w:sz w:val="20"/>
          <w:szCs w:val="20"/>
          <w:color w:val="auto"/>
        </w:rPr>
      </w:pPr>
    </w:p>
    <w:p>
      <w:pPr>
        <w:jc w:val="both"/>
        <w:ind w:firstLine="1952"/>
        <w:spacing w:after="0" w:line="259" w:lineRule="auto"/>
        <w:tabs>
          <w:tab w:leader="none" w:pos="2592" w:val="left"/>
        </w:tabs>
        <w:numPr>
          <w:ilvl w:val="1"/>
          <w:numId w:val="182"/>
        </w:numPr>
        <w:rPr>
          <w:rFonts w:ascii="Arial" w:cs="Arial" w:eastAsia="Arial" w:hAnsi="Arial"/>
          <w:sz w:val="19"/>
          <w:szCs w:val="19"/>
          <w:color w:val="auto"/>
        </w:rPr>
      </w:pPr>
      <w:r>
        <w:rPr>
          <w:rFonts w:ascii="Arial" w:cs="Arial" w:eastAsia="Arial" w:hAnsi="Arial"/>
          <w:sz w:val="19"/>
          <w:szCs w:val="19"/>
          <w:color w:val="auto"/>
        </w:rPr>
        <w:t>if such Lender or Participant is entitled to claim an exemption from United States withholding tax pursuant to the portfolio interest exception, (A) a statement of the Lender or Participant, signed under penalty of perjury, that it is not a (I) a “bank” as described in Section 881(c)(3)(A) of the IRC, (II) a 10% shareholder of any Borrower (within the meaning of Section 871(h)(3)(B) of the IRC), or (III) a controlled foreign corporation related to Borrowers within the meaning of Section 864(d)(4) of the IRC, and (B) a properly completed and executed IRS Form W-8BEN, Form W-8BEN-E or Form W-8IMY (with proper attachments as applicable);</w:t>
      </w:r>
    </w:p>
    <w:p>
      <w:pPr>
        <w:spacing w:after="0" w:line="178" w:lineRule="exact"/>
        <w:rPr>
          <w:rFonts w:ascii="Arial" w:cs="Arial" w:eastAsia="Arial" w:hAnsi="Arial"/>
          <w:sz w:val="19"/>
          <w:szCs w:val="19"/>
          <w:color w:val="auto"/>
        </w:rPr>
      </w:pPr>
    </w:p>
    <w:p>
      <w:pPr>
        <w:jc w:val="both"/>
        <w:ind w:firstLine="1952"/>
        <w:spacing w:after="0" w:line="250" w:lineRule="auto"/>
        <w:tabs>
          <w:tab w:leader="none" w:pos="2592" w:val="left"/>
        </w:tabs>
        <w:numPr>
          <w:ilvl w:val="1"/>
          <w:numId w:val="182"/>
        </w:numPr>
        <w:rPr>
          <w:rFonts w:ascii="Arial" w:cs="Arial" w:eastAsia="Arial" w:hAnsi="Arial"/>
          <w:sz w:val="20"/>
          <w:szCs w:val="20"/>
          <w:color w:val="auto"/>
        </w:rPr>
      </w:pPr>
      <w:r>
        <w:rPr>
          <w:rFonts w:ascii="Arial" w:cs="Arial" w:eastAsia="Arial" w:hAnsi="Arial"/>
          <w:sz w:val="20"/>
          <w:szCs w:val="20"/>
          <w:color w:val="auto"/>
        </w:rPr>
        <w:t>if such Lender or Participant is entitled to claim an exemption from, or a reduction of, withholding tax under a United States tax treaty, a properly completed and executed copy of IRS Form W-8BEN or Form W-8BEN-E, as applicable;</w:t>
      </w:r>
    </w:p>
    <w:p>
      <w:pPr>
        <w:spacing w:after="0" w:line="185" w:lineRule="exact"/>
        <w:rPr>
          <w:rFonts w:ascii="Arial" w:cs="Arial" w:eastAsia="Arial" w:hAnsi="Arial"/>
          <w:sz w:val="20"/>
          <w:szCs w:val="20"/>
          <w:color w:val="auto"/>
        </w:rPr>
      </w:pPr>
    </w:p>
    <w:p>
      <w:pPr>
        <w:jc w:val="both"/>
        <w:ind w:firstLine="1952"/>
        <w:spacing w:after="0" w:line="250" w:lineRule="auto"/>
        <w:tabs>
          <w:tab w:leader="none" w:pos="2592" w:val="left"/>
        </w:tabs>
        <w:numPr>
          <w:ilvl w:val="1"/>
          <w:numId w:val="182"/>
        </w:numPr>
        <w:rPr>
          <w:rFonts w:ascii="Arial" w:cs="Arial" w:eastAsia="Arial" w:hAnsi="Arial"/>
          <w:sz w:val="20"/>
          <w:szCs w:val="20"/>
          <w:color w:val="auto"/>
        </w:rPr>
      </w:pPr>
      <w:r>
        <w:rPr>
          <w:rFonts w:ascii="Arial" w:cs="Arial" w:eastAsia="Arial" w:hAnsi="Arial"/>
          <w:sz w:val="20"/>
          <w:szCs w:val="20"/>
          <w:color w:val="auto"/>
        </w:rPr>
        <w:t>if such Lender or Participant is entitled to claim that interest paid under this Agreement is exempt from United States withholding tax because it is effectively connected with a United States trade or business of such Lender, a properly completed and executed copy of IRS Form W-8ECI;</w:t>
      </w:r>
    </w:p>
    <w:p>
      <w:pPr>
        <w:spacing w:after="0" w:line="185" w:lineRule="exact"/>
        <w:rPr>
          <w:rFonts w:ascii="Arial" w:cs="Arial" w:eastAsia="Arial" w:hAnsi="Arial"/>
          <w:sz w:val="20"/>
          <w:szCs w:val="20"/>
          <w:color w:val="auto"/>
        </w:rPr>
      </w:pPr>
    </w:p>
    <w:p>
      <w:pPr>
        <w:jc w:val="both"/>
        <w:ind w:firstLine="1952"/>
        <w:spacing w:after="0" w:line="244" w:lineRule="auto"/>
        <w:tabs>
          <w:tab w:leader="none" w:pos="2592" w:val="left"/>
        </w:tabs>
        <w:numPr>
          <w:ilvl w:val="1"/>
          <w:numId w:val="182"/>
        </w:numPr>
        <w:rPr>
          <w:rFonts w:ascii="Arial" w:cs="Arial" w:eastAsia="Arial" w:hAnsi="Arial"/>
          <w:sz w:val="20"/>
          <w:szCs w:val="20"/>
          <w:color w:val="auto"/>
        </w:rPr>
      </w:pPr>
      <w:r>
        <w:rPr>
          <w:rFonts w:ascii="Arial" w:cs="Arial" w:eastAsia="Arial" w:hAnsi="Arial"/>
          <w:sz w:val="20"/>
          <w:szCs w:val="20"/>
          <w:color w:val="auto"/>
        </w:rPr>
        <w:t>if such Lender or Participant is entitled to claim that interest paid under this Agreement is exempt from United States withholding tax because such Lender or Participant serves as an intermediary, a properly completed and executed copy of IRS Form W-8IMY (including a withholding statement and copies of the tax certification documentation for its beneficial owner(s) of the income paid to the intermediary, if required based on its status provided on the Form W-8IMY);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39" w:name="page140"/>
    <w:bookmarkEnd w:id="139"/>
    <w:p>
      <w:pPr>
        <w:jc w:val="both"/>
        <w:ind w:firstLine="1952"/>
        <w:spacing w:after="0" w:line="250" w:lineRule="auto"/>
        <w:tabs>
          <w:tab w:leader="none" w:pos="2592" w:val="left"/>
        </w:tabs>
        <w:numPr>
          <w:ilvl w:val="1"/>
          <w:numId w:val="183"/>
        </w:numPr>
        <w:rPr>
          <w:rFonts w:ascii="Arial" w:cs="Arial" w:eastAsia="Arial" w:hAnsi="Arial"/>
          <w:sz w:val="20"/>
          <w:szCs w:val="20"/>
          <w:color w:val="auto"/>
        </w:rPr>
      </w:pPr>
      <w:r>
        <w:rPr>
          <w:rFonts w:ascii="Arial" w:cs="Arial" w:eastAsia="Arial" w:hAnsi="Arial"/>
          <w:sz w:val="20"/>
          <w:szCs w:val="20"/>
          <w:color w:val="auto"/>
        </w:rPr>
        <w:t>a properly completed and executed copy of any other form or forms, including IRS Form W-9, as may be required under the IRC or other laws of the United States as a condition to exemption from, or reduction of, United States withholding or backup withholding tax.</w:t>
      </w:r>
    </w:p>
    <w:p>
      <w:pPr>
        <w:spacing w:after="0" w:line="186" w:lineRule="exact"/>
        <w:rPr>
          <w:rFonts w:ascii="Arial" w:cs="Arial" w:eastAsia="Arial" w:hAnsi="Arial"/>
          <w:sz w:val="20"/>
          <w:szCs w:val="20"/>
          <w:color w:val="auto"/>
        </w:rPr>
      </w:pPr>
    </w:p>
    <w:p>
      <w:pPr>
        <w:jc w:val="both"/>
        <w:ind w:firstLine="1304"/>
        <w:spacing w:after="0" w:line="246" w:lineRule="auto"/>
        <w:tabs>
          <w:tab w:leader="none" w:pos="1944" w:val="left"/>
        </w:tabs>
        <w:numPr>
          <w:ilvl w:val="0"/>
          <w:numId w:val="184"/>
        </w:numPr>
        <w:rPr>
          <w:rFonts w:ascii="Arial" w:cs="Arial" w:eastAsia="Arial" w:hAnsi="Arial"/>
          <w:sz w:val="20"/>
          <w:szCs w:val="20"/>
          <w:color w:val="auto"/>
        </w:rPr>
      </w:pPr>
      <w:r>
        <w:rPr>
          <w:rFonts w:ascii="Arial" w:cs="Arial" w:eastAsia="Arial" w:hAnsi="Arial"/>
          <w:sz w:val="20"/>
          <w:szCs w:val="20"/>
          <w:color w:val="auto"/>
        </w:rPr>
        <w:t>Each Lender or Participant shall provide new forms (or successor forms) upon the expiration or obsolescence of any previously delivered forms and promptly notify Agent and Administrative Borrower (or, in the case of a Participant, to the Lender granting the participation only) of any change in circumstances which would modify or render invalid any claimed exemption or reduction.</w:t>
      </w:r>
    </w:p>
    <w:p>
      <w:pPr>
        <w:spacing w:after="0" w:line="191" w:lineRule="exact"/>
        <w:rPr>
          <w:rFonts w:ascii="Arial" w:cs="Arial" w:eastAsia="Arial" w:hAnsi="Arial"/>
          <w:sz w:val="20"/>
          <w:szCs w:val="20"/>
          <w:color w:val="auto"/>
        </w:rPr>
      </w:pPr>
    </w:p>
    <w:p>
      <w:pPr>
        <w:jc w:val="both"/>
        <w:ind w:firstLine="1304"/>
        <w:spacing w:after="0" w:line="255" w:lineRule="auto"/>
        <w:tabs>
          <w:tab w:leader="none" w:pos="1944" w:val="left"/>
        </w:tabs>
        <w:numPr>
          <w:ilvl w:val="0"/>
          <w:numId w:val="184"/>
        </w:numPr>
        <w:rPr>
          <w:rFonts w:ascii="Arial" w:cs="Arial" w:eastAsia="Arial" w:hAnsi="Arial"/>
          <w:sz w:val="19"/>
          <w:szCs w:val="19"/>
          <w:color w:val="auto"/>
        </w:rPr>
      </w:pPr>
      <w:r>
        <w:rPr>
          <w:rFonts w:ascii="Arial" w:cs="Arial" w:eastAsia="Arial" w:hAnsi="Arial"/>
          <w:sz w:val="19"/>
          <w:szCs w:val="19"/>
          <w:color w:val="auto"/>
        </w:rPr>
        <w:t xml:space="preserve">If a Lender or Participant claims an exemption from withholding tax in a jurisdiction other than the United States, such Lender or such Participant agrees with and in favor of Agent and Borrowers, to deliver to Agent and Administrative Borrower (or, in the case of a Participant, to the Lender granting the participation only) any such form or forms, as may be required under the laws of such jurisdiction as a condition to exemption from, or reduction of, foreign withholding or backup withholding tax before receiving its first payment under this Agreement, but only if such Lender or such Participant is legally able to deliver such forms, or the providing of or delivery of such forms in the Lender’s reasonable judgment would not subject such Lender to any material unreimbursed cost or expense or materially prejudice the legal or commercial position of such Lender (or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nothing in this </w:t>
      </w:r>
      <w:r>
        <w:rPr>
          <w:rFonts w:ascii="Arial" w:cs="Arial" w:eastAsia="Arial" w:hAnsi="Arial"/>
          <w:sz w:val="19"/>
          <w:szCs w:val="19"/>
          <w:u w:val="single" w:color="auto"/>
          <w:color w:val="auto"/>
        </w:rPr>
        <w:t>Section 16.2(c)</w:t>
      </w:r>
      <w:r>
        <w:rPr>
          <w:rFonts w:ascii="Arial" w:cs="Arial" w:eastAsia="Arial" w:hAnsi="Arial"/>
          <w:sz w:val="19"/>
          <w:szCs w:val="19"/>
          <w:color w:val="auto"/>
        </w:rPr>
        <w:t xml:space="preserve"> shall require a Lender or Participant to disclose any information that it deems to be confidential (including its tax returns). Each Lender and each Participant shall provide new forms (or successor forms) upon the expiration or obsolescence of any previously delivered forms and promptly notify Agent and Administrative Borrower (or, in the case of a Participant, to the Lender granting the participation only) of any change in circumstances which would modify or render invalid any claimed exemption or reduction.</w:t>
      </w:r>
    </w:p>
    <w:p>
      <w:pPr>
        <w:spacing w:after="0" w:line="181" w:lineRule="exact"/>
        <w:rPr>
          <w:rFonts w:ascii="Arial" w:cs="Arial" w:eastAsia="Arial" w:hAnsi="Arial"/>
          <w:sz w:val="19"/>
          <w:szCs w:val="19"/>
          <w:color w:val="auto"/>
        </w:rPr>
      </w:pPr>
    </w:p>
    <w:p>
      <w:pPr>
        <w:jc w:val="both"/>
        <w:ind w:firstLine="1304"/>
        <w:spacing w:after="0" w:line="271" w:lineRule="auto"/>
        <w:tabs>
          <w:tab w:leader="none" w:pos="1944" w:val="left"/>
        </w:tabs>
        <w:numPr>
          <w:ilvl w:val="0"/>
          <w:numId w:val="184"/>
        </w:numPr>
        <w:rPr>
          <w:rFonts w:ascii="Arial" w:cs="Arial" w:eastAsia="Arial" w:hAnsi="Arial"/>
          <w:sz w:val="18"/>
          <w:szCs w:val="18"/>
          <w:color w:val="auto"/>
        </w:rPr>
      </w:pPr>
      <w:r>
        <w:rPr>
          <w:rFonts w:ascii="Arial" w:cs="Arial" w:eastAsia="Arial" w:hAnsi="Arial"/>
          <w:sz w:val="18"/>
          <w:szCs w:val="18"/>
          <w:color w:val="auto"/>
        </w:rPr>
        <w:t xml:space="preserve">If a Lender or Participant claims exemption from, or reduction of, withholding tax and such Lender or Participant sells, assigns, grants a participation in, or otherwise transfers all or part of the Obligations of Borrowers to such Lender or Participant, such Lender or Participant agrees to notify Agent and Administrative Borrower (or, in the case of a sale of a participation interest, to the Lender granting the participation only) of the percentage amount in which it is no longer the beneficial owner of Obligations of Borrowers to such Lender or Participant. To the extent of such percentage amount, Agent and Administrative Borrower will treat such Lender’s or such Participant’s documentation provided pursuant to </w:t>
      </w:r>
      <w:r>
        <w:rPr>
          <w:rFonts w:ascii="Arial" w:cs="Arial" w:eastAsia="Arial" w:hAnsi="Arial"/>
          <w:sz w:val="18"/>
          <w:szCs w:val="18"/>
          <w:u w:val="single" w:color="auto"/>
          <w:color w:val="auto"/>
        </w:rPr>
        <w:t>Section 16.2(a)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16.2(c)</w:t>
      </w:r>
      <w:r>
        <w:rPr>
          <w:rFonts w:ascii="Arial" w:cs="Arial" w:eastAsia="Arial" w:hAnsi="Arial"/>
          <w:sz w:val="18"/>
          <w:szCs w:val="18"/>
          <w:color w:val="auto"/>
        </w:rPr>
        <w:t xml:space="preserve"> as no longer valid. With respect to such percentage amount, such Participant or Assignee may provide new documentation, pursuant to </w:t>
      </w:r>
      <w:r>
        <w:rPr>
          <w:rFonts w:ascii="Arial" w:cs="Arial" w:eastAsia="Arial" w:hAnsi="Arial"/>
          <w:sz w:val="18"/>
          <w:szCs w:val="18"/>
          <w:u w:val="single" w:color="auto"/>
          <w:color w:val="auto"/>
        </w:rPr>
        <w:t>Section 16.2(a)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16.2(c)</w:t>
      </w:r>
      <w:r>
        <w:rPr>
          <w:rFonts w:ascii="Arial" w:cs="Arial" w:eastAsia="Arial" w:hAnsi="Arial"/>
          <w:sz w:val="18"/>
          <w:szCs w:val="18"/>
          <w:color w:val="auto"/>
        </w:rPr>
        <w:t xml:space="preserve">, if applicable. Borrowers agree that each Participant shall be entitled to the benefits of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with respect to its participation in any portion of the Commitments and the Obligations so long as such Participant complies with the obligations set forth in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with respect thereto.</w:t>
      </w:r>
    </w:p>
    <w:p>
      <w:pPr>
        <w:spacing w:after="0" w:line="173" w:lineRule="exact"/>
        <w:rPr>
          <w:rFonts w:ascii="Arial" w:cs="Arial" w:eastAsia="Arial" w:hAnsi="Arial"/>
          <w:sz w:val="18"/>
          <w:szCs w:val="18"/>
          <w:color w:val="auto"/>
        </w:rPr>
      </w:pPr>
    </w:p>
    <w:p>
      <w:pPr>
        <w:jc w:val="both"/>
        <w:ind w:firstLine="1304"/>
        <w:spacing w:after="0" w:line="255" w:lineRule="auto"/>
        <w:tabs>
          <w:tab w:leader="none" w:pos="1944" w:val="left"/>
        </w:tabs>
        <w:numPr>
          <w:ilvl w:val="0"/>
          <w:numId w:val="184"/>
        </w:numPr>
        <w:rPr>
          <w:rFonts w:ascii="Arial" w:cs="Arial" w:eastAsia="Arial" w:hAnsi="Arial"/>
          <w:sz w:val="19"/>
          <w:szCs w:val="19"/>
          <w:color w:val="auto"/>
        </w:rPr>
      </w:pPr>
      <w:r>
        <w:rPr>
          <w:rFonts w:ascii="Arial" w:cs="Arial" w:eastAsia="Arial" w:hAnsi="Arial"/>
          <w:sz w:val="19"/>
          <w:szCs w:val="19"/>
          <w:color w:val="auto"/>
        </w:rPr>
        <w:t>If a payment made to a Lender under any Loan Document would be subject to U.S. federal withholding tax imposed by FATCA if such Lender were to fail to comply with the applicable due diligence and reporting requirements of FATCA (including those contained in Section 1471(b) or 1472(b) of the IRC, as applicable), such Lender shall deliver to Agent (or, in the case of a Participant, to the Lender granting the participation only) at the time or times prescribed by law and at such time or times reasonably requested by Agent (or, in the case of a Participant, the Lender granting the participation) such documentation prescribed by applicable law (including as prescribed by Section 1471(b)(3) (C)(i) of the IRC) and such additional documentation reasonably requested by Agent (or, in the case of a Participant, the Lender granting the participation) as may be necessary for Agent or Borrowers to comply with their obligations under FATCA and to determine that such Lender has complied with such Lender’s obligations under FATCA or to determine the amount to deduct and withhold from such payment. Solely for purposes of this clause (e), “FATCA” shall include any amendments made to FATCA after the date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0" w:name="page141"/>
    <w:bookmarkEnd w:id="140"/>
    <w:p>
      <w:pPr>
        <w:ind w:left="660"/>
        <w:spacing w:after="0"/>
        <w:tabs>
          <w:tab w:leader="none" w:pos="128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6"/>
          <w:szCs w:val="16"/>
          <w:b w:val="1"/>
          <w:bCs w:val="1"/>
          <w:u w:val="single" w:color="auto"/>
          <w:color w:val="auto"/>
        </w:rPr>
        <w:t>Reductions</w:t>
      </w:r>
      <w:r>
        <w:rPr>
          <w:rFonts w:ascii="Arial" w:cs="Arial" w:eastAsia="Arial" w:hAnsi="Arial"/>
          <w:sz w:val="16"/>
          <w:szCs w:val="16"/>
          <w:b w:val="1"/>
          <w:bCs w:val="1"/>
          <w:color w:val="auto"/>
        </w:rPr>
        <w:t>.</w:t>
      </w:r>
    </w:p>
    <w:p>
      <w:pPr>
        <w:spacing w:after="0" w:line="223" w:lineRule="exact"/>
        <w:rPr>
          <w:sz w:val="20"/>
          <w:szCs w:val="20"/>
          <w:color w:val="auto"/>
        </w:rPr>
      </w:pPr>
    </w:p>
    <w:p>
      <w:pPr>
        <w:jc w:val="both"/>
        <w:ind w:firstLine="1304"/>
        <w:spacing w:after="0" w:line="276" w:lineRule="auto"/>
        <w:tabs>
          <w:tab w:leader="none" w:pos="194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If a Lender or a Participant is subject to an applicable withholding tax, Agent (or, in the case of a Participant, the Lender granting the participation) may withhold from any payment to such Lender or such Participant an amount equivalent to the applicable withholding tax. If the forms or other documentation required by </w:t>
      </w:r>
      <w:r>
        <w:rPr>
          <w:rFonts w:ascii="Arial" w:cs="Arial" w:eastAsia="Arial" w:hAnsi="Arial"/>
          <w:sz w:val="18"/>
          <w:szCs w:val="18"/>
          <w:u w:val="single" w:color="auto"/>
          <w:color w:val="auto"/>
        </w:rPr>
        <w:t>Section 16.2(a)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16.2(c)</w:t>
      </w:r>
      <w:r>
        <w:rPr>
          <w:rFonts w:ascii="Arial" w:cs="Arial" w:eastAsia="Arial" w:hAnsi="Arial"/>
          <w:sz w:val="18"/>
          <w:szCs w:val="18"/>
          <w:color w:val="auto"/>
        </w:rPr>
        <w:t xml:space="preserve"> are not delivered to Agent (or, in the case of a Participant, to the Lender granting the participation), then Agent (or, in the case of a Participant, to the Lender granting the participation) may withhold from any payment to such Lender or such Participant not providing such forms or other documentation an amount equivalent to the applicable withholding tax.</w:t>
      </w:r>
    </w:p>
    <w:p>
      <w:pPr>
        <w:spacing w:after="0" w:line="164" w:lineRule="exact"/>
        <w:rPr>
          <w:rFonts w:ascii="Arial" w:cs="Arial" w:eastAsia="Arial" w:hAnsi="Arial"/>
          <w:sz w:val="18"/>
          <w:szCs w:val="18"/>
          <w:color w:val="auto"/>
        </w:rPr>
      </w:pPr>
    </w:p>
    <w:p>
      <w:pPr>
        <w:jc w:val="both"/>
        <w:ind w:firstLine="1304"/>
        <w:spacing w:after="0" w:line="255" w:lineRule="auto"/>
        <w:tabs>
          <w:tab w:leader="none" w:pos="1944"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xml:space="preserve">If the IRS or any other Governmental Authority of the United States or other jurisdiction asserts a claim that Agent (or, in the case of a Participant, to the Lender granting the participation) did not properly withhold tax from amounts paid to or for the account of any Lender or any Participant due to a failure on the part of the Lender or any Participant (because the appropriate form was not delivered, was not properly executed, or because such Lender failed to notify Agent (or such Participant failed to notify the Lender granting the participation) of a change in circumstances which rendered the exemption from, or reduction of, withholding tax ineffective, or for any other reason) such Lender shall indemnify and hold Agent harmless (or, in the case of a Participant, such Participant shall indemnify and hold the Lender granting the participation harmless) for all amounts paid, directly or indirectly, by Agent (or, in the case of a Participant, to the Lender granting the participation), as tax or otherwise, including penalties and interest, and including any taxes imposed by any jurisdiction on the amounts payable to Agent (or, in the case of a Participant, to the Lender granting the participation only) under this </w:t>
      </w:r>
      <w:r>
        <w:rPr>
          <w:rFonts w:ascii="Arial" w:cs="Arial" w:eastAsia="Arial" w:hAnsi="Arial"/>
          <w:sz w:val="19"/>
          <w:szCs w:val="19"/>
          <w:u w:val="single" w:color="auto"/>
          <w:color w:val="auto"/>
        </w:rPr>
        <w:t>Section 16</w:t>
      </w:r>
      <w:r>
        <w:rPr>
          <w:rFonts w:ascii="Arial" w:cs="Arial" w:eastAsia="Arial" w:hAnsi="Arial"/>
          <w:sz w:val="19"/>
          <w:szCs w:val="19"/>
          <w:color w:val="auto"/>
        </w:rPr>
        <w:t>, together with all costs and expenses (including attorneys’ fees and expenses). The obligation of the Lenders and the Participants under this subsection shall survive the payment of all Obligations and the resignation or replacement of Agent.</w:t>
      </w:r>
    </w:p>
    <w:p>
      <w:pPr>
        <w:spacing w:after="0" w:line="17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16.4 </w:t>
      </w:r>
      <w:r>
        <w:rPr>
          <w:rFonts w:ascii="Arial" w:cs="Arial" w:eastAsia="Arial" w:hAnsi="Arial"/>
          <w:sz w:val="18"/>
          <w:szCs w:val="18"/>
          <w:b w:val="1"/>
          <w:bCs w:val="1"/>
          <w:u w:val="single" w:color="auto"/>
          <w:color w:val="auto"/>
        </w:rPr>
        <w:t>Refunds</w:t>
      </w:r>
      <w:r>
        <w:rPr>
          <w:rFonts w:ascii="Arial" w:cs="Arial" w:eastAsia="Arial" w:hAnsi="Arial"/>
          <w:sz w:val="18"/>
          <w:szCs w:val="18"/>
          <w:color w:val="auto"/>
        </w:rPr>
        <w:t xml:space="preserve">. If Agent or a Lender determines, in its sole discretion, that it has received a refund of any Indemnified Taxes to which the Loan Parties have paid additional amounts pursuant to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so long as no Default or Event of Default has occurred and is continuing, it shall pay over such refund to Administrative Borrower on behalf of the Loan Parties (but only to the extent of payments made, or additional amounts paid, by the Loan Parties under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with respect to Indemnified Taxes giving rise to such a refund), net of all out-of-pocket expenses of Agent or such Lender and without interest (other than any interest paid by the applicable Governmental Authority with respect to such a refund);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Loan Parties, upon the request of Agent or such Lender, agrees to repay the amount paid over to the Loan Parties (plus any penalties, interest or other charges, imposed by the applicable Governmental Authority, other than such penalties, interest or other charges imposed as a result of the willful misconduct or gross negligence of Agent or Lender hereunder as finally determined by a court of competent jurisdiction) to Agent or such Lender in the event Agent or such Lender is required to repay such refund to such Governmental Authority. Notwithstanding anything in this Agreement to the contrary, this </w:t>
      </w: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shall not be construed to require Agent or any Lender to make available its tax returns (or any other information which it deems confidential) to Loan Parties or any other Person or require Agent or any Lender to pay any amount to an indemnifying party pursuant to </w:t>
      </w:r>
      <w:r>
        <w:rPr>
          <w:rFonts w:ascii="Arial" w:cs="Arial" w:eastAsia="Arial" w:hAnsi="Arial"/>
          <w:sz w:val="18"/>
          <w:szCs w:val="18"/>
          <w:u w:val="single" w:color="auto"/>
          <w:color w:val="auto"/>
        </w:rPr>
        <w:t>Section 16.4</w:t>
      </w:r>
      <w:r>
        <w:rPr>
          <w:rFonts w:ascii="Arial" w:cs="Arial" w:eastAsia="Arial" w:hAnsi="Arial"/>
          <w:sz w:val="18"/>
          <w:szCs w:val="18"/>
          <w:color w:val="auto"/>
        </w:rPr>
        <w:t>, the payment of which would place Agent or such Lender (or their Affiliates) in a less favorable net after-Tax position than such Person would have been in if the Tax subject to indemnification and giving rise to such refund had not been deducted, withheld or otherwise imposed and the indemnification payments or additional amounts with respect to such Tax had never been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141" w:name="page142"/>
    <w:bookmarkEnd w:id="141"/>
    <w:p>
      <w:pPr>
        <w:ind w:left="660" w:hanging="652"/>
        <w:spacing w:after="0"/>
        <w:tabs>
          <w:tab w:leader="none" w:pos="660" w:val="left"/>
        </w:tabs>
        <w:numPr>
          <w:ilvl w:val="0"/>
          <w:numId w:val="186"/>
        </w:numPr>
        <w:rPr>
          <w:rFonts w:ascii="Arial" w:cs="Arial" w:eastAsia="Arial" w:hAnsi="Arial"/>
          <w:sz w:val="20"/>
          <w:szCs w:val="20"/>
          <w:b w:val="1"/>
          <w:bCs w:val="1"/>
          <w:color w:val="auto"/>
        </w:rPr>
      </w:pPr>
      <w:r>
        <w:rPr>
          <w:rFonts w:ascii="Arial" w:cs="Arial" w:eastAsia="Arial" w:hAnsi="Arial"/>
          <w:sz w:val="20"/>
          <w:szCs w:val="20"/>
          <w:b w:val="1"/>
          <w:bCs w:val="1"/>
          <w:color w:val="auto"/>
        </w:rPr>
        <w:t>GENERAL PROVISIONS.</w:t>
      </w:r>
    </w:p>
    <w:p>
      <w:pPr>
        <w:spacing w:after="0" w:line="21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17.1 </w:t>
      </w:r>
      <w:r>
        <w:rPr>
          <w:rFonts w:ascii="Arial" w:cs="Arial" w:eastAsia="Arial" w:hAnsi="Arial"/>
          <w:sz w:val="20"/>
          <w:szCs w:val="20"/>
          <w:b w:val="1"/>
          <w:bCs w:val="1"/>
          <w:u w:val="single" w:color="auto"/>
          <w:color w:val="auto"/>
        </w:rPr>
        <w:t>Effectiveness</w:t>
      </w:r>
      <w:r>
        <w:rPr>
          <w:rFonts w:ascii="Arial" w:cs="Arial" w:eastAsia="Arial" w:hAnsi="Arial"/>
          <w:sz w:val="20"/>
          <w:szCs w:val="20"/>
          <w:color w:val="auto"/>
        </w:rPr>
        <w:t>. This Agreement shall be binding and deemed effective when executed by each Borrower, Agent, and each Lender whose signature is provided for on the signature pages hereof.</w:t>
      </w:r>
    </w:p>
    <w:p>
      <w:pPr>
        <w:spacing w:after="0" w:line="16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color w:val="auto"/>
        </w:rPr>
        <w:t xml:space="preserve">17.2 </w:t>
      </w:r>
      <w:r>
        <w:rPr>
          <w:rFonts w:ascii="Arial" w:cs="Arial" w:eastAsia="Arial" w:hAnsi="Arial"/>
          <w:sz w:val="19"/>
          <w:szCs w:val="19"/>
          <w:b w:val="1"/>
          <w:bCs w:val="1"/>
          <w:u w:val="single" w:color="auto"/>
          <w:color w:val="auto"/>
        </w:rPr>
        <w:t>Section Headings</w:t>
      </w:r>
      <w:r>
        <w:rPr>
          <w:rFonts w:ascii="Arial" w:cs="Arial" w:eastAsia="Arial" w:hAnsi="Arial"/>
          <w:sz w:val="19"/>
          <w:szCs w:val="19"/>
          <w:color w:val="auto"/>
        </w:rPr>
        <w:t>. Headings and numbers have been set forth herein for convenience only. Unless the contrary is compelled by the context, everything contained in each Section applies equally to this entire Agreement.</w:t>
      </w:r>
    </w:p>
    <w:p>
      <w:pPr>
        <w:spacing w:after="0" w:line="14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 xml:space="preserve">17.3 </w:t>
      </w:r>
      <w:r>
        <w:rPr>
          <w:rFonts w:ascii="Arial" w:cs="Arial" w:eastAsia="Arial" w:hAnsi="Arial"/>
          <w:sz w:val="19"/>
          <w:szCs w:val="19"/>
          <w:b w:val="1"/>
          <w:bCs w:val="1"/>
          <w:u w:val="single" w:color="auto"/>
          <w:color w:val="auto"/>
        </w:rPr>
        <w:t>Interpretation</w:t>
      </w:r>
      <w:r>
        <w:rPr>
          <w:rFonts w:ascii="Arial" w:cs="Arial" w:eastAsia="Arial" w:hAnsi="Arial"/>
          <w:sz w:val="19"/>
          <w:szCs w:val="19"/>
          <w:color w:val="auto"/>
        </w:rPr>
        <w:t>. Neither this Agreement nor any uncertainty or ambiguity herein shall be construed against the Lender Group or any Borrower, whether under any rule of construction or otherwise. On the contrary, this Agreement has been reviewed by all parties and shall be construed and interpreted according to the ordinary meaning of the words used so as to accomplish fairly the purposes and intentions of all parties hereto.</w:t>
      </w:r>
    </w:p>
    <w:p>
      <w:pPr>
        <w:spacing w:after="0" w:line="16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17.4 </w:t>
      </w:r>
      <w:r>
        <w:rPr>
          <w:rFonts w:ascii="Arial" w:cs="Arial" w:eastAsia="Arial" w:hAnsi="Arial"/>
          <w:sz w:val="20"/>
          <w:szCs w:val="20"/>
          <w:b w:val="1"/>
          <w:bCs w:val="1"/>
          <w:u w:val="single" w:color="auto"/>
          <w:color w:val="auto"/>
        </w:rPr>
        <w:t>Severability of Provisions</w:t>
      </w:r>
      <w:r>
        <w:rPr>
          <w:rFonts w:ascii="Arial" w:cs="Arial" w:eastAsia="Arial" w:hAnsi="Arial"/>
          <w:sz w:val="20"/>
          <w:szCs w:val="20"/>
          <w:color w:val="auto"/>
        </w:rPr>
        <w:t>. Each provision of this Agreement shall be severable from every other provision of this Agreement for the purpose of determining the legal enforceability of any specific provision.</w:t>
      </w:r>
    </w:p>
    <w:p>
      <w:pPr>
        <w:spacing w:after="0" w:line="16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17.5 </w:t>
      </w:r>
      <w:r>
        <w:rPr>
          <w:rFonts w:ascii="Arial" w:cs="Arial" w:eastAsia="Arial" w:hAnsi="Arial"/>
          <w:sz w:val="18"/>
          <w:szCs w:val="18"/>
          <w:b w:val="1"/>
          <w:bCs w:val="1"/>
          <w:u w:val="single" w:color="auto"/>
          <w:color w:val="auto"/>
        </w:rPr>
        <w:t>Bank Product Providers</w:t>
      </w:r>
      <w:r>
        <w:rPr>
          <w:rFonts w:ascii="Arial" w:cs="Arial" w:eastAsia="Arial" w:hAnsi="Arial"/>
          <w:sz w:val="18"/>
          <w:szCs w:val="18"/>
          <w:color w:val="auto"/>
        </w:rPr>
        <w:t>. Each Bank Product Provider in its capacity as such shall be deemed a third party beneficiary hereof and of the provisions of the other Loan Documents for purposes of any reference in a Loan Document to the parties for whom Agent is acting. Agent hereby agrees to act as agent for such Bank Product Providers and, by virtue of entering into a Bank Product Agreement, the applicable Bank Product Provider shall be automatically deemed to have appointed Agent as its agent and to have accepted the benefits of the Loan Documents. It is understood and agreed that the rights and benefits of each Bank Product Provider under the Loan Documents consist exclusively of such Bank Product Provider’s being a beneficiary of the Liens and security interests (and, if applicable, guarantees) granted to Agent and the right to share in payments and collections out of the Collateral as more fully set forth herein. In addition, each Bank Product Provider, by virtue of entering into a Bank Product Agreement, shall be automatically deemed to have agreed that Agent shall have the right, but shall have no obligation, to establish, maintain, relax, or release reserves in respect of the Bank Product Obligations and that if reserves are established there is no obligation on the part of Agent to determine or insure whether the amount of any such reserve is appropriate or not. In connection with any such distribution of payments or proceeds of Collateral, Agent shall be entitled to assume no amounts are due or owing to any Bank Product Provider unless such Bank Product Provider has provided a written certification (setting forth a reasonably detailed calculation) to Agent as to the amounts that are due and owing to it and such written certification is received by Agent a reasonable period of time prior to the making of such distribution. Agent shall have no obligation to calculate the amount due and payable with respect to any Bank Products, but may rely upon the written certification of the amount due and payable from the applicable Bank Product Provider. In the absence of an updated certification, Agent shall be entitled to assume that the amount due and payable to the applicable Bank Product Provider is the amount last certified to Agent by such Bank Product Provider as being due and payable (less any distributions made to such Bank Product Provider on account thereof). Borrowers may obtain Bank Products from any Bank Product Provider, although Borrowers are not required to do so. Each Borrower acknowledges and agrees that no Bank Product Provider has committed to provide any Bank Products and that the providing of Bank Products by any Bank Product Provider is in the sole and absolute discretion of such Bank Product Provider. Notwithstanding anything to the contrary in this Agreement or any other Loan Document, no provider or holder of any Bank Product shall have any voting or approval rights hereunder (or be deemed a Lender) solely by virtue of its status as the provider or holder of such agreements or products or the Obligations owing thereunder, nor shall the consent of any such provider or holder be required (other than in their capacities as Lenders, to the extent applicable)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142" w:name="page143"/>
    <w:bookmarkEnd w:id="142"/>
    <w:p>
      <w:pPr>
        <w:jc w:val="both"/>
        <w:spacing w:after="0" w:line="261" w:lineRule="auto"/>
        <w:rPr>
          <w:sz w:val="20"/>
          <w:szCs w:val="20"/>
          <w:color w:val="auto"/>
        </w:rPr>
      </w:pPr>
      <w:r>
        <w:rPr>
          <w:rFonts w:ascii="Arial" w:cs="Arial" w:eastAsia="Arial" w:hAnsi="Arial"/>
          <w:sz w:val="20"/>
          <w:szCs w:val="20"/>
          <w:color w:val="auto"/>
        </w:rPr>
        <w:t>matter hereunder or under any of the other Loan Documents, including as to any matter relating to the Collateral or the release of Collateral or Guarantors.</w:t>
      </w:r>
    </w:p>
    <w:p>
      <w:pPr>
        <w:spacing w:after="0" w:line="17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 xml:space="preserve">17.6 </w:t>
      </w:r>
      <w:r>
        <w:rPr>
          <w:rFonts w:ascii="Arial" w:cs="Arial" w:eastAsia="Arial" w:hAnsi="Arial"/>
          <w:sz w:val="20"/>
          <w:szCs w:val="20"/>
          <w:b w:val="1"/>
          <w:bCs w:val="1"/>
          <w:u w:val="single" w:color="auto"/>
          <w:color w:val="auto"/>
        </w:rPr>
        <w:t>Debtor-Creditor Relationship</w:t>
      </w:r>
      <w:r>
        <w:rPr>
          <w:rFonts w:ascii="Arial" w:cs="Arial" w:eastAsia="Arial" w:hAnsi="Arial"/>
          <w:sz w:val="20"/>
          <w:szCs w:val="20"/>
          <w:color w:val="auto"/>
        </w:rPr>
        <w:t>. The relationship between the Lenders and Agent, on the one hand, and the Loan Parties, on the other hand, is solely that of creditor and debtor. No member of the Lender Group has (or shall be deemed to have) any fiduciary relationship or duty to any Loan Party arising out of or in connection with the Loan Documents or the transactions contemplated thereby, and there is no agency or joint venture relationship between the members of the Lender Group, on the one hand, and the Loan Parties, on the other hand, by virtue of any Loan Document or any transaction contemplated therein.</w:t>
      </w:r>
    </w:p>
    <w:p>
      <w:pPr>
        <w:spacing w:after="0" w:line="18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17.7 </w:t>
      </w:r>
      <w:r>
        <w:rPr>
          <w:rFonts w:ascii="Arial" w:cs="Arial" w:eastAsia="Arial" w:hAnsi="Arial"/>
          <w:sz w:val="18"/>
          <w:szCs w:val="18"/>
          <w:b w:val="1"/>
          <w:bCs w:val="1"/>
          <w:u w:val="single" w:color="auto"/>
          <w:color w:val="auto"/>
        </w:rPr>
        <w:t>Counterparts; Electronic Execution</w:t>
      </w:r>
      <w:r>
        <w:rPr>
          <w:rFonts w:ascii="Arial" w:cs="Arial" w:eastAsia="Arial" w:hAnsi="Arial"/>
          <w:sz w:val="18"/>
          <w:szCs w:val="18"/>
          <w:color w:val="auto"/>
        </w:rPr>
        <w:t xml:space="preserve">. This Agreement may be executed in any number of counterparts and by different parties on separate counterparts, each of which, when executed and delivered, shall be deemed to be an original, and all of which, when taken together, shall constitute but one and the same Agreement. Execution of any such counterpart may be by means of (a) an electronic signature that complies with the federal Electronic Signatures in Global and National Commerce Act, as in effect from time to time, state enactments of the Uniform Electronic Transactions Act, as in effect from time to time, or any other relevant and applicable electronic signatures law; (b) an original manual signature; or (c) a faxed, scanned, or photocopied manual signature. Each electronic signature or faxed, scanned, or photocopied manual signature shall for all purposes have the same validity, legal effect, and admissibility in evidence as an original manual signature. Agent reserves the right, in its discretion, to accept, deny, or condition acceptance of any electronic signature on this Agreement. Any party delivering an executed counterpart of this Agreement by faxed, scanned or photocopied manual signature shall also deliver an original manually executed counterpart, but the failure to deliver an original manually executed counterpart shall not affect the validity, enforceability and binding effect of this Agreement. The foregoing shall apply to each other Loan Document, and any notice delivered hereunder or thereunder,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7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17.8</w:t>
      </w:r>
      <w:r>
        <w:rPr>
          <w:sz w:val="20"/>
          <w:szCs w:val="20"/>
          <w:color w:val="auto"/>
        </w:rPr>
        <w:tab/>
      </w:r>
      <w:r>
        <w:rPr>
          <w:rFonts w:ascii="Arial" w:cs="Arial" w:eastAsia="Arial" w:hAnsi="Arial"/>
          <w:sz w:val="18"/>
          <w:szCs w:val="18"/>
          <w:b w:val="1"/>
          <w:bCs w:val="1"/>
          <w:u w:val="single" w:color="auto"/>
          <w:color w:val="auto"/>
        </w:rPr>
        <w:t>Revival and Reinstatement of Obligations; Certain Waivers</w:t>
      </w:r>
      <w:r>
        <w:rPr>
          <w:rFonts w:ascii="Arial" w:cs="Arial" w:eastAsia="Arial" w:hAnsi="Arial"/>
          <w:sz w:val="18"/>
          <w:szCs w:val="18"/>
          <w:b w:val="1"/>
          <w:bCs w:val="1"/>
          <w:color w:val="auto"/>
        </w:rPr>
        <w:t>.</w:t>
      </w:r>
    </w:p>
    <w:p>
      <w:pPr>
        <w:spacing w:after="0" w:line="19" w:lineRule="exact"/>
        <w:rPr>
          <w:sz w:val="20"/>
          <w:szCs w:val="20"/>
          <w:color w:val="auto"/>
        </w:rPr>
      </w:pPr>
    </w:p>
    <w:p>
      <w:pPr>
        <w:ind w:left="1960" w:hanging="656"/>
        <w:spacing w:after="0"/>
        <w:tabs>
          <w:tab w:leader="none" w:pos="196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If any member of the Lender Group or any Bank Product Provider repays, refunds, restores, or</w:t>
      </w:r>
    </w:p>
    <w:p>
      <w:pPr>
        <w:spacing w:after="0" w:line="213" w:lineRule="exact"/>
        <w:rPr>
          <w:sz w:val="20"/>
          <w:szCs w:val="20"/>
          <w:color w:val="auto"/>
        </w:rPr>
      </w:pPr>
    </w:p>
    <w:p>
      <w:pPr>
        <w:jc w:val="both"/>
        <w:spacing w:after="0" w:line="247" w:lineRule="auto"/>
        <w:rPr>
          <w:sz w:val="20"/>
          <w:szCs w:val="20"/>
          <w:color w:val="auto"/>
        </w:rPr>
      </w:pPr>
      <w:r>
        <w:rPr>
          <w:rFonts w:ascii="Arial" w:cs="Arial" w:eastAsia="Arial" w:hAnsi="Arial"/>
          <w:sz w:val="20"/>
          <w:szCs w:val="20"/>
          <w:color w:val="auto"/>
        </w:rPr>
        <w:t>returns in whole or in part, any payment or property (including any proceeds of Collateral) previously paid or transferred to such member of the Lender Group or such Bank Product Provider in full or partial satisfaction</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of any Obligation or on account of any other obligation of any Loan Party under any Loan Document or any Bank Product Agreement, because the payment, transfer, or the incurrence of the obligation so satisfied is asserted or declared to be void, voidable, or otherwise recoverable under any law relating to creditors’ rights, including provisions of the Bankruptcy Code relating to fraudulent transfers, preferences, or other voidable or recoverable obligations or transfers (each, a “</w:t>
      </w:r>
      <w:r>
        <w:rPr>
          <w:rFonts w:ascii="Arial" w:cs="Arial" w:eastAsia="Arial" w:hAnsi="Arial"/>
          <w:sz w:val="18"/>
          <w:szCs w:val="18"/>
          <w:u w:val="single" w:color="auto"/>
          <w:color w:val="auto"/>
        </w:rPr>
        <w:t>Voidable</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w:t>
      </w:r>
      <w:r>
        <w:rPr>
          <w:rFonts w:ascii="Arial" w:cs="Arial" w:eastAsia="Arial" w:hAnsi="Arial"/>
          <w:sz w:val="18"/>
          <w:szCs w:val="18"/>
          <w:color w:val="auto"/>
        </w:rPr>
        <w:t>”), or because such member of the Lender Group or Bank Product Provider elects to do so on the reasonable advice of its counsel in connection with a claim that the payment, transfer, or incurrence is or may be a Voidable Transfer, then, as to any such Voidable Transfer, or the amount thereof that such member of the Lender Group or Bank Product Provider elects to repay, restore, or return (including pursuant to a settlement of any claim in respect thereof), and as to all reasonable costs, expenses, and attorneys’ fees of such member of the Lender Group or Bank Product Provider related thereto, (i) the liability of the Loan Parties with respect to the amount or property paid, refunded, restored, or returned will automatically and immediately be revived, reinstated, and restored and will exist, and (ii) Agent’s Liens securing such liability shall be effective, revived, and remain in full force and effect, in each case, as fully as if such Voidable Transfer had never been made. If, prior to any of the foregoing, (A) Agent’s Liens shall have been released or terminated, or (B) any provision of this Agreement shall have been terminated or cancelled, Agent’s Liens, or such provision of this Agreement, shall be reinstated in full force and effect and such prior release, termination, cancellation or surrender shall not diminish, release, discharge, impair or otherwise affect the obligation of any Loan Party in respect of such liability or any Collateral securing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color w:val="auto"/>
        </w:rPr>
        <w:t>such liability. This provision shall survive the termination of this Agreement and the repayment in full of the Obligations.</w:t>
      </w:r>
    </w:p>
    <w:p>
      <w:pPr>
        <w:spacing w:after="0" w:line="240" w:lineRule="exact"/>
        <w:rPr>
          <w:sz w:val="20"/>
          <w:szCs w:val="20"/>
          <w:color w:val="auto"/>
        </w:rPr>
      </w:pPr>
    </w:p>
    <w:p>
      <w:pPr>
        <w:jc w:val="both"/>
        <w:ind w:firstLine="1304"/>
        <w:spacing w:after="0" w:line="246" w:lineRule="auto"/>
        <w:tabs>
          <w:tab w:leader="none" w:pos="1944" w:val="left"/>
        </w:tabs>
        <w:numPr>
          <w:ilvl w:val="0"/>
          <w:numId w:val="188"/>
        </w:numPr>
        <w:rPr>
          <w:rFonts w:ascii="Arial" w:cs="Arial" w:eastAsia="Arial" w:hAnsi="Arial"/>
          <w:sz w:val="20"/>
          <w:szCs w:val="20"/>
          <w:color w:val="auto"/>
        </w:rPr>
      </w:pPr>
      <w:r>
        <w:rPr>
          <w:rFonts w:ascii="Arial" w:cs="Arial" w:eastAsia="Arial" w:hAnsi="Arial"/>
          <w:sz w:val="20"/>
          <w:szCs w:val="20"/>
          <w:color w:val="auto"/>
        </w:rPr>
        <w:t>Anything to the contrary contained herein notwithstanding, if Agent or any Lender accepts a guaranty of only a portion of the Obligations pursuant to any guaranty, each Borrower hereby waives its right under Section 2822(a) of the California Civil Code or any similar laws of any other applicable jurisdiction to designate the portion of the Obligations satisfied by the applicable guarantor’s partial payment.</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17.9</w:t>
      </w:r>
      <w:r>
        <w:rPr>
          <w:sz w:val="20"/>
          <w:szCs w:val="20"/>
          <w:color w:val="auto"/>
        </w:rPr>
        <w:tab/>
      </w:r>
      <w:r>
        <w:rPr>
          <w:rFonts w:ascii="Arial" w:cs="Arial" w:eastAsia="Arial" w:hAnsi="Arial"/>
          <w:sz w:val="18"/>
          <w:szCs w:val="18"/>
          <w:b w:val="1"/>
          <w:bCs w:val="1"/>
          <w:u w:val="single" w:color="auto"/>
          <w:color w:val="auto"/>
        </w:rPr>
        <w:t>Confidentiality</w:t>
      </w:r>
      <w:r>
        <w:rPr>
          <w:rFonts w:ascii="Arial" w:cs="Arial" w:eastAsia="Arial" w:hAnsi="Arial"/>
          <w:sz w:val="18"/>
          <w:szCs w:val="18"/>
          <w:b w:val="1"/>
          <w:bCs w:val="1"/>
          <w:color w:val="auto"/>
        </w:rPr>
        <w:t>.</w:t>
      </w:r>
    </w:p>
    <w:p>
      <w:pPr>
        <w:spacing w:after="0" w:line="222" w:lineRule="exact"/>
        <w:rPr>
          <w:sz w:val="20"/>
          <w:szCs w:val="20"/>
          <w:color w:val="auto"/>
        </w:rPr>
      </w:pPr>
    </w:p>
    <w:p>
      <w:pPr>
        <w:jc w:val="both"/>
        <w:ind w:firstLine="1304"/>
        <w:spacing w:after="0" w:line="267" w:lineRule="auto"/>
        <w:tabs>
          <w:tab w:leader="none" w:pos="1944"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Agent and Lenders each individually (and not jointly or jointly and severally) agree that material, non-public information regarding the Loan Parties and their Subsidiaries, their operations, assets, and existing and contemplated business plans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shall be treated by Agent and the Lenders in a confidential manner, and shall not be disclosed by Agent and the Lenders to Persons who are not parties to this Agreement, except: (i) to attorneys for and other advisors, accountants, auditors, and consultants to any member of the Lender Group and to employees, directors and officers of any member of the Lender Group (the Persons in this clause (i), “</w:t>
      </w:r>
      <w:r>
        <w:rPr>
          <w:rFonts w:ascii="Arial" w:cs="Arial" w:eastAsia="Arial" w:hAnsi="Arial"/>
          <w:sz w:val="18"/>
          <w:szCs w:val="18"/>
          <w:u w:val="single" w:color="auto"/>
          <w:color w:val="auto"/>
        </w:rPr>
        <w:t>Lender Group</w:t>
      </w:r>
      <w:r>
        <w:rPr>
          <w:rFonts w:ascii="Arial" w:cs="Arial" w:eastAsia="Arial" w:hAnsi="Arial"/>
          <w:sz w:val="18"/>
          <w:szCs w:val="18"/>
          <w:color w:val="auto"/>
        </w:rPr>
        <w:t xml:space="preserve"> </w:t>
      </w:r>
      <w:r>
        <w:rPr>
          <w:rFonts w:ascii="Arial" w:cs="Arial" w:eastAsia="Arial" w:hAnsi="Arial"/>
          <w:sz w:val="18"/>
          <w:szCs w:val="18"/>
          <w:u w:val="single" w:color="auto"/>
          <w:color w:val="auto"/>
        </w:rPr>
        <w:t>Representatives</w:t>
      </w:r>
      <w:r>
        <w:rPr>
          <w:rFonts w:ascii="Arial" w:cs="Arial" w:eastAsia="Arial" w:hAnsi="Arial"/>
          <w:sz w:val="18"/>
          <w:szCs w:val="18"/>
          <w:color w:val="auto"/>
        </w:rPr>
        <w:t xml:space="preserve">”) on a “need to know” basis in connection with this Agreement and the transactions contemplated hereby and on a confidential basis, (ii) to Subsidiaries and Affiliates of any member of the Lender Group (including the Bank Product Providers);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Subsidiary or Affiliate shall have agreed to receive such information hereunder subject to the terms of this </w:t>
      </w:r>
      <w:r>
        <w:rPr>
          <w:rFonts w:ascii="Arial" w:cs="Arial" w:eastAsia="Arial" w:hAnsi="Arial"/>
          <w:sz w:val="18"/>
          <w:szCs w:val="18"/>
          <w:u w:val="single" w:color="auto"/>
          <w:color w:val="auto"/>
        </w:rPr>
        <w:t>Section 17.9</w:t>
      </w:r>
      <w:r>
        <w:rPr>
          <w:rFonts w:ascii="Arial" w:cs="Arial" w:eastAsia="Arial" w:hAnsi="Arial"/>
          <w:sz w:val="18"/>
          <w:szCs w:val="18"/>
          <w:color w:val="auto"/>
        </w:rPr>
        <w:t xml:space="preserve">, (iii) as may be required by regulatory authorities so long as such authorities are informed of the confidential nature of such information, (iv) as may be required by statute, decision, or judicial or administrative order, rule, or regulation; </w:t>
      </w:r>
      <w:r>
        <w:rPr>
          <w:rFonts w:ascii="Arial" w:cs="Arial" w:eastAsia="Arial" w:hAnsi="Arial"/>
          <w:sz w:val="18"/>
          <w:szCs w:val="18"/>
          <w:u w:val="single" w:color="auto"/>
          <w:color w:val="auto"/>
        </w:rPr>
        <w:t>provided</w:t>
      </w:r>
      <w:r>
        <w:rPr>
          <w:rFonts w:ascii="Arial" w:cs="Arial" w:eastAsia="Arial" w:hAnsi="Arial"/>
          <w:sz w:val="18"/>
          <w:szCs w:val="18"/>
          <w:color w:val="auto"/>
        </w:rPr>
        <w:t>, that (x) prior to any disclosure under this clause (iv), the disclosing party agrees to provide Borrowers with prior notice thereof, to the extent that it is practicable to do so and to the extent that the disclosing party is permitted to provide such prior notice to Borrowers pursuant to the terms of the applicable statute, decision, or judicial or administrative order, rule, or regulation (otherwise promptly thereafter to the extent so permitted) and</w:t>
      </w:r>
    </w:p>
    <w:p>
      <w:pPr>
        <w:spacing w:after="0" w:line="4" w:lineRule="exact"/>
        <w:rPr>
          <w:rFonts w:ascii="Arial" w:cs="Arial" w:eastAsia="Arial" w:hAnsi="Arial"/>
          <w:sz w:val="18"/>
          <w:szCs w:val="18"/>
          <w:color w:val="auto"/>
        </w:rPr>
      </w:pPr>
    </w:p>
    <w:p>
      <w:pPr>
        <w:jc w:val="both"/>
        <w:ind w:firstLine="8"/>
        <w:spacing w:after="0" w:line="267" w:lineRule="auto"/>
        <w:tabs>
          <w:tab w:leader="none" w:pos="283"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any disclosure under this clause (iv) shall be limited to the portion of the Confidential Information as may be required by such statute, decision, or judicial or administrative order, rule, or regulation, (v) as may be agreed to in advance in writing by Borrowers, (vi) as requested or required by any Governmental Authority pursuant to any subpoena or other legal process;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prior to any disclosure under this clause (vi) the disclosing party agrees to provide Borrowers with prior written notice thereof, to the extent that it is practicable to do so and to the extent that the disclosing party is permitted to provide such prior written notice to Borrowers pursuant to the terms of the subpoena or other legal process (otherwise promptly thereafter to the extent so permitted) and (y) any disclosure under this clause (vi) shall be limited to the portion of the Confidential Information as may be required by such Governmental Authority pursuant to such subpoena or other legal process, (vii) as to any such information that is or becomes generally available to the public (other than as a result of prohibited disclosure by Agent or the Lenders or the Lender Group Representatives), (viii) in connection with any assignment, participation or pledge of any Lender’s interest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prior to receipt of Confidential Information any such assignee, participant, or pledgee shall have agreed in writing to receive such Confidential Information either subject to the terms of this </w:t>
      </w:r>
      <w:r>
        <w:rPr>
          <w:rFonts w:ascii="Arial" w:cs="Arial" w:eastAsia="Arial" w:hAnsi="Arial"/>
          <w:sz w:val="18"/>
          <w:szCs w:val="18"/>
          <w:u w:val="single" w:color="auto"/>
          <w:color w:val="auto"/>
        </w:rPr>
        <w:t>Section 17.9</w:t>
      </w:r>
      <w:r>
        <w:rPr>
          <w:rFonts w:ascii="Arial" w:cs="Arial" w:eastAsia="Arial" w:hAnsi="Arial"/>
          <w:sz w:val="18"/>
          <w:szCs w:val="18"/>
          <w:color w:val="auto"/>
        </w:rPr>
        <w:t xml:space="preserve"> or pursuant to confidentiality requirements substantially similar to those contained in this </w:t>
      </w:r>
      <w:r>
        <w:rPr>
          <w:rFonts w:ascii="Arial" w:cs="Arial" w:eastAsia="Arial" w:hAnsi="Arial"/>
          <w:sz w:val="18"/>
          <w:szCs w:val="18"/>
          <w:u w:val="single" w:color="auto"/>
          <w:color w:val="auto"/>
        </w:rPr>
        <w:t>Section 17.9</w:t>
      </w:r>
      <w:r>
        <w:rPr>
          <w:rFonts w:ascii="Arial" w:cs="Arial" w:eastAsia="Arial" w:hAnsi="Arial"/>
          <w:sz w:val="18"/>
          <w:szCs w:val="18"/>
          <w:color w:val="auto"/>
        </w:rPr>
        <w:t xml:space="preserve"> (and such Person may disclose such Confidential Information to Persons employed or engaged by them as described in clause (i) above), (ix) in connection with any litigation or other adversary proceeding involving parties hereto which such litigation or adversary proceeding involves claims related to the rights or duties of such parties under this Agreement or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that prior to any disclosure to any Person (other than any Loan Party, Agent, any Lender, any of their respective Affiliates, or their respective counsel) under this clause (ix) with respect to litigation involving any Person (other than any Borrower, Agent, any Lender, any of their respective Affiliates, or their respective counsel), the disclosing party agrees to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4" w:name="page145"/>
    <w:bookmarkEnd w:id="144"/>
    <w:p>
      <w:pPr>
        <w:spacing w:after="0" w:line="261" w:lineRule="auto"/>
        <w:rPr>
          <w:sz w:val="20"/>
          <w:szCs w:val="20"/>
          <w:color w:val="auto"/>
        </w:rPr>
      </w:pPr>
      <w:r>
        <w:rPr>
          <w:rFonts w:ascii="Arial" w:cs="Arial" w:eastAsia="Arial" w:hAnsi="Arial"/>
          <w:sz w:val="20"/>
          <w:szCs w:val="20"/>
          <w:color w:val="auto"/>
        </w:rPr>
        <w:t>Borrowers with prior written notice thereof, and (x) in connection with, and to the extent reasonably necessary for, the exercise of any secured creditor remedy under this Agreement or under any other Loan Document.</w:t>
      </w:r>
    </w:p>
    <w:p>
      <w:pPr>
        <w:spacing w:after="0" w:line="176" w:lineRule="exact"/>
        <w:rPr>
          <w:sz w:val="20"/>
          <w:szCs w:val="20"/>
          <w:color w:val="auto"/>
        </w:rPr>
      </w:pPr>
    </w:p>
    <w:p>
      <w:pPr>
        <w:jc w:val="both"/>
        <w:ind w:firstLine="1304"/>
        <w:spacing w:after="0" w:line="243" w:lineRule="auto"/>
        <w:tabs>
          <w:tab w:leader="none" w:pos="1944" w:val="left"/>
        </w:tabs>
        <w:numPr>
          <w:ilvl w:val="0"/>
          <w:numId w:val="191"/>
        </w:numPr>
        <w:rPr>
          <w:rFonts w:ascii="Arial" w:cs="Arial" w:eastAsia="Arial" w:hAnsi="Arial"/>
          <w:sz w:val="20"/>
          <w:szCs w:val="20"/>
          <w:color w:val="auto"/>
        </w:rPr>
      </w:pPr>
      <w:r>
        <w:rPr>
          <w:rFonts w:ascii="Arial" w:cs="Arial" w:eastAsia="Arial" w:hAnsi="Arial"/>
          <w:sz w:val="20"/>
          <w:szCs w:val="20"/>
          <w:color w:val="auto"/>
        </w:rPr>
        <w:t>Anything in this Agreement to the contrary notwithstanding, Agent may disclose information concerning the terms and conditions of this Agreement and the other Loan Documents to loan syndication and pricing reporting services or in consultation with Administrative Borrower in its marketing or promotional materials, with such information to consist of deal terms and other information customarily found in such publications or marketing or promotional materials and may otherwise use the name, logos, and other insignia of any Borrower or the other Loan Parties and the Commitments provided hereunder in any “tombstone” or other advertisements, on its website or in other marketing materials of Agent.</w:t>
      </w:r>
    </w:p>
    <w:p>
      <w:pPr>
        <w:spacing w:after="0" w:line="192" w:lineRule="exact"/>
        <w:rPr>
          <w:rFonts w:ascii="Arial" w:cs="Arial" w:eastAsia="Arial" w:hAnsi="Arial"/>
          <w:sz w:val="20"/>
          <w:szCs w:val="20"/>
          <w:color w:val="auto"/>
        </w:rPr>
      </w:pPr>
    </w:p>
    <w:p>
      <w:pPr>
        <w:jc w:val="both"/>
        <w:ind w:firstLine="1304"/>
        <w:spacing w:after="0" w:line="268" w:lineRule="auto"/>
        <w:tabs>
          <w:tab w:leader="none" w:pos="194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Each Loan Party agrees that Agent may make materials or information provided by or on behalf of Borrowers hereunder (collectively, “</w:t>
      </w:r>
      <w:r>
        <w:rPr>
          <w:rFonts w:ascii="Arial" w:cs="Arial" w:eastAsia="Arial" w:hAnsi="Arial"/>
          <w:sz w:val="18"/>
          <w:szCs w:val="18"/>
          <w:u w:val="single" w:color="auto"/>
          <w:color w:val="auto"/>
        </w:rPr>
        <w:t>Borrower Materials</w:t>
      </w:r>
      <w:r>
        <w:rPr>
          <w:rFonts w:ascii="Arial" w:cs="Arial" w:eastAsia="Arial" w:hAnsi="Arial"/>
          <w:sz w:val="18"/>
          <w:szCs w:val="18"/>
          <w:color w:val="auto"/>
        </w:rPr>
        <w:t>”) available to the Lenders by posting the Borrower Materials on IntraLinks, SyndTrak or a substantially similar secure electronic transmission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The Platform is provided “as is” and “as available.” Agent does not warrant the accuracy or completeness of the Borrower Materials, or the adequacy of the Platform and expressly disclaim liability for errors or omissions in the communications. No warranty of any kind, express, implied or statutory, including any warranty of merchantability, fitness for a particular purpose, non-infringement of third party rights or freedom from viruses or other code defects, is made by Agent in connection with the Borrower Materials or the Platform. In no event shall Agent or any of the Agent-Related Persons have any liability to the Loan Parties, any Lender or any other person for damages of any kind, including direct or indirect, special, incidental or consequential damages, losses or expenses (whether in tort, contract or otherwise) arising out of any Loan Party’s or Agent’s transmission of communications through the Internet, except to the extent the liability of such person is found in a final non-appealable judgment by a court of competent jurisdiction to have resulted from such person’s gross negligence or willful misconduct. Each Loan Party further agrees that certain of the Lenders may be “public-side” Lenders (</w:t>
      </w:r>
      <w:r>
        <w:rPr>
          <w:rFonts w:ascii="Arial" w:cs="Arial" w:eastAsia="Arial" w:hAnsi="Arial"/>
          <w:sz w:val="18"/>
          <w:szCs w:val="18"/>
          <w:i w:val="1"/>
          <w:iCs w:val="1"/>
          <w:color w:val="auto"/>
        </w:rPr>
        <w:t>i.e.</w:t>
      </w:r>
      <w:r>
        <w:rPr>
          <w:rFonts w:ascii="Arial" w:cs="Arial" w:eastAsia="Arial" w:hAnsi="Arial"/>
          <w:sz w:val="18"/>
          <w:szCs w:val="18"/>
          <w:color w:val="auto"/>
        </w:rPr>
        <w:t>, Lenders that do not wish to receive material non-public information with respect to the Loan Parties or their securities) (each, a “</w:t>
      </w:r>
      <w:r>
        <w:rPr>
          <w:rFonts w:ascii="Arial" w:cs="Arial" w:eastAsia="Arial" w:hAnsi="Arial"/>
          <w:sz w:val="18"/>
          <w:szCs w:val="18"/>
          <w:u w:val="single" w:color="auto"/>
          <w:color w:val="auto"/>
        </w:rPr>
        <w:t>Public</w:t>
      </w:r>
      <w:r>
        <w:rPr>
          <w:rFonts w:ascii="Arial" w:cs="Arial" w:eastAsia="Arial" w:hAnsi="Arial"/>
          <w:sz w:val="18"/>
          <w:szCs w:val="18"/>
          <w:color w:val="auto"/>
        </w:rPr>
        <w:t xml:space="preserve"> </w:t>
      </w:r>
      <w:r>
        <w:rPr>
          <w:rFonts w:ascii="Arial" w:cs="Arial" w:eastAsia="Arial" w:hAnsi="Arial"/>
          <w:sz w:val="18"/>
          <w:szCs w:val="18"/>
          <w:u w:val="single" w:color="auto"/>
          <w:color w:val="auto"/>
        </w:rPr>
        <w:t>Lender</w:t>
      </w:r>
      <w:r>
        <w:rPr>
          <w:rFonts w:ascii="Arial" w:cs="Arial" w:eastAsia="Arial" w:hAnsi="Arial"/>
          <w:sz w:val="18"/>
          <w:szCs w:val="18"/>
          <w:color w:val="auto"/>
        </w:rPr>
        <w:t>”). The Loan Parties shall be deemed to have authorized Agent and its Affiliates and the Lenders to treat Borrower Materials marked “PUBLIC” or otherwise at any time filed with the SEC as not containing any material non-public information with respect to the Loan Parties or their securities for purposes of United States federal and state securities laws. All Borrower Materials marked “PUBLIC” are permitted to be made available through a portion of the Platform designated as “Public Investor” (or another similar term). Agent and its Affiliates and the Lenders shall be entitled to treat any Borrower Materials that are not marked “PUBLIC” or that are not at any time filed with the SEC as being suitable only for posting on a portion of the Platform not marked as “Public Investor” (or such other similar term).</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17.10 </w:t>
      </w:r>
      <w:r>
        <w:rPr>
          <w:rFonts w:ascii="Arial" w:cs="Arial" w:eastAsia="Arial" w:hAnsi="Arial"/>
          <w:sz w:val="19"/>
          <w:szCs w:val="19"/>
          <w:b w:val="1"/>
          <w:bCs w:val="1"/>
          <w:u w:val="single" w:color="auto"/>
          <w:color w:val="auto"/>
        </w:rPr>
        <w:t>Survival</w:t>
      </w:r>
      <w:r>
        <w:rPr>
          <w:rFonts w:ascii="Arial" w:cs="Arial" w:eastAsia="Arial" w:hAnsi="Arial"/>
          <w:sz w:val="19"/>
          <w:szCs w:val="19"/>
          <w:color w:val="auto"/>
        </w:rPr>
        <w:t>. All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Loans and issuance of any Letters of Credit, regardless of any investigation made by any such other party or on its behalf and notwithstanding that Agent, Issuing Bank, or any Lender may have had notice or knowledge of any Default or Event of Default or incorrect representation or warranty at the time any credit is extended hereunder, and shall continue in full force and effect as long as the principal of, or any accrued interest on, any Loan or any fee or any other amount payable under this Agreement is outstanding­ or unpaid or any Letter of Credit is outstanding and so long as the Commitments have not expired or been terminated.</w:t>
      </w:r>
    </w:p>
    <w:p>
      <w:pPr>
        <w:spacing w:after="0" w:line="17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color w:val="auto"/>
        </w:rPr>
        <w:t xml:space="preserve">17.11 </w:t>
      </w:r>
      <w:r>
        <w:rPr>
          <w:rFonts w:ascii="Arial" w:cs="Arial" w:eastAsia="Arial" w:hAnsi="Arial"/>
          <w:sz w:val="20"/>
          <w:szCs w:val="20"/>
          <w:b w:val="1"/>
          <w:bCs w:val="1"/>
          <w:u w:val="single" w:color="auto"/>
          <w:color w:val="auto"/>
        </w:rPr>
        <w:t>Patriot Act; Due Diligence</w:t>
      </w:r>
      <w:r>
        <w:rPr>
          <w:rFonts w:ascii="Arial" w:cs="Arial" w:eastAsia="Arial" w:hAnsi="Arial"/>
          <w:sz w:val="20"/>
          <w:szCs w:val="20"/>
          <w:color w:val="auto"/>
        </w:rPr>
        <w:t>. Each Lender that is subject to the requirements of the Patriot Act hereby notifies the Loan Parties that pursuant to the requirements of the Patriot Act, it is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5" w:name="page146"/>
    <w:bookmarkEnd w:id="145"/>
    <w:p>
      <w:pPr>
        <w:jc w:val="both"/>
        <w:spacing w:after="0" w:line="316" w:lineRule="auto"/>
        <w:rPr>
          <w:sz w:val="20"/>
          <w:szCs w:val="20"/>
          <w:color w:val="auto"/>
        </w:rPr>
      </w:pPr>
      <w:r>
        <w:rPr>
          <w:rFonts w:ascii="Arial" w:cs="Arial" w:eastAsia="Arial" w:hAnsi="Arial"/>
          <w:sz w:val="16"/>
          <w:szCs w:val="16"/>
          <w:color w:val="auto"/>
        </w:rPr>
        <w:t>obtain, verify and record information that identifies each Loan Party, which information includes the name and address of each Loan Party and other information that will allow such Lender to identify each Loan Party in accordance with the Patriot Act. In addition, Agent and each Lender shall have the right to periodically conduct due diligence on all Loan Parties, their senior management and key principals and legal and beneficial owners in respect of such requirements. Each Loan Party agrees to cooperate in respect of the conduct of such due diligence and further agrees that the reasonable costs and charges for any such due diligence by Agent shall constitute Lender Group Expenses hereunder and be for the account of Borrowers.</w:t>
      </w:r>
    </w:p>
    <w:p>
      <w:pPr>
        <w:spacing w:after="0" w:line="13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17.12 </w:t>
      </w:r>
      <w:r>
        <w:rPr>
          <w:rFonts w:ascii="Arial" w:cs="Arial" w:eastAsia="Arial" w:hAnsi="Arial"/>
          <w:sz w:val="20"/>
          <w:szCs w:val="20"/>
          <w:b w:val="1"/>
          <w:bCs w:val="1"/>
          <w:u w:val="single" w:color="auto"/>
          <w:color w:val="auto"/>
        </w:rPr>
        <w:t>Integration</w:t>
      </w:r>
      <w:r>
        <w:rPr>
          <w:rFonts w:ascii="Arial" w:cs="Arial" w:eastAsia="Arial" w:hAnsi="Arial"/>
          <w:sz w:val="20"/>
          <w:szCs w:val="20"/>
          <w:color w:val="auto"/>
        </w:rPr>
        <w:t>. This Agreement, together with the other Loan Documents, reflects the entire understanding of the parties with respect to the transactions contemplated hereby and shall not be contradicted or qualified by any other agreement, oral or written, before the date hereof. The foregoing to the contrary notwithstanding, all Bank Product Agreements, if any, are independent agreements governed by the written provisions of such Bank Product Agreements, which will remain in full force and effect, unaffected by any repayment, prepayments, acceleration, reduction, increase, or change in the terms of any credit extended hereunder, except as otherwise expressly provided in such Bank Product Agreement.</w:t>
      </w:r>
    </w:p>
    <w:p>
      <w:pPr>
        <w:spacing w:after="0" w:line="18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17.13 </w:t>
      </w:r>
      <w:r>
        <w:rPr>
          <w:rFonts w:ascii="Arial" w:cs="Arial" w:eastAsia="Arial" w:hAnsi="Arial"/>
          <w:sz w:val="18"/>
          <w:szCs w:val="18"/>
          <w:b w:val="1"/>
          <w:bCs w:val="1"/>
          <w:u w:val="single" w:color="auto"/>
          <w:color w:val="auto"/>
        </w:rPr>
        <w:t>Calavo Growers, Inc. as Agent for Borrowers</w:t>
      </w:r>
      <w:r>
        <w:rPr>
          <w:rFonts w:ascii="Arial" w:cs="Arial" w:eastAsia="Arial" w:hAnsi="Arial"/>
          <w:sz w:val="18"/>
          <w:szCs w:val="18"/>
          <w:color w:val="auto"/>
        </w:rPr>
        <w:t>. Each Borrower hereby irrevocably appoints Calavo Growers, Inc. as the borrowing agent and attorney-in-fact for all Borrowers (the “</w:t>
      </w:r>
      <w:r>
        <w:rPr>
          <w:rFonts w:ascii="Arial" w:cs="Arial" w:eastAsia="Arial" w:hAnsi="Arial"/>
          <w:sz w:val="18"/>
          <w:szCs w:val="18"/>
          <w:u w:val="single" w:color="auto"/>
          <w:color w:val="auto"/>
        </w:rPr>
        <w:t>Administrative Borrower</w:t>
      </w:r>
      <w:r>
        <w:rPr>
          <w:rFonts w:ascii="Arial" w:cs="Arial" w:eastAsia="Arial" w:hAnsi="Arial"/>
          <w:sz w:val="18"/>
          <w:szCs w:val="18"/>
          <w:color w:val="auto"/>
        </w:rPr>
        <w:t>”) which appointment shall remain in full force and effect unless and until Agent shall have received prior written notice signed by each Borrower that such appointment has been revoked and that another Borrower has been appointed Administrative Borrower. Each Borrower hereby irrevocably appoints and authorizes Administrative Borrower (a) to provide Agent with all notices with respect to Revolving Loans, Capex Advances, and Letters of Credit obtained for the benefit of any Borrower and all other notices and instructions under this Agreement and the other Loan Documents (and any notice or instruction provided by Administrative Borrower shall be deemed to be given by Borrowers hereunder and shall bind each Borrower),</w:t>
      </w:r>
    </w:p>
    <w:p>
      <w:pPr>
        <w:spacing w:after="0" w:line="2" w:lineRule="exact"/>
        <w:rPr>
          <w:sz w:val="20"/>
          <w:szCs w:val="20"/>
          <w:color w:val="auto"/>
        </w:rPr>
      </w:pPr>
    </w:p>
    <w:p>
      <w:pPr>
        <w:jc w:val="both"/>
        <w:ind w:firstLine="8"/>
        <w:spacing w:after="0" w:line="267" w:lineRule="auto"/>
        <w:tabs>
          <w:tab w:leader="none" w:pos="29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to receive notices and instructions from members of the Lender Group (and any notice or instruction provided by any member of the Lender Group to Administrative Borrower in accordance with the terms hereof shall be deemed to have been given to each Borrower), and (c) to take such action as Administrative Borrower deems appropriate on its behalf to obtain Revolving Loans, Capex Advances, and Letters of Credit and to exercise such other powers as are reasonably incidental thereto to carry out the purposes of this Agreement. It is understood that the handling of the Loan Account and Collateral in a combined fashion, as more fully set forth herein, is done solely as an accommodation to Borrowers in order to utilize the collective borrowing powers of Borrowers in the most efficient and economical manner and at their request, and that Lender Group shall not incur liability to any Borrower as a result hereof. Each Borrower expects to derive benefit, directly or indirectly, from the handling of the Loan Account and the Collateral in a combined fashion since the successful operation of each Borrower is dependent on the continued successful performance of the integrated group. To induce the Lender Group to do so, and in consideration thereof, each Borrower hereby jointly and severally agrees to indemnify each member of the Lender Group and hold each member of the Lender Group harmless against any and all liability, expense, loss or claim of damage or injury, made against the Lender Group by any Borrower or by any third party whosoever, arising from or incurred by reason of (i) the handling of the Loan Account and Collateral of Borrowers as herein provided, or (ii) the Lender Group’s relying on any instructions of Administrative Borrower</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except that Borrowers will have no liability to the relevant Agent-Related Person or Lender-Related Person under this </w:t>
      </w:r>
      <w:r>
        <w:rPr>
          <w:rFonts w:ascii="Arial" w:cs="Arial" w:eastAsia="Arial" w:hAnsi="Arial"/>
          <w:sz w:val="18"/>
          <w:szCs w:val="18"/>
          <w:u w:val="single" w:color="auto"/>
          <w:color w:val="auto"/>
        </w:rPr>
        <w:t>Section 17.13</w:t>
      </w:r>
      <w:r>
        <w:rPr>
          <w:rFonts w:ascii="Arial" w:cs="Arial" w:eastAsia="Arial" w:hAnsi="Arial"/>
          <w:sz w:val="18"/>
          <w:szCs w:val="18"/>
          <w:color w:val="auto"/>
        </w:rPr>
        <w:t xml:space="preserve"> with respect to any liability that has been finally determined by a court of competent jurisdiction to have resulted solely from the gross negligence or willful misconduct of such Agent-Related Person or Lender-Related Person, as the case may be.</w:t>
      </w:r>
    </w:p>
    <w:p>
      <w:pPr>
        <w:spacing w:after="0" w:line="18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color w:val="auto"/>
        </w:rPr>
        <w:t xml:space="preserve">17.14 </w:t>
      </w:r>
      <w:r>
        <w:rPr>
          <w:rFonts w:ascii="Arial" w:cs="Arial" w:eastAsia="Arial" w:hAnsi="Arial"/>
          <w:sz w:val="20"/>
          <w:szCs w:val="20"/>
          <w:b w:val="1"/>
          <w:bCs w:val="1"/>
          <w:u w:val="single" w:color="auto"/>
          <w:color w:val="auto"/>
        </w:rPr>
        <w:t>Acknowledgement and Consent to Bail-In of Affected Financial Institutions</w:t>
      </w:r>
      <w:r>
        <w:rPr>
          <w:rFonts w:ascii="Arial" w:cs="Arial" w:eastAsia="Arial" w:hAnsi="Arial"/>
          <w:sz w:val="20"/>
          <w:szCs w:val="20"/>
          <w:color w:val="auto"/>
        </w:rPr>
        <w:t>. Notwithstanding anything to the contrary in any Loan Document or in any other agreement, arrangement or understanding among any such parties, each party hereto acknowledges that any liability of any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6" w:name="page147"/>
    <w:bookmarkEnd w:id="146"/>
    <w:p>
      <w:pPr>
        <w:jc w:val="both"/>
        <w:spacing w:after="0" w:line="250" w:lineRule="auto"/>
        <w:rPr>
          <w:sz w:val="20"/>
          <w:szCs w:val="20"/>
          <w:color w:val="auto"/>
        </w:rPr>
      </w:pPr>
      <w:r>
        <w:rPr>
          <w:rFonts w:ascii="Arial" w:cs="Arial" w:eastAsia="Arial" w:hAnsi="Arial"/>
          <w:sz w:val="20"/>
          <w:szCs w:val="20"/>
          <w:color w:val="auto"/>
        </w:rPr>
        <w:t>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87" w:lineRule="exact"/>
        <w:rPr>
          <w:sz w:val="20"/>
          <w:szCs w:val="20"/>
          <w:color w:val="auto"/>
        </w:rPr>
      </w:pPr>
    </w:p>
    <w:p>
      <w:pPr>
        <w:jc w:val="both"/>
        <w:ind w:firstLine="1304"/>
        <w:spacing w:after="0" w:line="250" w:lineRule="auto"/>
        <w:tabs>
          <w:tab w:leader="none" w:pos="1944" w:val="left"/>
        </w:tabs>
        <w:numPr>
          <w:ilvl w:val="0"/>
          <w:numId w:val="193"/>
        </w:numPr>
        <w:rPr>
          <w:rFonts w:ascii="Arial" w:cs="Arial" w:eastAsia="Arial" w:hAnsi="Arial"/>
          <w:sz w:val="20"/>
          <w:szCs w:val="20"/>
          <w:color w:val="auto"/>
        </w:rPr>
      </w:pPr>
      <w:r>
        <w:rPr>
          <w:rFonts w:ascii="Arial" w:cs="Arial" w:eastAsia="Arial" w:hAnsi="Arial"/>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85" w:lineRule="exact"/>
        <w:rPr>
          <w:rFonts w:ascii="Arial" w:cs="Arial" w:eastAsia="Arial" w:hAnsi="Arial"/>
          <w:sz w:val="20"/>
          <w:szCs w:val="20"/>
          <w:color w:val="auto"/>
        </w:rPr>
      </w:pPr>
    </w:p>
    <w:p>
      <w:pPr>
        <w:ind w:left="1960" w:hanging="656"/>
        <w:spacing w:after="0"/>
        <w:tabs>
          <w:tab w:leader="none" w:pos="1960" w:val="left"/>
        </w:tabs>
        <w:numPr>
          <w:ilvl w:val="0"/>
          <w:numId w:val="193"/>
        </w:numPr>
        <w:rPr>
          <w:rFonts w:ascii="Arial" w:cs="Arial" w:eastAsia="Arial" w:hAnsi="Arial"/>
          <w:sz w:val="20"/>
          <w:szCs w:val="20"/>
          <w:color w:val="auto"/>
        </w:rPr>
      </w:pPr>
      <w:r>
        <w:rPr>
          <w:rFonts w:ascii="Arial" w:cs="Arial" w:eastAsia="Arial" w:hAnsi="Arial"/>
          <w:sz w:val="20"/>
          <w:szCs w:val="20"/>
          <w:color w:val="auto"/>
        </w:rPr>
        <w:t>the effects of any Bail-in Action on any such liability, including, if applicable:</w:t>
      </w:r>
    </w:p>
    <w:p>
      <w:pPr>
        <w:spacing w:after="0" w:line="215" w:lineRule="exact"/>
        <w:rPr>
          <w:rFonts w:ascii="Arial" w:cs="Arial" w:eastAsia="Arial" w:hAnsi="Arial"/>
          <w:sz w:val="20"/>
          <w:szCs w:val="20"/>
          <w:color w:val="auto"/>
        </w:rPr>
      </w:pPr>
    </w:p>
    <w:p>
      <w:pPr>
        <w:ind w:left="2600" w:hanging="648"/>
        <w:spacing w:after="0"/>
        <w:tabs>
          <w:tab w:leader="none" w:pos="2600" w:val="left"/>
        </w:tabs>
        <w:numPr>
          <w:ilvl w:val="1"/>
          <w:numId w:val="193"/>
        </w:numPr>
        <w:rPr>
          <w:rFonts w:ascii="Arial" w:cs="Arial" w:eastAsia="Arial" w:hAnsi="Arial"/>
          <w:sz w:val="20"/>
          <w:szCs w:val="20"/>
          <w:color w:val="auto"/>
        </w:rPr>
      </w:pPr>
      <w:r>
        <w:rPr>
          <w:rFonts w:ascii="Arial" w:cs="Arial" w:eastAsia="Arial" w:hAnsi="Arial"/>
          <w:sz w:val="20"/>
          <w:szCs w:val="20"/>
          <w:color w:val="auto"/>
        </w:rPr>
        <w:t>a reduction in full or in part or cancellation of any such liability;</w:t>
      </w:r>
    </w:p>
    <w:p>
      <w:pPr>
        <w:spacing w:after="0" w:line="215" w:lineRule="exact"/>
        <w:rPr>
          <w:rFonts w:ascii="Arial" w:cs="Arial" w:eastAsia="Arial" w:hAnsi="Arial"/>
          <w:sz w:val="20"/>
          <w:szCs w:val="20"/>
          <w:color w:val="auto"/>
        </w:rPr>
      </w:pPr>
    </w:p>
    <w:p>
      <w:pPr>
        <w:jc w:val="both"/>
        <w:ind w:firstLine="1952"/>
        <w:spacing w:after="0" w:line="246" w:lineRule="auto"/>
        <w:tabs>
          <w:tab w:leader="none" w:pos="2592" w:val="left"/>
        </w:tabs>
        <w:numPr>
          <w:ilvl w:val="1"/>
          <w:numId w:val="193"/>
        </w:numPr>
        <w:rPr>
          <w:rFonts w:ascii="Arial" w:cs="Arial" w:eastAsia="Arial" w:hAnsi="Arial"/>
          <w:sz w:val="20"/>
          <w:szCs w:val="20"/>
          <w:color w:val="auto"/>
        </w:rPr>
      </w:pPr>
      <w:r>
        <w:rPr>
          <w:rFonts w:ascii="Arial" w:cs="Arial" w:eastAsia="Arial" w:hAnsi="Arial"/>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91" w:lineRule="exact"/>
        <w:rPr>
          <w:rFonts w:ascii="Arial" w:cs="Arial" w:eastAsia="Arial" w:hAnsi="Arial"/>
          <w:sz w:val="20"/>
          <w:szCs w:val="20"/>
          <w:color w:val="auto"/>
        </w:rPr>
      </w:pPr>
    </w:p>
    <w:p>
      <w:pPr>
        <w:ind w:firstLine="1952"/>
        <w:spacing w:after="0" w:line="260" w:lineRule="auto"/>
        <w:tabs>
          <w:tab w:leader="none" w:pos="2592" w:val="left"/>
        </w:tabs>
        <w:numPr>
          <w:ilvl w:val="1"/>
          <w:numId w:val="193"/>
        </w:numPr>
        <w:rPr>
          <w:rFonts w:ascii="Arial" w:cs="Arial" w:eastAsia="Arial" w:hAnsi="Arial"/>
          <w:sz w:val="20"/>
          <w:szCs w:val="20"/>
          <w:color w:val="auto"/>
        </w:rPr>
      </w:pPr>
      <w:r>
        <w:rPr>
          <w:rFonts w:ascii="Arial" w:cs="Arial" w:eastAsia="Arial" w:hAnsi="Arial"/>
          <w:sz w:val="20"/>
          <w:szCs w:val="20"/>
          <w:color w:val="auto"/>
        </w:rPr>
        <w:t>the variation of the terms of such liability in connection with the exercise of the write-down and conversion powers of the applicable Resolution Authority.</w:t>
      </w:r>
    </w:p>
    <w:p>
      <w:pPr>
        <w:spacing w:after="0" w:line="17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17.15 </w:t>
      </w:r>
      <w:r>
        <w:rPr>
          <w:rFonts w:ascii="Arial" w:cs="Arial" w:eastAsia="Arial" w:hAnsi="Arial"/>
          <w:sz w:val="18"/>
          <w:szCs w:val="18"/>
          <w:b w:val="1"/>
          <w:bCs w:val="1"/>
          <w:u w:val="single" w:color="auto"/>
          <w:color w:val="auto"/>
        </w:rPr>
        <w:t>Acknowledgement Regarding Any Supported QFCs</w:t>
      </w:r>
      <w:r>
        <w:rPr>
          <w:rFonts w:ascii="Arial" w:cs="Arial" w:eastAsia="Arial" w:hAnsi="Arial"/>
          <w:sz w:val="18"/>
          <w:szCs w:val="18"/>
          <w:color w:val="auto"/>
        </w:rPr>
        <w:t>. To the extent that the Loan Documents provide support, through a guarantee or otherwise, for Hedge Agreements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xml:space="preserve">” and each such QFC a “ </w:t>
      </w:r>
      <w:r>
        <w:rPr>
          <w:rFonts w:ascii="Arial" w:cs="Arial" w:eastAsia="Arial" w:hAnsi="Arial"/>
          <w:sz w:val="18"/>
          <w:szCs w:val="18"/>
          <w:u w:val="single" w:color="auto"/>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or of the United States or any other state of the United States): 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color w:val="auto"/>
        </w:rPr>
        <w:t>17.16</w:t>
      </w:r>
      <w:r>
        <w:rPr>
          <w:sz w:val="20"/>
          <w:szCs w:val="20"/>
          <w:color w:val="auto"/>
        </w:rPr>
        <w:tab/>
      </w:r>
      <w:r>
        <w:rPr>
          <w:rFonts w:ascii="Arial" w:cs="Arial" w:eastAsia="Arial" w:hAnsi="Arial"/>
          <w:sz w:val="16"/>
          <w:szCs w:val="16"/>
          <w:b w:val="1"/>
          <w:bCs w:val="1"/>
          <w:u w:val="single" w:color="auto"/>
          <w:color w:val="auto"/>
        </w:rPr>
        <w:t>Erroneous Payments.</w:t>
      </w:r>
    </w:p>
    <w:p>
      <w:pPr>
        <w:spacing w:after="0" w:line="222" w:lineRule="exact"/>
        <w:rPr>
          <w:sz w:val="20"/>
          <w:szCs w:val="20"/>
          <w:color w:val="auto"/>
        </w:rPr>
      </w:pPr>
    </w:p>
    <w:p>
      <w:pPr>
        <w:ind w:firstLine="1304"/>
        <w:spacing w:after="0" w:line="260" w:lineRule="auto"/>
        <w:tabs>
          <w:tab w:leader="none" w:pos="1944" w:val="left"/>
        </w:tabs>
        <w:numPr>
          <w:ilvl w:val="0"/>
          <w:numId w:val="194"/>
        </w:numPr>
        <w:rPr>
          <w:rFonts w:ascii="Arial" w:cs="Arial" w:eastAsia="Arial" w:hAnsi="Arial"/>
          <w:sz w:val="20"/>
          <w:szCs w:val="20"/>
          <w:color w:val="auto"/>
        </w:rPr>
      </w:pPr>
      <w:r>
        <w:rPr>
          <w:rFonts w:ascii="Arial" w:cs="Arial" w:eastAsia="Arial" w:hAnsi="Arial"/>
          <w:sz w:val="20"/>
          <w:szCs w:val="20"/>
          <w:color w:val="auto"/>
        </w:rPr>
        <w:t>Each Lender, each Issuing Bank, each other Bank Product Provider and any other party hereto hereby severally agrees that if (i) Agent notifies (which such notice shall be conclusive absent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7" w:name="page148"/>
    <w:bookmarkEnd w:id="147"/>
    <w:p>
      <w:pPr>
        <w:jc w:val="both"/>
        <w:spacing w:after="0" w:line="269" w:lineRule="auto"/>
        <w:rPr>
          <w:sz w:val="20"/>
          <w:szCs w:val="20"/>
          <w:color w:val="auto"/>
        </w:rPr>
      </w:pPr>
      <w:r>
        <w:rPr>
          <w:rFonts w:ascii="Arial" w:cs="Arial" w:eastAsia="Arial" w:hAnsi="Arial"/>
          <w:sz w:val="18"/>
          <w:szCs w:val="18"/>
          <w:color w:val="auto"/>
        </w:rPr>
        <w:t>manifest error) such Lender or Issuing Bank or any Bank Product Provider (or the Lender which is an Affiliate of a Lender, Issuing Bank or Bank Product Provider) or any other Person that has received funds from Agent or any of its Affiliates, either for its own account or on behalf of a Lender, Issuing Bank or Bank Product Provider (each such recipient, a “</w:t>
      </w:r>
      <w:r>
        <w:rPr>
          <w:rFonts w:ascii="Arial" w:cs="Arial" w:eastAsia="Arial" w:hAnsi="Arial"/>
          <w:sz w:val="18"/>
          <w:szCs w:val="18"/>
          <w:u w:val="single" w:color="auto"/>
          <w:color w:val="auto"/>
        </w:rPr>
        <w:t>Payment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Recipient</w:t>
      </w:r>
      <w:r>
        <w:rPr>
          <w:rFonts w:ascii="Arial" w:cs="Arial" w:eastAsia="Arial" w:hAnsi="Arial"/>
          <w:sz w:val="18"/>
          <w:szCs w:val="18"/>
          <w:color w:val="auto"/>
        </w:rPr>
        <w:t>”) that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Agent (or any of its Affiliates)</w:t>
      </w:r>
    </w:p>
    <w:p>
      <w:pPr>
        <w:spacing w:after="0" w:line="2" w:lineRule="exact"/>
        <w:rPr>
          <w:sz w:val="20"/>
          <w:szCs w:val="20"/>
          <w:color w:val="auto"/>
        </w:rPr>
      </w:pPr>
    </w:p>
    <w:p>
      <w:pPr>
        <w:jc w:val="both"/>
        <w:ind w:firstLine="8"/>
        <w:spacing w:after="0" w:line="268" w:lineRule="auto"/>
        <w:tabs>
          <w:tab w:leader="none" w:pos="309" w:val="left"/>
        </w:tabs>
        <w:numPr>
          <w:ilvl w:val="0"/>
          <w:numId w:val="195"/>
        </w:numPr>
        <w:rPr>
          <w:rFonts w:ascii="Arial" w:cs="Arial" w:eastAsia="Arial" w:hAnsi="Arial"/>
          <w:sz w:val="18"/>
          <w:szCs w:val="18"/>
          <w:color w:val="auto"/>
        </w:rPr>
      </w:pPr>
      <w:r>
        <w:rPr>
          <w:rFonts w:ascii="Arial" w:cs="Arial" w:eastAsia="Arial" w:hAnsi="Arial"/>
          <w:sz w:val="18"/>
          <w:szCs w:val="18"/>
          <w:color w:val="auto"/>
        </w:rPr>
        <w:t xml:space="preserve">that is in a different amount than, or on a different date from, that specified in a notice of payment, prepayment or repayment sent by Agent (or any of its Affiliates) with respect to such payment, prepayment or repayment, as applicable, (y) that was not preceded or accompanied by a notice of payment, prepayment or repayment sent by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Arial" w:cs="Arial" w:eastAsia="Arial" w:hAnsi="Arial"/>
          <w:sz w:val="18"/>
          <w:szCs w:val="18"/>
          <w:u w:val="single" w:color="auto"/>
          <w:color w:val="auto"/>
        </w:rPr>
        <w:t>Section 17.16(a),</w:t>
      </w:r>
      <w:r>
        <w:rPr>
          <w:rFonts w:ascii="Arial" w:cs="Arial" w:eastAsia="Arial" w:hAnsi="Arial"/>
          <w:sz w:val="18"/>
          <w:szCs w:val="18"/>
          <w:color w:val="auto"/>
        </w:rPr>
        <w:t xml:space="preserve"> whether received as a payment, prepayment or repayment of principal, interest, fees, distribution or otherwise; individually and collectively, an “</w:t>
      </w:r>
      <w:r>
        <w:rPr>
          <w:rFonts w:ascii="Arial" w:cs="Arial" w:eastAsia="Arial" w:hAnsi="Arial"/>
          <w:sz w:val="18"/>
          <w:szCs w:val="18"/>
          <w:u w:val="single" w:color="auto"/>
          <w:color w:val="auto"/>
        </w:rPr>
        <w:t>Erroneous Payment</w:t>
      </w:r>
      <w:r>
        <w:rPr>
          <w:rFonts w:ascii="Arial" w:cs="Arial" w:eastAsia="Arial" w:hAnsi="Arial"/>
          <w:sz w:val="18"/>
          <w:szCs w:val="18"/>
          <w:color w:val="auto"/>
        </w:rPr>
        <w:t>”), then, in each case, such Payment Recipient is deemed to have knowledge of such error at the time of its receipt of such Erroneous Payment; provided that nothing in this Section shall require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Agent for the return of any Erroneous Payments, including without limitation waiver of any defense based on “discharge for value” or any similar doctrine.</w:t>
      </w:r>
    </w:p>
    <w:p>
      <w:pPr>
        <w:spacing w:after="0" w:line="178" w:lineRule="exact"/>
        <w:rPr>
          <w:rFonts w:ascii="Arial" w:cs="Arial" w:eastAsia="Arial" w:hAnsi="Arial"/>
          <w:sz w:val="18"/>
          <w:szCs w:val="18"/>
          <w:color w:val="auto"/>
        </w:rPr>
      </w:pPr>
    </w:p>
    <w:p>
      <w:pPr>
        <w:ind w:firstLine="1304"/>
        <w:spacing w:after="0" w:line="260" w:lineRule="auto"/>
        <w:tabs>
          <w:tab w:leader="none" w:pos="1944" w:val="left"/>
        </w:tabs>
        <w:numPr>
          <w:ilvl w:val="1"/>
          <w:numId w:val="195"/>
        </w:numPr>
        <w:rPr>
          <w:rFonts w:ascii="Arial" w:cs="Arial" w:eastAsia="Arial" w:hAnsi="Arial"/>
          <w:sz w:val="20"/>
          <w:szCs w:val="20"/>
          <w:color w:val="auto"/>
        </w:rPr>
      </w:pPr>
      <w:r>
        <w:rPr>
          <w:rFonts w:ascii="Arial" w:cs="Arial" w:eastAsia="Arial" w:hAnsi="Arial"/>
          <w:sz w:val="20"/>
          <w:szCs w:val="20"/>
          <w:color w:val="auto"/>
        </w:rPr>
        <w:t xml:space="preserve">Without limiting the immediately preceding </w:t>
      </w:r>
      <w:r>
        <w:rPr>
          <w:rFonts w:ascii="Arial" w:cs="Arial" w:eastAsia="Arial" w:hAnsi="Arial"/>
          <w:sz w:val="20"/>
          <w:szCs w:val="20"/>
          <w:u w:val="single" w:color="auto"/>
          <w:color w:val="auto"/>
        </w:rPr>
        <w:t>clause (a)</w:t>
      </w:r>
      <w:r>
        <w:rPr>
          <w:rFonts w:ascii="Arial" w:cs="Arial" w:eastAsia="Arial" w:hAnsi="Arial"/>
          <w:sz w:val="20"/>
          <w:szCs w:val="20"/>
          <w:color w:val="auto"/>
        </w:rPr>
        <w:t>, each Payment Recipient agrees that, in the case of clause (a)(ii) above, it shall promptly notify Agent in writing of such occurrence.</w:t>
      </w:r>
    </w:p>
    <w:p>
      <w:pPr>
        <w:spacing w:after="0" w:line="176" w:lineRule="exact"/>
        <w:rPr>
          <w:rFonts w:ascii="Arial" w:cs="Arial" w:eastAsia="Arial" w:hAnsi="Arial"/>
          <w:sz w:val="20"/>
          <w:szCs w:val="20"/>
          <w:color w:val="auto"/>
        </w:rPr>
      </w:pPr>
    </w:p>
    <w:p>
      <w:pPr>
        <w:jc w:val="both"/>
        <w:ind w:firstLine="1304"/>
        <w:spacing w:after="0" w:line="256" w:lineRule="auto"/>
        <w:tabs>
          <w:tab w:leader="none" w:pos="1944" w:val="left"/>
        </w:tabs>
        <w:numPr>
          <w:ilvl w:val="1"/>
          <w:numId w:val="195"/>
        </w:numPr>
        <w:rPr>
          <w:rFonts w:ascii="Arial" w:cs="Arial" w:eastAsia="Arial" w:hAnsi="Arial"/>
          <w:sz w:val="19"/>
          <w:szCs w:val="19"/>
          <w:color w:val="auto"/>
        </w:rPr>
      </w:pPr>
      <w:r>
        <w:rPr>
          <w:rFonts w:ascii="Arial" w:cs="Arial" w:eastAsia="Arial" w:hAnsi="Arial"/>
          <w:sz w:val="19"/>
          <w:szCs w:val="19"/>
          <w:color w:val="auto"/>
        </w:rPr>
        <w:t>In the case of either clause (a)(i) or (a)(ii) above, such Erroneous Payment shall at all times remain the property of Agent and shall be segregated by the Payment Recipient and held in trust for the benefit of Agent, and upon demand from Agent such Payment Recipient shall (or, shall cause any Person who received any portion of an Erroneous Payment on its behalf to), promptly, but in all events no later than one Business Day thereafter, return to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Agent at the greater of the Federal Funds Rate and a rate determined by Agent in accordance with banking industry rules on interbank compensation from time to time in effect.</w:t>
      </w:r>
    </w:p>
    <w:p>
      <w:pPr>
        <w:spacing w:after="0" w:line="184" w:lineRule="exact"/>
        <w:rPr>
          <w:rFonts w:ascii="Arial" w:cs="Arial" w:eastAsia="Arial" w:hAnsi="Arial"/>
          <w:sz w:val="19"/>
          <w:szCs w:val="19"/>
          <w:color w:val="auto"/>
        </w:rPr>
      </w:pPr>
    </w:p>
    <w:p>
      <w:pPr>
        <w:jc w:val="both"/>
        <w:ind w:firstLine="1304"/>
        <w:spacing w:after="0" w:line="270" w:lineRule="auto"/>
        <w:tabs>
          <w:tab w:leader="none" w:pos="1944" w:val="left"/>
        </w:tabs>
        <w:numPr>
          <w:ilvl w:val="1"/>
          <w:numId w:val="195"/>
        </w:numPr>
        <w:rPr>
          <w:rFonts w:ascii="Arial" w:cs="Arial" w:eastAsia="Arial" w:hAnsi="Arial"/>
          <w:sz w:val="18"/>
          <w:szCs w:val="18"/>
          <w:color w:val="auto"/>
        </w:rPr>
      </w:pPr>
      <w:r>
        <w:rPr>
          <w:rFonts w:ascii="Arial" w:cs="Arial" w:eastAsia="Arial" w:hAnsi="Arial"/>
          <w:sz w:val="18"/>
          <w:szCs w:val="18"/>
          <w:color w:val="auto"/>
        </w:rPr>
        <w:t>In the event that an Erroneous Payment (or portion thereof) is not recovered by Agent for any reason, after demand therefor by Agent in accordance with immediately preceding clause (c), from any Lender that is a Payment Recipient or an Affiliate of a Payment Recipient (such unrecovered amount as to such Lender, an “</w:t>
      </w:r>
      <w:r>
        <w:rPr>
          <w:rFonts w:ascii="Arial" w:cs="Arial" w:eastAsia="Arial" w:hAnsi="Arial"/>
          <w:sz w:val="18"/>
          <w:szCs w:val="18"/>
          <w:u w:val="single" w:color="auto"/>
          <w:color w:val="auto"/>
        </w:rPr>
        <w:t>Erroneous</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Payment Return Deficiency</w:t>
      </w:r>
      <w:r>
        <w:rPr>
          <w:rFonts w:ascii="Arial" w:cs="Arial" w:eastAsia="Arial" w:hAnsi="Arial"/>
          <w:sz w:val="18"/>
          <w:szCs w:val="18"/>
          <w:color w:val="auto"/>
        </w:rPr>
        <w:t>”), then at the sole discretion of Agent and upon Agent’s written notice to such Lender (i) such Lender shall be deemed to have made a cashless assignment of the full face amount of the portion of its Loans (but not its Commitments) with respect to which such Erroneous Payment was made (the “</w:t>
      </w:r>
      <w:r>
        <w:rPr>
          <w:rFonts w:ascii="Arial" w:cs="Arial" w:eastAsia="Arial" w:hAnsi="Arial"/>
          <w:sz w:val="18"/>
          <w:szCs w:val="18"/>
          <w:u w:val="single" w:color="auto"/>
          <w:color w:val="auto"/>
        </w:rPr>
        <w:t>Erroneous Payment Impacted Loans</w:t>
      </w:r>
      <w:r>
        <w:rPr>
          <w:rFonts w:ascii="Arial" w:cs="Arial" w:eastAsia="Arial" w:hAnsi="Arial"/>
          <w:sz w:val="18"/>
          <w:szCs w:val="18"/>
          <w:color w:val="auto"/>
        </w:rPr>
        <w:t>”) to Agent or, at the option of Agent, Agent’s applicable lending affiliate (such assignee, the “</w:t>
      </w:r>
      <w:r>
        <w:rPr>
          <w:rFonts w:ascii="Arial" w:cs="Arial" w:eastAsia="Arial" w:hAnsi="Arial"/>
          <w:sz w:val="18"/>
          <w:szCs w:val="18"/>
          <w:u w:val="single" w:color="auto"/>
          <w:color w:val="auto"/>
        </w:rPr>
        <w:t>Agent Assignee</w:t>
      </w:r>
      <w:r>
        <w:rPr>
          <w:rFonts w:ascii="Arial" w:cs="Arial" w:eastAsia="Arial" w:hAnsi="Arial"/>
          <w:sz w:val="18"/>
          <w:szCs w:val="18"/>
          <w:color w:val="auto"/>
        </w:rPr>
        <w:t>”) in an amount that is equal to the Erroneous Payment Return Deficiency (or such lesser amount as Agent may specify) (such assignment of the Loans (but not Commitments) of the Erroneous Payment Impacted Loans, the “</w:t>
      </w:r>
      <w:r>
        <w:rPr>
          <w:rFonts w:ascii="Arial" w:cs="Arial" w:eastAsia="Arial" w:hAnsi="Arial"/>
          <w:sz w:val="18"/>
          <w:szCs w:val="18"/>
          <w:u w:val="single" w:color="auto"/>
          <w:color w:val="auto"/>
        </w:rPr>
        <w:t>Erroneous Payment Deficiency Assignment</w:t>
      </w:r>
      <w:r>
        <w:rPr>
          <w:rFonts w:ascii="Arial" w:cs="Arial" w:eastAsia="Arial" w:hAnsi="Arial"/>
          <w:sz w:val="18"/>
          <w:szCs w:val="18"/>
          <w:color w:val="auto"/>
        </w:rPr>
        <w:t>”) plus any accrued and unpaid interest on such assigned amount, without further consent or approval of any party hereto and without any payment by Agent Assignee as the assignee of such Erroneous Payment Deficiency Assignment. Without limitation of its rights hereunder, following the effectiveness of the Erroneous Payment Deficiency Assignment, Agent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8" w:name="page149"/>
    <w:bookmarkEnd w:id="148"/>
    <w:p>
      <w:pPr>
        <w:jc w:val="both"/>
        <w:spacing w:after="0" w:line="274" w:lineRule="auto"/>
        <w:rPr>
          <w:sz w:val="20"/>
          <w:szCs w:val="20"/>
          <w:color w:val="auto"/>
        </w:rPr>
      </w:pPr>
      <w:r>
        <w:rPr>
          <w:rFonts w:ascii="Arial" w:cs="Arial" w:eastAsia="Arial" w:hAnsi="Arial"/>
          <w:sz w:val="18"/>
          <w:szCs w:val="18"/>
          <w:color w:val="auto"/>
        </w:rPr>
        <w:t xml:space="preserve">make a cashless reassignment to the applicable assigning Lender of any Erroneous Payment Deficiency Assignment at any time by written notice to the applicable assigning Lender and upon such reassignment all of the Loans assigned pursuant to such Erroneous Payment Deficiency Assignment shall be reassigned to such Lender without any requirement for payment or other consideration.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13 and (3) Agent may reflect such assignments in the Register without further consent or action by any other Person.</w:t>
      </w:r>
    </w:p>
    <w:p>
      <w:pPr>
        <w:spacing w:after="0" w:line="169" w:lineRule="exact"/>
        <w:rPr>
          <w:sz w:val="20"/>
          <w:szCs w:val="20"/>
          <w:color w:val="auto"/>
        </w:rPr>
      </w:pPr>
    </w:p>
    <w:p>
      <w:pPr>
        <w:jc w:val="both"/>
        <w:ind w:firstLine="1304"/>
        <w:spacing w:after="0" w:line="269" w:lineRule="auto"/>
        <w:tabs>
          <w:tab w:leader="none" w:pos="194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Each party hereto hereby agrees that (x) in the event an Erroneous Payment (or portion thereof) is not recovered from any Payment Recipient that has received such Erroneous Payment (or portion thereof) for any reason, Agent (1) shall be subrogated to all the rights of such Payment Recipient and (2) is authorized to set off, net and apply any and all amounts at any time owing to such Payment Recipient under any Loan Document, or otherwise payable or distributable by Agent to such Payment Recipient from any source, against any amount due to Agent under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17.16</w:t>
      </w:r>
      <w:r>
        <w:rPr>
          <w:rFonts w:ascii="Arial" w:cs="Arial" w:eastAsia="Arial" w:hAnsi="Arial"/>
          <w:sz w:val="18"/>
          <w:szCs w:val="18"/>
          <w:color w:val="auto"/>
        </w:rPr>
        <w:t xml:space="preserve"> or under the indemnification provisions of this Agreement, (y) the receipt of an Erroneous Payment by a Payment Recipient shall not for the purpose of this Agreement be treated as a payment, prepayment, repayment, discharge or other satisfaction of any Obligations owed by the Borrowers or any other Loan Party, except, in each case, to the extent such Erroneous Payment is, and solely with respect to the amount of such Erroneous Payment that is, comprised of funds received by Agent from the Borrowers or any other Loan Party for the purpose of making for a payment on the Obligations, and provided that this </w:t>
      </w:r>
      <w:r>
        <w:rPr>
          <w:rFonts w:ascii="Arial" w:cs="Arial" w:eastAsia="Arial" w:hAnsi="Arial"/>
          <w:sz w:val="18"/>
          <w:szCs w:val="18"/>
          <w:u w:val="single" w:color="auto"/>
          <w:color w:val="auto"/>
        </w:rPr>
        <w:t>Section 17.16</w:t>
      </w:r>
      <w:r>
        <w:rPr>
          <w:rFonts w:ascii="Arial" w:cs="Arial" w:eastAsia="Arial" w:hAnsi="Arial"/>
          <w:sz w:val="18"/>
          <w:szCs w:val="18"/>
          <w:color w:val="auto"/>
        </w:rPr>
        <w:t xml:space="preserve"> shall not be interpreted to increase (or accelerate the due date for), or have the effect of increasing (or accelerating the due date for), the Obligations of the Borrowers relative to the amount (and/or timing for payment) of the Obligations that would have been payable had such Erroneous Payment not been made by Agent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spacing w:after="0" w:line="176" w:lineRule="exact"/>
        <w:rPr>
          <w:rFonts w:ascii="Arial" w:cs="Arial" w:eastAsia="Arial" w:hAnsi="Arial"/>
          <w:sz w:val="18"/>
          <w:szCs w:val="18"/>
          <w:color w:val="auto"/>
        </w:rPr>
      </w:pPr>
    </w:p>
    <w:p>
      <w:pPr>
        <w:jc w:val="both"/>
        <w:ind w:firstLine="1304"/>
        <w:spacing w:after="0" w:line="291" w:lineRule="auto"/>
        <w:tabs>
          <w:tab w:leader="none" w:pos="194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 xml:space="preserve">Each party’s obligations under this </w:t>
      </w:r>
      <w:r>
        <w:rPr>
          <w:rFonts w:ascii="Arial" w:cs="Arial" w:eastAsia="Arial" w:hAnsi="Arial"/>
          <w:sz w:val="18"/>
          <w:szCs w:val="18"/>
          <w:u w:val="single" w:color="auto"/>
          <w:color w:val="auto"/>
        </w:rPr>
        <w:t>Section 17.16</w:t>
      </w:r>
      <w:r>
        <w:rPr>
          <w:rFonts w:ascii="Arial" w:cs="Arial" w:eastAsia="Arial" w:hAnsi="Arial"/>
          <w:sz w:val="18"/>
          <w:szCs w:val="18"/>
          <w:color w:val="auto"/>
        </w:rPr>
        <w:t xml:space="preserve"> shall survive the resignation or replacement of Agent or any transfer of right or obligations by, or the replacement of, a Lender, the termination of the Commitments or the repayment, satisfaction or discharge of all Obligations (or any portion thereof) under any Loan Document.</w:t>
      </w:r>
    </w:p>
    <w:p>
      <w:pPr>
        <w:spacing w:after="0" w:line="151" w:lineRule="exact"/>
        <w:rPr>
          <w:rFonts w:ascii="Arial" w:cs="Arial" w:eastAsia="Arial" w:hAnsi="Arial"/>
          <w:sz w:val="18"/>
          <w:szCs w:val="18"/>
          <w:color w:val="auto"/>
        </w:rPr>
      </w:pPr>
    </w:p>
    <w:p>
      <w:pPr>
        <w:jc w:val="both"/>
        <w:ind w:firstLine="1304"/>
        <w:spacing w:after="0" w:line="255" w:lineRule="auto"/>
        <w:tabs>
          <w:tab w:leader="none" w:pos="1944" w:val="left"/>
        </w:tabs>
        <w:numPr>
          <w:ilvl w:val="0"/>
          <w:numId w:val="196"/>
        </w:numPr>
        <w:rPr>
          <w:rFonts w:ascii="Arial" w:cs="Arial" w:eastAsia="Arial" w:hAnsi="Arial"/>
          <w:sz w:val="19"/>
          <w:szCs w:val="19"/>
          <w:color w:val="auto"/>
        </w:rPr>
      </w:pPr>
      <w:r>
        <w:rPr>
          <w:rFonts w:ascii="Arial" w:cs="Arial" w:eastAsia="Arial" w:hAnsi="Arial"/>
          <w:sz w:val="19"/>
          <w:szCs w:val="19"/>
          <w:color w:val="auto"/>
        </w:rPr>
        <w:t xml:space="preserve">The provisions of this </w:t>
      </w:r>
      <w:r>
        <w:rPr>
          <w:rFonts w:ascii="Arial" w:cs="Arial" w:eastAsia="Arial" w:hAnsi="Arial"/>
          <w:sz w:val="19"/>
          <w:szCs w:val="19"/>
          <w:u w:val="single" w:color="auto"/>
          <w:color w:val="auto"/>
        </w:rPr>
        <w:t>Section 17.16</w:t>
      </w:r>
      <w:r>
        <w:rPr>
          <w:rFonts w:ascii="Arial" w:cs="Arial" w:eastAsia="Arial" w:hAnsi="Arial"/>
          <w:sz w:val="19"/>
          <w:szCs w:val="19"/>
          <w:color w:val="auto"/>
        </w:rPr>
        <w:t xml:space="preserve"> to the contrary notwithstanding, (i) nothing in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17.16</w:t>
      </w:r>
      <w:r>
        <w:rPr>
          <w:rFonts w:ascii="Arial" w:cs="Arial" w:eastAsia="Arial" w:hAnsi="Arial"/>
          <w:sz w:val="19"/>
          <w:szCs w:val="19"/>
          <w:color w:val="auto"/>
        </w:rPr>
        <w:t xml:space="preserve"> will constitute a waiver or release of any claim of any party hereunder arising from any Payment Recipient’s receipt of an Erroneous Payment and (ii) there will only be deemed to be a recovery of the Erroneous Payment to the extent that Agent has received payment from the Payment Recipient in immediately available funds the Erroneous Payment Return Deficiency, whether directly from the Payment Recipient, as a result of the exercise by Agent of its rights of subrogation or set off as set forth above in clause (e) or as a result of the receipt by Agent Assignee of a payment of the outstanding principal balance of the Loans assigned to Agent Assignee pursuant to an Erroneous Payment Deficiency Assignment, but excluding any other amounts in respect thereof (it being agreed that any payments of interest, fees, expenses or other amounts (other than principal) received by Agent Assignee in respect of the Loans assigned to Agent Assignee pursuant to an Erroneous Payment Deficiency Assignment shall be the sole property of Agent Assignee and shall not constitute a recovery of the Erroneous Payment).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to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360680</wp:posOffset>
            </wp:positionV>
            <wp:extent cx="629221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9" w:name="page150"/>
    <w:bookmarkEnd w:id="149"/>
    <w:p>
      <w:pPr>
        <w:ind w:firstLine="1296"/>
        <w:spacing w:after="0" w:line="268"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hereto have caused this Agreement to be executed and delivered as</w:t>
      </w:r>
      <w:r>
        <w:rPr>
          <w:rFonts w:ascii="Arial" w:cs="Arial" w:eastAsia="Arial" w:hAnsi="Arial"/>
          <w:sz w:val="20"/>
          <w:szCs w:val="20"/>
          <w:b w:val="1"/>
          <w:bCs w:val="1"/>
          <w:color w:val="auto"/>
        </w:rPr>
        <w:t xml:space="preserve"> </w:t>
      </w:r>
      <w:r>
        <w:rPr>
          <w:rFonts w:ascii="Arial" w:cs="Arial" w:eastAsia="Arial" w:hAnsi="Arial"/>
          <w:sz w:val="20"/>
          <w:szCs w:val="20"/>
          <w:color w:val="auto"/>
        </w:rPr>
        <w:t>of the date first above written.</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180" w:type="dxa"/>
            <w:vAlign w:val="bottom"/>
          </w:tcPr>
          <w:p>
            <w:pPr>
              <w:spacing w:after="0"/>
              <w:rPr>
                <w:sz w:val="20"/>
                <w:szCs w:val="20"/>
                <w:color w:val="auto"/>
              </w:rPr>
            </w:pPr>
            <w:r>
              <w:rPr>
                <w:rFonts w:ascii="Arial" w:cs="Arial" w:eastAsia="Arial" w:hAnsi="Arial"/>
                <w:sz w:val="20"/>
                <w:szCs w:val="20"/>
                <w:b w:val="1"/>
                <w:bCs w:val="1"/>
                <w:color w:val="auto"/>
              </w:rPr>
              <w:t>BORROWERS:</w:t>
            </w:r>
          </w:p>
        </w:tc>
        <w:tc>
          <w:tcPr>
            <w:tcW w:w="6740" w:type="dxa"/>
            <w:vAlign w:val="bottom"/>
            <w:gridSpan w:val="2"/>
          </w:tcPr>
          <w:p>
            <w:pPr>
              <w:ind w:left="1780"/>
              <w:spacing w:after="0"/>
              <w:rPr>
                <w:sz w:val="20"/>
                <w:szCs w:val="20"/>
                <w:color w:val="auto"/>
              </w:rPr>
            </w:pPr>
            <w:r>
              <w:rPr>
                <w:rFonts w:ascii="Arial" w:cs="Arial" w:eastAsia="Arial" w:hAnsi="Arial"/>
                <w:sz w:val="20"/>
                <w:szCs w:val="20"/>
                <w:b w:val="1"/>
                <w:bCs w:val="1"/>
                <w:color w:val="auto"/>
              </w:rPr>
              <w:t>CALAVO GROWERS, INC.</w:t>
            </w:r>
            <w:r>
              <w:rPr>
                <w:rFonts w:ascii="Arial" w:cs="Arial" w:eastAsia="Arial" w:hAnsi="Arial"/>
                <w:sz w:val="20"/>
                <w:szCs w:val="20"/>
                <w:color w:val="auto"/>
              </w:rPr>
              <w:t>,</w:t>
            </w:r>
          </w:p>
        </w:tc>
      </w:tr>
      <w:tr>
        <w:trPr>
          <w:trHeight w:val="250"/>
        </w:trPr>
        <w:tc>
          <w:tcPr>
            <w:tcW w:w="3180" w:type="dxa"/>
            <w:vAlign w:val="bottom"/>
          </w:tcPr>
          <w:p>
            <w:pPr>
              <w:spacing w:after="0"/>
              <w:rPr>
                <w:sz w:val="21"/>
                <w:szCs w:val="21"/>
                <w:color w:val="auto"/>
              </w:rPr>
            </w:pPr>
          </w:p>
        </w:tc>
        <w:tc>
          <w:tcPr>
            <w:tcW w:w="6740" w:type="dxa"/>
            <w:vAlign w:val="bottom"/>
            <w:gridSpan w:val="2"/>
          </w:tcPr>
          <w:p>
            <w:pPr>
              <w:ind w:left="1780"/>
              <w:spacing w:after="0"/>
              <w:rPr>
                <w:sz w:val="20"/>
                <w:szCs w:val="20"/>
                <w:color w:val="auto"/>
              </w:rPr>
            </w:pPr>
            <w:r>
              <w:rPr>
                <w:rFonts w:ascii="Arial" w:cs="Arial" w:eastAsia="Arial" w:hAnsi="Arial"/>
                <w:sz w:val="20"/>
                <w:szCs w:val="20"/>
                <w:color w:val="auto"/>
              </w:rPr>
              <w:t>a California corporation</w:t>
            </w:r>
          </w:p>
        </w:tc>
      </w:tr>
      <w:tr>
        <w:trPr>
          <w:trHeight w:val="684"/>
        </w:trPr>
        <w:tc>
          <w:tcPr>
            <w:tcW w:w="3180" w:type="dxa"/>
            <w:vAlign w:val="bottom"/>
          </w:tcPr>
          <w:p>
            <w:pPr>
              <w:spacing w:after="0"/>
              <w:rPr>
                <w:sz w:val="24"/>
                <w:szCs w:val="24"/>
                <w:color w:val="auto"/>
              </w:rPr>
            </w:pPr>
          </w:p>
        </w:tc>
        <w:tc>
          <w:tcPr>
            <w:tcW w:w="6740" w:type="dxa"/>
            <w:vAlign w:val="bottom"/>
            <w:gridSpan w:val="2"/>
          </w:tcPr>
          <w:p>
            <w:pPr>
              <w:ind w:left="1780"/>
              <w:spacing w:after="0"/>
              <w:rPr>
                <w:sz w:val="20"/>
                <w:szCs w:val="20"/>
                <w:color w:val="auto"/>
              </w:rPr>
            </w:pPr>
            <w:r>
              <w:rPr>
                <w:rFonts w:ascii="Arial" w:cs="Arial" w:eastAsia="Arial" w:hAnsi="Arial"/>
                <w:sz w:val="20"/>
                <w:szCs w:val="20"/>
                <w:color w:val="auto"/>
              </w:rPr>
              <w:t>By:</w:t>
            </w:r>
          </w:p>
        </w:tc>
      </w:tr>
      <w:tr>
        <w:trPr>
          <w:trHeight w:val="223"/>
        </w:trPr>
        <w:tc>
          <w:tcPr>
            <w:tcW w:w="3180" w:type="dxa"/>
            <w:vAlign w:val="bottom"/>
          </w:tcPr>
          <w:p>
            <w:pPr>
              <w:spacing w:after="0"/>
              <w:rPr>
                <w:sz w:val="19"/>
                <w:szCs w:val="19"/>
                <w:color w:val="auto"/>
              </w:rPr>
            </w:pPr>
          </w:p>
        </w:tc>
        <w:tc>
          <w:tcPr>
            <w:tcW w:w="2500" w:type="dxa"/>
            <w:vAlign w:val="bottom"/>
          </w:tcPr>
          <w:p>
            <w:pPr>
              <w:ind w:left="1780"/>
              <w:spacing w:after="0" w:line="223" w:lineRule="exact"/>
              <w:rPr>
                <w:sz w:val="20"/>
                <w:szCs w:val="20"/>
                <w:color w:val="auto"/>
              </w:rPr>
            </w:pPr>
            <w:r>
              <w:rPr>
                <w:rFonts w:ascii="Arial" w:cs="Arial" w:eastAsia="Arial" w:hAnsi="Arial"/>
                <w:sz w:val="20"/>
                <w:szCs w:val="20"/>
                <w:color w:val="auto"/>
              </w:rPr>
              <w:t>Name:</w:t>
            </w:r>
          </w:p>
        </w:tc>
        <w:tc>
          <w:tcPr>
            <w:tcW w:w="4240" w:type="dxa"/>
            <w:vAlign w:val="bottom"/>
            <w:tcBorders>
              <w:top w:val="single" w:sz="8" w:color="auto"/>
              <w:bottom w:val="single" w:sz="8" w:color="auto"/>
            </w:tcBorders>
          </w:tcPr>
          <w:p>
            <w:pPr>
              <w:spacing w:after="0"/>
              <w:rPr>
                <w:sz w:val="19"/>
                <w:szCs w:val="19"/>
                <w:color w:val="auto"/>
              </w:rPr>
            </w:pPr>
          </w:p>
        </w:tc>
      </w:tr>
      <w:tr>
        <w:trPr>
          <w:trHeight w:val="223"/>
        </w:trPr>
        <w:tc>
          <w:tcPr>
            <w:tcW w:w="3180" w:type="dxa"/>
            <w:vAlign w:val="bottom"/>
          </w:tcPr>
          <w:p>
            <w:pPr>
              <w:spacing w:after="0"/>
              <w:rPr>
                <w:sz w:val="19"/>
                <w:szCs w:val="19"/>
                <w:color w:val="auto"/>
              </w:rPr>
            </w:pPr>
          </w:p>
        </w:tc>
        <w:tc>
          <w:tcPr>
            <w:tcW w:w="2500" w:type="dxa"/>
            <w:vAlign w:val="bottom"/>
          </w:tcPr>
          <w:p>
            <w:pPr>
              <w:ind w:left="1780"/>
              <w:spacing w:after="0" w:line="223" w:lineRule="exact"/>
              <w:rPr>
                <w:sz w:val="20"/>
                <w:szCs w:val="20"/>
                <w:color w:val="auto"/>
              </w:rPr>
            </w:pPr>
            <w:r>
              <w:rPr>
                <w:rFonts w:ascii="Arial" w:cs="Arial" w:eastAsia="Arial" w:hAnsi="Arial"/>
                <w:sz w:val="20"/>
                <w:szCs w:val="20"/>
                <w:color w:val="auto"/>
              </w:rPr>
              <w:t>Title:</w:t>
            </w:r>
          </w:p>
        </w:tc>
        <w:tc>
          <w:tcPr>
            <w:tcW w:w="424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36"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RENAISSANCE FOOD GROUP, LLC,</w:t>
      </w:r>
    </w:p>
    <w:p>
      <w:pPr>
        <w:spacing w:after="0" w:line="22"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a Delaware limited liability company</w:t>
      </w:r>
    </w:p>
    <w:p>
      <w:pPr>
        <w:spacing w:after="0" w:line="200" w:lineRule="exact"/>
        <w:rPr>
          <w:sz w:val="20"/>
          <w:szCs w:val="20"/>
          <w:color w:val="auto"/>
        </w:rPr>
      </w:pPr>
    </w:p>
    <w:p>
      <w:pPr>
        <w:spacing w:after="0" w:line="243"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10160</wp:posOffset>
            </wp:positionV>
            <wp:extent cx="269176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5715</wp:posOffset>
            </wp:positionV>
            <wp:extent cx="269176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jc w:val="center"/>
        <w:ind w:right="-439"/>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5715</wp:posOffset>
            </wp:positionV>
            <wp:extent cx="26917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HAWAIIAN SWEET, INC.,</w:t>
      </w:r>
    </w:p>
    <w:p>
      <w:pPr>
        <w:spacing w:after="0" w:line="22"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a California corporation</w:t>
      </w:r>
    </w:p>
    <w:p>
      <w:pPr>
        <w:spacing w:after="0" w:line="200" w:lineRule="exact"/>
        <w:rPr>
          <w:sz w:val="20"/>
          <w:szCs w:val="20"/>
          <w:color w:val="auto"/>
        </w:rPr>
      </w:pPr>
    </w:p>
    <w:p>
      <w:pPr>
        <w:spacing w:after="0" w:line="243"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10160</wp:posOffset>
            </wp:positionV>
            <wp:extent cx="26917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5715</wp:posOffset>
            </wp:positionV>
            <wp:extent cx="269176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jc w:val="center"/>
        <w:ind w:right="-439"/>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5715</wp:posOffset>
            </wp:positionV>
            <wp:extent cx="26917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GH FOODS CA, LLC,</w:t>
      </w:r>
    </w:p>
    <w:p>
      <w:pPr>
        <w:spacing w:after="0" w:line="22"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a California limited liability company</w:t>
      </w:r>
    </w:p>
    <w:p>
      <w:pPr>
        <w:spacing w:after="0" w:line="200" w:lineRule="exact"/>
        <w:rPr>
          <w:sz w:val="20"/>
          <w:szCs w:val="20"/>
          <w:color w:val="auto"/>
        </w:rPr>
      </w:pPr>
    </w:p>
    <w:p>
      <w:pPr>
        <w:spacing w:after="0" w:line="243"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10160</wp:posOffset>
            </wp:positionV>
            <wp:extent cx="269176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5715</wp:posOffset>
            </wp:positionV>
            <wp:extent cx="269176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jc w:val="center"/>
        <w:ind w:right="-439"/>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5715</wp:posOffset>
            </wp:positionV>
            <wp:extent cx="269176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4960"/>
        <w:spacing w:after="0"/>
        <w:rPr>
          <w:sz w:val="20"/>
          <w:szCs w:val="20"/>
          <w:color w:val="auto"/>
        </w:rPr>
      </w:pPr>
      <w:r>
        <w:rPr>
          <w:rFonts w:ascii="Arial" w:cs="Arial" w:eastAsia="Arial" w:hAnsi="Arial"/>
          <w:sz w:val="20"/>
          <w:szCs w:val="20"/>
          <w:b w:val="1"/>
          <w:bCs w:val="1"/>
          <w:color w:val="auto"/>
        </w:rPr>
        <w:t>GHSW, LLC,</w:t>
      </w:r>
    </w:p>
    <w:p>
      <w:pPr>
        <w:spacing w:after="0" w:line="22"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a Texas limited liability company</w:t>
      </w:r>
    </w:p>
    <w:p>
      <w:pPr>
        <w:spacing w:after="0" w:line="200" w:lineRule="exact"/>
        <w:rPr>
          <w:sz w:val="20"/>
          <w:szCs w:val="20"/>
          <w:color w:val="auto"/>
        </w:rPr>
      </w:pPr>
    </w:p>
    <w:p>
      <w:pPr>
        <w:spacing w:after="0" w:line="243" w:lineRule="exact"/>
        <w:rPr>
          <w:sz w:val="20"/>
          <w:szCs w:val="20"/>
          <w:color w:val="auto"/>
        </w:rPr>
      </w:pPr>
    </w:p>
    <w:p>
      <w:pPr>
        <w:ind w:left="49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10160</wp:posOffset>
            </wp:positionV>
            <wp:extent cx="26917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5715</wp:posOffset>
            </wp:positionV>
            <wp:extent cx="269176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jc w:val="center"/>
        <w:ind w:right="-439"/>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5715</wp:posOffset>
            </wp:positionV>
            <wp:extent cx="269176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691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150" w:name="page151"/>
    <w:bookmarkEnd w:id="150"/>
    <w:p>
      <w:pPr>
        <w:ind w:left="4500"/>
        <w:spacing w:after="0"/>
        <w:rPr>
          <w:sz w:val="20"/>
          <w:szCs w:val="20"/>
          <w:color w:val="auto"/>
        </w:rPr>
      </w:pPr>
      <w:r>
        <w:rPr>
          <w:rFonts w:ascii="Arial" w:cs="Arial" w:eastAsia="Arial" w:hAnsi="Arial"/>
          <w:sz w:val="20"/>
          <w:szCs w:val="20"/>
          <w:b w:val="1"/>
          <w:bCs w:val="1"/>
          <w:color w:val="auto"/>
        </w:rPr>
        <w:t>GHGA, LLC,</w:t>
      </w:r>
    </w:p>
    <w:p>
      <w:pPr>
        <w:spacing w:after="0" w:line="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66"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10160</wp:posOffset>
            </wp:positionV>
            <wp:extent cx="269176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5715</wp:posOffset>
            </wp:positionV>
            <wp:extent cx="269176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jc w:val="center"/>
        <w:ind w:right="-42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5715</wp:posOffset>
            </wp:positionV>
            <wp:extent cx="26917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4500"/>
        <w:spacing w:after="0"/>
        <w:rPr>
          <w:sz w:val="20"/>
          <w:szCs w:val="20"/>
          <w:color w:val="auto"/>
        </w:rPr>
      </w:pPr>
      <w:r>
        <w:rPr>
          <w:rFonts w:ascii="Arial" w:cs="Arial" w:eastAsia="Arial" w:hAnsi="Arial"/>
          <w:sz w:val="20"/>
          <w:szCs w:val="20"/>
          <w:b w:val="1"/>
          <w:bCs w:val="1"/>
          <w:color w:val="auto"/>
        </w:rPr>
        <w:t>GHNW, LLC,</w:t>
      </w:r>
    </w:p>
    <w:p>
      <w:pPr>
        <w:spacing w:after="0" w:line="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pacing w:after="0" w:line="266"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10160</wp:posOffset>
            </wp:positionV>
            <wp:extent cx="269176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ind w:left="4500"/>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5715</wp:posOffset>
            </wp:positionV>
            <wp:extent cx="26917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jc w:val="center"/>
        <w:ind w:right="-42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5715</wp:posOffset>
            </wp:positionV>
            <wp:extent cx="269176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367665</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51" w:name="page152"/>
    <w:bookmarkEnd w:id="151"/>
    <w:p>
      <w:pPr>
        <w:ind w:left="4500"/>
        <w:spacing w:after="0" w:line="293" w:lineRule="auto"/>
        <w:rPr>
          <w:sz w:val="20"/>
          <w:szCs w:val="20"/>
          <w:color w:val="auto"/>
        </w:rPr>
      </w:pPr>
      <w:r>
        <w:rPr>
          <w:rFonts w:ascii="Arial" w:cs="Arial" w:eastAsia="Arial" w:hAnsi="Arial"/>
          <w:sz w:val="19"/>
          <w:szCs w:val="19"/>
          <w:b w:val="1"/>
          <w:bCs w:val="1"/>
          <w:color w:val="auto"/>
        </w:rPr>
        <w:t xml:space="preserve">WELLS FARGO BANK, NATIONAL ASSOCIATION, </w:t>
      </w:r>
      <w:r>
        <w:rPr>
          <w:rFonts w:ascii="Arial" w:cs="Arial" w:eastAsia="Arial" w:hAnsi="Arial"/>
          <w:sz w:val="19"/>
          <w:szCs w:val="19"/>
          <w:color w:val="auto"/>
        </w:rPr>
        <w:t>a national banking association, as Agent and as a Lender</w:t>
      </w:r>
    </w:p>
    <w:p>
      <w:pPr>
        <w:spacing w:after="0" w:line="391" w:lineRule="exact"/>
        <w:rPr>
          <w:sz w:val="20"/>
          <w:szCs w:val="20"/>
          <w:color w:val="auto"/>
        </w:rPr>
      </w:pPr>
    </w:p>
    <w:p>
      <w:pPr>
        <w:ind w:left="45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10160</wp:posOffset>
            </wp:positionV>
            <wp:extent cx="269176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jc w:val="center"/>
        <w:ind w:right="-359"/>
        <w:spacing w:after="0"/>
        <w:rPr>
          <w:sz w:val="20"/>
          <w:szCs w:val="20"/>
          <w:color w:val="auto"/>
        </w:rPr>
      </w:pPr>
      <w:r>
        <w:rPr>
          <w:rFonts w:ascii="Arial" w:cs="Arial" w:eastAsia="Arial" w:hAnsi="Arial"/>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5715</wp:posOffset>
            </wp:positionV>
            <wp:extent cx="269176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ind w:left="5220"/>
        <w:spacing w:after="0"/>
        <w:rPr>
          <w:sz w:val="20"/>
          <w:szCs w:val="20"/>
          <w:color w:val="auto"/>
        </w:rPr>
      </w:pPr>
      <w:r>
        <w:rPr>
          <w:rFonts w:ascii="Arial" w:cs="Arial" w:eastAsia="Arial" w:hAnsi="Arial"/>
          <w:sz w:val="20"/>
          <w:szCs w:val="20"/>
          <w:color w:val="auto"/>
        </w:rPr>
        <w:t>Its Authorized Signatory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367665</wp:posOffset>
            </wp:positionV>
            <wp:extent cx="629221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180"/>
      </w:cols>
      <w:pgMar w:left="1440" w:top="333" w:right="1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A78F7F"/>
    <w:multiLevelType w:val="hybridMultilevel"/>
    <w:lvl w:ilvl="0">
      <w:lvlJc w:val="left"/>
      <w:lvlText w:val="☐"/>
      <w:numFmt w:val="bullet"/>
      <w:start w:val="1"/>
    </w:lvl>
  </w:abstractNum>
  <w:abstractNum w:abstractNumId="1">
    <w:nsid w:val="7672BD23"/>
    <w:multiLevelType w:val="hybridMultilevel"/>
    <w:lvl w:ilvl="0">
      <w:lvlJc w:val="left"/>
      <w:lvlText w:val="%1"/>
      <w:numFmt w:val="decimal"/>
      <w:start w:val="104"/>
    </w:lvl>
  </w:abstractNum>
  <w:abstractNum w:abstractNumId="2">
    <w:nsid w:val="6FC75AF8"/>
    <w:multiLevelType w:val="hybridMultilevel"/>
    <w:lvl w:ilvl="0">
      <w:lvlJc w:val="left"/>
      <w:lvlText w:val="%1."/>
      <w:numFmt w:val="decimal"/>
      <w:start w:val="1"/>
    </w:lvl>
  </w:abstractNum>
  <w:abstractNum w:abstractNumId="3">
    <w:nsid w:val="6A5F7029"/>
    <w:multiLevelType w:val="hybridMultilevel"/>
    <w:lvl w:ilvl="0">
      <w:lvlJc w:val="left"/>
      <w:lvlText w:val="(%1)"/>
      <w:numFmt w:val="lowerLetter"/>
      <w:start w:val="1"/>
    </w:lvl>
  </w:abstractNum>
  <w:abstractNum w:abstractNumId="4">
    <w:nsid w:val="7D5E18F8"/>
    <w:multiLevelType w:val="hybridMultilevel"/>
    <w:lvl w:ilvl="0">
      <w:lvlJc w:val="left"/>
      <w:lvlText w:val="(%1)"/>
      <w:numFmt w:val="lowerLetter"/>
      <w:start w:val="1"/>
    </w:lvl>
  </w:abstractNum>
  <w:abstractNum w:abstractNumId="5">
    <w:nsid w:val="5F3534A4"/>
    <w:multiLevelType w:val="hybridMultilevel"/>
    <w:lvl w:ilvl="0">
      <w:lvlJc w:val="left"/>
      <w:lvlText w:val="(%1)"/>
      <w:numFmt w:val="lowerLetter"/>
      <w:start w:val="2"/>
    </w:lvl>
  </w:abstractNum>
  <w:abstractNum w:abstractNumId="6">
    <w:nsid w:val="73A1821B"/>
    <w:multiLevelType w:val="hybridMultilevel"/>
    <w:lvl w:ilvl="0">
      <w:lvlJc w:val="left"/>
      <w:lvlText w:val="(%1)"/>
      <w:numFmt w:val="lowerLetter"/>
      <w:start w:val="1"/>
    </w:lvl>
  </w:abstractNum>
  <w:abstractNum w:abstractNumId="7">
    <w:nsid w:val="7DE67713"/>
    <w:multiLevelType w:val="hybridMultilevel"/>
    <w:lvl w:ilvl="0">
      <w:lvlJc w:val="left"/>
      <w:lvlText w:val="(%1)"/>
      <w:numFmt w:val="lowerLetter"/>
      <w:start w:val="3"/>
    </w:lvl>
  </w:abstractNum>
  <w:abstractNum w:abstractNumId="8">
    <w:nsid w:val="555C55B5"/>
    <w:multiLevelType w:val="hybridMultilevel"/>
    <w:lvl w:ilvl="0">
      <w:lvlJc w:val="left"/>
      <w:lvlText w:val="(%1)"/>
      <w:numFmt w:val="lowerLetter"/>
      <w:start w:val="1"/>
    </w:lvl>
    <w:lvl w:ilvl="1">
      <w:lvlJc w:val="left"/>
      <w:lvlText w:val="(%2)"/>
      <w:numFmt w:val="lowerRoman"/>
      <w:start w:val="1"/>
    </w:lvl>
  </w:abstractNum>
  <w:abstractNum w:abstractNumId="9">
    <w:nsid w:val="3FA62ACA"/>
    <w:multiLevelType w:val="hybridMultilevel"/>
    <w:lvl w:ilvl="0">
      <w:lvlJc w:val="left"/>
      <w:lvlText w:val="(%1)"/>
      <w:numFmt w:val="lowerLetter"/>
      <w:start w:val="1"/>
    </w:lvl>
  </w:abstractNum>
  <w:abstractNum w:abstractNumId="10">
    <w:nsid w:val="14FCE74E"/>
    <w:multiLevelType w:val="hybridMultilevel"/>
    <w:lvl w:ilvl="0">
      <w:lvlJc w:val="left"/>
      <w:lvlText w:val="(%1)"/>
      <w:numFmt w:val="lowerLetter"/>
      <w:start w:val="4"/>
    </w:lvl>
  </w:abstractNum>
  <w:abstractNum w:abstractNumId="11">
    <w:nsid w:val="6A3DD3E8"/>
    <w:multiLevelType w:val="hybridMultilevel"/>
    <w:lvl w:ilvl="0">
      <w:lvlJc w:val="left"/>
      <w:lvlText w:val="(%1)"/>
      <w:numFmt w:val="lowerLetter"/>
      <w:start w:val="2"/>
    </w:lvl>
  </w:abstractNum>
  <w:abstractNum w:abstractNumId="12">
    <w:nsid w:val="71C91298"/>
    <w:multiLevelType w:val="hybridMultilevel"/>
    <w:lvl w:ilvl="0">
      <w:lvlJc w:val="left"/>
      <w:lvlText w:val="(%1)"/>
      <w:numFmt w:val="lowerLetter"/>
      <w:start w:val="3"/>
    </w:lvl>
  </w:abstractNum>
  <w:abstractNum w:abstractNumId="13">
    <w:nsid w:val="9DAF632"/>
    <w:multiLevelType w:val="hybridMultilevel"/>
    <w:lvl w:ilvl="0">
      <w:lvlJc w:val="left"/>
      <w:lvlText w:val="(%1)"/>
      <w:numFmt w:val="lowerLetter"/>
      <w:start w:val="1"/>
    </w:lvl>
    <w:lvl w:ilvl="1">
      <w:lvlJc w:val="left"/>
      <w:lvlText w:val="(%2)"/>
      <w:numFmt w:val="lowerRoman"/>
      <w:start w:val="1"/>
    </w:lvl>
  </w:abstractNum>
  <w:abstractNum w:abstractNumId="14">
    <w:nsid w:val="53299938"/>
    <w:multiLevelType w:val="hybridMultilevel"/>
    <w:lvl w:ilvl="0">
      <w:lvlJc w:val="left"/>
      <w:lvlText w:val="(%1)"/>
      <w:numFmt w:val="lowerLetter"/>
      <w:start w:val="3"/>
    </w:lvl>
    <w:lvl w:ilvl="1">
      <w:lvlJc w:val="left"/>
      <w:lvlText w:val="(%2)"/>
      <w:numFmt w:val="lowerRoman"/>
      <w:start w:val="1"/>
    </w:lvl>
  </w:abstractNum>
  <w:abstractNum w:abstractNumId="15">
    <w:nsid w:val="1FBFE8E0"/>
    <w:multiLevelType w:val="hybridMultilevel"/>
    <w:lvl w:ilvl="0">
      <w:lvlJc w:val="left"/>
      <w:lvlText w:val="(%1)"/>
      <w:numFmt w:val="lowerRoman"/>
      <w:start w:val="10"/>
    </w:lvl>
    <w:lvl w:ilvl="1">
      <w:lvlJc w:val="left"/>
      <w:lvlText w:val="(%2)"/>
      <w:numFmt w:val="lowerRoman"/>
      <w:start w:val="13"/>
    </w:lvl>
  </w:abstractNum>
  <w:abstractNum w:abstractNumId="16">
    <w:nsid w:val="5092CA79"/>
    <w:multiLevelType w:val="hybridMultilevel"/>
    <w:lvl w:ilvl="0">
      <w:lvlJc w:val="left"/>
      <w:lvlText w:val="(%1)"/>
      <w:numFmt w:val="lowerLetter"/>
      <w:start w:val="1"/>
    </w:lvl>
  </w:abstractNum>
  <w:abstractNum w:abstractNumId="17">
    <w:nsid w:val="1D545C4D"/>
    <w:multiLevelType w:val="hybridMultilevel"/>
    <w:lvl w:ilvl="0">
      <w:lvlJc w:val="left"/>
      <w:lvlText w:val="(%1)"/>
      <w:numFmt w:val="lowerLetter"/>
      <w:start w:val="9"/>
    </w:lvl>
  </w:abstractNum>
  <w:abstractNum w:abstractNumId="18">
    <w:nsid w:val="59ADEA3D"/>
    <w:multiLevelType w:val="hybridMultilevel"/>
    <w:lvl w:ilvl="0">
      <w:lvlJc w:val="left"/>
      <w:lvlText w:val="%1"/>
      <w:numFmt w:val="lowerLetter"/>
      <w:start w:val="1"/>
    </w:lvl>
    <w:lvl w:ilvl="1">
      <w:lvlJc w:val="left"/>
      <w:lvlText w:val="(%2)"/>
      <w:numFmt w:val="lowerLetter"/>
      <w:start w:val="1"/>
    </w:lvl>
  </w:abstractNum>
  <w:abstractNum w:abstractNumId="19">
    <w:nsid w:val="288F1A34"/>
    <w:multiLevelType w:val="hybridMultilevel"/>
    <w:lvl w:ilvl="0">
      <w:lvlJc w:val="left"/>
      <w:lvlText w:val="(%1)"/>
      <w:numFmt w:val="lowerLetter"/>
      <w:start w:val="9"/>
    </w:lvl>
    <w:lvl w:ilvl="1">
      <w:lvlJc w:val="left"/>
      <w:lvlText w:val="(%2)"/>
      <w:numFmt w:val="lowerLetter"/>
      <w:start w:val="6"/>
    </w:lvl>
  </w:abstractNum>
  <w:abstractNum w:abstractNumId="20">
    <w:nsid w:val="2A155DBC"/>
    <w:multiLevelType w:val="hybridMultilevel"/>
    <w:lvl w:ilvl="0">
      <w:lvlJc w:val="left"/>
      <w:lvlText w:val="(%1)"/>
      <w:numFmt w:val="lowerLetter"/>
      <w:start w:val="35"/>
    </w:lvl>
    <w:lvl w:ilvl="1">
      <w:lvlJc w:val="left"/>
      <w:lvlText w:val="(%2)"/>
      <w:numFmt w:val="lowerLetter"/>
      <w:start w:val="7"/>
    </w:lvl>
  </w:abstractNum>
  <w:abstractNum w:abstractNumId="21">
    <w:nsid w:val="1D9F6E5F"/>
    <w:multiLevelType w:val="hybridMultilevel"/>
    <w:lvl w:ilvl="0">
      <w:lvlJc w:val="left"/>
      <w:lvlText w:val="(%1)"/>
      <w:numFmt w:val="lowerLetter"/>
      <w:start w:val="12"/>
    </w:lvl>
  </w:abstractNum>
  <w:abstractNum w:abstractNumId="22">
    <w:nsid w:val="97E1B4E"/>
    <w:multiLevelType w:val="hybridMultilevel"/>
    <w:lvl w:ilvl="0">
      <w:lvlJc w:val="left"/>
      <w:lvlText w:val="(%1)"/>
      <w:numFmt w:val="lowerLetter"/>
      <w:start w:val="2"/>
    </w:lvl>
  </w:abstractNum>
  <w:abstractNum w:abstractNumId="23">
    <w:nsid w:val="51088277"/>
    <w:multiLevelType w:val="hybridMultilevel"/>
    <w:lvl w:ilvl="0">
      <w:lvlJc w:val="left"/>
      <w:lvlText w:val="(%1)"/>
      <w:numFmt w:val="lowerLetter"/>
      <w:start w:val="6"/>
    </w:lvl>
  </w:abstractNum>
  <w:abstractNum w:abstractNumId="24">
    <w:nsid w:val="1CA0C5FA"/>
    <w:multiLevelType w:val="hybridMultilevel"/>
    <w:lvl w:ilvl="0">
      <w:lvlJc w:val="left"/>
      <w:lvlText w:val="(%1)"/>
      <w:numFmt w:val="lowerLetter"/>
      <w:start w:val="12"/>
    </w:lvl>
  </w:abstractNum>
  <w:abstractNum w:abstractNumId="25">
    <w:nsid w:val="53584BCB"/>
    <w:multiLevelType w:val="hybridMultilevel"/>
    <w:lvl w:ilvl="0">
      <w:lvlJc w:val="left"/>
      <w:lvlText w:val="(%1)"/>
      <w:numFmt w:val="lowerLetter"/>
      <w:start w:val="1"/>
    </w:lvl>
  </w:abstractNum>
  <w:abstractNum w:abstractNumId="26">
    <w:nsid w:val="415E286C"/>
    <w:multiLevelType w:val="hybridMultilevel"/>
    <w:lvl w:ilvl="0">
      <w:lvlJc w:val="left"/>
      <w:lvlText w:val="(%1)"/>
      <w:numFmt w:val="lowerLetter"/>
      <w:start w:val="2"/>
    </w:lvl>
  </w:abstractNum>
  <w:abstractNum w:abstractNumId="27">
    <w:nsid w:val="7C58FD05"/>
    <w:multiLevelType w:val="hybridMultilevel"/>
    <w:lvl w:ilvl="0">
      <w:lvlJc w:val="left"/>
      <w:lvlText w:val="(%1)"/>
      <w:numFmt w:val="lowerLetter"/>
      <w:start w:val="5"/>
    </w:lvl>
  </w:abstractNum>
  <w:abstractNum w:abstractNumId="28">
    <w:nsid w:val="23D86AAC"/>
    <w:multiLevelType w:val="hybridMultilevel"/>
    <w:lvl w:ilvl="0">
      <w:lvlJc w:val="left"/>
      <w:lvlText w:val="(%1)"/>
      <w:numFmt w:val="lowerLetter"/>
      <w:start w:val="1"/>
    </w:lvl>
  </w:abstractNum>
  <w:abstractNum w:abstractNumId="29">
    <w:nsid w:val="45E6D486"/>
    <w:multiLevelType w:val="hybridMultilevel"/>
    <w:lvl w:ilvl="0">
      <w:lvlJc w:val="left"/>
      <w:lvlText w:val="(%1)"/>
      <w:numFmt w:val="lowerLetter"/>
      <w:start w:val="1"/>
    </w:lvl>
  </w:abstractNum>
  <w:abstractNum w:abstractNumId="30">
    <w:nsid w:val="5C10FE21"/>
    <w:multiLevelType w:val="hybridMultilevel"/>
    <w:lvl w:ilvl="0">
      <w:lvlJc w:val="left"/>
      <w:lvlText w:val="(%1)"/>
      <w:numFmt w:val="lowerLetter"/>
      <w:start w:val="1"/>
    </w:lvl>
  </w:abstractNum>
  <w:abstractNum w:abstractNumId="31">
    <w:nsid w:val="E7FFA2B"/>
    <w:multiLevelType w:val="hybridMultilevel"/>
    <w:lvl w:ilvl="0">
      <w:lvlJc w:val="left"/>
      <w:lvlText w:val="(%1)"/>
      <w:numFmt w:val="lowerLetter"/>
      <w:start w:val="1"/>
    </w:lvl>
  </w:abstractNum>
  <w:abstractNum w:abstractNumId="32">
    <w:nsid w:val="3C5991AA"/>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9"/>
    </w:lvl>
  </w:abstractNum>
  <w:abstractNum w:abstractNumId="33">
    <w:nsid w:val="4BD8591A"/>
    <w:multiLevelType w:val="hybridMultilevel"/>
    <w:lvl w:ilvl="0">
      <w:lvlJc w:val="left"/>
      <w:lvlText w:val="(%1)"/>
      <w:numFmt w:val="lowerLetter"/>
      <w:start w:val="25"/>
    </w:lvl>
    <w:lvl w:ilvl="1">
      <w:lvlJc w:val="left"/>
      <w:lvlText w:val="(%2)"/>
      <w:numFmt w:val="lowerLetter"/>
      <w:start w:val="2"/>
    </w:lvl>
    <w:lvl w:ilvl="2">
      <w:lvlJc w:val="left"/>
      <w:lvlText w:val="(%3)"/>
      <w:numFmt w:val="lowerLetter"/>
      <w:start w:val="35"/>
    </w:lvl>
  </w:abstractNum>
  <w:abstractNum w:abstractNumId="34">
    <w:nsid w:val="78DF6A55"/>
    <w:multiLevelType w:val="hybridMultilevel"/>
    <w:lvl w:ilvl="0">
      <w:lvlJc w:val="left"/>
      <w:lvlText w:val="(%1)"/>
      <w:numFmt w:val="lowerLetter"/>
      <w:start w:val="1"/>
    </w:lvl>
  </w:abstractNum>
  <w:abstractNum w:abstractNumId="35">
    <w:nsid w:val="39B7AAA2"/>
    <w:multiLevelType w:val="hybridMultilevel"/>
    <w:lvl w:ilvl="0">
      <w:lvlJc w:val="left"/>
      <w:lvlText w:val="(%1)"/>
      <w:numFmt w:val="lowerLetter"/>
      <w:start w:val="4"/>
    </w:lvl>
  </w:abstractNum>
  <w:abstractNum w:abstractNumId="36">
    <w:nsid w:val="2B0D8DBE"/>
    <w:multiLevelType w:val="hybridMultilevel"/>
    <w:lvl w:ilvl="0">
      <w:lvlJc w:val="left"/>
      <w:lvlText w:val="(%1)"/>
      <w:numFmt w:val="lowerLetter"/>
      <w:start w:val="11"/>
    </w:lvl>
  </w:abstractNum>
  <w:abstractNum w:abstractNumId="37">
    <w:nsid w:val="6C80EC70"/>
    <w:multiLevelType w:val="hybridMultilevel"/>
    <w:lvl w:ilvl="0">
      <w:lvlJc w:val="left"/>
      <w:lvlText w:val="(%1)"/>
      <w:numFmt w:val="lowerLetter"/>
      <w:start w:val="1"/>
    </w:lvl>
  </w:abstractNum>
  <w:abstractNum w:abstractNumId="38">
    <w:nsid w:val="379E21B5"/>
    <w:multiLevelType w:val="hybridMultilevel"/>
    <w:lvl w:ilvl="0">
      <w:lvlJc w:val="left"/>
      <w:lvlText w:val="(%1)"/>
      <w:numFmt w:val="lowerLetter"/>
      <w:start w:val="1"/>
    </w:lvl>
  </w:abstractNum>
  <w:abstractNum w:abstractNumId="39">
    <w:nsid w:val="69E373"/>
    <w:multiLevelType w:val="hybridMultilevel"/>
    <w:lvl w:ilvl="0">
      <w:lvlJc w:val="left"/>
      <w:lvlText w:val="(%1)"/>
      <w:numFmt w:val="lowerLetter"/>
      <w:start w:val="11"/>
    </w:lvl>
  </w:abstractNum>
  <w:abstractNum w:abstractNumId="40">
    <w:nsid w:val="2C27173B"/>
    <w:multiLevelType w:val="hybridMultilevel"/>
    <w:lvl w:ilvl="0">
      <w:lvlJc w:val="left"/>
      <w:lvlText w:val="(%1)"/>
      <w:numFmt w:val="lowerLetter"/>
      <w:start w:val="1"/>
    </w:lvl>
  </w:abstractNum>
  <w:abstractNum w:abstractNumId="41">
    <w:nsid w:val="4C9B0904"/>
    <w:multiLevelType w:val="hybridMultilevel"/>
    <w:lvl w:ilvl="0">
      <w:lvlJc w:val="left"/>
      <w:lvlText w:val="(%1)"/>
      <w:numFmt w:val="lowerLetter"/>
      <w:start w:val="4"/>
    </w:lvl>
  </w:abstractNum>
  <w:abstractNum w:abstractNumId="42">
    <w:nsid w:val="6AA7B75C"/>
    <w:multiLevelType w:val="hybridMultilevel"/>
    <w:lvl w:ilvl="0">
      <w:lvlJc w:val="left"/>
      <w:lvlText w:val="%1"/>
      <w:numFmt w:val="lowerRoman"/>
      <w:start w:val="1"/>
    </w:lvl>
    <w:lvl w:ilvl="1">
      <w:lvlJc w:val="left"/>
      <w:lvlText w:val="(%2)"/>
      <w:numFmt w:val="lowerLetter"/>
      <w:start w:val="5"/>
    </w:lvl>
  </w:abstractNum>
  <w:abstractNum w:abstractNumId="43">
    <w:nsid w:val="1DF029D3"/>
    <w:multiLevelType w:val="hybridMultilevel"/>
    <w:lvl w:ilvl="0">
      <w:lvlJc w:val="left"/>
      <w:lvlText w:val="(%1)"/>
      <w:numFmt w:val="lowerRoman"/>
      <w:start w:val="4"/>
    </w:lvl>
    <w:lvl w:ilvl="1">
      <w:lvlJc w:val="left"/>
      <w:lvlText w:val="(%2)"/>
      <w:numFmt w:val="lowerLetter"/>
      <w:start w:val="7"/>
    </w:lvl>
  </w:abstractNum>
  <w:abstractNum w:abstractNumId="44">
    <w:nsid w:val="5675FF36"/>
    <w:multiLevelType w:val="hybridMultilevel"/>
    <w:lvl w:ilvl="0">
      <w:lvlJc w:val="left"/>
      <w:lvlText w:val="(%1)"/>
      <w:numFmt w:val="lowerLetter"/>
      <w:start w:val="13"/>
    </w:lvl>
  </w:abstractNum>
  <w:abstractNum w:abstractNumId="45">
    <w:nsid w:val="3DD15094"/>
    <w:multiLevelType w:val="hybridMultilevel"/>
    <w:lvl w:ilvl="0">
      <w:lvlJc w:val="left"/>
      <w:lvlText w:val="(%1)"/>
      <w:numFmt w:val="lowerLetter"/>
      <w:start w:val="3"/>
    </w:lvl>
  </w:abstractNum>
  <w:abstractNum w:abstractNumId="46">
    <w:nsid w:val="3DB012B3"/>
    <w:multiLevelType w:val="hybridMultilevel"/>
    <w:lvl w:ilvl="0">
      <w:lvlJc w:val="left"/>
      <w:lvlText w:val="(%1)"/>
      <w:numFmt w:val="lowerLetter"/>
      <w:start w:val="1"/>
    </w:lvl>
  </w:abstractNum>
  <w:abstractNum w:abstractNumId="47">
    <w:nsid w:val="2708C9AF"/>
    <w:multiLevelType w:val="hybridMultilevel"/>
    <w:lvl w:ilvl="0">
      <w:lvlJc w:val="left"/>
      <w:lvlText w:val="(%1)"/>
      <w:numFmt w:val="lowerLetter"/>
      <w:start w:val="2"/>
    </w:lvl>
  </w:abstractNum>
  <w:abstractNum w:abstractNumId="48">
    <w:nsid w:val="5B25ACE2"/>
    <w:multiLevelType w:val="hybridMultilevel"/>
    <w:lvl w:ilvl="0">
      <w:lvlJc w:val="left"/>
      <w:lvlText w:val="(%1)"/>
      <w:numFmt w:val="lowerLetter"/>
      <w:start w:val="16"/>
    </w:lvl>
  </w:abstractNum>
  <w:abstractNum w:abstractNumId="49">
    <w:nsid w:val="175DFCF0"/>
    <w:multiLevelType w:val="hybridMultilevel"/>
    <w:lvl w:ilvl="0">
      <w:lvlJc w:val="left"/>
      <w:lvlText w:val="(%1)"/>
      <w:numFmt w:val="lowerLetter"/>
      <w:start w:val="1"/>
    </w:lvl>
  </w:abstractNum>
  <w:abstractNum w:abstractNumId="50">
    <w:nsid w:val="4F97E3E4"/>
    <w:multiLevelType w:val="hybridMultilevel"/>
    <w:lvl w:ilvl="0">
      <w:lvlJc w:val="left"/>
      <w:lvlText w:val="(%1)"/>
      <w:numFmt w:val="lowerLetter"/>
      <w:start w:val="7"/>
    </w:lvl>
  </w:abstractNum>
  <w:abstractNum w:abstractNumId="51">
    <w:nsid w:val="53B0A9E"/>
    <w:multiLevelType w:val="hybridMultilevel"/>
    <w:lvl w:ilvl="0">
      <w:lvlJc w:val="left"/>
      <w:lvlText w:val="(%1)"/>
      <w:numFmt w:val="lowerLetter"/>
      <w:start w:val="21"/>
    </w:lvl>
  </w:abstractNum>
  <w:abstractNum w:abstractNumId="52">
    <w:nsid w:val="34FD6B4F"/>
    <w:multiLevelType w:val="hybridMultilevel"/>
    <w:lvl w:ilvl="0">
      <w:lvlJc w:val="left"/>
      <w:lvlText w:val="(%1)"/>
      <w:numFmt w:val="lowerLetter"/>
      <w:start w:val="1"/>
    </w:lvl>
  </w:abstractNum>
  <w:abstractNum w:abstractNumId="53">
    <w:nsid w:val="5915FF32"/>
    <w:multiLevelType w:val="hybridMultilevel"/>
    <w:lvl w:ilvl="0">
      <w:lvlJc w:val="left"/>
      <w:lvlText w:val="(%1)"/>
      <w:numFmt w:val="lowerLetter"/>
      <w:start w:val="3"/>
    </w:lvl>
  </w:abstractNum>
  <w:abstractNum w:abstractNumId="54">
    <w:nsid w:val="56438D15"/>
    <w:multiLevelType w:val="hybridMultilevel"/>
    <w:lvl w:ilvl="0">
      <w:lvlJc w:val="left"/>
      <w:lvlText w:val="(%1)"/>
      <w:numFmt w:val="lowerLetter"/>
      <w:start w:val="2"/>
    </w:lvl>
  </w:abstractNum>
  <w:abstractNum w:abstractNumId="55">
    <w:nsid w:val="519E3149"/>
    <w:multiLevelType w:val="hybridMultilevel"/>
    <w:lvl w:ilvl="0">
      <w:lvlJc w:val="left"/>
      <w:lvlText w:val="(%1)"/>
      <w:numFmt w:val="lowerLetter"/>
      <w:start w:val="1"/>
    </w:lvl>
  </w:abstractNum>
  <w:abstractNum w:abstractNumId="56">
    <w:nsid w:val="2C6E4AFD"/>
    <w:multiLevelType w:val="hybridMultilevel"/>
    <w:lvl w:ilvl="0">
      <w:lvlJc w:val="left"/>
      <w:lvlText w:val="(%1)"/>
      <w:numFmt w:val="lowerLetter"/>
      <w:start w:val="1"/>
    </w:lvl>
  </w:abstractNum>
  <w:abstractNum w:abstractNumId="57">
    <w:nsid w:val="17A1B582"/>
    <w:multiLevelType w:val="hybridMultilevel"/>
    <w:lvl w:ilvl="0">
      <w:lvlJc w:val="left"/>
      <w:lvlText w:val="%1"/>
      <w:numFmt w:val="decimal"/>
      <w:start w:val="1"/>
    </w:lvl>
    <w:lvl w:ilvl="1">
      <w:lvlJc w:val="left"/>
      <w:lvlText w:val="(%2)"/>
      <w:numFmt w:val="lowerLetter"/>
      <w:start w:val="1"/>
    </w:lvl>
  </w:abstractNum>
  <w:abstractNum w:abstractNumId="58">
    <w:nsid w:val="4DF72E4E"/>
    <w:multiLevelType w:val="hybridMultilevel"/>
    <w:lvl w:ilvl="0">
      <w:lvlJc w:val="left"/>
      <w:lvlText w:val="(%1)"/>
      <w:numFmt w:val="decimal"/>
      <w:start w:val="2"/>
    </w:lvl>
    <w:lvl w:ilvl="1">
      <w:lvlJc w:val="left"/>
      <w:lvlText w:val="(%2)"/>
      <w:numFmt w:val="lowerLetter"/>
      <w:start w:val="2"/>
    </w:lvl>
  </w:abstractNum>
  <w:abstractNum w:abstractNumId="59">
    <w:nsid w:val="5046B5A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60">
    <w:nsid w:val="5D888A08"/>
    <w:multiLevelType w:val="hybridMultilevel"/>
    <w:lvl w:ilvl="0">
      <w:lvlJc w:val="left"/>
      <w:lvlText w:val="(%1)"/>
      <w:numFmt w:val="lowerLetter"/>
      <w:start w:val="1"/>
    </w:lvl>
    <w:lvl w:ilvl="1">
      <w:lvlJc w:val="left"/>
      <w:lvlText w:val="(%2)"/>
      <w:numFmt w:val="lowerRoman"/>
      <w:start w:val="1"/>
    </w:lvl>
  </w:abstractNum>
  <w:abstractNum w:abstractNumId="61">
    <w:nsid w:val="2A082C70"/>
    <w:multiLevelType w:val="hybridMultilevel"/>
    <w:lvl w:ilvl="0">
      <w:lvlJc w:val="left"/>
      <w:lvlText w:val="(%1)"/>
      <w:numFmt w:val="lowerLetter"/>
      <w:start w:val="5"/>
    </w:lvl>
  </w:abstractNum>
  <w:abstractNum w:abstractNumId="62">
    <w:nsid w:val="5EC6AFD4"/>
    <w:multiLevelType w:val="hybridMultilevel"/>
    <w:lvl w:ilvl="0">
      <w:lvlJc w:val="left"/>
      <w:lvlText w:val="(%1)"/>
      <w:numFmt w:val="lowerLetter"/>
      <w:start w:val="1"/>
    </w:lvl>
  </w:abstractNum>
  <w:abstractNum w:abstractNumId="63">
    <w:nsid w:val="19E21BB2"/>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64">
    <w:nsid w:val="75E0858A"/>
    <w:multiLevelType w:val="hybridMultilevel"/>
    <w:lvl w:ilvl="0">
      <w:lvlJc w:val="left"/>
      <w:lvlText w:val="(%1)"/>
      <w:numFmt w:val="lowerLetter"/>
      <w:start w:val="9"/>
    </w:lvl>
    <w:lvl w:ilvl="1">
      <w:lvlJc w:val="left"/>
      <w:lvlText w:val="(%2)"/>
      <w:numFmt w:val="lowerLetter"/>
      <w:start w:val="3"/>
    </w:lvl>
    <w:lvl w:ilvl="2">
      <w:lvlJc w:val="left"/>
      <w:lvlText w:val="(%3)"/>
      <w:numFmt w:val="lowerLetter"/>
      <w:start w:val="9"/>
    </w:lvl>
  </w:abstractNum>
  <w:abstractNum w:abstractNumId="65">
    <w:nsid w:val="57A61A29"/>
    <w:multiLevelType w:val="hybridMultilevel"/>
    <w:lvl w:ilvl="0">
      <w:lvlJc w:val="left"/>
      <w:lvlText w:val="%1"/>
      <w:numFmt w:val="lowerLetter"/>
      <w:start w:val="1"/>
    </w:lvl>
    <w:lvl w:ilvl="1">
      <w:lvlJc w:val="left"/>
      <w:lvlText w:val="(%2)"/>
      <w:numFmt w:val="lowerLetter"/>
      <w:start w:val="35"/>
    </w:lvl>
  </w:abstractNum>
  <w:abstractNum w:abstractNumId="66">
    <w:nsid w:val="5399C654"/>
    <w:multiLevelType w:val="hybridMultilevel"/>
    <w:lvl w:ilvl="0">
      <w:lvlJc w:val="left"/>
      <w:lvlText w:val="(%1)"/>
      <w:numFmt w:val="lowerLetter"/>
      <w:start w:val="4"/>
    </w:lvl>
    <w:lvl w:ilvl="1">
      <w:lvlJc w:val="left"/>
      <w:lvlText w:val="(%2)"/>
      <w:numFmt w:val="lowerLetter"/>
      <w:start w:val="9"/>
    </w:lvl>
  </w:abstractNum>
  <w:abstractNum w:abstractNumId="67">
    <w:nsid w:val="20EE1348"/>
    <w:multiLevelType w:val="hybridMultilevel"/>
    <w:lvl w:ilvl="0">
      <w:lvlJc w:val="left"/>
      <w:lvlText w:val="%1"/>
      <w:numFmt w:val="upperLetter"/>
      <w:start w:val="1"/>
    </w:lvl>
    <w:lvl w:ilvl="1">
      <w:lvlJc w:val="left"/>
      <w:lvlText w:val="(%2)"/>
      <w:numFmt w:val="lowerRoman"/>
      <w:start w:val="2"/>
    </w:lvl>
  </w:abstractNum>
  <w:abstractNum w:abstractNumId="68">
    <w:nsid w:val="4427069A"/>
    <w:multiLevelType w:val="hybridMultilevel"/>
    <w:lvl w:ilvl="0">
      <w:lvlJc w:val="left"/>
      <w:lvlText w:val="(%1)"/>
      <w:numFmt w:val="upperLetter"/>
      <w:start w:val="2"/>
    </w:lvl>
    <w:lvl w:ilvl="1">
      <w:lvlJc w:val="left"/>
      <w:lvlText w:val="%2"/>
      <w:numFmt w:val="lowerRoman"/>
      <w:start w:val="1"/>
    </w:lvl>
  </w:abstractNum>
  <w:abstractNum w:abstractNumId="69">
    <w:nsid w:val="B37E80A"/>
    <w:multiLevelType w:val="hybridMultilevel"/>
    <w:lvl w:ilvl="0">
      <w:lvlJc w:val="left"/>
      <w:lvlText w:val="%1"/>
      <w:numFmt w:val="lowerLetter"/>
      <w:start w:val="1"/>
    </w:lvl>
    <w:lvl w:ilvl="1">
      <w:lvlJc w:val="left"/>
      <w:lvlText w:val="(%2)"/>
      <w:numFmt w:val="lowerRoman"/>
      <w:start w:val="3"/>
    </w:lvl>
  </w:abstractNum>
  <w:abstractNum w:abstractNumId="70">
    <w:nsid w:val="2157F6BC"/>
    <w:multiLevelType w:val="hybridMultilevel"/>
    <w:lvl w:ilvl="0">
      <w:lvlJc w:val="left"/>
      <w:lvlText w:val="(%1)"/>
      <w:numFmt w:val="lowerLetter"/>
      <w:start w:val="5"/>
    </w:lvl>
    <w:lvl w:ilvl="1">
      <w:lvlJc w:val="left"/>
      <w:lvlText w:val="(%2)"/>
      <w:numFmt w:val="lowerRoman"/>
      <w:start w:val="1"/>
    </w:lvl>
  </w:abstractNum>
  <w:abstractNum w:abstractNumId="71">
    <w:nsid w:val="704E1DD5"/>
    <w:multiLevelType w:val="hybridMultilevel"/>
    <w:lvl w:ilvl="0">
      <w:lvlJc w:val="left"/>
      <w:lvlText w:val="(%1)"/>
      <w:numFmt w:val="lowerRoman"/>
      <w:start w:val="2"/>
    </w:lvl>
  </w:abstractNum>
  <w:abstractNum w:abstractNumId="72">
    <w:nsid w:val="57D2F10E"/>
    <w:multiLevelType w:val="hybridMultilevel"/>
    <w:lvl w:ilvl="0">
      <w:lvlJc w:val="left"/>
      <w:lvlText w:val="%1"/>
      <w:numFmt w:val="lowerLetter"/>
      <w:start w:val="1"/>
    </w:lvl>
    <w:lvl w:ilvl="1">
      <w:lvlJc w:val="left"/>
      <w:lvlText w:val="(%2)"/>
      <w:numFmt w:val="lowerRoman"/>
      <w:start w:val="4"/>
    </w:lvl>
  </w:abstractNum>
  <w:abstractNum w:abstractNumId="73">
    <w:nsid w:val="BFFAE18"/>
    <w:multiLevelType w:val="hybridMultilevel"/>
    <w:lvl w:ilvl="0">
      <w:lvlJc w:val="left"/>
      <w:lvlText w:val="(%1)"/>
      <w:numFmt w:val="lowerLetter"/>
      <w:start w:val="6"/>
    </w:lvl>
    <w:lvl w:ilvl="1">
      <w:lvlJc w:val="left"/>
      <w:lvlText w:val="(%2)"/>
      <w:numFmt w:val="lowerRoman"/>
      <w:start w:val="1"/>
    </w:lvl>
  </w:abstractNum>
  <w:abstractNum w:abstractNumId="74">
    <w:nsid w:val="E3E47A8"/>
    <w:multiLevelType w:val="hybridMultilevel"/>
    <w:lvl w:ilvl="0">
      <w:lvlJc w:val="left"/>
      <w:lvlText w:val="(%1)"/>
      <w:numFmt w:val="lowerRoman"/>
      <w:start w:val="2"/>
    </w:lvl>
  </w:abstractNum>
  <w:abstractNum w:abstractNumId="75">
    <w:nsid w:val="2E48F044"/>
    <w:multiLevelType w:val="hybridMultilevel"/>
    <w:lvl w:ilvl="0">
      <w:lvlJc w:val="left"/>
      <w:lvlText w:val="%1"/>
      <w:numFmt w:val="lowerRoman"/>
      <w:start w:val="1"/>
    </w:lvl>
    <w:lvl w:ilvl="1">
      <w:lvlJc w:val="left"/>
      <w:lvlText w:val="(%2)"/>
      <w:numFmt w:val="upperLetter"/>
      <w:start w:val="1"/>
    </w:lvl>
  </w:abstractNum>
  <w:abstractNum w:abstractNumId="76">
    <w:nsid w:val="49D0FEAC"/>
    <w:multiLevelType w:val="hybridMultilevel"/>
    <w:lvl w:ilvl="0">
      <w:lvlJc w:val="left"/>
      <w:lvlText w:val="(%1)"/>
      <w:numFmt w:val="lowerRoman"/>
      <w:start w:val="10"/>
    </w:lvl>
    <w:lvl w:ilvl="1">
      <w:lvlJc w:val="left"/>
      <w:lvlText w:val="(%2)"/>
      <w:numFmt w:val="upperLetter"/>
      <w:start w:val="2"/>
    </w:lvl>
  </w:abstractNum>
  <w:abstractNum w:abstractNumId="77">
    <w:nsid w:val="4BEE5A5B"/>
    <w:multiLevelType w:val="hybridMultilevel"/>
    <w:lvl w:ilvl="0">
      <w:lvlJc w:val="left"/>
      <w:lvlText w:val="%1"/>
      <w:numFmt w:val="lowerLetter"/>
      <w:start w:val="1"/>
    </w:lvl>
    <w:lvl w:ilvl="1">
      <w:lvlJc w:val="left"/>
      <w:lvlText w:val="(%2)"/>
      <w:numFmt w:val="upperLetter"/>
      <w:start w:val="6"/>
    </w:lvl>
  </w:abstractNum>
  <w:abstractNum w:abstractNumId="78">
    <w:nsid w:val="5551B9F3"/>
    <w:multiLevelType w:val="hybridMultilevel"/>
    <w:lvl w:ilvl="0">
      <w:lvlJc w:val="left"/>
      <w:lvlText w:val="(%1)"/>
      <w:numFmt w:val="lowerLetter"/>
      <w:start w:val="8"/>
    </w:lvl>
    <w:lvl w:ilvl="1">
      <w:lvlJc w:val="left"/>
      <w:lvlText w:val="%2"/>
      <w:numFmt w:val="upperLetter"/>
      <w:start w:val="1"/>
    </w:lvl>
  </w:abstractNum>
  <w:abstractNum w:abstractNumId="79">
    <w:nsid w:val="24F6AB8E"/>
    <w:multiLevelType w:val="hybridMultilevel"/>
    <w:lvl w:ilvl="0">
      <w:lvlJc w:val="left"/>
      <w:lvlText w:val="(%1)"/>
      <w:numFmt w:val="lowerLetter"/>
      <w:start w:val="1"/>
    </w:lvl>
    <w:lvl w:ilvl="1">
      <w:lvlJc w:val="left"/>
      <w:lvlText w:val="(%2)"/>
      <w:numFmt w:val="lowerRoman"/>
      <w:start w:val="1"/>
    </w:lvl>
  </w:abstractNum>
  <w:abstractNum w:abstractNumId="80">
    <w:nsid w:val="634C574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1">
    <w:nsid w:val="24E99DD7"/>
    <w:multiLevelType w:val="hybridMultilevel"/>
    <w:lvl w:ilvl="0">
      <w:lvlJc w:val="left"/>
      <w:lvlText w:val="%1"/>
      <w:numFmt w:val="lowerRoman"/>
      <w:start w:val="1"/>
    </w:lvl>
    <w:lvl w:ilvl="1">
      <w:lvlJc w:val="left"/>
      <w:lvlText w:val="(%2)"/>
      <w:numFmt w:val="upperLetter"/>
      <w:start w:val="9"/>
    </w:lvl>
    <w:lvl w:ilvl="2">
      <w:lvlJc w:val="left"/>
      <w:lvlText w:val="%3."/>
      <w:numFmt w:val="lowerRoman"/>
      <w:start w:val="1"/>
    </w:lvl>
  </w:abstractNum>
  <w:abstractNum w:abstractNumId="82">
    <w:nsid w:val="2A31B62D"/>
    <w:multiLevelType w:val="hybridMultilevel"/>
    <w:lvl w:ilvl="0">
      <w:lvlJc w:val="left"/>
      <w:lvlText w:val="(%1)"/>
      <w:numFmt w:val="lowerRoman"/>
      <w:start w:val="4"/>
    </w:lvl>
    <w:lvl w:ilvl="1">
      <w:lvlJc w:val="left"/>
      <w:lvlText w:val="%2"/>
      <w:numFmt w:val="upperLetter"/>
      <w:start w:val="1"/>
    </w:lvl>
    <w:lvl w:ilvl="2">
      <w:lvlJc w:val="left"/>
      <w:lvlText w:val="%3"/>
      <w:numFmt w:val="lowerRoman"/>
      <w:start w:val="1"/>
    </w:lvl>
  </w:abstractNum>
  <w:abstractNum w:abstractNumId="83">
    <w:nsid w:val="1849C29B"/>
    <w:multiLevelType w:val="hybridMultilevel"/>
    <w:lvl w:ilvl="0">
      <w:lvlJc w:val="left"/>
      <w:lvlText w:val="%1"/>
      <w:numFmt w:val="lowerLetter"/>
      <w:start w:val="1"/>
    </w:lvl>
    <w:lvl w:ilvl="1">
      <w:lvlJc w:val="left"/>
      <w:lvlText w:val="(%2)"/>
      <w:numFmt w:val="lowerRoman"/>
      <w:start w:val="7"/>
    </w:lvl>
  </w:abstractNum>
  <w:abstractNum w:abstractNumId="84">
    <w:nsid w:val="7DFF9D09"/>
    <w:multiLevelType w:val="hybridMultilevel"/>
    <w:lvl w:ilvl="0">
      <w:lvlJc w:val="left"/>
      <w:lvlText w:val="(%1)"/>
      <w:numFmt w:val="lowerLetter"/>
      <w:start w:val="3"/>
    </w:lvl>
    <w:lvl w:ilvl="1">
      <w:lvlJc w:val="left"/>
      <w:lvlText w:val="(%2)"/>
      <w:numFmt w:val="lowerRoman"/>
      <w:start w:val="1"/>
    </w:lvl>
  </w:abstractNum>
  <w:abstractNum w:abstractNumId="85">
    <w:nsid w:val="754342"/>
    <w:multiLevelType w:val="hybridMultilevel"/>
    <w:lvl w:ilvl="0">
      <w:lvlJc w:val="left"/>
      <w:lvlText w:val="%1"/>
      <w:numFmt w:val="lowerLetter"/>
      <w:start w:val="1"/>
    </w:lvl>
    <w:lvl w:ilvl="1">
      <w:lvlJc w:val="left"/>
      <w:lvlText w:val="(%2)"/>
      <w:numFmt w:val="lowerLetter"/>
      <w:start w:val="61"/>
    </w:lvl>
  </w:abstractNum>
  <w:abstractNum w:abstractNumId="86">
    <w:nsid w:val="69E7F3E5"/>
    <w:multiLevelType w:val="hybridMultilevel"/>
    <w:lvl w:ilvl="0">
      <w:lvlJc w:val="left"/>
      <w:lvlText w:val="(%1)"/>
      <w:numFmt w:val="lowerLetter"/>
      <w:start w:val="6"/>
    </w:lvl>
    <w:lvl w:ilvl="1">
      <w:lvlJc w:val="left"/>
      <w:lvlText w:val="(%2)"/>
      <w:numFmt w:val="lowerLetter"/>
      <w:start w:val="9"/>
    </w:lvl>
  </w:abstractNum>
  <w:abstractNum w:abstractNumId="87">
    <w:nsid w:val="2A6DE806"/>
    <w:multiLevelType w:val="hybridMultilevel"/>
    <w:lvl w:ilvl="0">
      <w:lvlJc w:val="left"/>
      <w:lvlText w:val="(%1)"/>
      <w:numFmt w:val="lowerLetter"/>
      <w:start w:val="1"/>
    </w:lvl>
  </w:abstractNum>
  <w:abstractNum w:abstractNumId="88">
    <w:nsid w:val="1816F8C4"/>
    <w:multiLevelType w:val="hybridMultilevel"/>
    <w:lvl w:ilvl="0">
      <w:lvlJc w:val="left"/>
      <w:lvlText w:val="(%1)"/>
      <w:numFmt w:val="lowerLetter"/>
      <w:start w:val="1"/>
    </w:lvl>
    <w:lvl w:ilvl="1">
      <w:lvlJc w:val="left"/>
      <w:lvlText w:val="(%2)"/>
      <w:numFmt w:val="lowerRoman"/>
      <w:start w:val="1"/>
    </w:lvl>
  </w:abstractNum>
  <w:abstractNum w:abstractNumId="89">
    <w:nsid w:val="37DF2233"/>
    <w:multiLevelType w:val="hybridMultilevel"/>
    <w:lvl w:ilvl="0">
      <w:lvlJc w:val="left"/>
      <w:lvlText w:val="(%1)"/>
      <w:numFmt w:val="upperLetter"/>
      <w:start w:val="7"/>
    </w:lvl>
    <w:lvl w:ilvl="1">
      <w:lvlJc w:val="left"/>
      <w:lvlText w:val="(%2)"/>
      <w:numFmt w:val="lowerLetter"/>
      <w:start w:val="5"/>
    </w:lvl>
  </w:abstractNum>
  <w:abstractNum w:abstractNumId="90">
    <w:nsid w:val="7AB49DAF"/>
    <w:multiLevelType w:val="hybridMultilevel"/>
    <w:lvl w:ilvl="0">
      <w:lvlJc w:val="left"/>
      <w:lvlText w:val="(%1)"/>
      <w:numFmt w:val="lowerLetter"/>
      <w:start w:val="1"/>
    </w:lvl>
  </w:abstractNum>
  <w:abstractNum w:abstractNumId="91">
    <w:nsid w:val="759F82CD"/>
    <w:multiLevelType w:val="hybridMultilevel"/>
    <w:lvl w:ilvl="0">
      <w:lvlJc w:val="left"/>
      <w:lvlText w:val="(%1)"/>
      <w:numFmt w:val="lowerLetter"/>
      <w:start w:val="1"/>
    </w:lvl>
  </w:abstractNum>
  <w:abstractNum w:abstractNumId="92">
    <w:nsid w:val="61E74EA3"/>
    <w:multiLevelType w:val="hybridMultilevel"/>
    <w:lvl w:ilvl="0">
      <w:lvlJc w:val="left"/>
      <w:lvlText w:val="(%1)"/>
      <w:numFmt w:val="lowerLetter"/>
      <w:start w:val="2"/>
    </w:lvl>
    <w:lvl w:ilvl="1">
      <w:lvlJc w:val="left"/>
      <w:lvlText w:val="(%2)"/>
      <w:numFmt w:val="lowerRoman"/>
      <w:start w:val="1"/>
    </w:lvl>
  </w:abstractNum>
  <w:abstractNum w:abstractNumId="93">
    <w:nsid w:val="597B4D84"/>
    <w:multiLevelType w:val="hybridMultilevel"/>
    <w:lvl w:ilvl="0">
      <w:lvlJc w:val="left"/>
      <w:lvlText w:val="(%1)"/>
      <w:numFmt w:val="lowerLetter"/>
      <w:start w:val="5"/>
    </w:lvl>
    <w:lvl w:ilvl="1">
      <w:lvlJc w:val="left"/>
      <w:lvlText w:val="(%2)"/>
      <w:numFmt w:val="lowerLetter"/>
      <w:start w:val="9"/>
    </w:lvl>
  </w:abstractNum>
  <w:abstractNum w:abstractNumId="94">
    <w:nsid w:val="F819E7F"/>
    <w:multiLevelType w:val="hybridMultilevel"/>
    <w:lvl w:ilvl="0">
      <w:lvlJc w:val="left"/>
      <w:lvlText w:val="(%1)"/>
      <w:numFmt w:val="lowerRoman"/>
      <w:start w:val="2"/>
    </w:lvl>
  </w:abstractNum>
  <w:abstractNum w:abstractNumId="95">
    <w:nsid w:val="57C7D42D"/>
    <w:multiLevelType w:val="hybridMultilevel"/>
    <w:lvl w:ilvl="0">
      <w:lvlJc w:val="left"/>
      <w:lvlText w:val="%1"/>
      <w:numFmt w:val="lowerLetter"/>
      <w:start w:val="1"/>
    </w:lvl>
    <w:lvl w:ilvl="1">
      <w:lvlJc w:val="left"/>
      <w:lvlText w:val="(%2)"/>
      <w:numFmt w:val="lowerLetter"/>
      <w:start w:val="7"/>
    </w:lvl>
  </w:abstractNum>
  <w:abstractNum w:abstractNumId="96">
    <w:nsid w:val="312167AD"/>
    <w:multiLevelType w:val="hybridMultilevel"/>
    <w:lvl w:ilvl="0">
      <w:lvlJc w:val="left"/>
      <w:lvlText w:val="(%1)"/>
      <w:numFmt w:val="lowerLetter"/>
      <w:start w:val="25"/>
    </w:lvl>
    <w:lvl w:ilvl="1">
      <w:lvlJc w:val="left"/>
      <w:lvlText w:val="(%2)"/>
      <w:numFmt w:val="lowerLetter"/>
      <w:start w:val="8"/>
    </w:lvl>
  </w:abstractNum>
  <w:abstractNum w:abstractNumId="97">
    <w:nsid w:val="631B64D4"/>
    <w:multiLevelType w:val="hybridMultilevel"/>
    <w:lvl w:ilvl="0">
      <w:lvlJc w:val="left"/>
      <w:lvlText w:val="(%1)"/>
      <w:numFmt w:val="lowerLetter"/>
      <w:start w:val="61"/>
    </w:lvl>
    <w:lvl w:ilvl="1">
      <w:lvlJc w:val="left"/>
      <w:lvlText w:val="(%2)"/>
      <w:numFmt w:val="lowerLetter"/>
      <w:start w:val="9"/>
    </w:lvl>
  </w:abstractNum>
  <w:abstractNum w:abstractNumId="98">
    <w:nsid w:val="78B5E776"/>
    <w:multiLevelType w:val="hybridMultilevel"/>
    <w:lvl w:ilvl="0">
      <w:lvlJc w:val="left"/>
      <w:lvlText w:val="(%1)"/>
      <w:numFmt w:val="lowerRoman"/>
      <w:start w:val="1"/>
    </w:lvl>
  </w:abstractNum>
  <w:abstractNum w:abstractNumId="99">
    <w:nsid w:val="75486E47"/>
    <w:multiLevelType w:val="hybridMultilevel"/>
    <w:lvl w:ilvl="0">
      <w:lvlJc w:val="left"/>
      <w:lvlText w:val="(%1)"/>
      <w:numFmt w:val="lowerLetter"/>
      <w:start w:val="10"/>
    </w:lvl>
    <w:lvl w:ilvl="1">
      <w:lvlJc w:val="left"/>
      <w:lvlText w:val="(%2)"/>
      <w:numFmt w:val="lowerRoman"/>
      <w:start w:val="1"/>
    </w:lvl>
  </w:abstractNum>
  <w:abstractNum w:abstractNumId="100">
    <w:nsid w:val="6E534CDE"/>
    <w:multiLevelType w:val="hybridMultilevel"/>
    <w:lvl w:ilvl="0">
      <w:lvlJc w:val="left"/>
      <w:lvlText w:val="%1"/>
      <w:numFmt w:val="lowerLetter"/>
      <w:start w:val="1"/>
    </w:lvl>
    <w:lvl w:ilvl="1">
      <w:lvlJc w:val="left"/>
      <w:lvlText w:val="(%2)"/>
      <w:numFmt w:val="lowerRoman"/>
      <w:start w:val="3"/>
    </w:lvl>
  </w:abstractNum>
  <w:abstractNum w:abstractNumId="101">
    <w:nsid w:val="1A0DDE32"/>
    <w:multiLevelType w:val="hybridMultilevel"/>
    <w:lvl w:ilvl="0">
      <w:lvlJc w:val="left"/>
      <w:lvlText w:val="(%1)"/>
      <w:numFmt w:val="lowerLetter"/>
      <w:start w:val="11"/>
    </w:lvl>
    <w:lvl w:ilvl="1">
      <w:lvlJc w:val="left"/>
      <w:lvlText w:val="%2"/>
      <w:numFmt w:val="lowerRoman"/>
      <w:start w:val="1"/>
    </w:lvl>
  </w:abstractNum>
  <w:abstractNum w:abstractNumId="102">
    <w:nsid w:val="65968C1C"/>
    <w:multiLevelType w:val="hybridMultilevel"/>
    <w:lvl w:ilvl="0">
      <w:lvlJc w:val="left"/>
      <w:lvlText w:val="(%1)"/>
      <w:numFmt w:val="lowerLetter"/>
      <w:start w:val="12"/>
    </w:lvl>
    <w:lvl w:ilvl="1">
      <w:lvlJc w:val="left"/>
      <w:lvlText w:val="(%2)"/>
      <w:numFmt w:val="lowerRoman"/>
      <w:start w:val="1"/>
    </w:lvl>
  </w:abstractNum>
  <w:abstractNum w:abstractNumId="103">
    <w:nsid w:val="46263DEC"/>
    <w:multiLevelType w:val="hybridMultilevel"/>
    <w:lvl w:ilvl="0">
      <w:lvlJc w:val="left"/>
      <w:lvlText w:val="(%1)"/>
      <w:numFmt w:val="lowerLetter"/>
      <w:start w:val="13"/>
    </w:lvl>
  </w:abstractNum>
  <w:abstractNum w:abstractNumId="104">
    <w:nsid w:val="260D8C4A"/>
    <w:multiLevelType w:val="hybridMultilevel"/>
    <w:lvl w:ilvl="0">
      <w:lvlJc w:val="left"/>
      <w:lvlText w:val="%1"/>
      <w:numFmt w:val="lowerLetter"/>
      <w:start w:val="1"/>
    </w:lvl>
    <w:lvl w:ilvl="1">
      <w:lvlJc w:val="left"/>
      <w:lvlText w:val="(%2)"/>
      <w:numFmt w:val="lowerLetter"/>
      <w:start w:val="15"/>
    </w:lvl>
  </w:abstractNum>
  <w:abstractNum w:abstractNumId="105">
    <w:nsid w:val="73D4D3C4"/>
    <w:multiLevelType w:val="hybridMultilevel"/>
    <w:lvl w:ilvl="0">
      <w:lvlJc w:val="left"/>
      <w:lvlText w:val="(%1)"/>
      <w:numFmt w:val="lowerLetter"/>
      <w:start w:val="9"/>
    </w:lvl>
    <w:lvl w:ilvl="1">
      <w:lvlJc w:val="left"/>
      <w:lvlText w:val="(%2)"/>
      <w:numFmt w:val="lowerLetter"/>
      <w:start w:val="16"/>
    </w:lvl>
  </w:abstractNum>
  <w:abstractNum w:abstractNumId="106">
    <w:nsid w:val="746F2E30"/>
    <w:multiLevelType w:val="hybridMultilevel"/>
    <w:lvl w:ilvl="0">
      <w:lvlJc w:val="left"/>
      <w:lvlText w:val="(%1)"/>
      <w:numFmt w:val="lowerLetter"/>
      <w:start w:val="1"/>
    </w:lvl>
  </w:abstractNum>
  <w:abstractNum w:abstractNumId="107">
    <w:nsid w:val="6FDE8AF6"/>
    <w:multiLevelType w:val="hybridMultilevel"/>
    <w:lvl w:ilvl="0">
      <w:lvlJc w:val="left"/>
      <w:lvlText w:val="(%1)"/>
      <w:numFmt w:val="lowerLetter"/>
      <w:start w:val="2"/>
    </w:lvl>
    <w:lvl w:ilvl="1">
      <w:lvlJc w:val="left"/>
      <w:lvlText w:val="(%2)"/>
      <w:numFmt w:val="lowerRoman"/>
      <w:start w:val="1"/>
    </w:lvl>
  </w:abstractNum>
  <w:abstractNum w:abstractNumId="108">
    <w:nsid w:val="3FC32E20"/>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09">
    <w:nsid w:val="49C0E823"/>
    <w:multiLevelType w:val="hybridMultilevel"/>
    <w:lvl w:ilvl="0">
      <w:lvlJc w:val="left"/>
      <w:lvlText w:val="%1"/>
      <w:numFmt w:val="lowerLetter"/>
      <w:start w:val="1"/>
    </w:lvl>
    <w:lvl w:ilvl="1">
      <w:lvlJc w:val="left"/>
      <w:lvlText w:val="(%2)"/>
      <w:numFmt w:val="upperLetter"/>
      <w:start w:val="2"/>
    </w:lvl>
  </w:abstractNum>
  <w:abstractNum w:abstractNumId="110">
    <w:nsid w:val="14D53685"/>
    <w:multiLevelType w:val="hybridMultilevel"/>
    <w:lvl w:ilvl="0">
      <w:lvlJc w:val="left"/>
      <w:lvlText w:val="(%1)"/>
      <w:numFmt w:val="lowerLetter"/>
      <w:start w:val="5"/>
    </w:lvl>
    <w:lvl w:ilvl="1">
      <w:lvlJc w:val="left"/>
      <w:lvlText w:val="%2"/>
      <w:numFmt w:val="upperLetter"/>
      <w:start w:val="1"/>
    </w:lvl>
  </w:abstractNum>
  <w:abstractNum w:abstractNumId="111">
    <w:nsid w:val="230F856C"/>
    <w:multiLevelType w:val="hybridMultilevel"/>
    <w:lvl w:ilvl="0">
      <w:lvlJc w:val="left"/>
      <w:lvlText w:val="(%1)"/>
      <w:numFmt w:val="lowerLetter"/>
      <w:start w:val="1"/>
    </w:lvl>
  </w:abstractNum>
  <w:abstractNum w:abstractNumId="112">
    <w:nsid w:val="6EAA85FB"/>
    <w:multiLevelType w:val="hybridMultilevel"/>
    <w:lvl w:ilvl="0">
      <w:lvlJc w:val="left"/>
      <w:lvlText w:val="(%1)"/>
      <w:numFmt w:val="lowerLetter"/>
      <w:start w:val="3"/>
    </w:lvl>
  </w:abstractNum>
  <w:abstractNum w:abstractNumId="113">
    <w:nsid w:val="3F06ECB2"/>
    <w:multiLevelType w:val="hybridMultilevel"/>
    <w:lvl w:ilvl="0">
      <w:lvlJc w:val="left"/>
      <w:lvlText w:val="(%1)"/>
      <w:numFmt w:val="lowerLetter"/>
      <w:start w:val="1"/>
    </w:lvl>
    <w:lvl w:ilvl="1">
      <w:lvlJc w:val="left"/>
      <w:lvlText w:val="(%2)"/>
      <w:numFmt w:val="lowerLetter"/>
      <w:start w:val="9"/>
    </w:lvl>
  </w:abstractNum>
  <w:abstractNum w:abstractNumId="114">
    <w:nsid w:val="3B594807"/>
    <w:multiLevelType w:val="hybridMultilevel"/>
    <w:lvl w:ilvl="0">
      <w:lvlJc w:val="left"/>
      <w:lvlText w:val="%1"/>
      <w:numFmt w:val="lowerLetter"/>
      <w:start w:val="1"/>
    </w:lvl>
    <w:lvl w:ilvl="1">
      <w:lvlJc w:val="left"/>
      <w:lvlText w:val="(%2)"/>
      <w:numFmt w:val="lowerRoman"/>
      <w:start w:val="2"/>
    </w:lvl>
  </w:abstractNum>
  <w:abstractNum w:abstractNumId="115">
    <w:nsid w:val="6CAA2304"/>
    <w:multiLevelType w:val="hybridMultilevel"/>
    <w:lvl w:ilvl="0">
      <w:lvlJc w:val="left"/>
      <w:lvlText w:val="(%1)"/>
      <w:numFmt w:val="lowerLetter"/>
      <w:start w:val="3"/>
    </w:lvl>
    <w:lvl w:ilvl="1">
      <w:lvlJc w:val="left"/>
      <w:lvlText w:val="%2"/>
      <w:numFmt w:val="lowerRoman"/>
      <w:start w:val="1"/>
    </w:lvl>
  </w:abstractNum>
  <w:abstractNum w:abstractNumId="116">
    <w:nsid w:val="3F7C2FF4"/>
    <w:multiLevelType w:val="hybridMultilevel"/>
    <w:lvl w:ilvl="0">
      <w:lvlJc w:val="left"/>
      <w:lvlText w:val="(%1)"/>
      <w:numFmt w:val="lowerLetter"/>
      <w:start w:val="1"/>
    </w:lvl>
  </w:abstractNum>
  <w:abstractNum w:abstractNumId="117">
    <w:nsid w:val="25413BEC"/>
    <w:multiLevelType w:val="hybridMultilevel"/>
    <w:lvl w:ilvl="0">
      <w:lvlJc w:val="left"/>
      <w:lvlText w:val="(%1)"/>
      <w:numFmt w:val="lowerLetter"/>
      <w:start w:val="2"/>
    </w:lvl>
  </w:abstractNum>
  <w:abstractNum w:abstractNumId="118">
    <w:nsid w:val="17180B0B"/>
    <w:multiLevelType w:val="hybridMultilevel"/>
    <w:lvl w:ilvl="0">
      <w:lvlJc w:val="left"/>
      <w:lvlText w:val="(%1)"/>
      <w:numFmt w:val="lowerLetter"/>
      <w:start w:val="6"/>
    </w:lvl>
  </w:abstractNum>
  <w:abstractNum w:abstractNumId="119">
    <w:nsid w:val="579328B9"/>
    <w:multiLevelType w:val="hybridMultilevel"/>
    <w:lvl w:ilvl="0">
      <w:lvlJc w:val="left"/>
      <w:lvlText w:val="(%1)"/>
      <w:numFmt w:val="lowerLetter"/>
      <w:start w:val="8"/>
    </w:lvl>
  </w:abstractNum>
  <w:abstractNum w:abstractNumId="120">
    <w:nsid w:val="5D205E20"/>
    <w:multiLevelType w:val="hybridMultilevel"/>
    <w:lvl w:ilvl="0">
      <w:lvlJc w:val="left"/>
      <w:lvlText w:val="(%1)"/>
      <w:numFmt w:val="lowerRoman"/>
      <w:start w:val="1"/>
    </w:lvl>
    <w:lvl w:ilvl="1">
      <w:lvlJc w:val="left"/>
      <w:lvlText w:val="(%2)"/>
      <w:numFmt w:val="lowerRoman"/>
      <w:start w:val="1"/>
    </w:lvl>
  </w:abstractNum>
  <w:abstractNum w:abstractNumId="121">
    <w:nsid w:val="11CCA8BA"/>
    <w:multiLevelType w:val="hybridMultilevel"/>
    <w:lvl w:ilvl="0">
      <w:lvlJc w:val="left"/>
      <w:lvlText w:val="%1"/>
      <w:numFmt w:val="decimal"/>
      <w:start w:val="1"/>
    </w:lvl>
    <w:lvl w:ilvl="1">
      <w:lvlJc w:val="left"/>
      <w:lvlText w:val="(%2)"/>
      <w:numFmt w:val="lowerRoman"/>
      <w:start w:val="3"/>
    </w:lvl>
  </w:abstractNum>
  <w:abstractNum w:abstractNumId="122">
    <w:nsid w:val="4D32AB86"/>
    <w:multiLevelType w:val="hybridMultilevel"/>
    <w:lvl w:ilvl="0">
      <w:lvlJc w:val="left"/>
      <w:lvlText w:val="%1."/>
      <w:numFmt w:val="decimal"/>
      <w:start w:val="3"/>
    </w:lvl>
    <w:lvl w:ilvl="1">
      <w:lvlJc w:val="left"/>
      <w:lvlText w:val="%2"/>
      <w:numFmt w:val="lowerRoman"/>
      <w:start w:val="1"/>
    </w:lvl>
  </w:abstractNum>
  <w:abstractNum w:abstractNumId="123">
    <w:nsid w:val="3F07ACC3"/>
    <w:multiLevelType w:val="hybridMultilevel"/>
    <w:lvl w:ilvl="0">
      <w:lvlJc w:val="left"/>
      <w:lvlText w:val="(%1)"/>
      <w:numFmt w:val="lowerLetter"/>
      <w:start w:val="1"/>
    </w:lvl>
  </w:abstractNum>
  <w:abstractNum w:abstractNumId="124">
    <w:nsid w:val="6B47F63E"/>
    <w:multiLevelType w:val="hybridMultilevel"/>
    <w:lvl w:ilvl="0">
      <w:lvlJc w:val="left"/>
      <w:lvlText w:val="%1."/>
      <w:numFmt w:val="decimal"/>
      <w:start w:val="4"/>
    </w:lvl>
  </w:abstractNum>
  <w:abstractNum w:abstractNumId="125">
    <w:nsid w:val="5CB44A05"/>
    <w:multiLevelType w:val="hybridMultilevel"/>
    <w:lvl w:ilvl="0">
      <w:lvlJc w:val="left"/>
      <w:lvlText w:val="(%1)"/>
      <w:numFmt w:val="lowerLetter"/>
      <w:start w:val="1"/>
    </w:lvl>
  </w:abstractNum>
  <w:abstractNum w:abstractNumId="126">
    <w:nsid w:val="16CF80F1"/>
    <w:multiLevelType w:val="hybridMultilevel"/>
    <w:lvl w:ilvl="0">
      <w:lvlJc w:val="left"/>
      <w:lvlText w:val="(%1)"/>
      <w:numFmt w:val="lowerLetter"/>
      <w:start w:val="4"/>
    </w:lvl>
  </w:abstractNum>
  <w:abstractNum w:abstractNumId="127">
    <w:nsid w:val="1C695DEC"/>
    <w:multiLevelType w:val="hybridMultilevel"/>
    <w:lvl w:ilvl="0">
      <w:lvlJc w:val="left"/>
      <w:lvlText w:val="(%1)"/>
      <w:numFmt w:val="lowerLetter"/>
      <w:start w:val="1"/>
    </w:lvl>
  </w:abstractNum>
  <w:abstractNum w:abstractNumId="128">
    <w:nsid w:val="3FCFAED9"/>
    <w:multiLevelType w:val="hybridMultilevel"/>
    <w:lvl w:ilvl="0">
      <w:lvlJc w:val="left"/>
      <w:lvlText w:val="(%1)"/>
      <w:numFmt w:val="lowerLetter"/>
      <w:start w:val="1"/>
    </w:lvl>
  </w:abstractNum>
  <w:abstractNum w:abstractNumId="129">
    <w:nsid w:val="F856867"/>
    <w:multiLevelType w:val="hybridMultilevel"/>
    <w:lvl w:ilvl="0">
      <w:lvlJc w:val="left"/>
      <w:lvlText w:val="(%1)"/>
      <w:numFmt w:val="lowerLetter"/>
      <w:start w:val="1"/>
    </w:lvl>
  </w:abstractNum>
  <w:abstractNum w:abstractNumId="130">
    <w:nsid w:val="11B1CC33"/>
    <w:multiLevelType w:val="hybridMultilevel"/>
    <w:lvl w:ilvl="0">
      <w:lvlJc w:val="left"/>
      <w:lvlText w:val="(%1)"/>
      <w:numFmt w:val="lowerLetter"/>
      <w:start w:val="1"/>
    </w:lvl>
  </w:abstractNum>
  <w:abstractNum w:abstractNumId="131">
    <w:nsid w:val="2E22FBB7"/>
    <w:multiLevelType w:val="hybridMultilevel"/>
    <w:lvl w:ilvl="0">
      <w:lvlJc w:val="left"/>
      <w:lvlText w:val="(%1)"/>
      <w:numFmt w:val="lowerLetter"/>
      <w:start w:val="2"/>
    </w:lvl>
  </w:abstractNum>
  <w:abstractNum w:abstractNumId="132">
    <w:nsid w:val="29934699"/>
    <w:multiLevelType w:val="hybridMultilevel"/>
    <w:lvl w:ilvl="0">
      <w:lvlJc w:val="left"/>
      <w:lvlText w:val="%1."/>
      <w:numFmt w:val="decimal"/>
      <w:start w:val="5"/>
    </w:lvl>
  </w:abstractNum>
  <w:abstractNum w:abstractNumId="133">
    <w:nsid w:val="77485850"/>
    <w:multiLevelType w:val="hybridMultilevel"/>
    <w:lvl w:ilvl="0">
      <w:lvlJc w:val="left"/>
      <w:lvlText w:val="(%1)"/>
      <w:numFmt w:val="lowerLetter"/>
      <w:start w:val="1"/>
    </w:lvl>
  </w:abstractNum>
  <w:abstractNum w:abstractNumId="134">
    <w:nsid w:val="744939A3"/>
    <w:multiLevelType w:val="hybridMultilevel"/>
    <w:lvl w:ilvl="0">
      <w:lvlJc w:val="left"/>
      <w:lvlText w:val="(%1)"/>
      <w:numFmt w:val="lowerLetter"/>
      <w:start w:val="1"/>
    </w:lvl>
  </w:abstractNum>
  <w:abstractNum w:abstractNumId="135">
    <w:nsid w:val="4FA0D2E3"/>
    <w:multiLevelType w:val="hybridMultilevel"/>
    <w:lvl w:ilvl="0">
      <w:lvlJc w:val="left"/>
      <w:lvlText w:val="(%1)"/>
      <w:numFmt w:val="lowerLetter"/>
      <w:start w:val="2"/>
    </w:lvl>
  </w:abstractNum>
  <w:abstractNum w:abstractNumId="136">
    <w:nsid w:val="6B1D2C14"/>
    <w:multiLevelType w:val="hybridMultilevel"/>
    <w:lvl w:ilvl="0">
      <w:lvlJc w:val="left"/>
      <w:lvlText w:val="(%1)"/>
      <w:numFmt w:val="lowerLetter"/>
      <w:start w:val="1"/>
    </w:lvl>
  </w:abstractNum>
  <w:abstractNum w:abstractNumId="137">
    <w:nsid w:val="68B867D3"/>
    <w:multiLevelType w:val="hybridMultilevel"/>
    <w:lvl w:ilvl="0">
      <w:lvlJc w:val="left"/>
      <w:lvlText w:val="%1."/>
      <w:numFmt w:val="decimal"/>
      <w:start w:val="6"/>
    </w:lvl>
  </w:abstractNum>
  <w:abstractNum w:abstractNumId="138">
    <w:nsid w:val="3F7F5DD9"/>
    <w:multiLevelType w:val="hybridMultilevel"/>
    <w:lvl w:ilvl="0">
      <w:lvlJc w:val="left"/>
      <w:lvlText w:val="(%1)"/>
      <w:numFmt w:val="lowerLetter"/>
      <w:start w:val="1"/>
    </w:lvl>
  </w:abstractNum>
  <w:abstractNum w:abstractNumId="139">
    <w:nsid w:val="2AE05A34"/>
    <w:multiLevelType w:val="hybridMultilevel"/>
    <w:lvl w:ilvl="0">
      <w:lvlJc w:val="left"/>
      <w:lvlText w:val="(%1)"/>
      <w:numFmt w:val="lowerLetter"/>
      <w:start w:val="1"/>
    </w:lvl>
    <w:lvl w:ilvl="1">
      <w:lvlJc w:val="left"/>
      <w:lvlText w:val="(%2)"/>
      <w:numFmt w:val="lowerLetter"/>
      <w:start w:val="9"/>
    </w:lvl>
  </w:abstractNum>
  <w:abstractNum w:abstractNumId="140">
    <w:nsid w:val="32794FF7"/>
    <w:multiLevelType w:val="hybridMultilevel"/>
    <w:lvl w:ilvl="0">
      <w:lvlJc w:val="left"/>
      <w:lvlText w:val="%1"/>
      <w:numFmt w:val="lowerLetter"/>
      <w:start w:val="1"/>
    </w:lvl>
    <w:lvl w:ilvl="1">
      <w:lvlJc w:val="left"/>
      <w:lvlText w:val="(%2)"/>
      <w:numFmt w:val="lowerLetter"/>
      <w:start w:val="35"/>
    </w:lvl>
  </w:abstractNum>
  <w:abstractNum w:abstractNumId="141">
    <w:nsid w:val="5454945E"/>
    <w:multiLevelType w:val="hybridMultilevel"/>
    <w:lvl w:ilvl="0">
      <w:lvlJc w:val="left"/>
      <w:lvlText w:val="(%1)"/>
      <w:numFmt w:val="lowerLetter"/>
      <w:start w:val="2"/>
    </w:lvl>
    <w:lvl w:ilvl="1">
      <w:lvlJc w:val="left"/>
      <w:lvlText w:val="(%2)"/>
      <w:numFmt w:val="lowerLetter"/>
      <w:start w:val="9"/>
    </w:lvl>
  </w:abstractNum>
  <w:abstractNum w:abstractNumId="142">
    <w:nsid w:val="4DEFDFA0"/>
    <w:multiLevelType w:val="hybridMultilevel"/>
    <w:lvl w:ilvl="0">
      <w:lvlJc w:val="left"/>
      <w:lvlText w:val="(%1)"/>
      <w:numFmt w:val="lowerRoman"/>
      <w:start w:val="2"/>
    </w:lvl>
  </w:abstractNum>
  <w:abstractNum w:abstractNumId="143">
    <w:nsid w:val="2123D5F2"/>
    <w:multiLevelType w:val="hybridMultilevel"/>
    <w:lvl w:ilvl="0">
      <w:lvlJc w:val="left"/>
      <w:lvlText w:val="(%1)"/>
      <w:numFmt w:val="lowerLetter"/>
      <w:start w:val="1"/>
    </w:lvl>
    <w:lvl w:ilvl="1">
      <w:lvlJc w:val="left"/>
      <w:lvlText w:val="(%2)"/>
      <w:numFmt w:val="lowerLetter"/>
      <w:start w:val="9"/>
    </w:lvl>
  </w:abstractNum>
  <w:abstractNum w:abstractNumId="144">
    <w:nsid w:val="135B8110"/>
    <w:multiLevelType w:val="hybridMultilevel"/>
    <w:lvl w:ilvl="0">
      <w:lvlJc w:val="left"/>
      <w:lvlText w:val="%1"/>
      <w:numFmt w:val="lowerLetter"/>
      <w:start w:val="1"/>
    </w:lvl>
    <w:lvl w:ilvl="1">
      <w:lvlJc w:val="left"/>
      <w:lvlText w:val="(%2)"/>
      <w:numFmt w:val="lowerLetter"/>
      <w:start w:val="35"/>
    </w:lvl>
  </w:abstractNum>
  <w:abstractNum w:abstractNumId="145">
    <w:nsid w:val="94927A8"/>
    <w:multiLevelType w:val="hybridMultilevel"/>
    <w:lvl w:ilvl="0">
      <w:lvlJc w:val="left"/>
      <w:lvlText w:val="(%1)"/>
      <w:numFmt w:val="lowerLetter"/>
      <w:start w:val="6"/>
    </w:lvl>
    <w:lvl w:ilvl="1">
      <w:lvlJc w:val="left"/>
      <w:lvlText w:val="%2"/>
      <w:numFmt w:val="lowerLetter"/>
      <w:start w:val="1"/>
    </w:lvl>
  </w:abstractNum>
  <w:abstractNum w:abstractNumId="146">
    <w:nsid w:val="DCDF8F6"/>
    <w:multiLevelType w:val="hybridMultilevel"/>
    <w:lvl w:ilvl="0">
      <w:lvlJc w:val="left"/>
      <w:lvlText w:val="(%1)"/>
      <w:numFmt w:val="lowerLetter"/>
      <w:start w:val="1"/>
    </w:lvl>
  </w:abstractNum>
  <w:abstractNum w:abstractNumId="147">
    <w:nsid w:val="52D7B105"/>
    <w:multiLevelType w:val="hybridMultilevel"/>
    <w:lvl w:ilvl="0">
      <w:lvlJc w:val="left"/>
      <w:lvlText w:val="%1."/>
      <w:numFmt w:val="decimal"/>
      <w:start w:val="7"/>
    </w:lvl>
  </w:abstractNum>
  <w:abstractNum w:abstractNumId="148">
    <w:nsid w:val="2E8A6394"/>
    <w:multiLevelType w:val="hybridMultilevel"/>
    <w:lvl w:ilvl="0">
      <w:lvlJc w:val="left"/>
      <w:lvlText w:val="%1."/>
      <w:numFmt w:val="decimal"/>
      <w:start w:val="8"/>
    </w:lvl>
  </w:abstractNum>
  <w:abstractNum w:abstractNumId="149">
    <w:nsid w:val="24E60401"/>
    <w:multiLevelType w:val="hybridMultilevel"/>
    <w:lvl w:ilvl="0">
      <w:lvlJc w:val="left"/>
      <w:lvlText w:val="(%1)"/>
      <w:numFmt w:val="lowerLetter"/>
      <w:start w:val="1"/>
    </w:lvl>
  </w:abstractNum>
  <w:abstractNum w:abstractNumId="150">
    <w:nsid w:val="2A6AD9BE"/>
    <w:multiLevelType w:val="hybridMultilevel"/>
    <w:lvl w:ilvl="0">
      <w:lvlJc w:val="left"/>
      <w:lvlText w:val="(%1)"/>
      <w:numFmt w:val="lowerLetter"/>
      <w:start w:val="2"/>
    </w:lvl>
  </w:abstractNum>
  <w:abstractNum w:abstractNumId="151">
    <w:nsid w:val="BAAC1B4"/>
    <w:multiLevelType w:val="hybridMultilevel"/>
    <w:lvl w:ilvl="0">
      <w:lvlJc w:val="left"/>
      <w:lvlText w:val="%1."/>
      <w:numFmt w:val="decimal"/>
      <w:start w:val="9"/>
    </w:lvl>
  </w:abstractNum>
  <w:abstractNum w:abstractNumId="152">
    <w:nsid w:val="36B2ACBC"/>
    <w:multiLevelType w:val="hybridMultilevel"/>
    <w:lvl w:ilvl="0">
      <w:lvlJc w:val="left"/>
      <w:lvlText w:val="(%1)"/>
      <w:numFmt w:val="lowerLetter"/>
      <w:start w:val="1"/>
    </w:lvl>
  </w:abstractNum>
  <w:abstractNum w:abstractNumId="153">
    <w:nsid w:val="779D8544"/>
    <w:multiLevelType w:val="hybridMultilevel"/>
    <w:lvl w:ilvl="0">
      <w:lvlJc w:val="left"/>
      <w:lvlText w:val="%1."/>
      <w:numFmt w:val="decimal"/>
      <w:start w:val="10"/>
    </w:lvl>
  </w:abstractNum>
  <w:abstractNum w:abstractNumId="154">
    <w:nsid w:val="4AB26E78"/>
    <w:multiLevelType w:val="hybridMultilevel"/>
    <w:lvl w:ilvl="0">
      <w:lvlJc w:val="left"/>
      <w:lvlText w:val="%1."/>
      <w:numFmt w:val="decimal"/>
      <w:start w:val="11"/>
    </w:lvl>
  </w:abstractNum>
  <w:abstractNum w:abstractNumId="155">
    <w:nsid w:val="21FAA2FA"/>
    <w:multiLevelType w:val="hybridMultilevel"/>
    <w:lvl w:ilvl="0">
      <w:lvlJc w:val="left"/>
      <w:lvlText w:val="%1."/>
      <w:numFmt w:val="decimal"/>
      <w:start w:val="12"/>
    </w:lvl>
    <w:lvl w:ilvl="1">
      <w:lvlJc w:val="left"/>
      <w:lvlText w:val="(%2)"/>
      <w:numFmt w:val="lowerLetter"/>
      <w:start w:val="1"/>
    </w:lvl>
  </w:abstractNum>
  <w:abstractNum w:abstractNumId="156">
    <w:nsid w:val="5451CF49"/>
    <w:multiLevelType w:val="hybridMultilevel"/>
    <w:lvl w:ilvl="0">
      <w:lvlJc w:val="left"/>
      <w:lvlText w:val="(%1)"/>
      <w:numFmt w:val="lowerLetter"/>
      <w:start w:val="4"/>
    </w:lvl>
    <w:lvl w:ilvl="1">
      <w:lvlJc w:val="left"/>
      <w:lvlText w:val="(%2)"/>
      <w:numFmt w:val="lowerLetter"/>
      <w:start w:val="9"/>
    </w:lvl>
  </w:abstractNum>
  <w:abstractNum w:abstractNumId="157">
    <w:nsid w:val="6181EF69"/>
    <w:multiLevelType w:val="hybridMultilevel"/>
    <w:lvl w:ilvl="0">
      <w:lvlJc w:val="left"/>
      <w:lvlText w:val="(%1)"/>
      <w:numFmt w:val="lowerRoman"/>
      <w:start w:val="2"/>
    </w:lvl>
  </w:abstractNum>
  <w:abstractNum w:abstractNumId="158">
    <w:nsid w:val="3E6400E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7"/>
    </w:lvl>
  </w:abstractNum>
  <w:abstractNum w:abstractNumId="159">
    <w:nsid w:val="14217E23"/>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160">
    <w:nsid w:val="710757D0"/>
    <w:multiLevelType w:val="hybridMultilevel"/>
    <w:lvl w:ilvl="0">
      <w:lvlJc w:val="left"/>
      <w:lvlText w:val="%1"/>
      <w:numFmt w:val="lowerRoman"/>
      <w:start w:val="1"/>
    </w:lvl>
    <w:lvl w:ilvl="1">
      <w:lvlJc w:val="left"/>
      <w:lvlText w:val="(%2)"/>
      <w:numFmt w:val="upperLetter"/>
      <w:start w:val="1"/>
    </w:lvl>
  </w:abstractNum>
  <w:abstractNum w:abstractNumId="161">
    <w:nsid w:val="5015CD1A"/>
    <w:multiLevelType w:val="hybridMultilevel"/>
    <w:lvl w:ilvl="0">
      <w:lvlJc w:val="left"/>
      <w:lvlText w:val="(%1)"/>
      <w:numFmt w:val="lowerRoman"/>
      <w:start w:val="2"/>
    </w:lvl>
    <w:lvl w:ilvl="1">
      <w:lvlJc w:val="left"/>
      <w:lvlText w:val="(%2)"/>
      <w:numFmt w:val="upperLetter"/>
      <w:start w:val="1"/>
    </w:lvl>
  </w:abstractNum>
  <w:abstractNum w:abstractNumId="162">
    <w:nsid w:val="424479DA"/>
    <w:multiLevelType w:val="hybridMultilevel"/>
    <w:lvl w:ilvl="0">
      <w:lvlJc w:val="left"/>
      <w:lvlText w:val="%1"/>
      <w:numFmt w:val="lowerLetter"/>
      <w:start w:val="1"/>
    </w:lvl>
    <w:lvl w:ilvl="1">
      <w:lvlJc w:val="left"/>
      <w:lvlText w:val="(%2)"/>
      <w:numFmt w:val="upperLetter"/>
      <w:start w:val="4"/>
    </w:lvl>
  </w:abstractNum>
  <w:abstractNum w:abstractNumId="163">
    <w:nsid w:val="1A9A9E69"/>
    <w:multiLevelType w:val="hybridMultilevel"/>
    <w:lvl w:ilvl="0">
      <w:lvlJc w:val="left"/>
      <w:lvlText w:val="(%1)"/>
      <w:numFmt w:val="lowerLetter"/>
      <w:start w:val="2"/>
    </w:lvl>
    <w:lvl w:ilvl="1">
      <w:lvlJc w:val="left"/>
      <w:lvlText w:val="%2"/>
      <w:numFmt w:val="upperLetter"/>
      <w:start w:val="1"/>
    </w:lvl>
  </w:abstractNum>
  <w:abstractNum w:abstractNumId="164">
    <w:nsid w:val="475E256A"/>
    <w:multiLevelType w:val="hybridMultilevel"/>
    <w:lvl w:ilvl="0">
      <w:lvlJc w:val="left"/>
      <w:lvlText w:val="%1"/>
      <w:numFmt w:val="upperLetter"/>
      <w:start w:val="1"/>
    </w:lvl>
    <w:lvl w:ilvl="1">
      <w:lvlJc w:val="left"/>
      <w:lvlText w:val="(%2)"/>
      <w:numFmt w:val="lowerLetter"/>
      <w:start w:val="4"/>
    </w:lvl>
  </w:abstractNum>
  <w:abstractNum w:abstractNumId="165">
    <w:nsid w:val="368DB37E"/>
    <w:multiLevelType w:val="hybridMultilevel"/>
    <w:lvl w:ilvl="0">
      <w:lvlJc w:val="left"/>
      <w:lvlText w:val="(%1)"/>
      <w:numFmt w:val="upperLetter"/>
      <w:start w:val="3"/>
    </w:lvl>
    <w:lvl w:ilvl="1">
      <w:lvlJc w:val="left"/>
      <w:lvlText w:val="(%2)"/>
      <w:numFmt w:val="lowerLetter"/>
      <w:start w:val="6"/>
    </w:lvl>
  </w:abstractNum>
  <w:abstractNum w:abstractNumId="166">
    <w:nsid w:val="6A3B714C"/>
    <w:multiLevelType w:val="hybridMultilevel"/>
    <w:lvl w:ilvl="0">
      <w:lvlJc w:val="left"/>
      <w:lvlText w:val="(%1)"/>
      <w:numFmt w:val="lowerLetter"/>
      <w:start w:val="8"/>
    </w:lvl>
  </w:abstractNum>
  <w:abstractNum w:abstractNumId="167">
    <w:nsid w:val="327B517E"/>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68">
    <w:nsid w:val="1F461B51"/>
    <w:multiLevelType w:val="hybridMultilevel"/>
    <w:lvl w:ilvl="0">
      <w:lvlJc w:val="left"/>
      <w:lvlText w:val="(%1)"/>
      <w:numFmt w:val="lowerRoman"/>
      <w:start w:val="10"/>
    </w:lvl>
  </w:abstractNum>
  <w:abstractNum w:abstractNumId="169">
    <w:nsid w:val="29BACF25"/>
    <w:multiLevelType w:val="hybridMultilevel"/>
    <w:lvl w:ilvl="0">
      <w:lvlJc w:val="left"/>
      <w:lvlText w:val="%1"/>
      <w:numFmt w:val="lowerLetter"/>
      <w:start w:val="1"/>
    </w:lvl>
    <w:lvl w:ilvl="1">
      <w:lvlJc w:val="left"/>
      <w:lvlText w:val="(%2)"/>
      <w:numFmt w:val="lowerRoman"/>
      <w:start w:val="11"/>
    </w:lvl>
  </w:abstractNum>
  <w:abstractNum w:abstractNumId="170">
    <w:nsid w:val="5D5BABB3"/>
    <w:multiLevelType w:val="hybridMultilevel"/>
    <w:lvl w:ilvl="0">
      <w:lvlJc w:val="left"/>
      <w:lvlText w:val="(%1)"/>
      <w:numFmt w:val="lowerLetter"/>
      <w:start w:val="2"/>
    </w:lvl>
    <w:lvl w:ilvl="1">
      <w:lvlJc w:val="left"/>
      <w:lvlText w:val="(%2)"/>
      <w:numFmt w:val="lowerRoman"/>
      <w:start w:val="1"/>
    </w:lvl>
  </w:abstractNum>
  <w:abstractNum w:abstractNumId="171">
    <w:nsid w:val="51BF6B48"/>
    <w:multiLevelType w:val="hybridMultilevel"/>
    <w:lvl w:ilvl="0">
      <w:lvlJc w:val="left"/>
      <w:lvlText w:val="(%1)"/>
      <w:numFmt w:val="lowerLetter"/>
      <w:start w:val="1"/>
    </w:lvl>
  </w:abstractNum>
  <w:abstractNum w:abstractNumId="172">
    <w:nsid w:val="7E0F6384"/>
    <w:multiLevelType w:val="hybridMultilevel"/>
    <w:lvl w:ilvl="0">
      <w:lvlJc w:val="left"/>
      <w:lvlText w:val="%1."/>
      <w:numFmt w:val="decimal"/>
      <w:start w:val="15"/>
    </w:lvl>
  </w:abstractNum>
  <w:abstractNum w:abstractNumId="173">
    <w:nsid w:val="2B4B8B53"/>
    <w:multiLevelType w:val="hybridMultilevel"/>
    <w:lvl w:ilvl="0">
      <w:lvlJc w:val="left"/>
      <w:lvlText w:val="%1"/>
      <w:numFmt w:val="lowerLetter"/>
      <w:start w:val="1"/>
    </w:lvl>
    <w:lvl w:ilvl="1">
      <w:lvlJc w:val="left"/>
      <w:lvlText w:val="(%2)"/>
      <w:numFmt w:val="lowerLetter"/>
      <w:start w:val="1"/>
    </w:lvl>
  </w:abstractNum>
  <w:abstractNum w:abstractNumId="174">
    <w:nsid w:val="72E3413A"/>
    <w:multiLevelType w:val="hybridMultilevel"/>
    <w:lvl w:ilvl="0">
      <w:lvlJc w:val="left"/>
      <w:lvlText w:val="(%1)"/>
      <w:numFmt w:val="lowerLetter"/>
      <w:start w:val="35"/>
    </w:lvl>
    <w:lvl w:ilvl="1">
      <w:lvlJc w:val="left"/>
      <w:lvlText w:val="%2"/>
      <w:numFmt w:val="lowerLetter"/>
      <w:start w:val="1"/>
    </w:lvl>
  </w:abstractNum>
  <w:abstractNum w:abstractNumId="175">
    <w:nsid w:val="116AE494"/>
    <w:multiLevelType w:val="hybridMultilevel"/>
    <w:lvl w:ilvl="0">
      <w:lvlJc w:val="left"/>
      <w:lvlText w:val="(%1)"/>
      <w:numFmt w:val="lowerLetter"/>
      <w:start w:val="2"/>
    </w:lvl>
  </w:abstractNum>
  <w:abstractNum w:abstractNumId="176">
    <w:nsid w:val="3494B2FB"/>
    <w:multiLevelType w:val="hybridMultilevel"/>
    <w:lvl w:ilvl="0">
      <w:lvlJc w:val="left"/>
      <w:lvlText w:val="(%1)"/>
      <w:numFmt w:val="lowerLetter"/>
      <w:start w:val="1"/>
    </w:lvl>
  </w:abstractNum>
  <w:abstractNum w:abstractNumId="177">
    <w:nsid w:val="B13A31"/>
    <w:multiLevelType w:val="hybridMultilevel"/>
    <w:lvl w:ilvl="0">
      <w:lvlJc w:val="left"/>
      <w:lvlText w:val="(%1)"/>
      <w:numFmt w:val="lowerLetter"/>
      <w:start w:val="1"/>
    </w:lvl>
  </w:abstractNum>
  <w:abstractNum w:abstractNumId="178">
    <w:nsid w:val="64429599"/>
    <w:multiLevelType w:val="hybridMultilevel"/>
    <w:lvl w:ilvl="0">
      <w:lvlJc w:val="left"/>
      <w:lvlText w:val="(%1)"/>
      <w:numFmt w:val="lowerLetter"/>
      <w:start w:val="4"/>
    </w:lvl>
  </w:abstractNum>
  <w:abstractNum w:abstractNumId="179">
    <w:nsid w:val="631F1690"/>
    <w:multiLevelType w:val="hybridMultilevel"/>
    <w:lvl w:ilvl="0">
      <w:lvlJc w:val="left"/>
      <w:lvlText w:val="(%1)"/>
      <w:numFmt w:val="lowerLetter"/>
      <w:start w:val="26"/>
    </w:lvl>
  </w:abstractNum>
  <w:abstractNum w:abstractNumId="180">
    <w:nsid w:val="25973E32"/>
    <w:multiLevelType w:val="hybridMultilevel"/>
    <w:lvl w:ilvl="0">
      <w:lvlJc w:val="left"/>
      <w:lvlText w:val="%1."/>
      <w:numFmt w:val="decimal"/>
      <w:start w:val="16"/>
    </w:lvl>
  </w:abstractNum>
  <w:abstractNum w:abstractNumId="181">
    <w:nsid w:val="EAD6F57"/>
    <w:multiLevelType w:val="hybridMultilevel"/>
    <w:lvl w:ilvl="0">
      <w:lvlJc w:val="left"/>
      <w:lvlText w:val="(%1)"/>
      <w:numFmt w:val="lowerLetter"/>
      <w:start w:val="1"/>
    </w:lvl>
    <w:lvl w:ilvl="1">
      <w:lvlJc w:val="left"/>
      <w:lvlText w:val="(%2)"/>
      <w:numFmt w:val="lowerRoman"/>
      <w:start w:val="1"/>
    </w:lvl>
  </w:abstractNum>
  <w:abstractNum w:abstractNumId="182">
    <w:nsid w:val="6EC9D844"/>
    <w:multiLevelType w:val="hybridMultilevel"/>
    <w:lvl w:ilvl="0">
      <w:lvlJc w:val="left"/>
      <w:lvlText w:val="%1"/>
      <w:numFmt w:val="lowerLetter"/>
      <w:start w:val="1"/>
    </w:lvl>
    <w:lvl w:ilvl="1">
      <w:lvlJc w:val="left"/>
      <w:lvlText w:val="(%2)"/>
      <w:numFmt w:val="lowerLetter"/>
      <w:start w:val="22"/>
    </w:lvl>
  </w:abstractNum>
  <w:abstractNum w:abstractNumId="183">
    <w:nsid w:val="5C49EAEE"/>
    <w:multiLevelType w:val="hybridMultilevel"/>
    <w:lvl w:ilvl="0">
      <w:lvlJc w:val="left"/>
      <w:lvlText w:val="(%1)"/>
      <w:numFmt w:val="lowerLetter"/>
      <w:start w:val="2"/>
    </w:lvl>
    <w:lvl w:ilvl="1">
      <w:lvlJc w:val="left"/>
      <w:lvlText w:val="%2"/>
      <w:numFmt w:val="lowerLetter"/>
      <w:start w:val="1"/>
    </w:lvl>
  </w:abstractNum>
  <w:abstractNum w:abstractNumId="184">
    <w:nsid w:val="64AF49B"/>
    <w:multiLevelType w:val="hybridMultilevel"/>
    <w:lvl w:ilvl="0">
      <w:lvlJc w:val="left"/>
      <w:lvlText w:val="(%1)"/>
      <w:numFmt w:val="lowerLetter"/>
      <w:start w:val="1"/>
    </w:lvl>
  </w:abstractNum>
  <w:abstractNum w:abstractNumId="185">
    <w:nsid w:val="397C46BC"/>
    <w:multiLevelType w:val="hybridMultilevel"/>
    <w:lvl w:ilvl="0">
      <w:lvlJc w:val="left"/>
      <w:lvlText w:val="%1."/>
      <w:numFmt w:val="decimal"/>
      <w:start w:val="17"/>
    </w:lvl>
  </w:abstractNum>
  <w:abstractNum w:abstractNumId="186">
    <w:nsid w:val="7E448DE9"/>
    <w:multiLevelType w:val="hybridMultilevel"/>
    <w:lvl w:ilvl="0">
      <w:lvlJc w:val="left"/>
      <w:lvlText w:val="(%1)"/>
      <w:numFmt w:val="lowerLetter"/>
      <w:start w:val="1"/>
    </w:lvl>
  </w:abstractNum>
  <w:abstractNum w:abstractNumId="187">
    <w:nsid w:val="5A9CC3E5"/>
    <w:multiLevelType w:val="hybridMultilevel"/>
    <w:lvl w:ilvl="0">
      <w:lvlJc w:val="left"/>
      <w:lvlText w:val="(%1)"/>
      <w:numFmt w:val="lowerLetter"/>
      <w:start w:val="2"/>
    </w:lvl>
  </w:abstractNum>
  <w:abstractNum w:abstractNumId="188">
    <w:nsid w:val="1AFE3625"/>
    <w:multiLevelType w:val="hybridMultilevel"/>
    <w:lvl w:ilvl="0">
      <w:lvlJc w:val="left"/>
      <w:lvlText w:val="%1"/>
      <w:numFmt w:val="lowerLetter"/>
      <w:start w:val="1"/>
    </w:lvl>
    <w:lvl w:ilvl="1">
      <w:lvlJc w:val="left"/>
      <w:lvlText w:val="(%2)"/>
      <w:numFmt w:val="lowerLetter"/>
      <w:start w:val="1"/>
    </w:lvl>
  </w:abstractNum>
  <w:abstractNum w:abstractNumId="189">
    <w:nsid w:val="3CA88ECF"/>
    <w:multiLevelType w:val="hybridMultilevel"/>
    <w:lvl w:ilvl="0">
      <w:lvlJc w:val="left"/>
      <w:lvlText w:val="(%1)"/>
      <w:numFmt w:val="lowerLetter"/>
      <w:start w:val="25"/>
    </w:lvl>
    <w:lvl w:ilvl="1">
      <w:lvlJc w:val="left"/>
      <w:lvlText w:val="%2"/>
      <w:numFmt w:val="lowerLetter"/>
      <w:start w:val="1"/>
    </w:lvl>
  </w:abstractNum>
  <w:abstractNum w:abstractNumId="190">
    <w:nsid w:val="6EBE4208"/>
    <w:multiLevelType w:val="hybridMultilevel"/>
    <w:lvl w:ilvl="0">
      <w:lvlJc w:val="left"/>
      <w:lvlText w:val="(%1)"/>
      <w:numFmt w:val="lowerLetter"/>
      <w:start w:val="2"/>
    </w:lvl>
  </w:abstractNum>
  <w:abstractNum w:abstractNumId="191">
    <w:nsid w:val="C058DF5"/>
    <w:multiLevelType w:val="hybridMultilevel"/>
    <w:lvl w:ilvl="0">
      <w:lvlJc w:val="left"/>
      <w:lvlText w:val="(%1)"/>
      <w:numFmt w:val="lowerLetter"/>
      <w:start w:val="2"/>
    </w:lvl>
  </w:abstractNum>
  <w:abstractNum w:abstractNumId="192">
    <w:nsid w:val="CBE5BE9"/>
    <w:multiLevelType w:val="hybridMultilevel"/>
    <w:lvl w:ilvl="0">
      <w:lvlJc w:val="left"/>
      <w:lvlText w:val="(%1)"/>
      <w:numFmt w:val="lowerLetter"/>
      <w:start w:val="1"/>
    </w:lvl>
    <w:lvl w:ilvl="1">
      <w:lvlJc w:val="left"/>
      <w:lvlText w:val="(%2)"/>
      <w:numFmt w:val="lowerRoman"/>
      <w:start w:val="1"/>
    </w:lvl>
  </w:abstractNum>
  <w:abstractNum w:abstractNumId="193">
    <w:nsid w:val="3102BBE2"/>
    <w:multiLevelType w:val="hybridMultilevel"/>
    <w:lvl w:ilvl="0">
      <w:lvlJc w:val="left"/>
      <w:lvlText w:val="(%1)"/>
      <w:numFmt w:val="lowerLetter"/>
      <w:start w:val="1"/>
    </w:lvl>
  </w:abstractNum>
  <w:abstractNum w:abstractNumId="194">
    <w:nsid w:val="26A02C5E"/>
    <w:multiLevelType w:val="hybridMultilevel"/>
    <w:lvl w:ilvl="0">
      <w:lvlJc w:val="left"/>
      <w:lvlText w:val="(%1)"/>
      <w:numFmt w:val="lowerLetter"/>
      <w:start w:val="24"/>
    </w:lvl>
    <w:lvl w:ilvl="1">
      <w:lvlJc w:val="left"/>
      <w:lvlText w:val="(%2)"/>
      <w:numFmt w:val="lowerLetter"/>
      <w:start w:val="2"/>
    </w:lvl>
  </w:abstractNum>
  <w:abstractNum w:abstractNumId="195">
    <w:nsid w:val="541C8153"/>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2023-06-30T11:40:17Z</dcterms:created>
  <dcterms:modified xsi:type="dcterms:W3CDTF">2023-06-30T11:40:17Z</dcterms:modified>
</cp:coreProperties>
</file>