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ind w:right="20"/>
        <w:spacing w:after="0" w:line="194" w:lineRule="auto"/>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50165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8" w:lineRule="exact"/>
        <w:rPr>
          <w:sz w:val="24"/>
          <w:szCs w:val="24"/>
          <w:color w:val="auto"/>
        </w:rPr>
      </w:pPr>
    </w:p>
    <w:p>
      <w:pPr>
        <w:ind w:left="1500" w:hanging="536"/>
        <w:spacing w:after="0"/>
        <w:tabs>
          <w:tab w:leader="none" w:pos="15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31, 2019</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1500" w:hanging="536"/>
        <w:spacing w:after="0"/>
        <w:tabs>
          <w:tab w:leader="none" w:pos="15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0400"/>
          </w:cols>
          <w:pgMar w:left="760" w:top="229" w:right="739" w:bottom="1440" w:gutter="0" w:footer="0" w:header="0"/>
        </w:sectPr>
      </w:pPr>
    </w:p>
    <w:p>
      <w:pPr>
        <w:spacing w:after="0" w:line="12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97" w:lineRule="exact"/>
        <w:rPr>
          <w:sz w:val="24"/>
          <w:szCs w:val="24"/>
          <w:color w:val="auto"/>
        </w:rPr>
      </w:pPr>
    </w:p>
    <w:p>
      <w:pPr>
        <w:sectPr>
          <w:pgSz w:w="11900" w:h="16838" w:orient="portrait"/>
          <w:cols w:equalWidth="0" w:num="2">
            <w:col w:w="6680" w:space="720"/>
            <w:col w:w="3000"/>
          </w:cols>
          <w:pgMar w:left="760" w:top="229" w:right="7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6160" w:space="720"/>
            <w:col w:w="3520"/>
          </w:cols>
          <w:pgMar w:left="760" w:top="229" w:right="7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1141-A Cummings Road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Santa Paula, California  93060</w:t>
      </w:r>
    </w:p>
    <w:p>
      <w:pPr>
        <w:sectPr>
          <w:pgSz w:w="11900" w:h="16838" w:orient="portrait"/>
          <w:cols w:equalWidth="0" w:num="1">
            <w:col w:w="10400"/>
          </w:cols>
          <w:pgMar w:left="760" w:top="229" w:right="7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(805) 525-1245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80" w:lineRule="exact"/>
        <w:rPr>
          <w:sz w:val="24"/>
          <w:szCs w:val="24"/>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ind w:right="2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9" w:right="739" w:bottom="1440" w:gutter="0" w:footer="0" w:header="0"/>
          <w:type w:val="continuous"/>
        </w:sectPr>
      </w:pPr>
    </w:p>
    <w:p>
      <w:pPr>
        <w:spacing w:after="0" w:line="1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3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4">
            <w:col w:w="2300" w:space="720"/>
            <w:col w:w="1560" w:space="720"/>
            <w:col w:w="1860" w:space="720"/>
            <w:col w:w="2520"/>
          </w:cols>
          <w:pgMar w:left="760" w:top="229" w:right="739" w:bottom="1440" w:gutter="0" w:footer="0" w:header="0"/>
          <w:type w:val="continuous"/>
        </w:sect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0400"/>
          </w:cols>
          <w:pgMar w:left="760" w:top="229" w:right="739" w:bottom="1440" w:gutter="0" w:footer="0" w:header="0"/>
          <w:type w:val="continuous"/>
        </w:sectPr>
      </w:pPr>
    </w:p>
    <w:p>
      <w:pPr>
        <w:spacing w:after="0" w:line="207"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Registrant's number of shares of common stock outstanding as of January 31, 2019 was 17,597,734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217805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826770</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w:t>
      </w:r>
    </w:p>
    <w:p>
      <w:pPr>
        <w:spacing w:after="0" w:line="251" w:lineRule="auto"/>
        <w:rPr>
          <w:sz w:val="20"/>
          <w:szCs w:val="20"/>
          <w:color w:val="auto"/>
        </w:rPr>
      </w:pPr>
      <w:r>
        <w:rPr>
          <w:rFonts w:ascii="Times New Roman" w:cs="Times New Roman" w:eastAsia="Times New Roman" w:hAnsi="Times New Roman"/>
          <w:sz w:val="18"/>
          <w:szCs w:val="18"/>
          <w:color w:val="auto"/>
        </w:rPr>
        <w:t xml:space="preserve">expenses, gain/(loss) on Limoneira shares, income/(loss) from unconsolidated entities, earnings, earnings per share, tax provisions, cash flows, currency exchange rates, the impact of acquisitions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that are described herein, including, but not limited to, the items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October 31, 2018,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w:t>
      </w:r>
    </w:p>
    <w:p>
      <w:pPr>
        <w:spacing w:after="0" w:line="22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FINANCIAL INFORMATION</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gridSpan w:val="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Item 1.</w:t>
              </w:r>
            </w:hyperlink>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5"/>
        </w:trPr>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Condensed Balance Sheets – January 31, 2019 and October 31, 201</w:t>
              </w:r>
            </w:hyperlink>
            <w:r>
              <w:rPr>
                <w:rFonts w:ascii="Times New Roman" w:cs="Times New Roman" w:eastAsia="Times New Roman" w:hAnsi="Times New Roman"/>
                <w:sz w:val="16"/>
                <w:szCs w:val="16"/>
                <w:color w:val="000000"/>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Condensed Statements of Income – Three Months Ended January 31, 2019 and 201</w:t>
              </w:r>
            </w:hyperlink>
            <w:r>
              <w:rPr>
                <w:rFonts w:ascii="Times New Roman" w:cs="Times New Roman" w:eastAsia="Times New Roman" w:hAnsi="Times New Roman"/>
                <w:sz w:val="16"/>
                <w:szCs w:val="16"/>
                <w:color w:val="000000"/>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Condensed Statements of Comprehensive Income – Three Months Ended January 31, 2019 and 201</w:t>
              </w:r>
            </w:hyperlink>
            <w:r>
              <w:rPr>
                <w:rFonts w:ascii="Times New Roman" w:cs="Times New Roman" w:eastAsia="Times New Roman" w:hAnsi="Times New Roman"/>
                <w:sz w:val="16"/>
                <w:szCs w:val="16"/>
                <w:color w:val="000000"/>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Consolidated Condensed Statements of Cash Flows – Three Months Ended January 31, 2019 and 201</w:t>
              </w:r>
            </w:hyperlink>
            <w:r>
              <w:rPr>
                <w:rFonts w:ascii="Times New Roman" w:cs="Times New Roman" w:eastAsia="Times New Roman" w:hAnsi="Times New Roman"/>
                <w:sz w:val="16"/>
                <w:szCs w:val="16"/>
                <w:color w:val="000000"/>
              </w:rPr>
              <w:t>8</w:t>
            </w: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Notes to Consolidated Condensed Financial Statements</w:t>
              </w:r>
            </w:hyperlink>
          </w:p>
        </w:tc>
        <w:tc>
          <w:tcPr>
            <w:tcW w:w="2980" w:type="dxa"/>
            <w:vAlign w:val="bottom"/>
            <w:tcBorders>
              <w:top w:val="single" w:sz="8" w:color="0000EE"/>
            </w:tcBorders>
            <w:gridSpan w:val="5"/>
          </w:tcPr>
          <w:p>
            <w:pPr>
              <w:spacing w:after="0"/>
              <w:rPr>
                <w:sz w:val="24"/>
                <w:szCs w:val="24"/>
                <w:color w:val="auto"/>
              </w:rPr>
            </w:pPr>
          </w:p>
        </w:tc>
        <w:tc>
          <w:tcPr>
            <w:tcW w:w="12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2.</w:t>
              </w:r>
            </w:hyperlink>
          </w:p>
        </w:tc>
        <w:tc>
          <w:tcPr>
            <w:tcW w:w="220" w:type="dxa"/>
            <w:vAlign w:val="bottom"/>
            <w:gridSpan w:val="2"/>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Item 3.</w:t>
              </w:r>
            </w:hyperlink>
          </w:p>
        </w:tc>
        <w:tc>
          <w:tcPr>
            <w:tcW w:w="220" w:type="dxa"/>
            <w:vAlign w:val="bottom"/>
            <w:gridSpan w:val="2"/>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Item 4.</w:t>
              </w:r>
            </w:hyperlink>
          </w:p>
        </w:tc>
        <w:tc>
          <w:tcPr>
            <w:tcW w:w="220" w:type="dxa"/>
            <w:vAlign w:val="bottom"/>
            <w:gridSpan w:val="2"/>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Controls and Procedures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0"/>
          </w:tcPr>
          <w:p>
            <w:pPr>
              <w:spacing w:after="0"/>
              <w:rPr>
                <w:rFonts w:ascii="Times New Roman" w:cs="Times New Roman" w:eastAsia="Times New Roman" w:hAnsi="Times New Roman"/>
                <w:sz w:val="16"/>
                <w:szCs w:val="16"/>
                <w:b w:val="1"/>
                <w:bCs w:val="1"/>
                <w:color w:val="0000EE"/>
                <w:w w:val="99"/>
              </w:rPr>
            </w:pPr>
            <w:hyperlink w:anchor="page29">
              <w:r>
                <w:rPr>
                  <w:rFonts w:ascii="Times New Roman" w:cs="Times New Roman" w:eastAsia="Times New Roman" w:hAnsi="Times New Roman"/>
                  <w:sz w:val="16"/>
                  <w:szCs w:val="16"/>
                  <w:b w:val="1"/>
                  <w:bCs w:val="1"/>
                  <w:color w:val="0000EE"/>
                  <w:w w:val="99"/>
                </w:rPr>
                <w:t>PART II. OTHER INFORMATION</w:t>
              </w:r>
            </w:hyperlink>
          </w:p>
        </w:tc>
        <w:tc>
          <w:tcPr>
            <w:tcW w:w="602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Item 1.</w:t>
              </w:r>
            </w:hyperlink>
          </w:p>
        </w:tc>
        <w:tc>
          <w:tcPr>
            <w:tcW w:w="220" w:type="dxa"/>
            <w:vAlign w:val="bottom"/>
            <w:gridSpan w:val="2"/>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Legal Proceedings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Times New Roman" w:cs="Times New Roman" w:eastAsia="Times New Roman" w:hAnsi="Times New Roman"/>
                <w:sz w:val="16"/>
                <w:szCs w:val="16"/>
                <w:color w:val="0000EE"/>
                <w:w w:val="98"/>
              </w:rPr>
            </w:pPr>
            <w:hyperlink w:anchor="page30">
              <w:r>
                <w:rPr>
                  <w:rFonts w:ascii="Times New Roman" w:cs="Times New Roman" w:eastAsia="Times New Roman" w:hAnsi="Times New Roman"/>
                  <w:sz w:val="16"/>
                  <w:szCs w:val="16"/>
                  <w:color w:val="0000EE"/>
                  <w:w w:val="98"/>
                </w:rPr>
                <w:t>Item 1A.</w:t>
              </w:r>
            </w:hyperlink>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Item 6.</w:t>
              </w:r>
            </w:hyperlink>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Exhibits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14"/>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Signatures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4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$4,528 (2019)</w:t>
            </w:r>
          </w:p>
        </w:tc>
        <w:tc>
          <w:tcPr>
            <w:tcW w:w="24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$3,227 (2018)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122,143</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FreshRealm</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260" w:type="dxa"/>
            <w:vAlign w:val="bottom"/>
            <w:tcBorders>
              <w:bottom w:val="single" w:sz="8" w:color="CCEEFF"/>
            </w:tcBorders>
          </w:tcPr>
          <w:p>
            <w:pPr>
              <w:spacing w:after="0"/>
              <w:rPr>
                <w:sz w:val="18"/>
                <w:szCs w:val="18"/>
                <w:color w:val="auto"/>
              </w:rPr>
            </w:pPr>
          </w:p>
        </w:tc>
      </w:tr>
      <w:tr>
        <w:trPr>
          <w:trHeight w:val="230"/>
        </w:trPr>
        <w:tc>
          <w:tcPr>
            <w:tcW w:w="432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380,265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367,736</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24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38,521</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r>
      <w:tr>
        <w:trPr>
          <w:trHeight w:val="210"/>
        </w:trPr>
        <w:tc>
          <w:tcPr>
            <w:tcW w:w="4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6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17,598 (2019) and 17,567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(2018) shares issued and outstanding)</w:t>
            </w: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157,928</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93,124</w:t>
            </w:r>
          </w:p>
        </w:tc>
        <w:tc>
          <w:tcPr>
            <w:tcW w:w="2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270,453</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264,959</w:t>
            </w:r>
          </w:p>
        </w:tc>
        <w:tc>
          <w:tcPr>
            <w:tcW w:w="260" w:type="dxa"/>
            <w:vAlign w:val="bottom"/>
            <w:shd w:val="clear" w:color="auto" w:fill="CCEEFF"/>
          </w:tcPr>
          <w:p>
            <w:pPr>
              <w:spacing w:after="0"/>
              <w:rPr>
                <w:sz w:val="18"/>
                <w:szCs w:val="18"/>
                <w:color w:val="auto"/>
              </w:rPr>
            </w:pPr>
          </w:p>
        </w:tc>
      </w:tr>
      <w:tr>
        <w:trPr>
          <w:trHeight w:val="217"/>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380,265</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367,736</w:t>
            </w:r>
          </w:p>
        </w:tc>
        <w:tc>
          <w:tcPr>
            <w:tcW w:w="260" w:type="dxa"/>
            <w:vAlign w:val="bottom"/>
          </w:tcPr>
          <w:p>
            <w:pPr>
              <w:spacing w:after="0"/>
              <w:rPr>
                <w:sz w:val="18"/>
                <w:szCs w:val="18"/>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INCOME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258,032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221,618</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and realized net loss on Limoneira 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 and income/(loss) from unconsolidated entities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unconsolidated entities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per share: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tcPr>
          <w:p>
            <w:pPr>
              <w:ind w:left="2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0.41</w:t>
            </w:r>
          </w:p>
        </w:tc>
        <w:tc>
          <w:tcPr>
            <w:tcW w:w="2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17,558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1" w:right="1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(UNAUDITED)</w:t>
      </w:r>
    </w:p>
    <w:p>
      <w:pPr>
        <w:spacing w:after="0" w:line="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62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34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losses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40" w:type="dxa"/>
            <w:vAlign w:val="bottom"/>
            <w:shd w:val="clear" w:color="auto" w:fill="CCEEFF"/>
          </w:tcPr>
          <w:p>
            <w:pPr>
              <w:spacing w:after="0"/>
              <w:rPr>
                <w:sz w:val="18"/>
                <w:szCs w:val="18"/>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income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tcPr>
          <w:p>
            <w:pPr>
              <w:spacing w:after="0"/>
              <w:rPr>
                <w:sz w:val="18"/>
                <w:szCs w:val="18"/>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34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spacing w:after="0"/>
              <w:rPr>
                <w:sz w:val="18"/>
                <w:szCs w:val="18"/>
                <w:color w:val="auto"/>
              </w:rPr>
            </w:pPr>
          </w:p>
        </w:tc>
      </w:tr>
      <w:tr>
        <w:trPr>
          <w:trHeight w:val="21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 Calavo Growers, Inc.</w:t>
            </w:r>
          </w:p>
        </w:tc>
        <w:tc>
          <w:tcPr>
            <w:tcW w:w="1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34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60"/>
          </w:cols>
          <w:pgMar w:left="1420" w:top="121" w:right="9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0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340" w:type="dxa"/>
            <w:vAlign w:val="bottom"/>
          </w:tcPr>
          <w:p>
            <w:pPr>
              <w:spacing w:after="0"/>
              <w:rPr>
                <w:sz w:val="12"/>
                <w:szCs w:val="12"/>
                <w:color w:val="auto"/>
              </w:rPr>
            </w:pPr>
          </w:p>
        </w:tc>
        <w:tc>
          <w:tcPr>
            <w:tcW w:w="1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(income) from unconsolidated entities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6,298</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and realized net loss on Limoneira shares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(7,181)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(2,735)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(3,753)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long-term liabilities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top w:val="single" w:sz="8" w:color="CCEEFF"/>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10,371</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7,897</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and deposits on property, plant, and equipment</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for repayment of San Rafael note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Limoneira stock sales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to FreshRealm</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top w:val="single" w:sz="8" w:color="CCEEFF"/>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(13,102)</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(5,282)</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89,500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(65,500)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minimum withholding taxes on net share settlement of equity awards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8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5,422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2,691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4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10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340" w:type="dxa"/>
            <w:vAlign w:val="bottom"/>
          </w:tcPr>
          <w:p>
            <w:pPr>
              <w:spacing w:after="0"/>
              <w:rPr>
                <w:sz w:val="13"/>
                <w:szCs w:val="13"/>
                <w:color w:val="auto"/>
              </w:rPr>
            </w:pPr>
          </w:p>
        </w:tc>
        <w:tc>
          <w:tcPr>
            <w:tcW w:w="1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transfer of noncontrolling interest</w:t>
            </w: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9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Unrealized investment gain</w:t>
            </w:r>
          </w:p>
        </w:tc>
        <w:tc>
          <w:tcPr>
            <w:tcW w:w="8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8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of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The Company adopted this new standard at the beginning of fiscal 2019. With the adoption of this new standard, we reclassed unrealized gains of $12.1 million in accumulated other comprehensive income to retained earnings as of November 1, 2018. Additionally, for the three months ended January 31, 2019, we sold 51,271 shares of Limoneira stock and recorded a loss of $0.1 million in our consolidated statements of income. Limoneira’s stock price at January 31, 2019 and October 31, 2018 equaled $22.03 per share and $24.65 per share. Our remaining shares of Limoneira stock, totaling 1,677,299 at January 31, 2019, were revalued to $22.03 per share and, as a result, we recorded a loss of $4.4 million in our consolidated statements of income.</w:t>
      </w:r>
    </w:p>
    <w:p>
      <w:pPr>
        <w:spacing w:after="0" w:line="186"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In May 2014, the FASB issued a comprehensive new revenue recognition standard which will supersede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Company adopted this new standard at the beginning of fiscal 2019 using the modified retrospective transition method, under which the cumulative effect of initially applying the new guidance is recognized as an adjustment to the opening balance of retained earnings on the first day of our 2019 fiscal year. The adoption of the amendment did not have an impact on the Company’s consolidated financial statements. See Note 14 for further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firstLine="259"/>
        <w:spacing w:after="0" w:line="257" w:lineRule="auto"/>
        <w:rPr>
          <w:sz w:val="20"/>
          <w:szCs w:val="20"/>
          <w:color w:val="auto"/>
        </w:rPr>
      </w:pPr>
      <w:r>
        <w:rPr>
          <w:rFonts w:ascii="Times New Roman" w:cs="Times New Roman" w:eastAsia="Times New Roman" w:hAnsi="Times New Roman"/>
          <w:sz w:val="18"/>
          <w:szCs w:val="18"/>
          <w:color w:val="auto"/>
        </w:rPr>
        <w:t>In June 2018, the FASB issued an ASU</w:t>
      </w:r>
      <w:r>
        <w:rPr>
          <w:rFonts w:ascii="Times New Roman" w:cs="Times New Roman" w:eastAsia="Times New Roman" w:hAnsi="Times New Roman"/>
          <w:sz w:val="18"/>
          <w:szCs w:val="18"/>
          <w:i w:val="1"/>
          <w:iCs w:val="1"/>
          <w:color w:val="auto"/>
        </w:rPr>
        <w:t>, Improvements to Nonemployee Share-Based Payment Accounting</w:t>
      </w:r>
      <w:r>
        <w:rPr>
          <w:rFonts w:ascii="Times New Roman" w:cs="Times New Roman" w:eastAsia="Times New Roman" w:hAnsi="Times New Roman"/>
          <w:sz w:val="18"/>
          <w:szCs w:val="18"/>
          <w:color w:val="auto"/>
        </w:rPr>
        <w:t>. The FASB issued this update to simplify the accounting for share-based payments to nonemployees by aligning it with the accounting for share-based payments to employees, with certain exceptions. This ASU will be effective for us beginning the first day of our 2020 fiscal year. We are evaluating the impact of the update of this ASU on our financial condition, results of operations and cash flows, and, as such, we are not able to estimate the effect the adoption of the new standard will have on our financial statements.</w:t>
      </w:r>
    </w:p>
    <w:p>
      <w:pPr>
        <w:spacing w:after="0" w:line="183"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 xml:space="preserve">In February 2018, the FASB issued an ASU, </w:t>
      </w:r>
      <w:r>
        <w:rPr>
          <w:rFonts w:ascii="Times New Roman" w:cs="Times New Roman" w:eastAsia="Times New Roman" w:hAnsi="Times New Roman"/>
          <w:sz w:val="18"/>
          <w:szCs w:val="18"/>
          <w:i w:val="1"/>
          <w:iCs w:val="1"/>
          <w:color w:val="auto"/>
        </w:rPr>
        <w:t>Reclassification of Certain Tax Effects From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which amends Accounting Standards Codification ("ASC") 220, Income Statement —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Early adoption is permitted. We are evaluating the impact of adoption of this ASU on our financial condition, results of operations and cash flows, and, as such, we are not able to estimate the effect the adoption of the new standard will have on our financial statements.</w:t>
      </w:r>
    </w:p>
    <w:p>
      <w:pPr>
        <w:spacing w:after="0" w:line="185"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3"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an ASU,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Early adoption is permitted. Although we are in the process of evaluating the impact of adoption of ASU 2016-02 on our consolidated financial statements, we currently expect the most significant changes will be related to the recognition of material new long-term right-of-use assets and lease liabilities on our consolidated balance sheet.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avocado products, including guacamole and salsa. The RFG segment represents all operations related to the manufacturing and distribution of fresh-cut fruit, fresh-cut vegetables,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Borders>
              <w:bottom w:val="single" w:sz="8" w:color="auto"/>
            </w:tcBorders>
            <w:gridSpan w:val="10"/>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January 31, 2019</w:t>
            </w:r>
          </w:p>
        </w:tc>
        <w:tc>
          <w:tcPr>
            <w:tcW w:w="220" w:type="dxa"/>
            <w:vAlign w:val="bottom"/>
          </w:tcPr>
          <w:p>
            <w:pPr>
              <w:spacing w:after="0"/>
              <w:rPr>
                <w:sz w:val="15"/>
                <w:szCs w:val="15"/>
                <w:color w:val="auto"/>
              </w:rPr>
            </w:pPr>
          </w:p>
        </w:tc>
        <w:tc>
          <w:tcPr>
            <w:tcW w:w="2900" w:type="dxa"/>
            <w:vAlign w:val="bottom"/>
            <w:tcBorders>
              <w:bottom w:val="single" w:sz="8" w:color="auto"/>
            </w:tcBorders>
            <w:gridSpan w:val="11"/>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January 31, 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23"/>
                <w:szCs w:val="23"/>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$ 103,995</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103,995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$ 108,929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Tomatoes</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11,392</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Papayas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2,939</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fresh products</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Prepared avocado products</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24,252</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Fresh-cut fruit &amp; vegetables and prepared foods</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119,541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119,541</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106,776</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106,776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gross sales</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119,541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263,052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123,852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106,776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253,296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sales incentives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inter-company eliminations</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$ 116,854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22,114</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119,064</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258,032</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$ 122,785</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19,037</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106,106</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Fresh</w:t>
            </w: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Calavo</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4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RFG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January 31, 2019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 before intercompany eliminations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259,584</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258,032</w:t>
            </w:r>
          </w:p>
        </w:tc>
        <w:tc>
          <w:tcPr>
            <w:tcW w:w="4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before intercompany eliminations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228,747</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227,195</w:t>
            </w:r>
          </w:p>
        </w:tc>
        <w:tc>
          <w:tcPr>
            <w:tcW w:w="40" w:type="dxa"/>
            <w:vAlign w:val="bottom"/>
            <w:tcBorders>
              <w:bottom w:val="single" w:sz="8" w:color="CCEEFF"/>
            </w:tcBorders>
          </w:tcPr>
          <w:p>
            <w:pPr>
              <w:spacing w:after="0"/>
              <w:rPr>
                <w:sz w:val="18"/>
                <w:szCs w:val="18"/>
                <w:color w:val="auto"/>
              </w:rPr>
            </w:pPr>
          </w:p>
        </w:tc>
      </w:tr>
      <w:tr>
        <w:trPr>
          <w:trHeight w:val="217"/>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January 31, 2018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 before intercompany eliminations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249,196</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247,928</w:t>
            </w:r>
          </w:p>
        </w:tc>
        <w:tc>
          <w:tcPr>
            <w:tcW w:w="4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before intercompany eliminations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222,886</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221,618</w:t>
            </w:r>
          </w:p>
        </w:tc>
        <w:tc>
          <w:tcPr>
            <w:tcW w:w="40" w:type="dxa"/>
            <w:vAlign w:val="bottom"/>
            <w:tcBorders>
              <w:bottom w:val="single" w:sz="8" w:color="CCEEFF"/>
            </w:tcBorders>
          </w:tcPr>
          <w:p>
            <w:pPr>
              <w:spacing w:after="0"/>
              <w:rPr>
                <w:sz w:val="18"/>
                <w:szCs w:val="18"/>
                <w:color w:val="auto"/>
              </w:rPr>
            </w:pPr>
          </w:p>
        </w:tc>
      </w:tr>
      <w:tr>
        <w:trPr>
          <w:trHeight w:val="217"/>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360" w:firstLine="259"/>
        <w:spacing w:after="0" w:line="258" w:lineRule="auto"/>
        <w:rPr>
          <w:sz w:val="20"/>
          <w:szCs w:val="20"/>
          <w:color w:val="auto"/>
        </w:rPr>
      </w:pPr>
      <w:r>
        <w:rPr>
          <w:rFonts w:ascii="Times New Roman" w:cs="Times New Roman" w:eastAsia="Times New Roman" w:hAnsi="Times New Roman"/>
          <w:sz w:val="18"/>
          <w:szCs w:val="18"/>
          <w:color w:val="auto"/>
        </w:rPr>
        <w:t>For the three months ended January 31, 2019 and 2018, inter-segment sales and cost of sales of $0.5 million and $0.4 million between Fresh products and RFG were eliminated. For the three months ended January 31, 2019 and 2018, inter-segment sales and cost of sales of $1.0 million and $0.9 million between Calavo Foods and RFG were eliminated. For the three months ended January 31, 2019 and 2018, inter-segment sales and cost of sales of $0.1 million between Fresh products and Calavo Foods were eliminated.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420"/>
          </w:cols>
          <w:pgMar w:left="1420" w:top="121" w:right="10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14,921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6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11,671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38,463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No additional inventory reserve was considered necessary as of January 31, 2019 and October 31, 2018.</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January 31, 2019, we did not procure any avocados from entities owned or controlled by members of our Board of Directors. During the three months ended January 31, 2018, the aggregate amount of avocados procured from entities owned or controlled by members of our Board of Directors was $0.1 million. We did not have any amounts payable to these Board members as of January 31, 2019 and October 31, 2018.</w:t>
      </w:r>
    </w:p>
    <w:p>
      <w:pPr>
        <w:spacing w:after="0" w:line="188" w:lineRule="exact"/>
        <w:rPr>
          <w:sz w:val="20"/>
          <w:szCs w:val="20"/>
          <w:color w:val="auto"/>
        </w:rPr>
      </w:pPr>
    </w:p>
    <w:p>
      <w:pPr>
        <w:jc w:val="both"/>
        <w:ind w:right="40" w:firstLine="259"/>
        <w:spacing w:after="0" w:line="255" w:lineRule="auto"/>
        <w:rPr>
          <w:sz w:val="20"/>
          <w:szCs w:val="20"/>
          <w:color w:val="auto"/>
        </w:rPr>
      </w:pPr>
      <w:r>
        <w:rPr>
          <w:rFonts w:ascii="Times New Roman" w:cs="Times New Roman" w:eastAsia="Times New Roman" w:hAnsi="Times New Roman"/>
          <w:sz w:val="18"/>
          <w:szCs w:val="18"/>
          <w:color w:val="auto"/>
        </w:rPr>
        <w:t>During the three months ended January 31, 2019 and 2018, we received $0.1 million as dividend income from Limoneira Company (Limoneira). In addition, we lease office space from Limoneira for our corporate office. We paid to rent expense to Limoneira totaling $0.1 million for the three months ended January 31, 2019 and 2018. Harold Edwards, who is a member of our Board of Directors, is the Chief Executive Officer of Limoneira Company. As of January 31, 2019, we own less than</w:t>
      </w:r>
    </w:p>
    <w:p>
      <w:pPr>
        <w:spacing w:after="0" w:line="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10% ownership interest in Limoneira. Effective December 2018, our Chief Executive Officer retired from Limoneira’s Board of Directors.</w:t>
      </w:r>
    </w:p>
    <w:p>
      <w:pPr>
        <w:spacing w:after="0" w:line="180" w:lineRule="exact"/>
        <w:rPr>
          <w:sz w:val="20"/>
          <w:szCs w:val="20"/>
          <w:color w:val="auto"/>
        </w:rPr>
      </w:pPr>
    </w:p>
    <w:p>
      <w:pPr>
        <w:jc w:val="both"/>
        <w:ind w:right="340" w:firstLine="259"/>
        <w:spacing w:after="0" w:line="266" w:lineRule="auto"/>
        <w:rPr>
          <w:sz w:val="20"/>
          <w:szCs w:val="20"/>
          <w:color w:val="auto"/>
        </w:rPr>
      </w:pPr>
      <w:r>
        <w:rPr>
          <w:rFonts w:ascii="Times New Roman" w:cs="Times New Roman" w:eastAsia="Times New Roman" w:hAnsi="Times New Roman"/>
          <w:sz w:val="18"/>
          <w:szCs w:val="18"/>
          <w:color w:val="auto"/>
        </w:rPr>
        <w:t>We currently have a member of our Board of Directors who also serves as a partner in the law firm of TroyGould PC, which frequently represents Calavo as legal counsel. During each of the three months ended January 31, 2019 and 2018, Calavo Growers, Inc. paid fees totaling less than $0.1 million to TroyGould PC.</w:t>
      </w:r>
    </w:p>
    <w:p>
      <w:pPr>
        <w:spacing w:after="0" w:line="176"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In January 2016, our unconsolidated subsidiary, Agricola Don Memo, S.A. de C.V. (Don Memo), entered into a loan agreement totaling $4.5 million with Bank of America, N.A. (BoA). This entity is accounted for using the equity method. These proceeds were used by Don Memo to repay debt owed to Calavo. Also in January 2016, Calavo and BoA, entered into a Continuing and Unconditional Guaranty Agreement (the Guaranty). Under the terms of the Guaranty, Calavo unconditionally guaranteed and promised to pay BoA any and all Indebtedness, as defined, of our unconsolidated subsidiary Don Memo to BoA. Belo also entered into a similar guarantee with BoA. In December 2018, Don Memo received third party financing and repaid its loan to BoA, and as a result, we were able to remove this guarantee to BoA.</w:t>
      </w:r>
    </w:p>
    <w:p>
      <w:pPr>
        <w:spacing w:after="0" w:line="189" w:lineRule="exact"/>
        <w:rPr>
          <w:sz w:val="20"/>
          <w:szCs w:val="20"/>
          <w:color w:val="auto"/>
        </w:rPr>
      </w:pPr>
    </w:p>
    <w:p>
      <w:pPr>
        <w:ind w:right="60" w:firstLine="180"/>
        <w:spacing w:after="0" w:line="255" w:lineRule="auto"/>
        <w:rPr>
          <w:sz w:val="20"/>
          <w:szCs w:val="20"/>
          <w:color w:val="auto"/>
        </w:rPr>
      </w:pPr>
      <w:r>
        <w:rPr>
          <w:rFonts w:ascii="Times New Roman" w:cs="Times New Roman" w:eastAsia="Times New Roman" w:hAnsi="Times New Roman"/>
          <w:sz w:val="18"/>
          <w:szCs w:val="18"/>
          <w:color w:val="auto"/>
        </w:rPr>
        <w:t>As of January 31, 2019 and October 31, 2018, we had an investment of $5.4 million and $5.2 million, representing Calavo Sub’s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January 31, 2019 and October 31, 2018, we had outstanding advances of $2.0 million and $2.5 million to Don Memo. During the three months ended January 31, 2019 and 2018, we recorded $5.7 million and $3.7 million of cost of sales to Don Memo pursuant to our consignment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$4.0 million as of January 31, 2019 and October 31, 2018, which are netted against the grower payable. In addition, we had infrastructure advances due from Belher of $3.4 million as of January 31, 2019 and October 31, 2018. $0.8 million of these infrastructure advances were recorded as a receivable in prepaid and other current assets. The remaining $2.6 million of these infrastructure advances were recorded in other assets. During the three months ended January 31, 2019 and 2018, we recorded $5.3 million and $5.9 million of cost of sales to Belher pursuant to our consignment agreement.</w:t>
      </w:r>
    </w:p>
    <w:p>
      <w:pPr>
        <w:spacing w:after="0" w:line="185"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Shareholder’s Agreement with various partners and created Avocados de Jalisco, S.A.P.I. de C.V. (“Avocados de Jalisco”). Avocados de Jalisco is a Mexican corporation created to engage in procuring, packing and selling avocados. As of January 31, 2019, this entity was approximately 83% owned by Calavo and was consolidated in our financial statements. Avocados de Jalisco built a packinghouse located in Jalisco, Mexico, which began operations in June of 2017. As of January 31, 2019 and October 31, 2018, we have made preseason advances of approximately $0.1 million to various partners of Avocados de Jalisco. During the three months ended January 31, 2019 and 2018, we purchased approximately $1.0 million and $0.2 million of avocados from the partners of Avocados de Jalisco. In January 2018, we transferred $1.0 million of interest to the Avocados de Jalisco noncontrolling members.</w:t>
      </w:r>
    </w:p>
    <w:p>
      <w:pPr>
        <w:spacing w:after="0" w:line="185"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As of January 31, 2019 and October 31, 2018, we had an investment of $13.1 million and $19.9 million in FreshRealm, LLC (“FreshRealm”). We record the amount of our investment in FreshRealm in “Investment in unconsolidated entities” on our Consolidated Condensed Balance Sheets and recognize losses in FreshRealm in “Income/ (loss) in unconsolidated entities” in our Consolidated Condensed Statement of Income. See Note 13 for additional information.</w:t>
      </w:r>
    </w:p>
    <w:p>
      <w:pPr>
        <w:spacing w:after="0" w:line="180"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Effective July 31, 2018, we entered into a Note and Membership Unit Purchase Agreement (“NMUPA”) with FreshRealm, pursuant to which we agreed to provide additional financing, subject to certain terms and conditions. Pursuant to such NMUPA, we entered into a Subscription Agreement, whereby we purchased $3.5 million of equity units in FreshRealm, on July 31, 2018. FreshRealm concurrently entered into subscription agreements with certain third-party investors for an additional $3.5 million of equity investments. As of January 31, 2019, our ownership percentage in FreshRealm was approximately 37%.</w:t>
      </w:r>
    </w:p>
    <w:p>
      <w:pPr>
        <w:spacing w:after="0" w:line="188"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Additionally, pursuant to the NMUPA, we entered into a $12 million Senior Promissory Note and corresponding Security Agreement (collectively, the “Agreements”) with FreshRealm, effective August 10, 2018. We funded $9 million of this loan commitment during the fourth quarter of fiscal 2018 and funded the remaining loan commitment amount of $3 million during the first quarter of fiscal 2019. During our second quarter of fiscal 2019, we amended this note, due October 31, 2019, and, among other things, included a provision whereby we have the option to extend repayment of this note to November 1, 2020.</w:t>
      </w:r>
    </w:p>
    <w:p>
      <w:pPr>
        <w:spacing w:after="0" w:line="184"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We also loaned FreshRealm an additional $7.5 million, in several unsecured notes during our first quarter of fiscal 2019. During our second fiscal quarter of 2019, we consolidated those notes into one $7.5 million note receivable balance due from FreshRealm, due October 31, 2019. Similar to the amended note described above, we included a provision whereby we have the option to extend repayment of this note to November 1, 2020. Also, during our fiscal second quarter, we lent an additional $1.5 million on an unsecured basis to FreshRealm. As of January 31, 2019 and October 31, 2018, we have note receivables from FreshRealm totaling $19.9 million and $9.0 million. See Note 13 for further information.</w:t>
      </w:r>
    </w:p>
    <w:p>
      <w:pPr>
        <w:spacing w:after="0" w:line="188"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Three officers and five members of our board of directors have investments in FreshRealm. In addition, as of January 31, 2019 and October 31, 2018, we have a loan to FreshRealm members of approximately $0.2 million and $0.3 million. In October and December 2017, our Chairman and Chief Executive Officer invested $7.0 million and $1.5 million into FreshRealm. In January 2018, one of our non-executive directors invested $1.8 million into FreshRealm. In the second quarter of fiscal 2018, two of our non-executive directors invested $1.2 million into FreshRealm.</w:t>
      </w:r>
    </w:p>
    <w:p>
      <w:pPr>
        <w:spacing w:after="0" w:line="18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2019, FreshRealm entered into a supply contract with a large multi-national, multi-channel retailer. Calavo co-signed an addendum to this agreement to provide assurance to the customer that Calavo will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assume responsibility for performance, in the event that FreshRealm cannot perform, provided that the customer must work in good faith to make reasonable adjustments to logistical elements in the contract, if requested by Calavo.</w:t>
      </w:r>
    </w:p>
    <w:p>
      <w:pPr>
        <w:spacing w:after="0" w:line="162"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We provide storage services to FreshRealm from our New Jersey and Texas Value-Added Depots, and our RFG Riverside facility. We have received $0.1 million in storage services revenue from FreshRealm in the three months ended January 31, 2019 and 2018. For the three months ended January 31, 2019 and 2018, RFG has sold $1.6 million and $1.5 million of products to FreshRealm.</w:t>
      </w:r>
    </w:p>
    <w:p>
      <w:pPr>
        <w:spacing w:after="0" w:line="180"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See the following tables for the related party activity for the three months ended January 31, 2019 and 2018:</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LIG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Rent paid to THNC, LLC</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6"/>
                <w:szCs w:val="16"/>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900" w:type="dxa"/>
            <w:vAlign w:val="bottom"/>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(see note 11)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advance to Agricola Belher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receivable from San Rafael</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4620" w:type="dxa"/>
            <w:vAlign w:val="bottom"/>
            <w:gridSpan w:val="6"/>
          </w:tcPr>
          <w:p>
            <w:pPr>
              <w:jc w:val="right"/>
              <w:ind w:right="175"/>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9"/>
                <w:szCs w:val="19"/>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Net</w:t>
            </w:r>
          </w:p>
        </w:tc>
      </w:tr>
      <w:tr>
        <w:trPr>
          <w:trHeight w:val="216"/>
        </w:trPr>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0" w:type="dxa"/>
            <w:vAlign w:val="bottom"/>
          </w:tcPr>
          <w:p>
            <w:pPr>
              <w:spacing w:after="0"/>
              <w:rPr>
                <w:sz w:val="18"/>
                <w:szCs w:val="18"/>
                <w:color w:val="auto"/>
              </w:rPr>
            </w:pPr>
          </w:p>
        </w:tc>
        <w:tc>
          <w:tcPr>
            <w:tcW w:w="64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Book</w:t>
            </w:r>
          </w:p>
        </w:tc>
        <w:tc>
          <w:tcPr>
            <w:tcW w:w="4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Book</w:t>
            </w:r>
          </w:p>
        </w:tc>
      </w:tr>
      <w:tr>
        <w:trPr>
          <w:trHeight w:val="199"/>
        </w:trPr>
        <w:tc>
          <w:tcPr>
            <w:tcW w:w="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7"/>
                <w:szCs w:val="17"/>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7"/>
                <w:szCs w:val="17"/>
                <w:color w:val="auto"/>
              </w:rPr>
            </w:pPr>
          </w:p>
        </w:tc>
        <w:tc>
          <w:tcPr>
            <w:tcW w:w="64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8.6 years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9.3 years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indefinite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8"/>
                <w:szCs w:val="18"/>
                <w:color w:val="auto"/>
              </w:rPr>
            </w:pPr>
          </w:p>
        </w:tc>
      </w:tr>
      <w:tr>
        <w:trPr>
          <w:trHeight w:val="217"/>
        </w:trPr>
        <w:tc>
          <w:tcPr>
            <w:tcW w:w="2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11,305</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We anticipate recording amortization expense of approximately $0.4 million for the remainder of fiscal 2019, $0.1 million for fiscal year 2020, $0.1 million for fiscal year 2021, $0.1 million for fiscal year 2022, and less than $0.1 million for thereafter, through fiscal year 2023.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11 for additional information related to Mexican IVA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21" w:right="129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right="440" w:firstLine="259"/>
        <w:spacing w:after="0" w:line="261"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0"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On January 2, 2019, all 12 of our non-employee directors were granted 1,750 restricted shares each (total of 21,000 shares). These shares have full voting rights and participate in dividends as if unrestricted. The closing price of our stock on such date was $71.56. On January 2, 2020, as long as the directors are still serving on the board, these shares lose their restriction and become non-forfeitable and transferable. These shares were granted pursuant to our 2011 Plan. The total recognized stock-based compensation expense for these grants was $0.2 million for the three months ended January 31, 2019.</w:t>
      </w:r>
    </w:p>
    <w:p>
      <w:pPr>
        <w:spacing w:after="0" w:line="188"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On December 14, 2018, our executive officers were granted a total of 14,522 restricted shares. These shares have full voting rights and participate in dividends as if unrestricted. The closing price of our stock on such date was $85.67. These shares vest in one-third increments, on an annual basis, beginning December 14, 2019. These shares were granted pursuant to our 2011 Plan. The total recognized stock-based compensation expense for these grants was $0.1 million for the three months ended January 31, 2019.</w:t>
      </w:r>
    </w:p>
    <w:p>
      <w:pPr>
        <w:spacing w:after="0" w:line="184"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Management Incentive Plan, is as follows (in thousands, except for per share amounts):</w:t>
      </w:r>
    </w:p>
    <w:tbl>
      <w:tblPr>
        <w:tblLayout w:type="fixed"/>
        <w:tblInd w:w="0" w:type="dxa"/>
        <w:tblCellMar>
          <w:top w:w="0" w:type="dxa"/>
          <w:left w:w="0" w:type="dxa"/>
          <w:bottom w:w="0" w:type="dxa"/>
          <w:right w:w="0" w:type="dxa"/>
        </w:tblCellMar>
      </w:tblPr>
      <w:tr>
        <w:trPr>
          <w:trHeight w:val="138"/>
        </w:trPr>
        <w:tc>
          <w:tcPr>
            <w:tcW w:w="3900" w:type="dxa"/>
            <w:vAlign w:val="bottom"/>
          </w:tcPr>
          <w:p>
            <w:pPr>
              <w:spacing w:after="0"/>
              <w:rPr>
                <w:sz w:val="11"/>
                <w:szCs w:val="11"/>
                <w:color w:val="auto"/>
              </w:rPr>
            </w:pP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1"/>
                <w:szCs w:val="11"/>
                <w:color w:val="auto"/>
              </w:rPr>
            </w:pPr>
          </w:p>
        </w:tc>
        <w:tc>
          <w:tcPr>
            <w:tcW w:w="1340" w:type="dxa"/>
            <w:vAlign w:val="bottom"/>
            <w:gridSpan w:val="3"/>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1"/>
                <w:szCs w:val="11"/>
                <w:color w:val="auto"/>
              </w:rPr>
            </w:pPr>
          </w:p>
        </w:tc>
        <w:tc>
          <w:tcPr>
            <w:tcW w:w="880" w:type="dxa"/>
            <w:vAlign w:val="bottom"/>
            <w:gridSpan w:val="2"/>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15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$1.0 million and $1.8 million for the three months ended January 31, 2019 and 2018. Total unrecognized stock-based compensation expense totaled $4.7 million as of January 31, 2019, and will be amortized through fiscal year 2021.</w:t>
      </w:r>
    </w:p>
    <w:p>
      <w:pPr>
        <w:spacing w:after="0" w:line="176"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68"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 based compensation awards on the date of grant.</w:t>
      </w:r>
    </w:p>
    <w:p>
      <w:pPr>
        <w:spacing w:after="0" w:line="68"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2005 Stock Incentive Plan, is as follows (in thousands,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9"/>
        </w:trPr>
        <w:tc>
          <w:tcPr>
            <w:tcW w:w="5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7"/>
                <w:szCs w:val="17"/>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January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At January 31, 2019, outstanding and exercisable stock options had a weighted-average remaining contractual term of 1.1 years. The total recognized and unrecognized stock-based compensation expense was insignificant for the three months ended January 31, 2019.</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Management Incentive Plan, is as follows (in thousands,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6"/>
                <w:szCs w:val="16"/>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16"/>
        </w:trPr>
        <w:tc>
          <w:tcPr>
            <w:tcW w:w="5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8"/>
                <w:szCs w:val="18"/>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9"/>
        </w:trPr>
        <w:tc>
          <w:tcPr>
            <w:tcW w:w="55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40.07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Borders>
              <w:top w:val="single" w:sz="8" w:color="CCEEFF"/>
            </w:tcBorders>
            <w:shd w:val="clear" w:color="auto" w:fill="CCEEFF"/>
          </w:tcPr>
          <w:p>
            <w:pPr>
              <w:spacing w:after="0"/>
              <w:rPr>
                <w:sz w:val="19"/>
                <w:szCs w:val="19"/>
                <w:color w:val="auto"/>
              </w:rPr>
            </w:pPr>
          </w:p>
        </w:tc>
      </w:tr>
      <w:tr>
        <w:trPr>
          <w:trHeight w:val="210"/>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at January 31, 2019</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ind w:right="158"/>
              <w:spacing w:after="0" w:line="203" w:lineRule="exact"/>
              <w:rPr>
                <w:sz w:val="20"/>
                <w:szCs w:val="20"/>
                <w:color w:val="auto"/>
              </w:rPr>
            </w:pPr>
            <w:r>
              <w:rPr>
                <w:rFonts w:ascii="Times New Roman" w:cs="Times New Roman" w:eastAsia="Times New Roman" w:hAnsi="Times New Roman"/>
                <w:sz w:val="18"/>
                <w:szCs w:val="18"/>
                <w:color w:val="auto"/>
              </w:rPr>
              <w:t>25.10</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36"/>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4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At January 31, 2019, outstanding and exercisable stock options had a weighted-average remaining contractual term of 4.4 years. The total recognized and unrecognized stock-based compensation expense was insignificant for the three months ended January 31, 2019.</w:t>
      </w:r>
    </w:p>
    <w:p>
      <w:pPr>
        <w:spacing w:after="0" w:line="172" w:lineRule="exact"/>
        <w:rPr>
          <w:sz w:val="20"/>
          <w:szCs w:val="20"/>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w:t>
      </w:r>
    </w:p>
    <w:p>
      <w:pPr>
        <w:spacing w:after="0" w:line="22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On December 7, 2018, we paid a $1.00 per share dividend in the aggregate amount of $17.6 million to shareholders of record on November 16, 2018.</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right="40" w:firstLine="180"/>
        <w:spacing w:after="0" w:line="252"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95" w:lineRule="exact"/>
        <w:rPr>
          <w:sz w:val="20"/>
          <w:szCs w:val="20"/>
          <w:color w:val="auto"/>
        </w:rPr>
      </w:pPr>
    </w:p>
    <w:p>
      <w:pPr>
        <w:ind w:right="240" w:firstLine="170"/>
        <w:spacing w:after="0" w:line="255" w:lineRule="auto"/>
        <w:rPr>
          <w:sz w:val="20"/>
          <w:szCs w:val="20"/>
          <w:color w:val="auto"/>
        </w:rPr>
      </w:pPr>
      <w:r>
        <w:rPr>
          <w:rFonts w:ascii="Times New Roman" w:cs="Times New Roman" w:eastAsia="Times New Roman" w:hAnsi="Times New Roman"/>
          <w:sz w:val="18"/>
          <w:szCs w:val="18"/>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this meeting and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discussion period, the statutory period that SAT had in order to issue the tax assessment was suspended. During our first fiscal quarter of 2018, we had an initial meeting with officials from the SAT and the PRODECON, which led to a further exchange of supporting information and documentation. Although several meetings and discussions with the PRODECON and the SAT were conducted during our fiscal third quarter of 2018, we were unable to materially resolve our case with the SAT through the PRODECON process.</w:t>
      </w:r>
    </w:p>
    <w:p>
      <w:pPr>
        <w:spacing w:after="0" w:line="184" w:lineRule="exact"/>
        <w:rPr>
          <w:sz w:val="20"/>
          <w:szCs w:val="20"/>
          <w:color w:val="auto"/>
        </w:rPr>
      </w:pPr>
    </w:p>
    <w:p>
      <w:pPr>
        <w:ind w:right="140" w:firstLine="170"/>
        <w:spacing w:after="0" w:line="261" w:lineRule="auto"/>
        <w:rPr>
          <w:sz w:val="20"/>
          <w:szCs w:val="20"/>
          <w:color w:val="auto"/>
        </w:rPr>
      </w:pPr>
      <w:r>
        <w:rPr>
          <w:rFonts w:ascii="Times New Roman" w:cs="Times New Roman" w:eastAsia="Times New Roman" w:hAnsi="Times New Roman"/>
          <w:sz w:val="18"/>
          <w:szCs w:val="18"/>
          <w:color w:val="auto"/>
        </w:rPr>
        <w:t>As a result, on July 12,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 as well.</w:t>
      </w:r>
    </w:p>
    <w:p>
      <w:pPr>
        <w:spacing w:after="0" w:line="180" w:lineRule="exact"/>
        <w:rPr>
          <w:sz w:val="20"/>
          <w:szCs w:val="20"/>
          <w:color w:val="auto"/>
        </w:rPr>
      </w:pPr>
    </w:p>
    <w:p>
      <w:pPr>
        <w:ind w:firstLine="177"/>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this tax assessment is without merit. In August 2018, we filed an administrative appeal on the 2013 Assessment. The filing of an administrative appeal in Mexico is a process in which the taxpayer appeals to a different office within the Mexican tax authorities forcing the legal office within the SAT to rule on the matter. This process preserves the taxpayer’s right to litigate in tax court if the administrative appeal process ends without a favorable or just resolution. Here, CDM has appealed our case to the SAT’s central legal department in Mexico City. Furthermore, in August 2018, we received a favorable ruling from the SAT’s central legal department in Mexico City on another tax matter (see footnote 11 regarding VAT refunds) indicating that they believe that our legal interpretation is accurate on a matter that is also central to the 2013 Assessment. We believe this recent ruling significantly undermines the 2013 Assessment we received in July 2018.</w:t>
      </w:r>
    </w:p>
    <w:p>
      <w:pPr>
        <w:spacing w:after="0" w:line="186" w:lineRule="exact"/>
        <w:rPr>
          <w:sz w:val="20"/>
          <w:szCs w:val="20"/>
          <w:color w:val="auto"/>
        </w:rPr>
      </w:pPr>
    </w:p>
    <w:p>
      <w:pPr>
        <w:ind w:right="940" w:firstLine="222"/>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4"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January 31, 2019 that are measured on a recurring basis during the period, segregated by level within the fair value hierarchy: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r>
      <w:tr>
        <w:trPr>
          <w:trHeight w:val="216"/>
        </w:trPr>
        <w:tc>
          <w:tcPr>
            <w:tcW w:w="90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Limoneira Company</w:t>
            </w:r>
            <w:r>
              <w:rPr>
                <w:rFonts w:ascii="Times New Roman" w:cs="Times New Roman" w:eastAsia="Times New Roman" w:hAnsi="Times New Roman"/>
                <w:sz w:val="8"/>
                <w:szCs w:val="8"/>
                <w:color w:val="auto"/>
              </w:rPr>
              <w:t>(1)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$ 36,951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$ 36,951</w:t>
            </w:r>
          </w:p>
        </w:tc>
        <w:tc>
          <w:tcPr>
            <w:tcW w:w="4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3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$ 36,951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$ 36,951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5" w:lineRule="exact"/>
        <w:rPr>
          <w:sz w:val="20"/>
          <w:szCs w:val="20"/>
          <w:color w:val="auto"/>
        </w:rPr>
      </w:pPr>
    </w:p>
    <w:p>
      <w:pPr>
        <w:jc w:val="both"/>
        <w:ind w:left="1220" w:hanging="322"/>
        <w:spacing w:after="0" w:line="233" w:lineRule="auto"/>
        <w:tabs>
          <w:tab w:leader="none" w:pos="121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Limoneira Company consists of marketable securities in the Limoneira Company stock. We currently own less than 10% of Limoneira’s outstanding common stock. These securities are measured at fair value using quoted market prices. For the three months ended January 31, 2019 we recognized a loss of $4.5 million on the consolidated condensed statement of income. In the prior year, unrealized gains and losses were recognized through other comprehensive income. Unrealized investment holding losses arising during the three months ended January 31, 2018 were $3.1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tbl>
      <w:tblPr>
        <w:tblLayout w:type="fixed"/>
        <w:tblInd w:w="0" w:type="dxa"/>
        <w:tblCellMar>
          <w:top w:w="0" w:type="dxa"/>
          <w:left w:w="0" w:type="dxa"/>
          <w:bottom w:w="0" w:type="dxa"/>
          <w:right w:w="0" w:type="dxa"/>
        </w:tblCellMar>
      </w:tblPr>
      <w:tr>
        <w:trPr>
          <w:trHeight w:val="13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tcPr>
          <w:p>
            <w:pPr>
              <w:spacing w:after="0"/>
              <w:rPr>
                <w:sz w:val="11"/>
                <w:szCs w:val="11"/>
                <w:color w:val="auto"/>
              </w:rPr>
            </w:pPr>
          </w:p>
        </w:tc>
        <w:tc>
          <w:tcPr>
            <w:tcW w:w="13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3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transfer of noncontrolling interest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4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stock/options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7"/>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Calavo Growers, Inc: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Mexican IVA taxes receivable</w:t>
      </w:r>
    </w:p>
    <w:p>
      <w:pPr>
        <w:spacing w:after="0" w:line="22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January 31, 2019 and October 31, 2018, CDM IVA receivables totaled $24.0 million and $21.9</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million. Historically, CDM received IVA refund payments from the Mexican tax authorities on a timely basis. Beginning in fiscal 2014 and continuing into fiscal 2019,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w:t>
      </w:r>
    </w:p>
    <w:p>
      <w:pPr>
        <w:spacing w:after="0" w:line="189"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2017, tax authorities informed us that their internal opinion, based on the information provided by the local SAT office in Uruapan,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taxpayers right to a full refund for the IVA related to the months of July, August and September 2015. Therefore, CDM may need to file a substance-over-form annulment suit in the Federal Tax Court to recover its full refund for IVA over the subject period.</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In spite of the favorable ruling from the SAT’s central legal department in Mexico City, as discussed above, the local SAT office in Uruapan continues to believe that CDM is not properly documented relative to its declared tax structure. As a result, they believe CDM cannot claim certain refundable IVA balances, specifically in regards to our IVA refunds related to the months of January through June of 2013. CDM has strong arguments and supporting documentation to sustain its declared tax structure for IVA and income tax purposes. CDM started an administrative appeal for the IVA related to the request of the months of January, February of March of 2013 and for the period of April, May and June of 2013 our global tax law advisory firm with offices throughout Mexico is working in the administrative appeal through which CDM will challenge the determination made by the tax authorities, which must be filed no later than March 8, 2019.</w:t>
      </w:r>
    </w:p>
    <w:p>
      <w:pPr>
        <w:spacing w:after="0" w:line="185" w:lineRule="exact"/>
        <w:rPr>
          <w:sz w:val="20"/>
          <w:szCs w:val="20"/>
          <w:color w:val="auto"/>
        </w:rPr>
      </w:pPr>
    </w:p>
    <w:p>
      <w:pPr>
        <w:ind w:right="420"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0"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and enacted comprehensive tax legislation into law H.R. 1, commonly referred to as the Tax Cuts and Jobs Act (the “Tax Act”). Except for certain provisions, the Tax Act was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did not apply until our 2019 fiscal year. For fiscal 2018, the most significant impacts included: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w:t>
      </w:r>
    </w:p>
    <w:p>
      <w:pPr>
        <w:spacing w:after="0" w:line="18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SEC issued guidance under Staff Accounting Bulletin No. 118, Income Tax Accounting Implications of the Tax Cuts and Jobs Act (“SAB 118”) allowing taxpayers to record a reasonable estimate of the impact of the U.S. legislation when it does not have the necessary information available, prepared or analyzed (including computations) in reasonable detail to complete its accounting for the change in tax law. In accordance with SAB 118, the estimated income tax charge of $1.7 million represents the Company’s best estimate based on interpretation of the U.S. legislation. As a result, the actual impact on the net deferred tax liability may vary from the estimated amount due to uncertainties in the Company’s preliminary review. At January 31, 2019, the Company has completed its accounting for the tax effects of the 2017 Tax Cuts &amp; Jobs Act and no material adjustments have been made on the provisional amounts recorded at January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FreshRealm</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the NMUPA and related Agreements, as described in Note 4, we reconsidered whether FreshRealm is a variable interest entity (“VIE”).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 VIE. In evaluating whether we are the primary beneficiary of FreshRealm, we considered several factors,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January 31, 2019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after the provision for income taxes for all periods presented.</w:t>
      </w:r>
    </w:p>
    <w:p>
      <w:pPr>
        <w:spacing w:after="0" w:line="18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record the amount of our investment in FreshRealm, totaling $13.1 million at January 31, 2019, in “Investment in unconsolidated entities” on our Consolidated Condensed Balance Sheets and recognize losses in FreshRealm in “Income/(loss) in unconsolidated entities” on our Consolidated Condensed Statement of Income.</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For the three months ended January 31, 2019, FreshRealm incurred losses totaling $11.4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January 31, 2019 (after the change in tax status was effective) were recorded to reflect our proportionate share of FreshRealm losses. From December 16, 2018 to January 31, 2019, our ownership percentage was approximately 37% and accordingly, we recorded losses from December 16, 2018 through January 31, 2019 totaling $2.7 million. As a result of FreshRealm’s recent change in tax status (described above), future operating results for FreshRealm will be allocated to its owners based on ownership percentage.</w:t>
      </w:r>
    </w:p>
    <w:p>
      <w:pPr>
        <w:spacing w:after="0" w:line="19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2019, and October 31, 2018, we have note receivables from FreshRealm totaling $19.9 million and $9.0 million. See Note 4 for further information.</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Except for the performance guarantee noted above (for which we are unable to quantify our current exposure, if any), our exposure to the obligations of FreshRealm is generally limited to our interests in it. We believe our maximum exposure to loss in FreshRealm is the carrying value of our investment and our loans to it, which totaled $13.1 million and $19.9 million, as of January 31, 2019. Our maximum exposure to loss could increase in the future if FreshRealm receives additional financing (i.e. equity or debt) from Calavo or any other investor/lender. We are under no obligation to provide FreshRealm additional financing.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27" w:lineRule="exact"/>
        <w:rPr>
          <w:sz w:val="20"/>
          <w:szCs w:val="20"/>
          <w:color w:val="auto"/>
        </w:rPr>
      </w:pPr>
    </w:p>
    <w:p>
      <w:pPr>
        <w:ind w:right="80" w:firstLine="170"/>
        <w:spacing w:after="0" w:line="255" w:lineRule="auto"/>
        <w:rPr>
          <w:sz w:val="20"/>
          <w:szCs w:val="20"/>
          <w:color w:val="auto"/>
        </w:rPr>
      </w:pPr>
      <w:r>
        <w:rPr>
          <w:rFonts w:ascii="Times New Roman" w:cs="Times New Roman" w:eastAsia="Times New Roman" w:hAnsi="Times New Roman"/>
          <w:sz w:val="18"/>
          <w:szCs w:val="18"/>
          <w:color w:val="auto"/>
        </w:rPr>
        <w:t>As described in footnote 4, we own approximately 37% of FreshRealm as of January 31, 2019 and October 31, 2018. In accordance with Rule 10-01(b)(1) of Regulation S-X, which applies for interim reports on Form 10-Q, we must determine if our unconsolidated subsidiaries are considered, “significant subsidiaries”. In evaluating our investments, there are two tests utilized to determine if our subsidiaries are considered significant subsidiaries: the income test and the investment test. Rule 10-01(b)(1) of Regulation S-X requires summarized income statement information of an unconsolidated subsidiary in an interim report if either of the two tests exceed 20%. Pursuant to Rule 10-01(b)(1) of Regulation S-X, this requires summarized income statement information of FreshRealm in our first fiscal quarter 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10-Q. As disclosed in our October 31, 2018 10-K, we still plan to file FreshRealm’s financial statements by April 1, 2019 as an amendment to our Form 10-K.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The following table shows summarized financial information for FreshRealm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Statement:</w:t>
      </w:r>
    </w:p>
    <w:p>
      <w:pPr>
        <w:spacing w:after="0" w:line="31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8"/>
          <w:szCs w:val="18"/>
          <w:color w:val="auto"/>
        </w:rPr>
        <w:t>Effective at the beginning of our fiscal 2019, the Company adopted Accounting Standards Update (ASU) No. 2014-09, "Revenue from Contracts with Customers," and all the related amendments (Accounting Standards Codification (ASC) 606) 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84"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2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Principle vs. Agent Considerations</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the following practical expedients upon its adoption of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 The company elected to account for shipping and handling activities that occur before the customer has obtained control of a good as fulfillment activities rather than as a promised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•Measurement of transaction price - The Company has elected to exclude from the measurement of transaction price all taxes assessed by a governmental authority that are both imposed on, and concurrent with, a specific revenue-producing transaction and collected by the Company from a customer for sales taxes.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costs - The Company has elected to recognize the incremental costs of obtaining a contract as an expense when incurred if the amortization period is one year or less.</w:t>
      </w:r>
    </w:p>
    <w:p>
      <w:pPr>
        <w:spacing w:after="0" w:line="162" w:lineRule="exact"/>
        <w:rPr>
          <w:sz w:val="20"/>
          <w:szCs w:val="20"/>
          <w:color w:val="auto"/>
        </w:rPr>
      </w:pPr>
    </w:p>
    <w:p>
      <w:pPr>
        <w:ind w:right="1360" w:firstLine="259"/>
        <w:spacing w:after="0" w:line="282" w:lineRule="auto"/>
        <w:rPr>
          <w:sz w:val="20"/>
          <w:szCs w:val="20"/>
          <w:color w:val="auto"/>
        </w:rPr>
      </w:pPr>
      <w:r>
        <w:rPr>
          <w:rFonts w:ascii="Times New Roman" w:cs="Times New Roman" w:eastAsia="Times New Roman" w:hAnsi="Times New Roman"/>
          <w:sz w:val="18"/>
          <w:szCs w:val="18"/>
          <w:color w:val="auto"/>
        </w:rPr>
        <w:t>The adoption of ASC 606 did not have an impact on our consolidated results of operations for the three months ended January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Amendment to Credit Agreement</w:t>
      </w:r>
    </w:p>
    <w:p>
      <w:pPr>
        <w:spacing w:after="0" w:line="229" w:lineRule="exact"/>
        <w:rPr>
          <w:sz w:val="20"/>
          <w:szCs w:val="20"/>
          <w:color w:val="auto"/>
        </w:rPr>
      </w:pPr>
    </w:p>
    <w:p>
      <w:pPr>
        <w:jc w:val="both"/>
        <w:ind w:firstLine="248"/>
        <w:spacing w:after="0" w:line="258" w:lineRule="auto"/>
        <w:rPr>
          <w:sz w:val="20"/>
          <w:szCs w:val="20"/>
          <w:color w:val="auto"/>
        </w:rPr>
      </w:pPr>
      <w:r>
        <w:rPr>
          <w:rFonts w:ascii="Times New Roman" w:cs="Times New Roman" w:eastAsia="Times New Roman" w:hAnsi="Times New Roman"/>
          <w:sz w:val="18"/>
          <w:szCs w:val="18"/>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Sale of Temecula, California Packinghouse</w:t>
      </w:r>
    </w:p>
    <w:p>
      <w:pPr>
        <w:spacing w:after="0" w:line="229"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In January 2019, we entered into an agreement to sell our Temecula, California packinghouse for $7.1 million in cash and, concurrently, leaseback a portion of the facility representing approximately one-third of the total square footage. The contract is subject to terms that are usual and customary for real estate sales of this nature and is expected to close during our second fiscal quarter of 2019.</w:t>
      </w:r>
    </w:p>
    <w:p>
      <w:pPr>
        <w:spacing w:after="0" w:line="180" w:lineRule="exact"/>
        <w:rPr>
          <w:sz w:val="20"/>
          <w:szCs w:val="20"/>
          <w:color w:val="auto"/>
        </w:rPr>
      </w:pPr>
    </w:p>
    <w:p>
      <w:pPr>
        <w:ind w:right="180" w:firstLine="180"/>
        <w:spacing w:after="0" w:line="282" w:lineRule="auto"/>
        <w:rPr>
          <w:sz w:val="20"/>
          <w:szCs w:val="20"/>
          <w:color w:val="auto"/>
        </w:rPr>
      </w:pPr>
      <w:r>
        <w:rPr>
          <w:rFonts w:ascii="Times New Roman" w:cs="Times New Roman" w:eastAsia="Times New Roman" w:hAnsi="Times New Roman"/>
          <w:sz w:val="18"/>
          <w:szCs w:val="18"/>
          <w:color w:val="auto"/>
        </w:rPr>
        <w:t>Included in our Property, Plant and Equipment is our Temecula, California packinghouse that is currently being held-for-sale. The Net Book Value of this held-for-sale property is approximately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00" w:right="12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2018 of Calavo Growers, Inc. (we, Calavo, 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On December 7, 2018, we paid a $1.00 per share dividend in the aggregate amount of $17.6 million to shareholders of record on November 16,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firstLine="177"/>
        <w:spacing w:after="0" w:line="252"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95" w:lineRule="exact"/>
        <w:rPr>
          <w:sz w:val="20"/>
          <w:szCs w:val="20"/>
          <w:color w:val="auto"/>
        </w:rPr>
      </w:pPr>
    </w:p>
    <w:p>
      <w:pPr>
        <w:ind w:right="140" w:firstLine="170"/>
        <w:spacing w:after="0" w:line="269" w:lineRule="auto"/>
        <w:rPr>
          <w:sz w:val="20"/>
          <w:szCs w:val="20"/>
          <w:color w:val="auto"/>
        </w:rPr>
      </w:pPr>
      <w:r>
        <w:rPr>
          <w:rFonts w:ascii="Times New Roman" w:cs="Times New Roman" w:eastAsia="Times New Roman" w:hAnsi="Times New Roman"/>
          <w:sz w:val="17"/>
          <w:szCs w:val="17"/>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this meeting and discussion period, the statutory period that SAT had in order to issue the tax assessment was suspended. During our first fiscal quarter of 2018, we had an initial meeting with officials from the SAT and the PRODECON, which led to a further exchange of supporting information and documentation. Although several meetings and discussions with the PRODECON and the SAT were conducted during our fiscal third quarter, we were unable to materially resolve our case with the SAT through the PRODECON process.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170"/>
        <w:spacing w:after="0" w:line="261" w:lineRule="auto"/>
        <w:rPr>
          <w:sz w:val="20"/>
          <w:szCs w:val="20"/>
          <w:color w:val="auto"/>
        </w:rPr>
      </w:pPr>
      <w:r>
        <w:rPr>
          <w:rFonts w:ascii="Times New Roman" w:cs="Times New Roman" w:eastAsia="Times New Roman" w:hAnsi="Times New Roman"/>
          <w:sz w:val="18"/>
          <w:szCs w:val="18"/>
          <w:color w:val="auto"/>
        </w:rPr>
        <w:t>As a result, on July 12,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 as well.</w:t>
      </w:r>
    </w:p>
    <w:p>
      <w:pPr>
        <w:spacing w:after="0" w:line="180" w:lineRule="exact"/>
        <w:rPr>
          <w:sz w:val="20"/>
          <w:szCs w:val="20"/>
          <w:color w:val="auto"/>
        </w:rPr>
      </w:pPr>
    </w:p>
    <w:p>
      <w:pPr>
        <w:ind w:right="20" w:firstLine="177"/>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this tax assessment is without merit. In August 2018, we filed an administrative appeal on the 2013 Assessment. The filing of an administrative appeal in Mexico is a process in which the taxpayer appeals to a different office within the Mexican tax authorities forcing the legal office within the SAT to rule on the matter. This process preserves the taxpayer’s right to litigate in tax court if the administrative appeal process ends without a favorable or just resolution. Here, CDM has appealed our case to the SAT’s central legal department in Mexico City. Furthermore, in August 2018, we received a favorable ruling from the SAT’s central legal department in Mexico City on another tax matter (see footnote 11 regarding VAT refunds) indicating that they believe our legal interpretation is accurate on a matter that is also central to the 2013 Assessment. We believe this recent ruling significantly undermines the 2013 Assessment we received in July 2018.</w:t>
      </w:r>
    </w:p>
    <w:p>
      <w:pPr>
        <w:spacing w:after="0" w:line="186" w:lineRule="exact"/>
        <w:rPr>
          <w:sz w:val="20"/>
          <w:szCs w:val="20"/>
          <w:color w:val="auto"/>
        </w:rPr>
      </w:pPr>
    </w:p>
    <w:p>
      <w:pPr>
        <w:ind w:right="940" w:firstLine="222"/>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and realized net loss on Limoneira Stock</w:t>
      </w:r>
    </w:p>
    <w:p>
      <w:pPr>
        <w:spacing w:after="0" w:line="227"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We adopted this new standard at the beginning of fiscal 2019. With the adoption of this new standard, we reclassed $12.1 million in accumulated other comprehensive income to retained earnings as of November 1, 2018. Additionally, for the three months ended January 31, 2019, we sold 51,271 shares of Limoneira stock and recorded a loss of $0.1 million in our consolidated statements of income. Limoneira’s stock price at January 31, 2019 and October 31, 2018 equaled $22.03 per share and $24.65 per share. Our remaining shares of Limoneira stock, totaling 1,677,299 at January 31, 2019, were revalued at $22.03 per share and we recorded a loss of $4.4 million in our consolidated statements of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Credit Agreement</w:t>
      </w:r>
    </w:p>
    <w:p>
      <w:pPr>
        <w:spacing w:after="0" w:line="227" w:lineRule="exact"/>
        <w:rPr>
          <w:sz w:val="20"/>
          <w:szCs w:val="20"/>
          <w:color w:val="auto"/>
        </w:rPr>
      </w:pPr>
    </w:p>
    <w:p>
      <w:pPr>
        <w:ind w:firstLine="135"/>
        <w:spacing w:after="0" w:line="258" w:lineRule="auto"/>
        <w:rPr>
          <w:sz w:val="20"/>
          <w:szCs w:val="20"/>
          <w:color w:val="auto"/>
        </w:rPr>
      </w:pPr>
      <w:r>
        <w:rPr>
          <w:rFonts w:ascii="Times New Roman" w:cs="Times New Roman" w:eastAsia="Times New Roman" w:hAnsi="Times New Roman"/>
          <w:sz w:val="18"/>
          <w:szCs w:val="18"/>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Temecula, California Packinghouse</w:t>
      </w:r>
    </w:p>
    <w:p>
      <w:pPr>
        <w:spacing w:after="0" w:line="227"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In January 2019, we entered into an agreement to sell our Temecula, California packinghouse for $7.1 million in cash and, concurrently, leaseback a portion of the facility representing approximately one-third of the total square footage. The contract is subject to terms that are usual and customary for real estate sales of this nature and is expected to close during our second fiscal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months ended January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1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$ 116,854</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$ 122,785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$ 258,032</w:t>
            </w:r>
          </w:p>
        </w:tc>
        <w:tc>
          <w:tcPr>
            <w:tcW w:w="100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$ 247,928</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18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45.3 %</w:t>
            </w: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49.5 %</w:t>
            </w: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18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8.6 %</w:t>
            </w:r>
          </w:p>
        </w:tc>
        <w:tc>
          <w:tcPr>
            <w:tcW w:w="13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18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46.1 %</w:t>
            </w: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42.8 %</w:t>
            </w:r>
          </w:p>
        </w:tc>
      </w:tr>
      <w:tr>
        <w:trPr>
          <w:trHeight w:val="217"/>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tcBorders>
              <w:top w:val="single" w:sz="8" w:color="CCEEFF"/>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January 31, 2019, compared to the corresponding period in fiscal 2018, increased by $10.1 million, or approximately 4%. The increase in sales, when compared to the same corresponding prior year periods, was primarily related to gains in Calavo Foods and RFG, partially offset by a decline in the Fresh products segment.</w:t>
      </w:r>
    </w:p>
    <w:p>
      <w:pPr>
        <w:spacing w:after="0" w:line="176"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For the quarter ended January 31, 2019, Calavo Foods had our largest percentage increases in sales, followed by our RFG segment. Our Fresh product segment decreased, as shown above. The increase in Calavo Foods sales was due primarily to increased sales of our prepared avocado products. The increase in RFG sales was due primarily to increased sales from fresh-cut fruit &amp; vegetables and prepared foods products. The decrease in Fresh products sales was due primarily to a decrease in the sales price of avocados. See discussion below for further details.</w:t>
      </w:r>
    </w:p>
    <w:p>
      <w:pPr>
        <w:spacing w:after="0" w:line="184"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First Quarter 2019 vs. First Quarter 2018</w:t>
      </w:r>
    </w:p>
    <w:p>
      <w:pPr>
        <w:spacing w:after="0" w:line="225"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Net sales delivered by the Fresh products business decreased by approximately $5.9 million, or 5%, for the first quarter of fiscal 2019, when compared to the same period for fiscal 2018. This decrease in Fresh product sales during the first quarter of fiscal 2019 was primarily related to decreased sales of avocados, as higher sales volumes were more than offset by lower sales prices.</w:t>
      </w:r>
    </w:p>
    <w:p>
      <w:pPr>
        <w:spacing w:after="0" w:line="180"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Sales of avocados decreased $5.4 million, or 5%, for the first quarter of 2019, when compared to the same prior year period. This decrease in avocado sales was primarily due to a 11% decrease in the average sales price per carton. We attribute much of this change in price to a higher overall supply of avocados in the market during the first quarter of fiscal 2019. The decrease in sales price was partially offset by a 5.7 million pound, or 7%, increase in the volume of avocados sold during the quarter.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First Quarter 2019 vs. First Quarter 2018</w:t>
      </w:r>
    </w:p>
    <w:p>
      <w:pPr>
        <w:spacing w:after="0" w:line="225"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Sales for Calavo Foods for the quarter ended January 31, 2019, when compared to the same period for fiscal 2018, increased $3.1 million, or 16%. Sales of prepared avocado products increased by approximately $3.1 million, or 17%, for the quarter ended January 31, 2019, when compared to the same prior year period. This increase was the result of both an increase in the total volume of pounds sold and an increase in the average sales price per pound.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First Quarter 2019 vs. First Quarter 2018</w:t>
      </w:r>
    </w:p>
    <w:p>
      <w:pPr>
        <w:spacing w:after="0" w:line="225"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Sales for RFG for the quarter ended January 31, 2019, when compared to the same period for fiscal 2018, increased $13.0 million, or 12%. The overall increase in sales is primarily due to higher sales volume from expanded retail partnerships in multiple geographies, most notably in a few regions in which the Company has added production capacity. This increase was partially offset by impacts related to the FDA’s romaine lettuce advisory in November, as well as raw material challenges that constrained output for certain key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months ended January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5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$ 20,790</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45.8 %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$ 14,257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$ 30,837</w:t>
            </w:r>
          </w:p>
        </w:tc>
        <w:tc>
          <w:tcPr>
            <w:tcW w:w="100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$ 26,310</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3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3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17.8 %</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11.6 %</w:t>
            </w: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3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29.1 %</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31.4 %</w:t>
            </w: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3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3.0 %</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3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12.0 %</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$4.5 million, or 17%, for the first quarter of fiscal 2019, when compared to the same period for fiscal 2018. The increase was primarily attributable to gross profit increases in our Fresh products and Calavo Foods segments, partially offset by a decrease in the RFG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During our three months ended January 31, 2019, as compared to the same prior year period, the increase in our Fresh products segment gross profit percentage was the result of increased profit for avocados. For the first quarter ended January 31, 2019, compared to the same prior year period, the gross profit percentage for avocados increased to 18.6% in 2019 from 11.7% in 2018. The increase was primarily related to our strength in fresh avocado sourcing, production and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sales management during the unusual market supply conditions experienced in the first quarter of fiscal 2019. In addition, the U.S. Dollar to Mexican Peso exchange rate was stronger in the first quarter 2019, when compared to the same prior year period. Note that any significant fluctuations in the exchange rate between the U.S. Dollar and the Mexican Peso may have a material impact on future gross profits for our Fresh products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The increase in Calavo Foods gross profit is due to increased sales volumes compared to prior year. Calavo Foods gross profit percentage decreased to 29.7% from 32.4% of net sales, during our three months ended January 31, 2019 compared to the same prior year periods. The decrease in Calavo Foods gross profit percentage was due primarily to higher production costs, mainly related to the increased use of third party copackers which management believes is necessary in order to continue to grow sales volumes. Note that any significant fluctuation in the cost of fruit used in the production process or the exchange rate between the U.S. Dollar and the Mexican Peso may have a material impact on future gross profit for our Calavo Foods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RFG’s gross profit percentage for the quarter ended January 31, 2019 was 3.0%, compared to 5.7% in the same prior year period. The gross profit decline in the three months ended January 31, 2019, was due primarily to raw material issues caused by inclement weather in key growing regions for several important commodities during the quarter. This resulted in higher input prices, as well as poor quality and yields, which required additional processing labor. Lower sales of certain items related to these raw material challenges, as well as the FDA’s romaine lettuce advisory, also impacted total gross profit in the quarter. Further, RFG had approximately $0.3 million in pre-opening cost related to the new Pacific Northwest production facility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7620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6320"/>
        <w:spacing w:after="0"/>
        <w:tabs>
          <w:tab w:leader="none" w:pos="7080" w:val="left"/>
          <w:tab w:leader="none" w:pos="80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600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ind w:left="6800"/>
        <w:spacing w:after="0" w:line="233"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$ 14,276</w:t>
            </w:r>
          </w:p>
        </w:tc>
        <w:tc>
          <w:tcPr>
            <w:tcW w:w="20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(8.0)%  $ 15,517</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5.5 %</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6.3 %</w:t>
            </w:r>
          </w:p>
        </w:tc>
      </w:tr>
    </w:tbl>
    <w:p>
      <w:pPr>
        <w:spacing w:after="0" w:line="17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of $14.3 million for the three months ended January 31, 2019 include costs of marketing and advertising, sales expenses (including broker commissions) and other general and administrative</w:t>
      </w:r>
    </w:p>
    <w:p>
      <w:pPr>
        <w:ind w:right="140"/>
        <w:spacing w:after="0" w:line="254" w:lineRule="auto"/>
        <w:rPr>
          <w:sz w:val="20"/>
          <w:szCs w:val="20"/>
          <w:color w:val="auto"/>
        </w:rPr>
      </w:pPr>
      <w:r>
        <w:rPr>
          <w:rFonts w:ascii="Times New Roman" w:cs="Times New Roman" w:eastAsia="Times New Roman" w:hAnsi="Times New Roman"/>
          <w:sz w:val="18"/>
          <w:szCs w:val="18"/>
          <w:color w:val="auto"/>
        </w:rPr>
        <w:t>costs. Selling, general and administrative expenses decreased $1.2 million, or 8.0%, for the three months ended January 31, 2019, when compared to the same period for fiscal 2018. This decrease was primarily related to $0.9 million of senior management transition expenses recognized in the first quarter of fiscal 2018 related to the stock grant issued to two officers who retired, and $0.3 million of lower broker commissions.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7620</wp:posOffset>
            </wp:positionV>
            <wp:extent cx="1603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6200"/>
        <w:spacing w:after="0"/>
        <w:tabs>
          <w:tab w:leader="none" w:pos="7060" w:val="left"/>
          <w:tab w:leader="none" w:pos="80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600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ind w:left="6740"/>
        <w:spacing w:after="0" w:line="233"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2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(6,298)</w:t>
            </w:r>
          </w:p>
        </w:tc>
        <w:tc>
          <w:tcPr>
            <w:tcW w:w="21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(1,144.4)%  $  603</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0.2 %</w:t>
            </w:r>
          </w:p>
        </w:tc>
      </w:tr>
    </w:tbl>
    <w:p>
      <w:pPr>
        <w:spacing w:after="0" w:line="17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Income (loss) from unconsolidated entities includes our allocation of earnings or losses from our investments in FreshRealm and Don Memo. For the three months ended January 31, 2019 and 2018, we recognized $0.6 million of income related to Don Memo. For the three months ended January 31, 2019, we recognized $6.9 million of losses related to FreshRealm. While we are unable to determine with certainty the future operating results of FreshRealm and future non-Calavo investments, if any, we anticipate recording additional non-cash losses from FreshRealm during the remainder of fiscal 2019. As a result of FreshRealm’s recent change in tax status (described earlier), we expect that future operating results for FreshRealm will be allocated to its owners based on ownership percentage, (as of January 31,</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2019 our ownership was approximately 37%). As of January 31, 2019, our total investment balance of approximately $13.1 million, plus $19.9 million related to the Notes receivables. See Note 13 in our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7620</wp:posOffset>
            </wp:positionV>
            <wp:extent cx="1431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6440"/>
        <w:spacing w:after="0"/>
        <w:tabs>
          <w:tab w:leader="none" w:pos="7160" w:val="left"/>
          <w:tab w:leader="none" w:pos="80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u w:val="single" w:color="auto"/>
          <w:color w:val="auto"/>
        </w:rPr>
        <w:t>Change</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419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$ 1,533</w:t>
            </w:r>
          </w:p>
        </w:tc>
        <w:tc>
          <w:tcPr>
            <w:tcW w:w="19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(64.4)%  $ 4,302</w:t>
            </w: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3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25.5 %</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38.1 %</w:t>
            </w:r>
          </w:p>
        </w:tc>
      </w:tr>
    </w:tbl>
    <w:p>
      <w:pPr>
        <w:spacing w:after="0" w:line="179"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 xml:space="preserve">Our tax provision is determined using an estimated annual effective tax rate and adjusted for discrete taxable events that may occur during the quarter. In the first quarter ended in fiscal 2019 and 2018, we recorded an income tax benefit of approximately $0.1 million and $0.4 million, pursuant to ASU 2016-09, </w:t>
      </w:r>
      <w:r>
        <w:rPr>
          <w:rFonts w:ascii="Times New Roman" w:cs="Times New Roman" w:eastAsia="Times New Roman" w:hAnsi="Times New Roman"/>
          <w:sz w:val="18"/>
          <w:szCs w:val="18"/>
          <w:i w:val="1"/>
          <w:iCs w:val="1"/>
          <w:color w:val="auto"/>
        </w:rPr>
        <w:t>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In addition, in the first quarter of fiscal 2018, we recorded $1.7 million in one-time, non-cash charges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revaluation of our net deferred tax assets (approx. $1.4 million) and the transition tax on the deemed repatriation of foreign earnings (approx. $0.3 million). We recognize the effects of tax legislation in the period in which the law is enacted. Our deferred tax assets and liabilities are remeasured using enacted tax rates expected to apply to taxable income in the years we estimate the related temporary differences to reverse based on the Tax Act and a change accelerating certain tax deductions on our 2017 federal tax return.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$10.4 million for the three months ended January 31, 2019, compared to cash provided by operating activities of $7.9 million for the similar period in fiscal 2018. Cash provided by operating activities for the three months ended January 31, 2019 reflect primarily our net income of $4.5 million, non-cash activities (depreciation and amortization, stock-based compensation expense, deferred taxes, (loss)/income from unconsolidated entities and net losses on Limoneira shares) of $15.2 million and a net decrease in the components of our operating capital of approximately $9.3 million.</w:t>
      </w:r>
    </w:p>
    <w:p>
      <w:pPr>
        <w:spacing w:after="0" w:line="188"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working capital decrease results from an increase in accounts receivable of $7.2 million, a decrease in payable to growers of $3.8 million, an increase in inventory of $3.4 million, an increase in other assets of $2.7 million, and an increase in prepaid expenses and other current assets of $0.4 million, partially offset by a net increase in accounts payable and accrued expenses of $5.6 million, a decrease in advances to suppliers of $1.2 million, a decrease in income taxes receivable of $1.2 million and a decrease of $0.2 million in deferred rent.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increase in our accounts receivable, as of January 31, 2019 when compared to October 31, 2018, primarily reflects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sales recorded in the month of January 2019, as compared to October 2018. The decrease in payable to growers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reflects a decrease in our Mexican avocado grower liability. The increase in inventory is primarily related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prepared guacamole products for our Foods segment, higher volumes of avocados on hand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prices) and higher RFG inventories at January 31, 2019 when compared to October 31, 2018. The increase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is due to an increase in Mexican IVA tax receivable (see Note 11 to our consolidated condensed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The increase in prepaids and other current assets is due primarily to increased Mexican IVA tax receivable.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accounts payable and accrued expenses is primarily related to an increase in our payables related to RFG.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advances to suppliers primarily reflects more pre-season advances outstanding to our tomato growers in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compared to October 2018. The decrease in income taxes receivable is primarily related to the taxes on current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w:t>
      </w:r>
    </w:p>
    <w:p>
      <w:pPr>
        <w:spacing w:after="0" w:line="207"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$13.1 million for the three months ended January 31, 2019, which primarily related to loans to FreshRealm of $10.5 million, property, plant and equipment purchases of $3.9 million, partially offset by proceeds received on the sales of Limoneira stock of $1.2 million and proceeds received from the repayment of the San Rafael note of $0.1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$5.4 million for the three months ended January 31, 2019, which related principally to the proceeds received on our credit facilities totaling $24.0 million, partially offset by the payment of our $17.6 million dividend and the payment of minimum withholding taxes on net share settlement of equity awards of $1.0 million.</w:t>
      </w:r>
    </w:p>
    <w:p>
      <w:pPr>
        <w:spacing w:after="0" w:line="95"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balances, cash generated from operations and amounts available for borrowing under our existing Credit Facility. Cash and cash equivalents as of January 31, 2019 and October 31, 2018 totaled $4.2 million and $1.5 million. Our working capital at January 31, 2019 was $24.9 million, compared to $29.6 million at October 31, 2018.</w:t>
      </w:r>
    </w:p>
    <w:p>
      <w:pPr>
        <w:spacing w:after="0" w:line="99"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3.7% and 3.4% at January 31, 2019 and October 31, 2018. Under these credit facilities, we had $39.0 million and $15.0 million outstanding as January 31, 2019 and October 31, 2018.</w:t>
      </w:r>
    </w:p>
    <w:p>
      <w:pPr>
        <w:spacing w:after="0" w:line="193" w:lineRule="exact"/>
        <w:rPr>
          <w:sz w:val="20"/>
          <w:szCs w:val="20"/>
          <w:color w:val="auto"/>
        </w:rPr>
      </w:pPr>
    </w:p>
    <w:p>
      <w:pPr>
        <w:jc w:val="both"/>
        <w:ind w:firstLine="275"/>
        <w:spacing w:after="0" w:line="261" w:lineRule="auto"/>
        <w:rPr>
          <w:sz w:val="20"/>
          <w:szCs w:val="20"/>
          <w:color w:val="auto"/>
        </w:rPr>
      </w:pPr>
      <w:r>
        <w:rPr>
          <w:rFonts w:ascii="Times New Roman" w:cs="Times New Roman" w:eastAsia="Times New Roman" w:hAnsi="Times New Roman"/>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commitments, from those previously disclosed in our Annual Report on Form 10-K for our fiscal year ended October 31, 2018. For a summary of the contractual commitments at October 31, 2018, see Part II, Item 7, in our 2017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color w:val="auto"/>
              </w:rPr>
              <w:t>Expected maturity date January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73,323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10,247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 borrowings pursuant to credit facilities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 long-term obligations (2)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2" w:lineRule="exact"/>
        <w:rPr>
          <w:sz w:val="20"/>
          <w:szCs w:val="20"/>
          <w:color w:val="auto"/>
        </w:rPr>
      </w:pPr>
    </w:p>
    <w:p>
      <w:pPr>
        <w:ind w:left="320" w:right="200" w:hanging="317"/>
        <w:spacing w:after="0" w:line="233" w:lineRule="auto"/>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60" w:hanging="317"/>
        <w:spacing w:after="0" w:line="239" w:lineRule="auto"/>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Fixed-rate long-term obligations bear interest rates ranging from 4.0% to 4.3% with a weighted-average interest rate of 4.2%. We project the impact of an increase or decrease in interest rates of 100 basis points would result in a change of fair value of approximately $7,000.</w:t>
      </w:r>
    </w:p>
    <w:p>
      <w:pPr>
        <w:spacing w:after="0" w:line="100"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95" w:lineRule="exact"/>
        <w:rPr>
          <w:sz w:val="20"/>
          <w:szCs w:val="20"/>
          <w:color w:val="auto"/>
        </w:rPr>
      </w:pPr>
    </w:p>
    <w:p>
      <w:pPr>
        <w:jc w:val="both"/>
        <w:ind w:right="40" w:firstLine="259"/>
        <w:spacing w:after="0" w:line="256"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transaction gains for the three months ended January 31, 2019, net of losses, was $0.2 million. Total foreign currency transaction losses for the three months ended January 31, 2018, net of losses, was $0.2 million.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January 31, 2019 that have materially affected, or are reasonably likely to materially affect, the Company’s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litigation arising in the ordinary course of our business that we do not believe will have a material adverse impact on our financial statements.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1, item 1A “Risk Factors” of our Annual Report on Form 10-K for the year ended October 31, 2018. There have been no material changes from the risk factors set forth in such Annual Report on Form 10-K. However, the risks and uncertainties that we face are not limited to those set forth in the 2018 Form 10-K. Additional risks and uncertainties not presently known to us or that we currently believe to be immaterial may also adversely affect our business and the trading price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Amended and Restated Promissory Note.</w:t>
      </w:r>
    </w:p>
    <w:p>
      <w:pPr>
        <w:spacing w:after="0" w:line="117"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Fourth Amendment to Senior Promissory Note and Note and Membership Unit Purchase Agreement.</w:t>
      </w:r>
    </w:p>
    <w:p>
      <w:pPr>
        <w:spacing w:after="0" w:line="117"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FreshRealm Promissory Note.</w:t>
      </w:r>
    </w:p>
    <w:p>
      <w:pPr>
        <w:spacing w:after="0" w:line="117"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Second Amendment to Credit Agreement.</w:t>
      </w:r>
    </w:p>
    <w:p>
      <w:pPr>
        <w:spacing w:after="0" w:line="117"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FreshRealm Seventh and Restated LLC Agreement.</w:t>
      </w:r>
    </w:p>
    <w:p>
      <w:pPr>
        <w:spacing w:after="0" w:line="77" w:lineRule="exact"/>
        <w:rPr>
          <w:sz w:val="20"/>
          <w:szCs w:val="20"/>
          <w:color w:val="auto"/>
        </w:rPr>
      </w:pPr>
    </w:p>
    <w:p>
      <w:pPr>
        <w:ind w:left="1360" w:hanging="674"/>
        <w:spacing w:after="0" w:line="229" w:lineRule="auto"/>
        <w:tabs>
          <w:tab w:leader="none" w:pos="13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15 U.S.C. § 7241, as Adopted Pursuant to Section 302 of the Sarbanes-Oxley Act of 2002.</w:t>
      </w:r>
    </w:p>
    <w:p>
      <w:pPr>
        <w:spacing w:after="0" w:line="66"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Principal Financial Officer Pursuant to 15 U.S.C. § 7241, as Adopted Pursuant to Section</w:t>
      </w:r>
    </w:p>
    <w:p>
      <w:pPr>
        <w:ind w:left="1360"/>
        <w:spacing w:after="0"/>
        <w:rPr>
          <w:sz w:val="20"/>
          <w:szCs w:val="20"/>
          <w:color w:val="auto"/>
        </w:rPr>
      </w:pPr>
      <w:r>
        <w:rPr>
          <w:rFonts w:ascii="Times New Roman" w:cs="Times New Roman" w:eastAsia="Times New Roman" w:hAnsi="Times New Roman"/>
          <w:sz w:val="18"/>
          <w:szCs w:val="18"/>
          <w:color w:val="auto"/>
        </w:rPr>
        <w:t>302 of the Sarbanes-Oxley Act of 2002.</w:t>
      </w:r>
    </w:p>
    <w:p>
      <w:pPr>
        <w:spacing w:after="0" w:line="97" w:lineRule="exact"/>
        <w:rPr>
          <w:sz w:val="20"/>
          <w:szCs w:val="20"/>
          <w:color w:val="auto"/>
        </w:rPr>
      </w:pPr>
    </w:p>
    <w:p>
      <w:pPr>
        <w:ind w:left="1360" w:right="300" w:hanging="674"/>
        <w:spacing w:after="0" w:line="229" w:lineRule="auto"/>
        <w:tabs>
          <w:tab w:leader="none" w:pos="13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by Chief Executive Officer and Chief Financial Officer of Periodic Report Pursuant to 18 U.S.C. Section 1350.</w:t>
      </w:r>
    </w:p>
    <w:p>
      <w:pPr>
        <w:spacing w:after="0" w:line="91" w:lineRule="exact"/>
        <w:rPr>
          <w:sz w:val="20"/>
          <w:szCs w:val="20"/>
          <w:color w:val="auto"/>
        </w:rPr>
      </w:pPr>
    </w:p>
    <w:p>
      <w:pPr>
        <w:ind w:left="1360" w:hanging="682"/>
        <w:spacing w:after="0" w:line="192"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January 31, 2019, formatted in XBRL (eXtensible Business Reporting Language): (1) Consolidated Condensed Balance Sheets as of January 31, 2019 and October 31, 2018; (2) Consolidated Condensed Statements of Income for the three months ended January 31, 2019 and 2018; (3) Consolidated Condensed Statements of Comprehensive Income for the three months ended January 31, 2019 and 2018;</w:t>
      </w:r>
    </w:p>
    <w:p>
      <w:pPr>
        <w:spacing w:after="0" w:line="2" w:lineRule="exact"/>
        <w:rPr>
          <w:rFonts w:ascii="Times New Roman" w:cs="Times New Roman" w:eastAsia="Times New Roman" w:hAnsi="Times New Roman"/>
          <w:sz w:val="18"/>
          <w:szCs w:val="18"/>
          <w:color w:val="auto"/>
        </w:rPr>
      </w:pPr>
    </w:p>
    <w:p>
      <w:pPr>
        <w:ind w:left="1360" w:right="16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Consolidated Condensed Statements of Cash Flows for the three months ended January 31, 2019 and 2018; and (5)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INDEX TO EXHIBITS</w:t>
            </w:r>
          </w:p>
        </w:tc>
        <w:tc>
          <w:tcPr>
            <w:tcW w:w="0" w:type="dxa"/>
            <w:vAlign w:val="bottom"/>
          </w:tcPr>
          <w:p>
            <w:pPr>
              <w:spacing w:after="0"/>
              <w:rPr>
                <w:sz w:val="1"/>
                <w:szCs w:val="1"/>
                <w:color w:val="auto"/>
              </w:rPr>
            </w:pPr>
          </w:p>
        </w:tc>
      </w:tr>
      <w:tr>
        <w:trPr>
          <w:trHeight w:val="27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40" w:type="dxa"/>
            <w:vAlign w:val="bottom"/>
            <w:gridSpan w:val="6"/>
            <w:vMerge w:val="restart"/>
          </w:tcPr>
          <w:p>
            <w:pPr>
              <w:ind w:left="48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Number</w:t>
            </w: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2"/>
                <w:szCs w:val="12"/>
                <w:color w:val="auto"/>
              </w:rPr>
            </w:pPr>
          </w:p>
        </w:tc>
        <w:tc>
          <w:tcPr>
            <w:tcW w:w="2980" w:type="dxa"/>
            <w:vAlign w:val="bottom"/>
            <w:tcBorders>
              <w:top w:val="single" w:sz="8" w:color="auto"/>
              <w:bottom w:val="single" w:sz="8" w:color="0000EE"/>
            </w:tcBorders>
            <w:gridSpan w:val="5"/>
          </w:tcPr>
          <w:p>
            <w:pPr>
              <w:spacing w:after="0" w:line="142" w:lineRule="exact"/>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Amended and Restated Promissory Note.</w:t>
              </w:r>
            </w:hyperlink>
          </w:p>
        </w:tc>
        <w:tc>
          <w:tcPr>
            <w:tcW w:w="4900" w:type="dxa"/>
            <w:vAlign w:val="bottom"/>
            <w:tcBorders>
              <w:top w:val="single" w:sz="8" w:color="auto"/>
            </w:tcBorders>
            <w:gridSpan w:val="7"/>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Fourth Amendment to Senior Promissory Note and Note and Membership Unit Purchase Agreement.</w:t>
              </w:r>
            </w:hyperlink>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FreshRealm Promissory Note.</w:t>
              </w:r>
            </w:hyperlink>
          </w:p>
        </w:tc>
        <w:tc>
          <w:tcPr>
            <w:tcW w:w="5100" w:type="dxa"/>
            <w:vAlign w:val="bottom"/>
            <w:tcBorders>
              <w:top w:val="single" w:sz="8" w:color="0000EE"/>
            </w:tcBorders>
            <w:gridSpan w:val="6"/>
          </w:tcPr>
          <w:p>
            <w:pPr>
              <w:spacing w:after="0"/>
              <w:rPr>
                <w:sz w:val="24"/>
                <w:szCs w:val="24"/>
                <w:color w:val="auto"/>
              </w:rPr>
            </w:pPr>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30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Second Amendment to Credit Agreement.</w:t>
              </w:r>
            </w:hyperlink>
          </w:p>
        </w:tc>
        <w:tc>
          <w:tcPr>
            <w:tcW w:w="48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3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FreshRealm Seventh and Restated LLC Agreement.</w:t>
              </w:r>
            </w:hyperlink>
          </w:p>
        </w:tc>
        <w:tc>
          <w:tcPr>
            <w:tcW w:w="4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Certification of Chief Executive Officer Pursuant to 15 U.S.C. § 7241, as Adopted Pursuant to Section 302</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3"/>
          </w:tcPr>
          <w:p>
            <w:pPr>
              <w:spacing w:after="0" w:line="142" w:lineRule="exact"/>
              <w:rPr>
                <w:rFonts w:ascii="Times New Roman" w:cs="Times New Roman" w:eastAsia="Times New Roman" w:hAnsi="Times New Roman"/>
                <w:sz w:val="16"/>
                <w:szCs w:val="16"/>
                <w:color w:val="0000EE"/>
              </w:rPr>
            </w:pPr>
            <w:hyperlink w:anchor="page104">
              <w:r>
                <w:rPr>
                  <w:rFonts w:ascii="Times New Roman" w:cs="Times New Roman" w:eastAsia="Times New Roman" w:hAnsi="Times New Roman"/>
                  <w:sz w:val="16"/>
                  <w:szCs w:val="16"/>
                  <w:color w:val="0000EE"/>
                </w:rPr>
                <w:t>of the Sarbanes-Oxley Act of 2002.</w:t>
              </w:r>
            </w:hyperlink>
          </w:p>
        </w:tc>
        <w:tc>
          <w:tcPr>
            <w:tcW w:w="5140" w:type="dxa"/>
            <w:vAlign w:val="bottom"/>
            <w:tcBorders>
              <w:top w:val="single" w:sz="8" w:color="0000EE"/>
            </w:tcBorders>
            <w:gridSpan w:val="8"/>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Certification of Principal Financial Officer Pursuant to 15 U.S.C. § 7241, as Adopted Pursuant to Section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6"/>
                <w:szCs w:val="16"/>
                <w:color w:val="0000EE"/>
              </w:rPr>
            </w:pPr>
            <w:hyperlink w:anchor="page105">
              <w:r>
                <w:rPr>
                  <w:rFonts w:ascii="Times New Roman" w:cs="Times New Roman" w:eastAsia="Times New Roman" w:hAnsi="Times New Roman"/>
                  <w:sz w:val="16"/>
                  <w:szCs w:val="16"/>
                  <w:color w:val="0000EE"/>
                </w:rPr>
                <w:t>302 of the Sarbanes-Oxley Act of 2002.</w:t>
              </w:r>
            </w:hyperlink>
          </w:p>
        </w:tc>
        <w:tc>
          <w:tcPr>
            <w:tcW w:w="4700" w:type="dxa"/>
            <w:vAlign w:val="bottom"/>
            <w:tcBorders>
              <w:top w:val="single" w:sz="8" w:color="0000EE"/>
            </w:tcBorders>
            <w:gridSpan w:val="6"/>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Certification by Chief Executive Officer and Chief Financial Officer of Periodic Report Pursuant to 18</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6"/>
                <w:szCs w:val="16"/>
                <w:color w:val="0000EE"/>
              </w:rPr>
            </w:pPr>
            <w:hyperlink w:anchor="page106">
              <w:r>
                <w:rPr>
                  <w:rFonts w:ascii="Times New Roman" w:cs="Times New Roman" w:eastAsia="Times New Roman" w:hAnsi="Times New Roman"/>
                  <w:sz w:val="16"/>
                  <w:szCs w:val="16"/>
                  <w:color w:val="0000EE"/>
                </w:rPr>
                <w:t>U.S.C. Section 1350.</w:t>
              </w:r>
            </w:hyperlink>
          </w:p>
        </w:tc>
        <w:tc>
          <w:tcPr>
            <w:tcW w:w="5860" w:type="dxa"/>
            <w:vAlign w:val="bottom"/>
            <w:tcBorders>
              <w:top w:val="single" w:sz="8" w:color="0000EE"/>
            </w:tcBorders>
            <w:gridSpan w:val="8"/>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80" w:right="20" w:hanging="1177"/>
        <w:spacing w:after="0" w:line="199"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January 31, 2019, formatted in XBRL (eXtensible Business Reporting Language): (1) Consolidated Condensed Balance Sheets as of January 31, 2019 and October 31, 2018; (2) Consolidated Condensed Statements of Income for the three months ended January 31, 2019 and 2018; (3) Consolidated Condensed Statements of Comprehensive Income for the three months ended January 31, 2019 and 2018; (4) Consolidated Condensed Statements of Cash Flows for the three months ended January 31, 2019 and 2018; and (5) Notes to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90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2019</w:t>
            </w:r>
          </w:p>
        </w:tc>
        <w:tc>
          <w:tcPr>
            <w:tcW w:w="4180" w:type="dxa"/>
            <w:vAlign w:val="bottom"/>
          </w:tcPr>
          <w:p>
            <w:pPr>
              <w:spacing w:after="0"/>
              <w:rPr>
                <w:sz w:val="24"/>
                <w:szCs w:val="24"/>
                <w:color w:val="auto"/>
              </w:rPr>
            </w:pPr>
          </w:p>
        </w:tc>
      </w:tr>
      <w:tr>
        <w:trPr>
          <w:trHeight w:val="234"/>
        </w:trPr>
        <w:tc>
          <w:tcPr>
            <w:tcW w:w="48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880" w:type="dxa"/>
            <w:vAlign w:val="bottom"/>
          </w:tcPr>
          <w:p>
            <w:pPr>
              <w:spacing w:after="0"/>
              <w:rPr>
                <w:sz w:val="16"/>
                <w:szCs w:val="16"/>
                <w:color w:val="auto"/>
              </w:rPr>
            </w:pP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 and</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2019</w:t>
            </w:r>
          </w:p>
        </w:tc>
        <w:tc>
          <w:tcPr>
            <w:tcW w:w="4180" w:type="dxa"/>
            <w:vAlign w:val="bottom"/>
          </w:tcPr>
          <w:p>
            <w:pPr>
              <w:spacing w:after="0"/>
              <w:rPr>
                <w:sz w:val="24"/>
                <w:szCs w:val="24"/>
                <w:color w:val="auto"/>
              </w:rPr>
            </w:pPr>
          </w:p>
        </w:tc>
      </w:tr>
      <w:tr>
        <w:trPr>
          <w:trHeight w:val="234"/>
        </w:trPr>
        <w:tc>
          <w:tcPr>
            <w:tcW w:w="48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191"/>
        </w:trPr>
        <w:tc>
          <w:tcPr>
            <w:tcW w:w="4880" w:type="dxa"/>
            <w:vAlign w:val="bottom"/>
          </w:tcPr>
          <w:p>
            <w:pPr>
              <w:spacing w:after="0"/>
              <w:rPr>
                <w:sz w:val="16"/>
                <w:szCs w:val="16"/>
                <w:color w:val="auto"/>
              </w:rPr>
            </w:pP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PROMISSORY NOTE</w:t>
      </w:r>
    </w:p>
    <w:p>
      <w:pPr>
        <w:spacing w:after="0" w:line="183" w:lineRule="exact"/>
        <w:rPr>
          <w:sz w:val="20"/>
          <w:szCs w:val="20"/>
          <w:color w:val="auto"/>
        </w:rPr>
      </w:pPr>
    </w:p>
    <w:p>
      <w:pPr>
        <w:ind w:left="1120"/>
        <w:spacing w:after="0"/>
        <w:tabs>
          <w:tab w:leader="none" w:pos="7340" w:val="left"/>
        </w:tabs>
        <w:rPr>
          <w:sz w:val="20"/>
          <w:szCs w:val="20"/>
          <w:color w:val="auto"/>
        </w:rPr>
      </w:pPr>
      <w:r>
        <w:rPr>
          <w:rFonts w:ascii="Times New Roman" w:cs="Times New Roman" w:eastAsia="Times New Roman" w:hAnsi="Times New Roman"/>
          <w:sz w:val="22"/>
          <w:szCs w:val="22"/>
          <w:color w:val="auto"/>
        </w:rPr>
        <w:t>$7,500,000</w:t>
      </w:r>
      <w:r>
        <w:rPr>
          <w:sz w:val="20"/>
          <w:szCs w:val="20"/>
          <w:color w:val="auto"/>
        </w:rPr>
        <w:tab/>
      </w:r>
      <w:r>
        <w:rPr>
          <w:rFonts w:ascii="Times New Roman" w:cs="Times New Roman" w:eastAsia="Times New Roman" w:hAnsi="Times New Roman"/>
          <w:sz w:val="21"/>
          <w:szCs w:val="21"/>
          <w:color w:val="auto"/>
        </w:rPr>
        <w:t>February 28, 2019</w:t>
      </w:r>
    </w:p>
    <w:p>
      <w:pPr>
        <w:spacing w:after="0" w:line="20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This Amended and Restated Promissory Note ("Restated Note") is entered into by and between FreshRealm, LLC, a Delaware limited liability company, with offices at 476 East Main Street, Ventura, California 93001 (“Borrower”) and Calavo Growers, Inc., with offices at 1141-A Cummings Road, Santa Paula, CA 93060 (“Lender”), to amend in their entirety the following promissory notes entered into by Borrower and Lender. The promissory notes executed by FreshRealm are as follows:</w:t>
      </w:r>
    </w:p>
    <w:p>
      <w:pPr>
        <w:spacing w:after="0" w:line="17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Promissory Note dated December 21, 2018 ("First Note Effective Date") in the original principal amount of One Million Dollars ($1,000,000) ("First Note").</w:t>
      </w:r>
    </w:p>
    <w:p>
      <w:pPr>
        <w:spacing w:after="0" w:line="15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Promissory Note dated January 8, 2019 ("Second Note Effective Date") in the original principal amount of One Million Dollars ($1,000,000) ("Second Note").</w:t>
      </w:r>
    </w:p>
    <w:p>
      <w:pPr>
        <w:spacing w:after="0" w:line="15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Promissory Note dated January 18, 2019 ("Third Note Effective Date") in the original principal amount of Five Hundred Thousand Dollars ($500,000) ("Third Note").</w:t>
      </w:r>
    </w:p>
    <w:p>
      <w:pPr>
        <w:spacing w:after="0" w:line="15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Promissory Note dated January 24, 2019 ("Fourth Note Effective Date") in the original principal amount of Three Million Dollars ($3,000,000) ("Fourth Note").</w:t>
      </w:r>
    </w:p>
    <w:p>
      <w:pPr>
        <w:spacing w:after="0" w:line="15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Promissory Note dated January 29, 2019 ("Fifth Note Effective Date") in the original principal amount of Two Million Dollars ($2,000,000) ("Fifth Note").</w:t>
      </w:r>
    </w:p>
    <w:p>
      <w:pPr>
        <w:spacing w:after="0" w:line="158"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Collectively, the First Note, Second Note, Third Note, Fourth Note, and Fifth Note are referred to as the "Existing Promissory Notes".</w:t>
      </w:r>
    </w:p>
    <w:p>
      <w:pPr>
        <w:spacing w:after="0" w:line="15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For good and valuable consideration, the receipt and sufficiency of which is hereby acknowledged, Calavo and Fresh Realm hereby agree that the Existing Promissory Notes are cancelled and replaced in their entirety by this Restated Note.</w:t>
      </w:r>
    </w:p>
    <w:p>
      <w:pPr>
        <w:spacing w:after="0" w:line="174"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For value received, Borrower promises to pay to the order of Lender, at such place as the holder hereof may hereafter from time to time designate in writing, the principal sum of Seven Million, Five Hundred Thousand Million Dollars ($7,500,000), together with interest as specified below, upon the terms and conditions set forth herein.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INTEREST.</w:t>
      </w:r>
    </w:p>
    <w:p>
      <w:pPr>
        <w:spacing w:after="0" w:line="193"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Interest in the amount of ten percent (10%) per annum is due and payable not later than the Final Maturity Date, as defined below, on each of the Existing Promissory Notes, in each case calculated from the Effective Date of such Existing Promissory Note as stated above through the date immediately prior to the date of this Restated Note (the “Accrued Interest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33" w:name="page34"/>
    <w:bookmarkEnd w:id="33"/>
    <w:p>
      <w:pPr>
        <w:ind w:firstLine="648"/>
        <w:spacing w:after="0" w:line="233" w:lineRule="auto"/>
        <w:rPr>
          <w:sz w:val="20"/>
          <w:szCs w:val="20"/>
          <w:color w:val="auto"/>
        </w:rPr>
      </w:pPr>
      <w:r>
        <w:rPr>
          <w:rFonts w:ascii="Times New Roman" w:cs="Times New Roman" w:eastAsia="Times New Roman" w:hAnsi="Times New Roman"/>
          <w:sz w:val="22"/>
          <w:szCs w:val="22"/>
          <w:color w:val="auto"/>
        </w:rPr>
        <w:t>In addition to interest payable on each of the Existing Promissory Notes from the Accrued Interest Date through the date hereof (the "Accrued Interest Amount"), interest shall accrue under this Restated Note on the principal balance of this Restated Note from the date hereof (the "Interest Commencement Date") until this Restated Note is fully paid at the rate of ten percent (10%) per annum or such higher rate as may be determined pursuant to this Restated Note. The Accrued Interest Amount plus accrued but unpaid interest payable under this Restated Note shall be due and payable on October 31, 2019 (the "Final Maturity Date"), subject to the extension option described below. In addition, upon the occurrence of any event of the type specified in the “Default” paragraph below and thereafter until each such event has been cured or waived to the written satisfaction of Lender, the outstanding principal balance of this Restated Note shall bear interest at an annual rate equal to the sum of (i) the interest rate otherwise in effect with respect to such outstanding principal, and (ii) 400 basis points (4.00%) per annum, or such lower rate as is the highest rate allowable by law (it being understood that the accrual of interest at the rate set forth in this sentence shall not be deemed a waiver or excuse of any such event).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PAYMENT OF PRINCIPAL AND INTEREST.</w:t>
      </w:r>
    </w:p>
    <w:p>
      <w:pPr>
        <w:spacing w:after="0" w:line="20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Borrower may prepay this Restated Note, in whole or in part, at any time without prepayment penalty or premium.</w:t>
      </w:r>
    </w:p>
    <w:p>
      <w:pPr>
        <w:spacing w:after="0" w:line="15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The entire remaining principal balance of this Restated Note, plus the Accrued Interest Amount and the accrued but unpaid interest payable under this Restated Note shall be due and payable and paid in full on the Final Maturity Date; provided, however, that at its sole and absolute discretion, Lender may elect to extend the Final Maturity Date in writing until November 1, 2020, with interest continuing to accrue at the rate described above.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APPLICATION OF PAYMENTS.</w:t>
      </w:r>
    </w:p>
    <w:p>
      <w:pPr>
        <w:spacing w:after="0" w:line="206"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All payments hereunder shall be first applied to the Accrued Interest Amount and then to accrued interest payable under this Restated Note, and the remainder, if any, shall be applied to the principal balance of this Restated Note.</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DEFAULT.</w:t>
      </w:r>
    </w:p>
    <w:p>
      <w:pPr>
        <w:spacing w:after="0" w:line="206"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If Borrower fails to make any payment when due in accordance with the terms of this Restated Note; or if Borrower breaches any other provision of this Restated Note or any related document; or if a garnishment, summons or a writ of attachment is issued against or served upon Lender for the attachment of any property of Borrower or any indebtedness owing to Borrower; or if Borrower is or becomes insolvent (however defined), is dissolved or liquidated or goes out of business; then the holder hereof may, at such holder’s option, by notice in writing to Borrower declare this Restated Note to be immediately due and payable, whereupon the principal balance of this Restated Note and all interest thereon shall be immediately due and payable without further notice or demand.</w:t>
      </w:r>
    </w:p>
    <w:p>
      <w:pPr>
        <w:spacing w:after="0" w:line="179" w:lineRule="exact"/>
        <w:rPr>
          <w:sz w:val="20"/>
          <w:szCs w:val="20"/>
          <w:color w:val="auto"/>
        </w:rPr>
      </w:pPr>
    </w:p>
    <w:p>
      <w:pPr>
        <w:jc w:val="both"/>
        <w:ind w:right="80" w:firstLine="648"/>
        <w:spacing w:after="0" w:line="244" w:lineRule="auto"/>
        <w:rPr>
          <w:sz w:val="20"/>
          <w:szCs w:val="20"/>
          <w:color w:val="auto"/>
        </w:rPr>
      </w:pPr>
      <w:r>
        <w:rPr>
          <w:rFonts w:ascii="Times New Roman" w:cs="Times New Roman" w:eastAsia="Times New Roman" w:hAnsi="Times New Roman"/>
          <w:sz w:val="22"/>
          <w:szCs w:val="22"/>
          <w:color w:val="auto"/>
        </w:rPr>
        <w:t>The principal balance of this Restated Note and all interest thereon, plus the Accrued Interest Amount, shall become automatically due and payable without notice or demand if a petition is filed by or against Borrower under the United States Bankruptcy Code.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22"/>
          <w:szCs w:val="22"/>
          <w:color w:val="auto"/>
        </w:rPr>
        <w:t>ADDITIONAL COVENANTS.</w:t>
      </w:r>
    </w:p>
    <w:p>
      <w:pPr>
        <w:spacing w:after="0" w:line="20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Without Lender’s prior written consent, Borrower shall not, and shall not permit any wholly-owned subsidiary of Borrower to, (i) incur any indebtedness or other obligation (except (A) the indebtedness evidenced by this Restated Note and (B) trade payables arising in the ordinary course of business), (ii) grant any lien or security interest on any of its property, (iii) sell all or any substantial part of its assets, or (iv) merge or consolidate with any other entity.</w:t>
      </w:r>
    </w:p>
    <w:p>
      <w:pPr>
        <w:spacing w:after="0" w:line="177" w:lineRule="exact"/>
        <w:rPr>
          <w:sz w:val="20"/>
          <w:szCs w:val="20"/>
          <w:color w:val="auto"/>
        </w:rPr>
      </w:pPr>
    </w:p>
    <w:p>
      <w:pPr>
        <w:jc w:val="both"/>
        <w:ind w:right="620" w:firstLine="648"/>
        <w:spacing w:after="0" w:line="244" w:lineRule="auto"/>
        <w:rPr>
          <w:sz w:val="20"/>
          <w:szCs w:val="20"/>
          <w:color w:val="auto"/>
        </w:rPr>
      </w:pPr>
      <w:r>
        <w:rPr>
          <w:rFonts w:ascii="Times New Roman" w:cs="Times New Roman" w:eastAsia="Times New Roman" w:hAnsi="Times New Roman"/>
          <w:sz w:val="22"/>
          <w:szCs w:val="22"/>
          <w:color w:val="auto"/>
        </w:rPr>
        <w:t>In addition, Borrower shall not pay any dividend or other amount on account of any equity interest of Borrower, including any dividend or distribution in respect thereof or any payment in purchase, redemption, retirement or other acquisition thereof.</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COLLECTION COSTS.</w:t>
      </w:r>
    </w:p>
    <w:p>
      <w:pPr>
        <w:spacing w:after="0" w:line="20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Borrower shall pay all costs of collection, including reasonable attorneys’ fees and legal expenses, if this Restated Note is not paid when due, whether or not legal proceedings are commenced.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GOVERNING LAW.</w:t>
      </w:r>
    </w:p>
    <w:p>
      <w:pPr>
        <w:spacing w:after="0" w:line="20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This Restated Note shall be construed under the internal law of the State of California and any applicable federal laws. Time is of the essence in the payment of this Restated Note.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UNCONDITIONAL OBLIGATION.</w:t>
      </w:r>
    </w:p>
    <w:p>
      <w:pPr>
        <w:spacing w:after="0" w:line="206"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All payments under this Restated Note shall be made without setoff, counterclaim or deduction of any kind including, without limitation, for any applicable taxes. Any amount owing by Borrower to Lender shall not be reduced in any way by any outstanding obligations of Lender to Borrower, whether such obligations are monetary or otherwise.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NOTICES.</w:t>
      </w:r>
    </w:p>
    <w:p>
      <w:pPr>
        <w:spacing w:after="0" w:line="20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All notices, requests, demands and other communications provided for hereunder shall be in writing and, if to Borrower, mailed or delivered to it, addressed to it at the address specified on page one of this Restated Note, or if to Lender, mailed or delivered to it, addressed to the address of Lender specified on page one of this Restated Note; or, in each case, at such other address as may hereafter be designated by the applicable party in a notice to the other party complying with this paragraph. All notices, statements, requests, demands and other communications provided for hereunder shall be sent by US Mail, registered or certified mail, or reputable overnight delivery service, with postage prepaid, and shall be deemed to be given or made when received or when delivery is not accepted.</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BINDING EFFECT.</w:t>
      </w:r>
    </w:p>
    <w:p>
      <w:pPr>
        <w:spacing w:after="0" w:line="206"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The execution, delivery and performance of this Restated Note has been duly authorized by all requisite company actions of Borrower. This Restated Note shall be binding upon Borrower and its successors, assigns and legal representatives, and shall inure to the benefit of Lender and its heirs, legal representatives, successors, endorsees and assigns.</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5" w:right="95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22"/>
          <w:szCs w:val="22"/>
          <w:color w:val="auto"/>
        </w:rPr>
        <w:t>AMENDMENTS.</w:t>
      </w:r>
    </w:p>
    <w:p>
      <w:pPr>
        <w:spacing w:after="0" w:line="206"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Any amendment hereof must be in writing and signed by the party against whom enforcement is sought. Unenforceability of any provision hereof shall not affect the enforceability of any other provision. A photographic or other reproduction of this Restated Note may be made by Lender, and any such reproduction shall be admissible in evidence with the same effect as the original itself in any judicial or administrative proceeding, whether or not the original is in existence.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 WAIVER.</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No acceptance of one or more late or partial payments, or delay or omission on the part of any holder hereof in exercising any right or remedy hereunder, shall operate as a waiver of any right or remedy under this Restated Note. A waiver on any one occasion shall not be construed as a waiver of any right or remedy on any future occasion.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WAIVERS.</w:t>
      </w:r>
    </w:p>
    <w:p>
      <w:pPr>
        <w:spacing w:after="0" w:line="206"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All makers, endorsers, sureties and accommodation parties hereby waive presentment, dishonor, notice of dishonor and protest, and consent to any and all extensions, renewals, substitutions and alterations of any of the terms of this Restated Note and any other documents related hereto and to the release of or failure by Lender to exercise any rights against any party liable for or any property securing payment thereof.</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JURY TRIAL; JURISDICTION.</w:t>
      </w:r>
    </w:p>
    <w:p>
      <w:pPr>
        <w:spacing w:after="0" w:line="206"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TO THE EXTENT PERMITTED BY APPLICABLE LAW, BORROWER HEREBY IRREVOCABLY WAIVES ALL RIGHTS TO TRIAL BY JURY IN ANY ACTION, PROCEEDING OR COUNTERCLAIM ARISING OUT OF, BASED ON OR PERTAINING TO THIS RESTATED NOTE OR ANY OTHER RELATED DOCUMENT. FOR BORROWER AND ITS PROPERTY, BORROWER IRREVOCABLY AND UNCONDITIONALLY SUBMITS TO THE EXCLUSIVE JURISDICTION OF THE COURTS OF THE STATE OF CALIFORNIA SITTING IN VENTURA COUNTY AND OF THE UNITED STATES DISTRICT COURT FOR THE SOUTHERN DISTRICT OF CALIFORNIA (AND ANY APPELLATE COURT FROM SUCH COURTS) IN ANY ACTION OR PROCEEDING ARISING OUT OF OR RELATING TO THIS RESTATED NOTE. BORROWER HEREBY WAIVES ANY OBJECTION TO THE VENUE OF ANY SUCH SUIT OR ANY SUCH COURT OR THAT SUCH SUIT IS BROUGHT IN AN INCONVENIENT COURT.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COUNTERPARTS.</w:t>
      </w:r>
    </w:p>
    <w:p>
      <w:pPr>
        <w:spacing w:after="0" w:line="20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This Restated Note may be executed in any number of counterparts, each of which shall be deemed an original, but all of which taken together shall constitute one and the same instrument.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55"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BORROWER: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 REALM,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Michael R Lippold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-151765</wp:posOffset>
            </wp:positionV>
            <wp:extent cx="3198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Lee Cole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-151765</wp:posOffset>
            </wp:positionV>
            <wp:extent cx="3198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69"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28, 2019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FreshRealm,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N. Palm St., Suite 100</w:t>
      </w:r>
    </w:p>
    <w:p>
      <w:pPr>
        <w:spacing w:after="0"/>
        <w:rPr>
          <w:sz w:val="20"/>
          <w:szCs w:val="20"/>
          <w:color w:val="auto"/>
        </w:rPr>
      </w:pPr>
      <w:r>
        <w:rPr>
          <w:rFonts w:ascii="Times New Roman" w:cs="Times New Roman" w:eastAsia="Times New Roman" w:hAnsi="Times New Roman"/>
          <w:sz w:val="22"/>
          <w:szCs w:val="22"/>
          <w:color w:val="auto"/>
        </w:rPr>
        <w:t>Ventura, California 93001</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i w:val="1"/>
          <w:iCs w:val="1"/>
          <w:color w:val="auto"/>
        </w:rPr>
        <w:t>Re:</w:t>
      </w:r>
      <w:r>
        <w:rPr>
          <w:sz w:val="20"/>
          <w:szCs w:val="20"/>
          <w:color w:val="auto"/>
        </w:rPr>
        <w:tab/>
      </w:r>
      <w:r>
        <w:rPr>
          <w:rFonts w:ascii="Times New Roman" w:cs="Times New Roman" w:eastAsia="Times New Roman" w:hAnsi="Times New Roman"/>
          <w:sz w:val="22"/>
          <w:szCs w:val="22"/>
          <w:b w:val="1"/>
          <w:bCs w:val="1"/>
          <w:i w:val="1"/>
          <w:iCs w:val="1"/>
          <w:u w:val="single" w:color="auto"/>
          <w:color w:val="auto"/>
        </w:rPr>
        <w:t>Fourth Amendment to Senior Promissory Note and Note and Membership Unit Purchase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We refer to that certain Note and Membership Unit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as of July 31, 2018, by and between FreshRealm, LLC, a Delaware limited liability company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Calavo Growers, Inc., a California corporation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pursuant to which Borrower issued to Lender a Senior Promissory Note, dated August 10, 2018 (the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in respect of an aggregate principal sum of $12,000,0000 and entered into a Security Agreement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and Intellectual Property Security Agreement (“</w:t>
      </w:r>
      <w:r>
        <w:rPr>
          <w:rFonts w:ascii="Times New Roman" w:cs="Times New Roman" w:eastAsia="Times New Roman" w:hAnsi="Times New Roman"/>
          <w:sz w:val="22"/>
          <w:szCs w:val="22"/>
          <w:u w:val="single" w:color="auto"/>
          <w:color w:val="auto"/>
        </w:rPr>
        <w:t>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each dated August 10, 2018 with Lender, and Borrower and Lender entered into that certain Letter Agreement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dated October 4, 2018, and that certain Second Letter Agreement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dated November 15, 2018, and that certain Third Letter Agreement dated November 2018 (“</w:t>
      </w:r>
      <w:r>
        <w:rPr>
          <w:rFonts w:ascii="Times New Roman" w:cs="Times New Roman" w:eastAsia="Times New Roman" w:hAnsi="Times New Roman"/>
          <w:sz w:val="22"/>
          <w:szCs w:val="22"/>
          <w:u w:val="single" w:color="auto"/>
          <w:color w:val="auto"/>
        </w:rPr>
        <w:t>Third Letter Agreement</w:t>
      </w:r>
      <w:r>
        <w:rPr>
          <w:rFonts w:ascii="Times New Roman" w:cs="Times New Roman" w:eastAsia="Times New Roman" w:hAnsi="Times New Roman"/>
          <w:sz w:val="22"/>
          <w:szCs w:val="22"/>
          <w:color w:val="auto"/>
        </w:rPr>
        <w:t>”). Borrower and Lender shall be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the Purchase Agreement, Note, Security Agreement, IP Security Agreement and First, Second, Third, and Fourth Letter Agreements shall be collectively referred to as the “</w:t>
      </w:r>
      <w:r>
        <w:rPr>
          <w:rFonts w:ascii="Times New Roman" w:cs="Times New Roman" w:eastAsia="Times New Roman" w:hAnsi="Times New Roman"/>
          <w:sz w:val="22"/>
          <w:szCs w:val="22"/>
          <w:u w:val="single" w:color="auto"/>
          <w:color w:val="auto"/>
        </w:rPr>
        <w:t>Secured Note Agreements</w:t>
      </w:r>
      <w:r>
        <w:rPr>
          <w:rFonts w:ascii="Times New Roman" w:cs="Times New Roman" w:eastAsia="Times New Roman" w:hAnsi="Times New Roman"/>
          <w:sz w:val="22"/>
          <w:szCs w:val="22"/>
          <w:color w:val="auto"/>
        </w:rPr>
        <w:t>”. Capitalized terms used but not defined in this Fourth Letter Agreement (this “</w:t>
      </w:r>
      <w:r>
        <w:rPr>
          <w:rFonts w:ascii="Times New Roman" w:cs="Times New Roman" w:eastAsia="Times New Roman" w:hAnsi="Times New Roman"/>
          <w:sz w:val="22"/>
          <w:szCs w:val="22"/>
          <w:u w:val="single" w:color="auto"/>
          <w:color w:val="auto"/>
        </w:rPr>
        <w:t>Fourth Letter Agreement</w:t>
      </w:r>
      <w:r>
        <w:rPr>
          <w:rFonts w:ascii="Times New Roman" w:cs="Times New Roman" w:eastAsia="Times New Roman" w:hAnsi="Times New Roman"/>
          <w:sz w:val="22"/>
          <w:szCs w:val="22"/>
          <w:color w:val="auto"/>
        </w:rPr>
        <w:t>”) shall have the meanings assigned thereto in the Note.</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Lender previously funded $6,000,000 from the First Tranche to Borrower and, in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disbursements, funded an additional $6,000,000 from the Second Tranche to Borrower for a total of $12,000,000 borrowed, subject to the terms and conditions of the Secured Note Agreements; and</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Lender desires to clarify that the Second Tranche may be disbursed in separate disbursements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 provide for an extended First Tranche Maturity Date and Second Tranche Maturity Date and to provide for Lender’s option to further extend the First Tranche Maturity Date and the Second Tranche Maturity Date.</w:t>
      </w:r>
    </w:p>
    <w:p>
      <w:pPr>
        <w:spacing w:after="0" w:line="1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hereby agree, effective as of the date first written above, in conjunction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transactions contemplated in the Purchase Agreement and the Note and for other good and valuable consideration, the sufficiency of which is hereby acknowledged, to the terms and conditions set forth below:</w:t>
      </w:r>
    </w:p>
    <w:p>
      <w:pPr>
        <w:spacing w:after="0" w:line="171" w:lineRule="exact"/>
        <w:rPr>
          <w:sz w:val="20"/>
          <w:szCs w:val="20"/>
          <w:color w:val="auto"/>
        </w:rPr>
      </w:pPr>
    </w:p>
    <w:p>
      <w:pPr>
        <w:ind w:left="980" w:hanging="332"/>
        <w:spacing w:after="0" w:line="258" w:lineRule="auto"/>
        <w:tabs>
          <w:tab w:leader="none" w:pos="100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Notwithstanding any provision to the contrary in the Definitions Section of the Note, the following definitions are hereby revised to read as follows:</w:t>
      </w:r>
    </w:p>
    <w:p>
      <w:pPr>
        <w:spacing w:after="0" w:line="15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2"/>
          <w:szCs w:val="22"/>
          <w:color w:val="auto"/>
        </w:rPr>
        <w:t>“First Tranche Maturity Date” means October 31, 2019, except as may be extended by Lender as set forth below.</w:t>
      </w:r>
    </w:p>
    <w:p>
      <w:pPr>
        <w:spacing w:after="0" w:line="158"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“Second Tranche” means the second disbursement of principal from Lender to Borrower, which will be in the aggregate total amount of six million dollars ($6,000,000), to be disbursed by Lender to Borrower, at Borrower’s option, at any time and from time to time, in separate disbursements, following the achievement of the Second Tranche conditions as described above.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38" w:name="page39"/>
    <w:bookmarkEnd w:id="38"/>
    <w:p>
      <w:pPr>
        <w:ind w:left="120"/>
        <w:spacing w:after="0" w:line="258" w:lineRule="auto"/>
        <w:rPr>
          <w:sz w:val="20"/>
          <w:szCs w:val="20"/>
          <w:color w:val="auto"/>
        </w:rPr>
      </w:pPr>
      <w:r>
        <w:rPr>
          <w:rFonts w:ascii="Times New Roman" w:cs="Times New Roman" w:eastAsia="Times New Roman" w:hAnsi="Times New Roman"/>
          <w:sz w:val="22"/>
          <w:szCs w:val="22"/>
          <w:color w:val="auto"/>
        </w:rPr>
        <w:t>“Second Tranche Interest Commencement Date” means, as to each separate disbursement from the Second Tranche, the date of that disbursement from the Second Tranche.</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“Second Tranche Maturity Date” means October 31, 2019 as to all of the disbursements from the Second Tranche, except as may be extended by Lender as set forth below.</w:t>
      </w:r>
    </w:p>
    <w:p>
      <w:pPr>
        <w:spacing w:after="0" w:line="158" w:lineRule="exact"/>
        <w:rPr>
          <w:sz w:val="20"/>
          <w:szCs w:val="20"/>
          <w:color w:val="auto"/>
        </w:rPr>
      </w:pPr>
    </w:p>
    <w:p>
      <w:pPr>
        <w:ind w:left="460" w:hanging="332"/>
        <w:spacing w:after="0" w:line="258" w:lineRule="auto"/>
        <w:tabs>
          <w:tab w:leader="none" w:pos="56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FUNDING. In the first sentence, the words “and from time to time, in separate disbursements” are inserted after the words “at any time”.</w:t>
      </w:r>
    </w:p>
    <w:p>
      <w:pPr>
        <w:spacing w:after="0" w:line="158" w:lineRule="exact"/>
        <w:rPr>
          <w:sz w:val="20"/>
          <w:szCs w:val="20"/>
          <w:color w:val="auto"/>
        </w:rPr>
      </w:pPr>
    </w:p>
    <w:p>
      <w:pPr>
        <w:jc w:val="both"/>
        <w:ind w:left="120"/>
        <w:spacing w:after="0" w:line="234" w:lineRule="auto"/>
        <w:rPr>
          <w:sz w:val="20"/>
          <w:szCs w:val="20"/>
          <w:color w:val="auto"/>
        </w:rPr>
      </w:pPr>
      <w:r>
        <w:rPr>
          <w:rFonts w:ascii="Times New Roman" w:cs="Times New Roman" w:eastAsia="Times New Roman" w:hAnsi="Times New Roman"/>
          <w:sz w:val="22"/>
          <w:szCs w:val="22"/>
          <w:color w:val="auto"/>
        </w:rPr>
        <w:t>A new sentence is added at the end of the Funding paragraph that reads as follows: Lender shall have the option, at its sole and absolute discretion, to extend the First Tranche Maturity Date and the Second Tranche Maturity Date for each disbursement from the Second Tranche Maturity Date until November 1, 2020. Lender’s election to extend any maturity date shall not obligate Lender to extend any other maturity date, and an extension of the maturity date for a particular disbursement from the Second Tranche shall not entitle Borrower to an extension of the maturity date for a different disbursement from the Second Tranche. Borrower shall not make any claim as to reliance, course of dealing, or other justification or rationale if Lender elects to extend the maturity date for one payment obligation and not extend the maturity date for any other payment obligation.</w:t>
      </w:r>
    </w:p>
    <w:p>
      <w:pPr>
        <w:spacing w:after="0" w:line="184" w:lineRule="exact"/>
        <w:rPr>
          <w:sz w:val="20"/>
          <w:szCs w:val="20"/>
          <w:color w:val="auto"/>
        </w:rPr>
      </w:pPr>
    </w:p>
    <w:p>
      <w:pPr>
        <w:jc w:val="both"/>
        <w:ind w:left="120" w:firstLine="8"/>
        <w:spacing w:after="0" w:line="236" w:lineRule="auto"/>
        <w:tabs>
          <w:tab w:leader="none" w:pos="41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this Fourth Letter Agreement and except to the extent this Fourth Letter Agreement amends the Purchase Agreement and the Note, this Fourth Letter Agreement shall not by implication or otherwise limit, impair, constitute a waiver of, or otherwise affect the rights and remedies of Lender under the Secured Note Agreements, and shall not alter, modify, amend or in any way affect any of the terms, conditions, obligations, covenants or agreements contained in the Secured Note Agreements, all of which are ratified and confirmed in all respects and shall continue in full force and effect.</w:t>
      </w:r>
    </w:p>
    <w:p>
      <w:pPr>
        <w:spacing w:after="0" w:line="182" w:lineRule="exact"/>
        <w:rPr>
          <w:rFonts w:ascii="Times New Roman" w:cs="Times New Roman" w:eastAsia="Times New Roman" w:hAnsi="Times New Roman"/>
          <w:sz w:val="22"/>
          <w:szCs w:val="22"/>
          <w:color w:val="auto"/>
        </w:rPr>
      </w:pPr>
    </w:p>
    <w:p>
      <w:pPr>
        <w:ind w:left="120" w:firstLine="8"/>
        <w:spacing w:after="0" w:line="258" w:lineRule="auto"/>
        <w:tabs>
          <w:tab w:leader="none" w:pos="42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date of this Fourth Letter Agreement, any reference to the Purchase Agreement and the Note shall mean the Purchase Agreement and the Note, as modified by this Fourth Letter Agreement.</w:t>
      </w:r>
    </w:p>
    <w:p>
      <w:pPr>
        <w:spacing w:after="0" w:line="158" w:lineRule="exact"/>
        <w:rPr>
          <w:rFonts w:ascii="Times New Roman" w:cs="Times New Roman" w:eastAsia="Times New Roman" w:hAnsi="Times New Roman"/>
          <w:sz w:val="22"/>
          <w:szCs w:val="22"/>
          <w:color w:val="auto"/>
        </w:rPr>
      </w:pPr>
    </w:p>
    <w:p>
      <w:pPr>
        <w:jc w:val="both"/>
        <w:ind w:left="120" w:firstLine="8"/>
        <w:spacing w:after="0" w:line="238"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Fourth Letter Agreement may be executed in any number of counterparts (and by different parties hereto on different counterparts), each of which shall constitute an original, but all of which when taken together shall constitute a single contract. Delivery of an executed counterpart of a signature page of this Fourth Letter Agreement by facsimile or other electronic transmission shall be effective as delivery of a manually executed counterpart of this Fourth Letter Agreement.</w:t>
      </w:r>
    </w:p>
    <w:p>
      <w:pPr>
        <w:spacing w:after="0" w:line="177" w:lineRule="exact"/>
        <w:rPr>
          <w:rFonts w:ascii="Times New Roman" w:cs="Times New Roman" w:eastAsia="Times New Roman" w:hAnsi="Times New Roman"/>
          <w:sz w:val="22"/>
          <w:szCs w:val="22"/>
          <w:color w:val="auto"/>
        </w:rPr>
      </w:pPr>
    </w:p>
    <w:p>
      <w:pPr>
        <w:jc w:val="both"/>
        <w:ind w:left="120" w:firstLine="8"/>
        <w:spacing w:after="0" w:line="234" w:lineRule="auto"/>
        <w:tabs>
          <w:tab w:leader="none" w:pos="3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Fourth Letter Agreement shall be construed under the internal law of the State of California and any applicable federal laws. TO THE EXTENT PERMITTED BY APPLICABLE LAW, BORROWER HEREBY IRREVOCABLY WAIVES ALL RIGHTS TO TRIAL BY JURY IN ANY ACTION, PROCEEDING OR COUNTERCLAIM ARISING OUT OF, BASED ON OR PERTAINING TO THIS NOTE OR ANY OTHER RELATED DOCUMENT. FOR BORROWER AND ITS PROPERTY, BORROWER IRREVOCABLY AND UNCONDITIONALLY SUBMITS TO THE EXCLUSIVE JURISDICTION OF THE COURTS OF THE STATE OF CALIFORNIA SITTING IN VENTURA COUNTY AND OF THE UNITED STATES DISTRICT COURT FOR THE SOUTHERN DISTRICT OF CALIFORNIA (AND ANY APPELLATE COURT FROM SUCH COURTS) IN ANY ACTION OR PROCEEDING ARISING OUT OF OR RELATING TO THIS NOTE. BORROWER HEREBY</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31" w:right="919" w:bottom="1440" w:gutter="0" w:footer="0" w:header="0"/>
        </w:sectPr>
      </w:pPr>
    </w:p>
    <w:bookmarkStart w:id="39" w:name="page40"/>
    <w:bookmarkEnd w:id="39"/>
    <w:p>
      <w:pPr>
        <w:ind w:left="640"/>
        <w:spacing w:after="0" w:line="258" w:lineRule="auto"/>
        <w:rPr>
          <w:sz w:val="20"/>
          <w:szCs w:val="20"/>
          <w:color w:val="auto"/>
        </w:rPr>
      </w:pPr>
      <w:r>
        <w:rPr>
          <w:rFonts w:ascii="Times New Roman" w:cs="Times New Roman" w:eastAsia="Times New Roman" w:hAnsi="Times New Roman"/>
          <w:sz w:val="22"/>
          <w:szCs w:val="22"/>
          <w:color w:val="auto"/>
        </w:rPr>
        <w:t>WAIVES ANY OBJECTION TO THE VENUE OF ANY SUCH SUIT OR ANY SUCH COURT OR THAT SUCH SUIT IS BROUGHT IN AN INCONVENIENT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11430</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22"/>
          <w:szCs w:val="22"/>
          <w:color w:val="auto"/>
        </w:rPr>
        <w:t>Name: Lecil Cole</w:t>
      </w:r>
    </w:p>
    <w:p>
      <w:pPr>
        <w:ind w:left="58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 to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507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FreshRealm, LLC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Michael R. Lippold</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Michael R. Lippold</w:t>
            </w:r>
          </w:p>
        </w:tc>
      </w:tr>
      <w:tr>
        <w:trPr>
          <w:trHeight w:val="283"/>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31" w:right="9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PROMISSORY NOTE</w:t>
      </w:r>
    </w:p>
    <w:p>
      <w:pPr>
        <w:spacing w:after="0" w:line="224"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22"/>
          <w:szCs w:val="22"/>
          <w:color w:val="auto"/>
        </w:rPr>
        <w:t>$1,500,000</w:t>
      </w:r>
      <w:r>
        <w:rPr>
          <w:sz w:val="20"/>
          <w:szCs w:val="20"/>
          <w:color w:val="auto"/>
        </w:rPr>
        <w:tab/>
      </w:r>
      <w:r>
        <w:rPr>
          <w:rFonts w:ascii="Times New Roman" w:cs="Times New Roman" w:eastAsia="Times New Roman" w:hAnsi="Times New Roman"/>
          <w:sz w:val="21"/>
          <w:szCs w:val="21"/>
          <w:color w:val="auto"/>
        </w:rPr>
        <w:t>March 4, 2019</w:t>
      </w:r>
    </w:p>
    <w:p>
      <w:pPr>
        <w:spacing w:after="0" w:line="20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For value received, </w:t>
      </w:r>
      <w:r>
        <w:rPr>
          <w:rFonts w:ascii="Times New Roman" w:cs="Times New Roman" w:eastAsia="Times New Roman" w:hAnsi="Times New Roman"/>
          <w:sz w:val="22"/>
          <w:szCs w:val="22"/>
          <w:b w:val="1"/>
          <w:bCs w:val="1"/>
          <w:color w:val="auto"/>
        </w:rPr>
        <w:t>FreshRealm, LLC</w:t>
      </w:r>
      <w:r>
        <w:rPr>
          <w:rFonts w:ascii="Times New Roman" w:cs="Times New Roman" w:eastAsia="Times New Roman" w:hAnsi="Times New Roman"/>
          <w:sz w:val="22"/>
          <w:szCs w:val="22"/>
          <w:color w:val="auto"/>
        </w:rPr>
        <w:t xml:space="preserve">, a Delaware limited liability company, with offices at 34 N. Palm Street, Suite 100, Ventura, California 93001 (“Borrower”), promises to pay to the order of </w:t>
      </w:r>
      <w:r>
        <w:rPr>
          <w:rFonts w:ascii="Times New Roman" w:cs="Times New Roman" w:eastAsia="Times New Roman" w:hAnsi="Times New Roman"/>
          <w:sz w:val="22"/>
          <w:szCs w:val="22"/>
          <w:b w:val="1"/>
          <w:bCs w:val="1"/>
          <w:color w:val="auto"/>
        </w:rPr>
        <w:t>Calavo Growers, Inc.</w:t>
      </w:r>
      <w:r>
        <w:rPr>
          <w:rFonts w:ascii="Times New Roman" w:cs="Times New Roman" w:eastAsia="Times New Roman" w:hAnsi="Times New Roman"/>
          <w:sz w:val="22"/>
          <w:szCs w:val="22"/>
          <w:color w:val="auto"/>
        </w:rPr>
        <w:t>, with offices at 1141-A Cummings Road, Santa Paula, CA 93060 (“Lender”), or at such place as the holder hereof may hereafter from time to time designate in writing, the principal sum of One Million, Five Hundred Thousand Dollars ($1,500,000), together with interest as specified below, upon the terms and conditions set forth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As used herein: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“Final Maturity Date” means October 31, 2019, subject to extension as described below.</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“Interest Commencement Date” means the date hereof.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1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1"/>
          <w:szCs w:val="21"/>
          <w:color w:val="auto"/>
        </w:rPr>
        <w:t>Interest shall accrue on the principal balance of this Note from the Interest Commencement Date until this Note is fully paid at the rate of ten percent (10%) per annum or such higher rate as may be determined pursuant to this Note. Accrued but unpaid interest shall be due and payable on the Final Maturity Date. In addition, upon the occurrence of any event of the type specified in the “Default” paragraph below and thereafter until each such event has been cured or waived to the written satisfaction of Lender, the outstanding principal balance of this Note shall bear interest at an annual rate equal to the sum of (i) the interest rate otherwise in effect with respect to such outstanding principal, and (ii) 400 basis points (4.00%) per annum, or such lower rate as is the highest rate allowable by law (it being understood that the accrual of interest at the rate set forth in this sentence shall not be deemed a waiver or excuse of any such event).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PRINCIPAL.</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Borrower may prepay this Note at any time without prepayment penalty or premium.</w:t>
      </w:r>
    </w:p>
    <w:p>
      <w:pPr>
        <w:spacing w:after="0" w:line="206" w:lineRule="exact"/>
        <w:rPr>
          <w:sz w:val="20"/>
          <w:szCs w:val="20"/>
          <w:color w:val="auto"/>
        </w:rPr>
      </w:pPr>
    </w:p>
    <w:p>
      <w:pPr>
        <w:jc w:val="both"/>
        <w:ind w:right="700" w:firstLine="648"/>
        <w:spacing w:after="0" w:line="262" w:lineRule="auto"/>
        <w:rPr>
          <w:sz w:val="20"/>
          <w:szCs w:val="20"/>
          <w:color w:val="auto"/>
        </w:rPr>
      </w:pPr>
      <w:r>
        <w:rPr>
          <w:rFonts w:ascii="Times New Roman" w:cs="Times New Roman" w:eastAsia="Times New Roman" w:hAnsi="Times New Roman"/>
          <w:sz w:val="21"/>
          <w:szCs w:val="21"/>
          <w:color w:val="auto"/>
        </w:rPr>
        <w:t>The entire remaining principal balance of this Note shall be due and payable and paid in full on the Final Maturity Date; provided, however, that at its sole and absolute discretion, Lender may elect to extend the Final Maturity Date in writing until November 1, 2020, with interest continuing to accrue at the rate described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APPLICATION OF PAYMENTS.</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All payments hereunder shall be first applied to accrued but unpaid interest hereunder, and the remainder, if any, shall be applied to the principal balance of this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DEFAULT.</w:t>
      </w:r>
    </w:p>
    <w:p>
      <w:pPr>
        <w:spacing w:after="0" w:line="21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If Borrower fails to make any payment when due in accordance with the terms of this Note; or if Borrower breaches any other provision of this Note or any related document; or if a garnishment, summons or a writ of attachment is issued against or served upon Lender for the attachment of any property of Borrower or any indebtedness owing to Borrower; or if Borrower is or becomes insolvent (however defined), is dissolved or liquidated or goes out of business; then the holder hereof may, at such holder’s option, by notice in writing 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08" w:right="739" w:bottom="1440" w:gutter="0" w:footer="0" w:header="0"/>
        </w:sectPr>
      </w:pPr>
    </w:p>
    <w:bookmarkStart w:id="41" w:name="page42"/>
    <w:bookmarkEnd w:id="41"/>
    <w:p>
      <w:pPr>
        <w:ind w:left="9" w:right="300" w:firstLine="648"/>
        <w:spacing w:after="0" w:line="259" w:lineRule="auto"/>
        <w:rPr>
          <w:sz w:val="20"/>
          <w:szCs w:val="20"/>
          <w:color w:val="auto"/>
        </w:rPr>
      </w:pPr>
      <w:r>
        <w:rPr>
          <w:rFonts w:ascii="Times New Roman" w:cs="Times New Roman" w:eastAsia="Times New Roman" w:hAnsi="Times New Roman"/>
          <w:sz w:val="22"/>
          <w:szCs w:val="22"/>
          <w:color w:val="auto"/>
        </w:rPr>
        <w:t>Borrower declare this Note to be immediately due and payable, whereupon the principal balance of this Note and all interest thereon shall be immediately due and payable without further notice or demand.</w:t>
      </w:r>
    </w:p>
    <w:p>
      <w:pPr>
        <w:spacing w:after="0" w:line="157" w:lineRule="exact"/>
        <w:rPr>
          <w:sz w:val="20"/>
          <w:szCs w:val="20"/>
          <w:color w:val="auto"/>
        </w:rPr>
      </w:pPr>
    </w:p>
    <w:p>
      <w:pPr>
        <w:ind w:left="9" w:right="160" w:firstLine="648"/>
        <w:spacing w:after="0" w:line="258" w:lineRule="auto"/>
        <w:rPr>
          <w:sz w:val="20"/>
          <w:szCs w:val="20"/>
          <w:color w:val="auto"/>
        </w:rPr>
      </w:pPr>
      <w:r>
        <w:rPr>
          <w:rFonts w:ascii="Times New Roman" w:cs="Times New Roman" w:eastAsia="Times New Roman" w:hAnsi="Times New Roman"/>
          <w:sz w:val="22"/>
          <w:szCs w:val="22"/>
          <w:color w:val="auto"/>
        </w:rPr>
        <w:t>The principal balance of this Note and all interest thereon shall become automatically due and payable without notice or demand if a petition is filed by or against Borrower under the United States Bankruptcy Code.</w:t>
      </w:r>
    </w:p>
    <w:p>
      <w:pPr>
        <w:spacing w:after="0" w:line="1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ADDITIONAL COVENANTS.</w:t>
      </w:r>
    </w:p>
    <w:p>
      <w:pPr>
        <w:spacing w:after="0" w:line="210" w:lineRule="exact"/>
        <w:rPr>
          <w:sz w:val="20"/>
          <w:szCs w:val="20"/>
          <w:color w:val="auto"/>
        </w:rPr>
      </w:pPr>
    </w:p>
    <w:p>
      <w:pPr>
        <w:ind w:left="9" w:right="140" w:firstLine="648"/>
        <w:spacing w:after="0" w:line="253" w:lineRule="auto"/>
        <w:rPr>
          <w:sz w:val="20"/>
          <w:szCs w:val="20"/>
          <w:color w:val="auto"/>
        </w:rPr>
      </w:pPr>
      <w:r>
        <w:rPr>
          <w:rFonts w:ascii="Times New Roman" w:cs="Times New Roman" w:eastAsia="Times New Roman" w:hAnsi="Times New Roman"/>
          <w:sz w:val="21"/>
          <w:szCs w:val="21"/>
          <w:color w:val="auto"/>
        </w:rPr>
        <w:t>Without Lender’s prior written consent, Borrower shall not, and shall not permit any wholly-owned subsidiary of Borrower to, (i) incur any indebtedness or other obligation (except (A) the indebtedness evidenced by this Note and</w:t>
      </w:r>
    </w:p>
    <w:p>
      <w:pPr>
        <w:spacing w:after="0" w:line="1" w:lineRule="exact"/>
        <w:rPr>
          <w:sz w:val="20"/>
          <w:szCs w:val="20"/>
          <w:color w:val="auto"/>
        </w:rPr>
      </w:pPr>
    </w:p>
    <w:p>
      <w:pPr>
        <w:ind w:left="9" w:right="700" w:hanging="9"/>
        <w:spacing w:after="0" w:line="258" w:lineRule="auto"/>
        <w:tabs>
          <w:tab w:leader="none" w:pos="35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payables arising in the ordinary course of business), (ii) grant any lien or security interest on any of its property, (iii) sell all or any substantial part of its assets, or (iv) merge or consolidate with any other entity.</w:t>
      </w:r>
    </w:p>
    <w:p>
      <w:pPr>
        <w:spacing w:after="0" w:line="159" w:lineRule="exact"/>
        <w:rPr>
          <w:sz w:val="20"/>
          <w:szCs w:val="20"/>
          <w:color w:val="auto"/>
        </w:rPr>
      </w:pPr>
    </w:p>
    <w:p>
      <w:pPr>
        <w:ind w:left="9" w:right="40" w:firstLine="648"/>
        <w:spacing w:after="0" w:line="244" w:lineRule="auto"/>
        <w:rPr>
          <w:sz w:val="20"/>
          <w:szCs w:val="20"/>
          <w:color w:val="auto"/>
        </w:rPr>
      </w:pPr>
      <w:r>
        <w:rPr>
          <w:rFonts w:ascii="Times New Roman" w:cs="Times New Roman" w:eastAsia="Times New Roman" w:hAnsi="Times New Roman"/>
          <w:sz w:val="22"/>
          <w:szCs w:val="22"/>
          <w:color w:val="auto"/>
        </w:rPr>
        <w:t>In addition, Borrower shall not pay any dividend or other amount on account of any equity interest of Borrower, including any dividend or distribution in respect thereof or any payment in purchase, redemption, retirement or other acquisition thereof.</w:t>
      </w:r>
    </w:p>
    <w:p>
      <w:pPr>
        <w:spacing w:after="0" w:line="1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COLLECTION COSTS.</w:t>
      </w:r>
    </w:p>
    <w:p>
      <w:pPr>
        <w:spacing w:after="0" w:line="210" w:lineRule="exact"/>
        <w:rPr>
          <w:sz w:val="20"/>
          <w:szCs w:val="20"/>
          <w:color w:val="auto"/>
        </w:rPr>
      </w:pPr>
    </w:p>
    <w:p>
      <w:pPr>
        <w:ind w:left="9" w:firstLine="648"/>
        <w:spacing w:after="0" w:line="258" w:lineRule="auto"/>
        <w:rPr>
          <w:sz w:val="20"/>
          <w:szCs w:val="20"/>
          <w:color w:val="auto"/>
        </w:rPr>
      </w:pPr>
      <w:r>
        <w:rPr>
          <w:rFonts w:ascii="Times New Roman" w:cs="Times New Roman" w:eastAsia="Times New Roman" w:hAnsi="Times New Roman"/>
          <w:sz w:val="22"/>
          <w:szCs w:val="22"/>
          <w:color w:val="auto"/>
        </w:rPr>
        <w:t>Borrower shall pay all costs of collection, including reasonable attorneys’ fees and legal expenses, if this Note is not paid when due, whether or not legal proceedings are commenced.</w:t>
      </w:r>
    </w:p>
    <w:p>
      <w:pPr>
        <w:spacing w:after="0" w:line="1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left="9" w:right="7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construed under the internal law of the State of California and any applicable federal laws. Time is of the essence in the payment of this Note.</w:t>
      </w:r>
    </w:p>
    <w:p>
      <w:pPr>
        <w:spacing w:after="0" w:line="1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UNCONDITIONAL OBLIGATION.</w:t>
      </w:r>
    </w:p>
    <w:p>
      <w:pPr>
        <w:spacing w:after="0" w:line="210" w:lineRule="exact"/>
        <w:rPr>
          <w:sz w:val="20"/>
          <w:szCs w:val="20"/>
          <w:color w:val="auto"/>
        </w:rPr>
      </w:pPr>
    </w:p>
    <w:p>
      <w:pPr>
        <w:ind w:left="9" w:firstLine="648"/>
        <w:spacing w:after="0" w:line="244" w:lineRule="auto"/>
        <w:rPr>
          <w:sz w:val="20"/>
          <w:szCs w:val="20"/>
          <w:color w:val="auto"/>
        </w:rPr>
      </w:pPr>
      <w:r>
        <w:rPr>
          <w:rFonts w:ascii="Times New Roman" w:cs="Times New Roman" w:eastAsia="Times New Roman" w:hAnsi="Times New Roman"/>
          <w:sz w:val="22"/>
          <w:szCs w:val="22"/>
          <w:color w:val="auto"/>
        </w:rPr>
        <w:t>All payments under this Note shall be made without setoff, counterclaim or deduction of any kind including, without limitation, for any applicable taxes. Any amount owing by Borrower to Lender shall not be reduced in any way by any outstanding obligations of Lender to Borrower, whether such obligations are monetary or otherwise.</w:t>
      </w:r>
    </w:p>
    <w:p>
      <w:pPr>
        <w:spacing w:after="0" w:line="1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left="9" w:right="40" w:firstLine="648"/>
        <w:spacing w:after="0" w:line="235" w:lineRule="auto"/>
        <w:rPr>
          <w:sz w:val="20"/>
          <w:szCs w:val="20"/>
          <w:color w:val="auto"/>
        </w:rPr>
      </w:pPr>
      <w:r>
        <w:rPr>
          <w:rFonts w:ascii="Times New Roman" w:cs="Times New Roman" w:eastAsia="Times New Roman" w:hAnsi="Times New Roman"/>
          <w:sz w:val="22"/>
          <w:szCs w:val="22"/>
          <w:color w:val="auto"/>
        </w:rPr>
        <w:t>All notices, requests, demands and other communications provided for hereunder shall be in writing and, if to Borrower, mailed or delivered to it, addressed to it at the address specified on page one of this Note, or if to Lender, mailed or delivered to it, addressed to the address of Lender specified on page one of this Note; or, in each case, at such other address as may hereafter be designated by the applicable party in a notice to the other party complying with this paragraph. All notices, statements, requests, demands and other communications provided for hereunder shall be sent by US Mail, registered or certified mail, or reputable overnight delivery service, with postage prepaid, and shall be deemed to be given or made when received.</w:t>
      </w:r>
    </w:p>
    <w:p>
      <w:pPr>
        <w:spacing w:after="0" w:line="18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BINDING EFFECT.</w:t>
      </w:r>
    </w:p>
    <w:p>
      <w:pPr>
        <w:spacing w:after="0" w:line="210" w:lineRule="exact"/>
        <w:rPr>
          <w:sz w:val="20"/>
          <w:szCs w:val="20"/>
          <w:color w:val="auto"/>
        </w:rPr>
      </w:pPr>
    </w:p>
    <w:p>
      <w:pPr>
        <w:jc w:val="both"/>
        <w:ind w:left="9" w:right="20" w:firstLine="648"/>
        <w:spacing w:after="0" w:line="244" w:lineRule="auto"/>
        <w:rPr>
          <w:sz w:val="20"/>
          <w:szCs w:val="20"/>
          <w:color w:val="auto"/>
        </w:rPr>
      </w:pPr>
      <w:r>
        <w:rPr>
          <w:rFonts w:ascii="Times New Roman" w:cs="Times New Roman" w:eastAsia="Times New Roman" w:hAnsi="Times New Roman"/>
          <w:sz w:val="22"/>
          <w:szCs w:val="22"/>
          <w:color w:val="auto"/>
        </w:rPr>
        <w:t>The execution, delivery and performance of this Note has been duly authorized by all requisite company actions of Borrower. This Note shall be binding upon Borrower and its successors, assigns and legal representatives, and shall inure to the benefit of Lender and its heirs, legal representatives, successors, endorsees and assigns.</w:t>
      </w:r>
    </w:p>
    <w:p>
      <w:pPr>
        <w:spacing w:after="0" w:line="390"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12" w:right="7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11" w:lineRule="exact"/>
        <w:rPr>
          <w:sz w:val="20"/>
          <w:szCs w:val="20"/>
          <w:color w:val="auto"/>
        </w:rPr>
      </w:pPr>
    </w:p>
    <w:p>
      <w:pPr>
        <w:ind w:right="1180" w:firstLine="648"/>
        <w:spacing w:after="0" w:line="253" w:lineRule="auto"/>
        <w:rPr>
          <w:sz w:val="20"/>
          <w:szCs w:val="20"/>
          <w:color w:val="auto"/>
        </w:rPr>
      </w:pPr>
      <w:r>
        <w:rPr>
          <w:rFonts w:ascii="Times New Roman" w:cs="Times New Roman" w:eastAsia="Times New Roman" w:hAnsi="Times New Roman"/>
          <w:sz w:val="21"/>
          <w:szCs w:val="21"/>
          <w:color w:val="auto"/>
        </w:rPr>
        <w:t>Any amendment hereof must be in writing and signed by the party against whom enforcement is sought. Unenforceability of any provision hereof shall not affect the enforceability of any other provision.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 photographic or other reproduction of this Note may be made by Lender, and any such reproduction shall be admissible in evidence with the same effect as the original itself in any judicial or administrative proceeding, whether or not the original is in existence.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WAIVER.</w:t>
      </w:r>
    </w:p>
    <w:p>
      <w:pPr>
        <w:spacing w:after="0" w:line="21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No acceptance of one or more late or partial payments, or delay or omission on the part of any holder hereof in exercising any right or remedy hereunder, shall operate as a waiver of any right or remedy under this Note. A waiver on any one occasion shall not be construed as a waiver of any right or remedy on any future occasion.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WAIVERS.</w:t>
      </w:r>
    </w:p>
    <w:p>
      <w:pPr>
        <w:spacing w:after="0" w:line="210"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All makers, endorsers, sureties and accommodation parties hereby waive presentment, dishonor, notice of dishonor and protest, and consent to any and all extensions, renewals, substitutions and alterations of any of the terms of this Note and any other documents related hereto and to the release of or failure by Lender to exercise any rights against any party liable for or any property securing payment thereof.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JURY TRIAL; JURISDICTION.</w:t>
      </w:r>
    </w:p>
    <w:p>
      <w:pPr>
        <w:spacing w:after="0" w:line="206"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TO THE EXTENT PERMITTED BY APPLICABLE LAW, BORROWER HEREBY IRREVOCABLY WAIVES ALL RIGHTS TO TRIAL BY JURY IN ANY ACTION, PROCEEDING OR COUNTERCLAIM ARISING OUT OF, BASED ON OR PERTAINING TO THIS NOTE OR ANY OTHER RELATED DOCUMENT. FOR BORROWER AND ITS PROPERTY, BORROWER IRREVOCABLY AND UNCONDITIONALLY SUBMITS TO THE EXCLUSIVE JURISDICTION OF THE COURTS OF THE STATE OF CALIFORNIA SITTING IN VENTURA COUNTY AND OF THE UNITED STATES DISTRICT COURT FOR THE SOUTHERN DISTRICT OF CALIFORNIA (AND ANY APPELLATE COURT FROM SUCH COURTS) IN ANY ACTION OR PROCEEDING ARISING OUT OF OR RELATING TO THIS NOTE. BORROWER HEREBY WAIVES ANY OBJECTION TO THE VENUE OF ANY SUCH SUIT OR ANY SUCH COURT OR THAT SUCH SUIT IS BROUGHT IN AN INCONVENIENT COURT.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08"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FRESHREALM,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/s/: Michael R. Lippol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13970</wp:posOffset>
            </wp:positionV>
            <wp:extent cx="3190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Michael R. Lippold</w:t>
      </w:r>
    </w:p>
    <w:p>
      <w:pPr>
        <w:ind w:left="360"/>
        <w:spacing w:after="0"/>
        <w:rPr>
          <w:sz w:val="20"/>
          <w:szCs w:val="20"/>
          <w:color w:val="auto"/>
        </w:rPr>
      </w:pPr>
      <w:r>
        <w:rPr>
          <w:rFonts w:ascii="Times New Roman" w:cs="Times New Roman" w:eastAsia="Times New Roman" w:hAnsi="Times New Roman"/>
          <w:sz w:val="22"/>
          <w:szCs w:val="22"/>
          <w:b w:val="1"/>
          <w:bCs w:val="1"/>
          <w:color w:val="auto"/>
        </w:rPr>
        <w:t>Chief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/s/: Lee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13970</wp:posOffset>
            </wp:positionV>
            <wp:extent cx="3190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Lee Cole</w:t>
      </w:r>
    </w:p>
    <w:p>
      <w:pPr>
        <w:ind w:left="360"/>
        <w:spacing w:after="0"/>
        <w:rPr>
          <w:sz w:val="20"/>
          <w:szCs w:val="20"/>
          <w:color w:val="auto"/>
        </w:rPr>
      </w:pPr>
      <w:r>
        <w:rPr>
          <w:rFonts w:ascii="Times New Roman" w:cs="Times New Roman" w:eastAsia="Times New Roman" w:hAnsi="Times New Roman"/>
          <w:sz w:val="22"/>
          <w:szCs w:val="22"/>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65"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CREDIT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SECOND AMENDMENT TO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dated as of February 28,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2019, and is entered into by and between </w:t>
      </w:r>
      <w:r>
        <w:rPr>
          <w:rFonts w:ascii="Times New Roman" w:cs="Times New Roman" w:eastAsia="Times New Roman" w:hAnsi="Times New Roman"/>
          <w:sz w:val="20"/>
          <w:szCs w:val="20"/>
          <w:b w:val="1"/>
          <w:bCs w:val="1"/>
          <w:color w:val="auto"/>
        </w:rPr>
        <w:t>CALAVO GROWERS, INC.</w:t>
      </w:r>
      <w:r>
        <w:rPr>
          <w:rFonts w:ascii="Times New Roman" w:cs="Times New Roman" w:eastAsia="Times New Roman" w:hAnsi="Times New Roman"/>
          <w:sz w:val="20"/>
          <w:szCs w:val="20"/>
          <w:color w:val="auto"/>
        </w:rPr>
        <w:t>, a California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Lenders identified on the signature pages hereto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Credit Agreement (as amended, modified, supplemented, increased 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June 14, 2016 among the Borrower, the Guarantors identified therein, the Lenders identified therein and the Administrative Agent, the Lenders have agreed to make credit extensions available to the Loan Parties; and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Borrower and the Lenders have agreed to amend the Credit Agreement subject to the terms and conditions stated herein;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other good and valuable consideration, the receipt and sufficiency of which are hereby acknowledged, and intending to be legally bound hereby, the parties hereto agree as follows:</w:t>
      </w:r>
    </w:p>
    <w:p>
      <w:pPr>
        <w:spacing w:after="0" w:line="175" w:lineRule="exact"/>
        <w:rPr>
          <w:sz w:val="20"/>
          <w:szCs w:val="20"/>
          <w:color w:val="auto"/>
        </w:rPr>
      </w:pPr>
    </w:p>
    <w:p>
      <w:pPr>
        <w:ind w:firstLine="648"/>
        <w:spacing w:after="0" w:line="269" w:lineRule="auto"/>
        <w:tabs>
          <w:tab w:leader="none" w:pos="150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w:t>
      </w:r>
    </w:p>
    <w:p>
      <w:pPr>
        <w:spacing w:after="0" w:line="159" w:lineRule="exact"/>
        <w:rPr>
          <w:rFonts w:ascii="Times New Roman" w:cs="Times New Roman" w:eastAsia="Times New Roman" w:hAnsi="Times New Roman"/>
          <w:sz w:val="20"/>
          <w:szCs w:val="20"/>
          <w:color w:val="auto"/>
        </w:rPr>
      </w:pPr>
    </w:p>
    <w:p>
      <w:pPr>
        <w:ind w:left="1300" w:hanging="652"/>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296"/>
        <w:spacing w:after="0" w:line="269" w:lineRule="auto"/>
        <w:tabs>
          <w:tab w:leader="none" w:pos="213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1.01 – New Definitions</w:t>
      </w:r>
      <w:r>
        <w:rPr>
          <w:rFonts w:ascii="Times New Roman" w:cs="Times New Roman" w:eastAsia="Times New Roman" w:hAnsi="Times New Roman"/>
          <w:sz w:val="20"/>
          <w:szCs w:val="20"/>
          <w:color w:val="auto"/>
        </w:rPr>
        <w:t>. Section 1.01 of the Credit Agreement is hereby amended by adding the following definitions thereto in alphabetical order: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Agricola</w:t>
      </w:r>
      <w:r>
        <w:rPr>
          <w:rFonts w:ascii="Times New Roman" w:cs="Times New Roman" w:eastAsia="Times New Roman" w:hAnsi="Times New Roman"/>
          <w:sz w:val="20"/>
          <w:szCs w:val="20"/>
          <w:color w:val="auto"/>
        </w:rPr>
        <w:t>” means Agricola Don Memo, S.A. de C.V., a Mexican corporation.</w:t>
      </w:r>
    </w:p>
    <w:p>
      <w:pPr>
        <w:spacing w:after="0" w:line="216"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Joint Ventures</w:t>
      </w:r>
      <w:r>
        <w:rPr>
          <w:rFonts w:ascii="Times New Roman" w:cs="Times New Roman" w:eastAsia="Times New Roman" w:hAnsi="Times New Roman"/>
          <w:sz w:val="20"/>
          <w:szCs w:val="20"/>
          <w:color w:val="auto"/>
        </w:rPr>
        <w:t>” means FreshRealm and Agricola.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FreshRealm</w:t>
      </w:r>
      <w:r>
        <w:rPr>
          <w:rFonts w:ascii="Times New Roman" w:cs="Times New Roman" w:eastAsia="Times New Roman" w:hAnsi="Times New Roman"/>
          <w:sz w:val="20"/>
          <w:szCs w:val="20"/>
          <w:color w:val="auto"/>
        </w:rPr>
        <w:t>” shall mean Freshrealm, LLC, a Delaware limited liability company.</w:t>
      </w:r>
    </w:p>
    <w:p>
      <w:pPr>
        <w:spacing w:after="0" w:line="216" w:lineRule="exact"/>
        <w:rPr>
          <w:sz w:val="20"/>
          <w:szCs w:val="20"/>
          <w:color w:val="auto"/>
        </w:rPr>
      </w:pPr>
    </w:p>
    <w:p>
      <w:pPr>
        <w:ind w:firstLine="1296"/>
        <w:spacing w:after="0" w:line="269" w:lineRule="auto"/>
        <w:tabs>
          <w:tab w:leader="none" w:pos="20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1.01 – Amended Definition</w:t>
      </w:r>
      <w:r>
        <w:rPr>
          <w:rFonts w:ascii="Times New Roman" w:cs="Times New Roman" w:eastAsia="Times New Roman" w:hAnsi="Times New Roman"/>
          <w:sz w:val="20"/>
          <w:szCs w:val="20"/>
          <w:color w:val="auto"/>
        </w:rPr>
        <w:t>. The definition of “Material Subsidiary” as set forth in Section 1.01 of the Credit Agreement is hereby amended and restated in its entirety as follows:</w:t>
      </w:r>
    </w:p>
    <w:p>
      <w:pPr>
        <w:spacing w:after="0" w:line="160"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any Domestic Subsidiary of the Borrower that, together with its Subsidiaries, (a) has total assets (including equity interests in other Subsidiaries and excluding investments that are eliminated in consolidation) of equal to or greater than 20% of the total assets of the Borrower and its Subsidiaries, on a Consolidated basis as of the end of the most recent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1029335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4" w:right="919" w:bottom="1440" w:gutter="0" w:footer="0" w:header="0"/>
        </w:sectPr>
      </w:pPr>
    </w:p>
    <w:bookmarkStart w:id="45" w:name="page46"/>
    <w:bookmarkEnd w:id="45"/>
    <w:p>
      <w:pPr>
        <w:jc w:val="both"/>
        <w:ind w:left="1300" w:firstLine="59"/>
        <w:spacing w:after="0" w:line="249" w:lineRule="auto"/>
        <w:tabs>
          <w:tab w:leader="none" w:pos="165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fiscal quarters; and (b) has total gross profit of equal to or greater than 20% of the total gross profits of Borrower and its Subsidiaries, on a Consolidated basis as of the end of the most recent four (4) fiscal quarters;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no time shall any Existing Joint Venture be deemed to be a Material Subsidiary unless otherwise agreed to by Borrower and Administrative Agent.</w:t>
      </w:r>
    </w:p>
    <w:p>
      <w:pPr>
        <w:spacing w:after="0" w:line="179" w:lineRule="exact"/>
        <w:rPr>
          <w:rFonts w:ascii="Times New Roman" w:cs="Times New Roman" w:eastAsia="Times New Roman" w:hAnsi="Times New Roman"/>
          <w:sz w:val="20"/>
          <w:szCs w:val="20"/>
          <w:color w:val="auto"/>
        </w:rPr>
      </w:pPr>
    </w:p>
    <w:p>
      <w:pPr>
        <w:ind w:left="2160" w:hanging="864"/>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ARTICLE V</w:t>
      </w:r>
      <w:r>
        <w:rPr>
          <w:rFonts w:ascii="Times New Roman" w:cs="Times New Roman" w:eastAsia="Times New Roman" w:hAnsi="Times New Roman"/>
          <w:sz w:val="20"/>
          <w:szCs w:val="20"/>
          <w:color w:val="auto"/>
        </w:rPr>
        <w:t>.  The following is hereby added to the Credit Agreement as a new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5.24</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 xml:space="preserve">5.24 </w:t>
      </w:r>
      <w:r>
        <w:rPr>
          <w:rFonts w:ascii="Times New Roman" w:cs="Times New Roman" w:eastAsia="Times New Roman" w:hAnsi="Times New Roman"/>
          <w:sz w:val="20"/>
          <w:szCs w:val="20"/>
          <w:u w:val="single" w:color="auto"/>
          <w:color w:val="auto"/>
        </w:rPr>
        <w:t>Know Your Customer</w:t>
      </w:r>
      <w:r>
        <w:rPr>
          <w:rFonts w:ascii="Times New Roman" w:cs="Times New Roman" w:eastAsia="Times New Roman" w:hAnsi="Times New Roman"/>
          <w:sz w:val="20"/>
          <w:szCs w:val="20"/>
          <w:color w:val="auto"/>
        </w:rPr>
        <w:t>. 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80" w:lineRule="exact"/>
        <w:rPr>
          <w:sz w:val="20"/>
          <w:szCs w:val="20"/>
          <w:color w:val="auto"/>
        </w:rPr>
      </w:pPr>
    </w:p>
    <w:p>
      <w:pPr>
        <w:ind w:left="2140" w:hanging="844"/>
        <w:spacing w:after="0"/>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ARTICLE VI</w:t>
      </w:r>
      <w:r>
        <w:rPr>
          <w:rFonts w:ascii="Times New Roman" w:cs="Times New Roman" w:eastAsia="Times New Roman" w:hAnsi="Times New Roman"/>
          <w:sz w:val="20"/>
          <w:szCs w:val="20"/>
          <w:color w:val="auto"/>
        </w:rPr>
        <w:t>.  The following is hereby added to the Credit Agreement as a new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Exclusion of Financial Results of FreshRealm. Notwithstanding anything else stated in this Agreement, at no time or event shall the financial statements, condition, results or otherwise the financial status of FreshRealm (collectively, the “FreshRealm Financials”), regardless of whether FreshRealm shall be considered a Subsidiary, be calculated as a part of and/or included in the financial reporting, condition, calculations or covenants (collectively, “Loan Party Reporting”) set forth in this Agreement with respect to the Borrower, the Loan Parties or their respective Subsidiaries, and the parties hereto agree that any and all financial information provided to Administrative Agent (including, but not limited to, calculations set forth in the Compliance Certificate) to allow Administrative Agent to calculate any Loan Party Reporting requirements hereunder or otherwise shall be provided in the manner required by the Credit Agreement, but shall exclude the FreshRealm Financials.</w:t>
      </w:r>
    </w:p>
    <w:p>
      <w:pPr>
        <w:spacing w:after="0" w:line="193" w:lineRule="exact"/>
        <w:rPr>
          <w:sz w:val="20"/>
          <w:szCs w:val="20"/>
          <w:color w:val="auto"/>
        </w:rPr>
      </w:pPr>
    </w:p>
    <w:p>
      <w:pPr>
        <w:ind w:left="1960" w:hanging="66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7.03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80" w:firstLine="645"/>
        <w:spacing w:after="0" w:line="269" w:lineRule="auto"/>
        <w:tabs>
          <w:tab w:leader="none" w:pos="287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Clause (b)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of the Credit Agreement is hereby deleted and replaced in its entirety with the following clause (b):</w:t>
      </w:r>
    </w:p>
    <w:p>
      <w:pPr>
        <w:spacing w:after="0" w:line="159" w:lineRule="exact"/>
        <w:rPr>
          <w:rFonts w:ascii="Times New Roman" w:cs="Times New Roman" w:eastAsia="Times New Roman" w:hAnsi="Times New Roman"/>
          <w:sz w:val="20"/>
          <w:szCs w:val="20"/>
          <w:color w:val="auto"/>
        </w:rPr>
      </w:pPr>
    </w:p>
    <w:p>
      <w:pPr>
        <w:jc w:val="both"/>
        <w:ind w:left="2600" w:hanging="8"/>
        <w:spacing w:after="0" w:line="255" w:lineRule="auto"/>
        <w:tabs>
          <w:tab w:leader="none" w:pos="3355"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(excluding any Existing Joint Venture), (iv) so long as no Default has occurred and is continuing or would result from such Investment, additional Investments in the form of loans and advances by the Loan Parties to Foreign Subsidiaries (excluding any Existing Joint Venture) to finance Capital Expenditures not exceeding $20,000,000 in the aggregate in any fiscal year of Borrower, and</w:t>
      </w:r>
    </w:p>
    <w:p>
      <w:pPr>
        <w:spacing w:after="0" w:line="1" w:lineRule="exact"/>
        <w:rPr>
          <w:rFonts w:ascii="Times New Roman" w:cs="Times New Roman" w:eastAsia="Times New Roman" w:hAnsi="Times New Roman"/>
          <w:sz w:val="19"/>
          <w:szCs w:val="19"/>
          <w:color w:val="auto"/>
        </w:rPr>
      </w:pPr>
    </w:p>
    <w:p>
      <w:pPr>
        <w:jc w:val="both"/>
        <w:ind w:left="2600" w:hanging="8"/>
        <w:spacing w:after="0" w:line="242" w:lineRule="auto"/>
        <w:tabs>
          <w:tab w:leader="none" w:pos="2943"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has occurred and is continuing or would result from such Investment, Investments in the form of short term loans and advances by the Loan Parties to Subsidiaries of Borrower that are not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 w:name="page47"/>
    <w:bookmarkEnd w:id="46"/>
    <w:p>
      <w:pPr>
        <w:ind w:left="2600"/>
        <w:spacing w:after="0" w:line="268" w:lineRule="auto"/>
        <w:rPr>
          <w:sz w:val="20"/>
          <w:szCs w:val="20"/>
          <w:color w:val="auto"/>
        </w:rPr>
      </w:pPr>
      <w:r>
        <w:rPr>
          <w:rFonts w:ascii="Times New Roman" w:cs="Times New Roman" w:eastAsia="Times New Roman" w:hAnsi="Times New Roman"/>
          <w:sz w:val="20"/>
          <w:szCs w:val="20"/>
          <w:color w:val="auto"/>
        </w:rPr>
        <w:t>Parties (excluding any Existing Joint Venture) to finance operations in an aggregate amount invested not to exceed $20,000,000 at any time;</w:t>
      </w:r>
    </w:p>
    <w:p>
      <w:pPr>
        <w:spacing w:after="0" w:line="161" w:lineRule="exact"/>
        <w:rPr>
          <w:sz w:val="20"/>
          <w:szCs w:val="20"/>
          <w:color w:val="auto"/>
        </w:rPr>
      </w:pPr>
    </w:p>
    <w:p>
      <w:pPr>
        <w:ind w:left="1380" w:firstLine="645"/>
        <w:spacing w:after="0" w:line="269" w:lineRule="auto"/>
        <w:tabs>
          <w:tab w:leader="none" w:pos="287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Clause (f)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of the Credit Agreement is hereby deleted and replaced in its entirety with the following clause (f):</w:t>
      </w:r>
    </w:p>
    <w:p>
      <w:pPr>
        <w:spacing w:after="0" w:line="160" w:lineRule="exact"/>
        <w:rPr>
          <w:sz w:val="20"/>
          <w:szCs w:val="20"/>
          <w:color w:val="auto"/>
        </w:rPr>
      </w:pPr>
    </w:p>
    <w:p>
      <w:pPr>
        <w:jc w:val="both"/>
        <w:ind w:left="2600" w:hanging="8"/>
        <w:spacing w:after="0" w:line="249" w:lineRule="auto"/>
        <w:tabs>
          <w:tab w:leader="none" w:pos="3307" w:val="left"/>
        </w:tabs>
        <w:numPr>
          <w:ilvl w:val="3"/>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(other than of Foreign Subsidiaries held directly or indirectly by a Foreign Subsidiary which Investments are covered by Section 7.03(b)(iv) and Investments in any Existing Joint Venture), which Investments are covered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7.03(l)</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1380" w:firstLine="645"/>
        <w:spacing w:after="0" w:line="269" w:lineRule="auto"/>
        <w:tabs>
          <w:tab w:leader="none" w:pos="2711"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Clauses (j) and (k)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of the Credit Agreement are hereby deleted and replaced in their entirety with clauses (j), (k), (l) and (m) as follows:</w:t>
      </w:r>
    </w:p>
    <w:p>
      <w:pPr>
        <w:spacing w:after="0" w:line="159" w:lineRule="exact"/>
        <w:rPr>
          <w:rFonts w:ascii="Times New Roman" w:cs="Times New Roman" w:eastAsia="Times New Roman" w:hAnsi="Times New Roman"/>
          <w:sz w:val="20"/>
          <w:szCs w:val="20"/>
          <w:color w:val="auto"/>
        </w:rPr>
      </w:pPr>
    </w:p>
    <w:p>
      <w:pPr>
        <w:ind w:left="3280" w:hanging="688"/>
        <w:spacing w:after="0"/>
        <w:tabs>
          <w:tab w:leader="none" w:pos="3280"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by Borrower in Existing Joint Ventures prior to January 31, 2019;</w:t>
      </w:r>
    </w:p>
    <w:p>
      <w:pPr>
        <w:spacing w:after="0" w:line="215" w:lineRule="exact"/>
        <w:rPr>
          <w:rFonts w:ascii="Times New Roman" w:cs="Times New Roman" w:eastAsia="Times New Roman" w:hAnsi="Times New Roman"/>
          <w:sz w:val="20"/>
          <w:szCs w:val="20"/>
          <w:color w:val="auto"/>
        </w:rPr>
      </w:pPr>
    </w:p>
    <w:p>
      <w:pPr>
        <w:jc w:val="both"/>
        <w:ind w:left="2600" w:hanging="8"/>
        <w:spacing w:after="0" w:line="249" w:lineRule="auto"/>
        <w:tabs>
          <w:tab w:leader="none" w:pos="3493"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has occurred and is continuing or would result from such Investment, Investments in the form of advances or equity Investments in third parties, including, but not limited to, joint ventures (excluding the Existing Joint Ventures) and non-wholly owned Subsidiaries, not to exceed $10,000,000 in the aggregate at any time;</w:t>
      </w:r>
    </w:p>
    <w:p>
      <w:pPr>
        <w:spacing w:after="0" w:line="180" w:lineRule="exact"/>
        <w:rPr>
          <w:rFonts w:ascii="Times New Roman" w:cs="Times New Roman" w:eastAsia="Times New Roman" w:hAnsi="Times New Roman"/>
          <w:sz w:val="20"/>
          <w:szCs w:val="20"/>
          <w:color w:val="auto"/>
        </w:rPr>
      </w:pPr>
    </w:p>
    <w:p>
      <w:pPr>
        <w:jc w:val="both"/>
        <w:ind w:left="2600" w:hanging="8"/>
        <w:spacing w:after="0" w:line="249" w:lineRule="auto"/>
        <w:tabs>
          <w:tab w:leader="none" w:pos="3507"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has occurred and is continuing or would result from such Investment, Investments in the form of advances or equity Investments in Existing Joint Ventures made after January 31, 2019, not to exceed $23,000,000 in the aggregate at any time; and</w:t>
      </w:r>
    </w:p>
    <w:p>
      <w:pPr>
        <w:spacing w:after="0" w:line="180" w:lineRule="exact"/>
        <w:rPr>
          <w:rFonts w:ascii="Times New Roman" w:cs="Times New Roman" w:eastAsia="Times New Roman" w:hAnsi="Times New Roman"/>
          <w:sz w:val="20"/>
          <w:szCs w:val="20"/>
          <w:color w:val="auto"/>
        </w:rPr>
      </w:pPr>
    </w:p>
    <w:p>
      <w:pPr>
        <w:ind w:left="2600" w:hanging="8"/>
        <w:spacing w:after="0" w:line="269" w:lineRule="auto"/>
        <w:tabs>
          <w:tab w:leader="none" w:pos="3689" w:val="left"/>
        </w:tabs>
        <w:numPr>
          <w:ilvl w:val="3"/>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not contemplated by the above provisions not exceeding $5,000,000 in the aggregate at any time.</w:t>
      </w:r>
    </w:p>
    <w:p>
      <w:pPr>
        <w:spacing w:after="0" w:line="159" w:lineRule="exact"/>
        <w:rPr>
          <w:rFonts w:ascii="Times New Roman" w:cs="Times New Roman" w:eastAsia="Times New Roman" w:hAnsi="Times New Roman"/>
          <w:sz w:val="20"/>
          <w:szCs w:val="20"/>
          <w:color w:val="auto"/>
        </w:rPr>
      </w:pPr>
    </w:p>
    <w:p>
      <w:pPr>
        <w:jc w:val="both"/>
        <w:ind w:firstLine="648"/>
        <w:spacing w:after="0" w:line="254" w:lineRule="auto"/>
        <w:tabs>
          <w:tab w:leader="none" w:pos="158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and the obligations of Administrative Agent and the Lenders hereunder will be effective only upon satisfaction of each of the following conditions precedent, each in a manner in form and substance acceptable to Administrative Agent in its sole discretion:</w:t>
      </w:r>
    </w:p>
    <w:p>
      <w:pPr>
        <w:spacing w:after="0" w:line="174" w:lineRule="exact"/>
        <w:rPr>
          <w:rFonts w:ascii="Times New Roman" w:cs="Times New Roman" w:eastAsia="Times New Roman" w:hAnsi="Times New Roman"/>
          <w:sz w:val="20"/>
          <w:szCs w:val="20"/>
          <w:color w:val="auto"/>
        </w:rPr>
      </w:pPr>
    </w:p>
    <w:p>
      <w:pPr>
        <w:ind w:left="1960" w:hanging="664"/>
        <w:spacing w:after="0"/>
        <w:tabs>
          <w:tab w:leader="none" w:pos="19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Administrative Agent of a fully-executed original of this Amendment;</w:t>
      </w:r>
    </w:p>
    <w:p>
      <w:pPr>
        <w:spacing w:after="0" w:line="215" w:lineRule="exact"/>
        <w:rPr>
          <w:rFonts w:ascii="Times New Roman" w:cs="Times New Roman" w:eastAsia="Times New Roman" w:hAnsi="Times New Roman"/>
          <w:sz w:val="20"/>
          <w:szCs w:val="20"/>
          <w:color w:val="auto"/>
        </w:rPr>
      </w:pPr>
    </w:p>
    <w:p>
      <w:pPr>
        <w:jc w:val="both"/>
        <w:ind w:left="640" w:firstLine="656"/>
        <w:spacing w:after="0" w:line="254" w:lineRule="auto"/>
        <w:tabs>
          <w:tab w:leader="none" w:pos="20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Administrative Agent all costs and expenses owed to and/or incurred by the Administrative Agent arising in connection with this Amendment (including reasonable attorneys’ fees and costs);</w:t>
      </w:r>
    </w:p>
    <w:p>
      <w:pPr>
        <w:spacing w:after="0" w:line="174" w:lineRule="exact"/>
        <w:rPr>
          <w:rFonts w:ascii="Times New Roman" w:cs="Times New Roman" w:eastAsia="Times New Roman" w:hAnsi="Times New Roman"/>
          <w:sz w:val="20"/>
          <w:szCs w:val="20"/>
          <w:color w:val="auto"/>
        </w:rPr>
      </w:pPr>
    </w:p>
    <w:p>
      <w:pPr>
        <w:jc w:val="both"/>
        <w:ind w:left="640" w:firstLine="656"/>
        <w:spacing w:after="0" w:line="249" w:lineRule="auto"/>
        <w:tabs>
          <w:tab w:leader="none" w:pos="2021"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 w:name="page48"/>
    <w:bookmarkEnd w:id="47"/>
    <w:p>
      <w:pPr>
        <w:jc w:val="both"/>
        <w:ind w:left="640" w:firstLine="656"/>
        <w:spacing w:after="0" w:line="273" w:lineRule="auto"/>
        <w:tabs>
          <w:tab w:leader="none" w:pos="2042"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Borrower that qualifies as a “legal entity customer” under the Beneficial Ownership Regulation shall deliver, to each Lender that so requests, a Beneficial Ownership Certification in relation to such Borrower and the information included in the Beneficial Ownership Certification, if applicable, is true and correct in all respects; and</w:t>
      </w:r>
    </w:p>
    <w:p>
      <w:pPr>
        <w:spacing w:after="0" w:line="158" w:lineRule="exact"/>
        <w:rPr>
          <w:rFonts w:ascii="Times New Roman" w:cs="Times New Roman" w:eastAsia="Times New Roman" w:hAnsi="Times New Roman"/>
          <w:sz w:val="19"/>
          <w:szCs w:val="19"/>
          <w:color w:val="auto"/>
        </w:rPr>
      </w:pPr>
    </w:p>
    <w:p>
      <w:pPr>
        <w:jc w:val="both"/>
        <w:ind w:left="640" w:firstLine="656"/>
        <w:spacing w:after="0" w:line="254" w:lineRule="auto"/>
        <w:tabs>
          <w:tab w:leader="none" w:pos="200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other documents, certificates and information that the Administrative Agent shall require each in form and substance satisfactory to the Administrative Agent in its reasonable credit judgment.</w:t>
      </w:r>
    </w:p>
    <w:p>
      <w:pPr>
        <w:spacing w:after="0" w:line="174" w:lineRule="exact"/>
        <w:rPr>
          <w:rFonts w:ascii="Times New Roman" w:cs="Times New Roman" w:eastAsia="Times New Roman" w:hAnsi="Times New Roman"/>
          <w:sz w:val="20"/>
          <w:szCs w:val="20"/>
          <w:color w:val="auto"/>
        </w:rPr>
      </w:pPr>
    </w:p>
    <w:p>
      <w:pPr>
        <w:jc w:val="both"/>
        <w:ind w:firstLine="648"/>
        <w:spacing w:after="0" w:line="254" w:lineRule="auto"/>
        <w:tabs>
          <w:tab w:leader="none" w:pos="137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Representations and Warranties</w:t>
      </w:r>
      <w:r>
        <w:rPr>
          <w:rFonts w:ascii="Times New Roman" w:cs="Times New Roman" w:eastAsia="Times New Roman" w:hAnsi="Times New Roman"/>
          <w:sz w:val="20"/>
          <w:szCs w:val="20"/>
          <w:color w:val="auto"/>
        </w:rPr>
        <w:t>. Each Loan Party represents and warrants that after giving effect to this Amendment, the representations and warranties made by each obligor set forth in the Loan Documents are true and correct in all material respects as of the date hereof (except those that expressly relate to an earlier period).</w:t>
      </w:r>
    </w:p>
    <w:p>
      <w:pPr>
        <w:spacing w:after="0" w:line="174" w:lineRule="exact"/>
        <w:rPr>
          <w:rFonts w:ascii="Times New Roman" w:cs="Times New Roman" w:eastAsia="Times New Roman" w:hAnsi="Times New Roman"/>
          <w:sz w:val="20"/>
          <w:szCs w:val="20"/>
          <w:color w:val="auto"/>
        </w:rPr>
      </w:pPr>
    </w:p>
    <w:p>
      <w:pPr>
        <w:jc w:val="both"/>
        <w:ind w:firstLine="648"/>
        <w:spacing w:after="0" w:line="249" w:lineRule="auto"/>
        <w:tabs>
          <w:tab w:leader="none" w:pos="156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Each Loan Party (a) acknowledges and consents to all of the terms and conditions of 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80" w:lineRule="exact"/>
        <w:rPr>
          <w:rFonts w:ascii="Times New Roman" w:cs="Times New Roman" w:eastAsia="Times New Roman" w:hAnsi="Times New Roman"/>
          <w:sz w:val="20"/>
          <w:szCs w:val="20"/>
          <w:color w:val="auto"/>
        </w:rPr>
      </w:pPr>
    </w:p>
    <w:p>
      <w:pPr>
        <w:jc w:val="both"/>
        <w:ind w:firstLine="648"/>
        <w:spacing w:after="0" w:line="254" w:lineRule="auto"/>
        <w:tabs>
          <w:tab w:leader="none" w:pos="134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(i) affirms that each of the Liens granted in or pursuant to the Loan Documents are valid and subsisting and (ii) agrees that this Amendment shall in no manner impair or otherwise adversely affect any of the Liens granted in or pursuant to the Loan Documents.</w:t>
      </w:r>
    </w:p>
    <w:p>
      <w:pPr>
        <w:spacing w:after="0" w:line="174" w:lineRule="exact"/>
        <w:rPr>
          <w:rFonts w:ascii="Times New Roman" w:cs="Times New Roman" w:eastAsia="Times New Roman" w:hAnsi="Times New Roman"/>
          <w:sz w:val="20"/>
          <w:szCs w:val="20"/>
          <w:color w:val="auto"/>
        </w:rPr>
      </w:pPr>
    </w:p>
    <w:p>
      <w:pPr>
        <w:ind w:firstLine="648"/>
        <w:spacing w:after="0" w:line="269" w:lineRule="auto"/>
        <w:tabs>
          <w:tab w:leader="none" w:pos="135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Except as modified hereby, all of the terms and provisions of the Loan Documents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648"/>
        <w:spacing w:after="0" w:line="249" w:lineRule="auto"/>
        <w:tabs>
          <w:tab w:leader="none" w:pos="145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Delivery</w:t>
      </w:r>
      <w:r>
        <w:rPr>
          <w:rFonts w:ascii="Times New Roman" w:cs="Times New Roman" w:eastAsia="Times New Roman" w:hAnsi="Times New Roman"/>
          <w:sz w:val="20"/>
          <w:szCs w:val="20"/>
          <w:color w:val="auto"/>
        </w:rPr>
        <w:t>. This Amendment may be executed in any number of counterparts, each of which when so executed and delivered shall be deemed an original and it shall not be necessary in making proof of this Amendment to produce or account for more than one such counterpart. Delivery of an executed counterpart of this Amendment by facsimile or other electronic imaging means shall be effective as an original.</w:t>
      </w:r>
    </w:p>
    <w:p>
      <w:pPr>
        <w:spacing w:after="0" w:line="180" w:lineRule="exact"/>
        <w:rPr>
          <w:rFonts w:ascii="Times New Roman" w:cs="Times New Roman" w:eastAsia="Times New Roman" w:hAnsi="Times New Roman"/>
          <w:sz w:val="20"/>
          <w:szCs w:val="20"/>
          <w:color w:val="auto"/>
        </w:rPr>
      </w:pPr>
    </w:p>
    <w:p>
      <w:pPr>
        <w:jc w:val="both"/>
        <w:ind w:firstLine="648"/>
        <w:spacing w:after="0" w:line="254" w:lineRule="auto"/>
        <w:tabs>
          <w:tab w:leader="none" w:pos="13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made under, and for all purposes shall be construed in accordance with, the laws of the State of California (without regards to principles of conflict of laws which would defer to the laws of another jurisdiction as governing).</w:t>
      </w:r>
    </w:p>
    <w:p>
      <w:pPr>
        <w:spacing w:after="0" w:line="170" w:lineRule="exact"/>
        <w:rPr>
          <w:rFonts w:ascii="Times New Roman" w:cs="Times New Roman" w:eastAsia="Times New Roman" w:hAnsi="Times New Roman"/>
          <w:sz w:val="20"/>
          <w:szCs w:val="20"/>
          <w:color w:val="auto"/>
        </w:rPr>
      </w:pPr>
    </w:p>
    <w:p>
      <w:pPr>
        <w:jc w:val="both"/>
        <w:ind w:firstLine="648"/>
        <w:spacing w:after="0" w:line="248" w:lineRule="auto"/>
        <w:tabs>
          <w:tab w:leader="none" w:pos="134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Jury Trial Waiver; California Judicial Reference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To the fullest extent permitted by applicable law, each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the parties hereto waives its right to trial by jury in any proceeding or dispute of any kind relating to this Amendment or the other Loan Documents, Obligations or Collateral. </w:t>
      </w:r>
      <w:r>
        <w:rPr>
          <w:rFonts w:ascii="Times New Roman" w:cs="Times New Roman" w:eastAsia="Times New Roman" w:hAnsi="Times New Roman"/>
          <w:sz w:val="20"/>
          <w:szCs w:val="20"/>
          <w:color w:val="auto"/>
        </w:rPr>
        <w:t>Without limiting the applicability of any other section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xml:space="preserve"> of the Credit Agreement are hereby incorporated by this reference and shall apply to any action, proceeding, claim or controversy arising out of this Amendment.</w:t>
      </w:r>
    </w:p>
    <w:p>
      <w:pPr>
        <w:spacing w:after="0" w:line="179" w:lineRule="exact"/>
        <w:rPr>
          <w:rFonts w:ascii="Times New Roman" w:cs="Times New Roman" w:eastAsia="Times New Roman" w:hAnsi="Times New Roman"/>
          <w:sz w:val="20"/>
          <w:szCs w:val="20"/>
          <w:color w:val="auto"/>
        </w:rPr>
      </w:pPr>
    </w:p>
    <w:p>
      <w:pPr>
        <w:jc w:val="both"/>
        <w:ind w:firstLine="648"/>
        <w:spacing w:after="0" w:line="254" w:lineRule="auto"/>
        <w:tabs>
          <w:tab w:leader="none" w:pos="132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Agreement</w:t>
      </w:r>
      <w:r>
        <w:rPr>
          <w:rFonts w:ascii="Times New Roman" w:cs="Times New Roman" w:eastAsia="Times New Roman" w:hAnsi="Times New Roman"/>
          <w:sz w:val="20"/>
          <w:szCs w:val="20"/>
          <w:color w:val="auto"/>
        </w:rPr>
        <w:t>. This Amendment, the Credit Agreement, and all other Loan Documents embody the entire understanding of the parties with respect to the subject matter thereof and supersede all prior understandings regarding the same subject matter.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 w:name="page49"/>
    <w:bookmarkEnd w:id="48"/>
    <w:p>
      <w:pPr>
        <w:ind w:firstLine="648"/>
        <w:spacing w:after="0" w:line="268" w:lineRule="auto"/>
        <w:rPr>
          <w:sz w:val="20"/>
          <w:szCs w:val="20"/>
          <w:color w:val="auto"/>
        </w:rPr>
      </w:pPr>
      <w:r>
        <w:rPr>
          <w:rFonts w:ascii="Times New Roman" w:cs="Times New Roman" w:eastAsia="Times New Roman" w:hAnsi="Times New Roman"/>
          <w:sz w:val="20"/>
          <w:szCs w:val="20"/>
          <w:color w:val="auto"/>
        </w:rPr>
        <w:t>IN WITNESS WHEREOF, each of the parties hereto has caused a counterpart of this Second Amendment to be duly executed and delivered as of the date first above written.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w:t>
            </w:r>
          </w:p>
        </w:tc>
        <w:tc>
          <w:tcPr>
            <w:tcW w:w="4340" w:type="dxa"/>
            <w:vAlign w:val="bottom"/>
          </w:tcPr>
          <w:p>
            <w:pPr>
              <w:ind w:left="1860"/>
              <w:spacing w:after="0"/>
              <w:rPr>
                <w:sz w:val="20"/>
                <w:szCs w:val="20"/>
                <w:color w:val="auto"/>
              </w:rPr>
            </w:pPr>
            <w:r>
              <w:rPr>
                <w:rFonts w:ascii="Times New Roman" w:cs="Times New Roman" w:eastAsia="Times New Roman" w:hAnsi="Times New Roman"/>
                <w:sz w:val="20"/>
                <w:szCs w:val="20"/>
                <w:b w:val="1"/>
                <w:bCs w:val="1"/>
                <w:color w:val="auto"/>
                <w:w w:val="97"/>
              </w:rPr>
              <w:t>CALAVO GROWERS, INC</w:t>
            </w:r>
            <w:r>
              <w:rPr>
                <w:rFonts w:ascii="Times New Roman" w:cs="Times New Roman" w:eastAsia="Times New Roman" w:hAnsi="Times New Roman"/>
                <w:sz w:val="20"/>
                <w:szCs w:val="20"/>
                <w:color w:val="auto"/>
                <w:w w:val="97"/>
              </w:rPr>
              <w:t>.,</w:t>
            </w:r>
          </w:p>
        </w:tc>
      </w:tr>
      <w:tr>
        <w:trPr>
          <w:trHeight w:val="256"/>
        </w:trPr>
        <w:tc>
          <w:tcPr>
            <w:tcW w:w="1200" w:type="dxa"/>
            <w:vAlign w:val="bottom"/>
            <w:tcBorders>
              <w:top w:val="single" w:sz="8" w:color="auto"/>
            </w:tcBorders>
          </w:tcPr>
          <w:p>
            <w:pPr>
              <w:spacing w:after="0"/>
              <w:rPr>
                <w:sz w:val="22"/>
                <w:szCs w:val="22"/>
                <w:color w:val="auto"/>
              </w:rPr>
            </w:pPr>
          </w:p>
        </w:tc>
        <w:tc>
          <w:tcPr>
            <w:tcW w:w="1920" w:type="dxa"/>
            <w:vAlign w:val="bottom"/>
          </w:tcPr>
          <w:p>
            <w:pPr>
              <w:spacing w:after="0"/>
              <w:rPr>
                <w:sz w:val="22"/>
                <w:szCs w:val="22"/>
                <w:color w:val="auto"/>
              </w:rPr>
            </w:pPr>
          </w:p>
        </w:tc>
        <w:tc>
          <w:tcPr>
            <w:tcW w:w="434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a California corporation</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-144780</wp:posOffset>
            </wp:positionV>
            <wp:extent cx="28727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13335</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-140335</wp:posOffset>
            </wp:positionV>
            <wp:extent cx="2872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SECOND AMENDMENT TO CREDIT AGREEMENT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w:t>
            </w:r>
          </w:p>
        </w:tc>
        <w:tc>
          <w:tcPr>
            <w:tcW w:w="6300" w:type="dxa"/>
            <w:vAlign w:val="bottom"/>
            <w:gridSpan w:val="3"/>
          </w:tcPr>
          <w:p>
            <w:pPr>
              <w:ind w:left="12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2520" w:type="dxa"/>
            <w:vAlign w:val="bottom"/>
            <w:tcBorders>
              <w:top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6300" w:type="dxa"/>
            <w:vAlign w:val="bottom"/>
            <w:gridSpan w:val="3"/>
          </w:tcPr>
          <w:p>
            <w:pPr>
              <w:ind w:left="1200"/>
              <w:spacing w:after="0"/>
              <w:rPr>
                <w:sz w:val="20"/>
                <w:szCs w:val="20"/>
                <w:color w:val="auto"/>
              </w:rPr>
            </w:pPr>
            <w:r>
              <w:rPr>
                <w:rFonts w:ascii="Times New Roman" w:cs="Times New Roman" w:eastAsia="Times New Roman" w:hAnsi="Times New Roman"/>
                <w:sz w:val="20"/>
                <w:szCs w:val="20"/>
                <w:color w:val="auto"/>
              </w:rPr>
              <w:t>as Administrative Agent</w:t>
            </w:r>
          </w:p>
        </w:tc>
        <w:tc>
          <w:tcPr>
            <w:tcW w:w="0" w:type="dxa"/>
            <w:vAlign w:val="bottom"/>
          </w:tcPr>
          <w:p>
            <w:pPr>
              <w:spacing w:after="0"/>
              <w:rPr>
                <w:sz w:val="1"/>
                <w:szCs w:val="1"/>
                <w:color w:val="auto"/>
              </w:rPr>
            </w:pPr>
          </w:p>
        </w:tc>
      </w:tr>
      <w:tr>
        <w:trPr>
          <w:trHeight w:val="890"/>
        </w:trPr>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00" w:type="dxa"/>
            <w:vAlign w:val="bottom"/>
            <w:gridSpan w:val="3"/>
          </w:tcPr>
          <w:p>
            <w:pPr>
              <w:ind w:left="12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vMerge w:val="restart"/>
          </w:tcPr>
          <w:p>
            <w:pPr>
              <w:ind w:left="1200"/>
              <w:spacing w:after="0"/>
              <w:rPr>
                <w:sz w:val="20"/>
                <w:szCs w:val="20"/>
                <w:color w:val="auto"/>
              </w:rPr>
            </w:pPr>
            <w:r>
              <w:rPr>
                <w:rFonts w:ascii="Times New Roman" w:cs="Times New Roman" w:eastAsia="Times New Roman" w:hAnsi="Times New Roman"/>
                <w:sz w:val="20"/>
                <w:szCs w:val="20"/>
                <w:color w:val="auto"/>
                <w:w w:val="97"/>
              </w:rPr>
              <w:t>Name:</w:t>
            </w:r>
          </w:p>
        </w:tc>
        <w:tc>
          <w:tcPr>
            <w:tcW w:w="4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45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vMerge w:val="restart"/>
          </w:tcPr>
          <w:p>
            <w:pPr>
              <w:ind w:left="120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01"/>
        </w:trPr>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SECOND AMENDMENT TO CREDIT AGREEMENT</w:t>
            </w: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Signature Page</w:t>
            </w:r>
          </w:p>
        </w:tc>
        <w:tc>
          <w:tcPr>
            <w:tcW w:w="0" w:type="dxa"/>
            <w:vAlign w:val="bottom"/>
          </w:tcPr>
          <w:p>
            <w:pPr>
              <w:spacing w:after="0"/>
              <w:rPr>
                <w:sz w:val="1"/>
                <w:szCs w:val="1"/>
                <w:color w:val="auto"/>
              </w:rPr>
            </w:pPr>
          </w:p>
        </w:tc>
      </w:tr>
      <w:tr>
        <w:trPr>
          <w:trHeight w:val="112"/>
        </w:trPr>
        <w:tc>
          <w:tcPr>
            <w:tcW w:w="2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28" w:right="919" w:bottom="1440" w:gutter="0" w:footer="0" w:header="0"/>
        </w:sectPr>
      </w:pPr>
    </w:p>
    <w:bookmarkStart w:id="50" w:name="page51"/>
    <w:bookmarkEnd w:id="50"/>
    <w:p>
      <w:pPr>
        <w:ind w:left="45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00"/>
        <w:spacing w:after="0" w:line="246" w:lineRule="auto"/>
        <w:rPr>
          <w:sz w:val="20"/>
          <w:szCs w:val="20"/>
          <w:color w:val="auto"/>
        </w:rPr>
      </w:pPr>
      <w:r>
        <w:rPr>
          <w:rFonts w:ascii="Times New Roman" w:cs="Times New Roman" w:eastAsia="Times New Roman" w:hAnsi="Times New Roman"/>
          <w:sz w:val="20"/>
          <w:szCs w:val="20"/>
          <w:color w:val="auto"/>
        </w:rPr>
        <w:t>as Lender, Non-Patronage Lender, L/C Issuer and Swingline Lender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-144780</wp:posOffset>
            </wp:positionV>
            <wp:extent cx="2864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20320</wp:posOffset>
            </wp:positionV>
            <wp:extent cx="2864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-133350</wp:posOffset>
            </wp:positionV>
            <wp:extent cx="2864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655320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280"/>
          </w:cols>
          <w:pgMar w:left="1440" w:top="342" w:right="11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w:t>
            </w:r>
          </w:p>
        </w:tc>
        <w:tc>
          <w:tcPr>
            <w:tcW w:w="7100" w:type="dxa"/>
            <w:vAlign w:val="bottom"/>
            <w:gridSpan w:val="3"/>
          </w:tcPr>
          <w:p>
            <w:pPr>
              <w:ind w:left="1980"/>
              <w:spacing w:after="0"/>
              <w:rPr>
                <w:sz w:val="20"/>
                <w:szCs w:val="20"/>
                <w:color w:val="auto"/>
              </w:rPr>
            </w:pPr>
            <w:r>
              <w:rPr>
                <w:rFonts w:ascii="Times New Roman" w:cs="Times New Roman" w:eastAsia="Times New Roman" w:hAnsi="Times New Roman"/>
                <w:sz w:val="20"/>
                <w:szCs w:val="20"/>
                <w:b w:val="1"/>
                <w:bCs w:val="1"/>
                <w:color w:val="auto"/>
              </w:rPr>
              <w:t>FARM CREDIT WEST, PCA</w:t>
            </w:r>
          </w:p>
        </w:tc>
        <w:tc>
          <w:tcPr>
            <w:tcW w:w="0" w:type="dxa"/>
            <w:vAlign w:val="bottom"/>
          </w:tcPr>
          <w:p>
            <w:pPr>
              <w:spacing w:after="0"/>
              <w:rPr>
                <w:sz w:val="1"/>
                <w:szCs w:val="1"/>
                <w:color w:val="auto"/>
              </w:rPr>
            </w:pPr>
          </w:p>
        </w:tc>
      </w:tr>
      <w:tr>
        <w:trPr>
          <w:trHeight w:val="256"/>
        </w:trPr>
        <w:tc>
          <w:tcPr>
            <w:tcW w:w="940" w:type="dxa"/>
            <w:vAlign w:val="bottom"/>
            <w:tcBorders>
              <w:top w:val="single" w:sz="8" w:color="auto"/>
            </w:tcBorders>
          </w:tcPr>
          <w:p>
            <w:pPr>
              <w:spacing w:after="0"/>
              <w:rPr>
                <w:sz w:val="22"/>
                <w:szCs w:val="22"/>
                <w:color w:val="auto"/>
              </w:rPr>
            </w:pPr>
          </w:p>
        </w:tc>
        <w:tc>
          <w:tcPr>
            <w:tcW w:w="2040" w:type="dxa"/>
            <w:vAlign w:val="bottom"/>
          </w:tcPr>
          <w:p>
            <w:pPr>
              <w:spacing w:after="0"/>
              <w:rPr>
                <w:sz w:val="22"/>
                <w:szCs w:val="22"/>
                <w:color w:val="auto"/>
              </w:rPr>
            </w:pPr>
          </w:p>
        </w:tc>
        <w:tc>
          <w:tcPr>
            <w:tcW w:w="7100" w:type="dxa"/>
            <w:vAlign w:val="bottom"/>
            <w:gridSpan w:val="3"/>
          </w:tcPr>
          <w:p>
            <w:pPr>
              <w:ind w:left="1980"/>
              <w:spacing w:after="0"/>
              <w:rPr>
                <w:sz w:val="20"/>
                <w:szCs w:val="20"/>
                <w:color w:val="auto"/>
              </w:rPr>
            </w:pPr>
            <w:r>
              <w:rPr>
                <w:rFonts w:ascii="Times New Roman" w:cs="Times New Roman" w:eastAsia="Times New Roman" w:hAnsi="Times New Roman"/>
                <w:sz w:val="20"/>
                <w:szCs w:val="20"/>
                <w:color w:val="auto"/>
              </w:rPr>
              <w:t>as a Lender and Patronage Lender</w:t>
            </w:r>
          </w:p>
        </w:tc>
        <w:tc>
          <w:tcPr>
            <w:tcW w:w="0" w:type="dxa"/>
            <w:vAlign w:val="bottom"/>
          </w:tcPr>
          <w:p>
            <w:pPr>
              <w:spacing w:after="0"/>
              <w:rPr>
                <w:sz w:val="1"/>
                <w:szCs w:val="1"/>
                <w:color w:val="auto"/>
              </w:rPr>
            </w:pPr>
          </w:p>
        </w:tc>
      </w:tr>
      <w:tr>
        <w:trPr>
          <w:trHeight w:val="890"/>
        </w:trPr>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100" w:type="dxa"/>
            <w:vAlign w:val="bottom"/>
            <w:gridSpan w:val="3"/>
          </w:tcPr>
          <w:p>
            <w:pPr>
              <w:ind w:left="198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20" w:type="dxa"/>
            <w:vAlign w:val="bottom"/>
            <w:vMerge w:val="restart"/>
          </w:tcPr>
          <w:p>
            <w:pPr>
              <w:ind w:left="1980"/>
              <w:spacing w:after="0"/>
              <w:rPr>
                <w:sz w:val="20"/>
                <w:szCs w:val="20"/>
                <w:color w:val="auto"/>
              </w:rPr>
            </w:pPr>
            <w:r>
              <w:rPr>
                <w:rFonts w:ascii="Times New Roman" w:cs="Times New Roman" w:eastAsia="Times New Roman" w:hAnsi="Times New Roman"/>
                <w:sz w:val="20"/>
                <w:szCs w:val="20"/>
                <w:color w:val="auto"/>
                <w:w w:val="97"/>
              </w:rPr>
              <w:t>Name:</w:t>
            </w:r>
          </w:p>
        </w:tc>
        <w:tc>
          <w:tcPr>
            <w:tcW w:w="4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20" w:type="dxa"/>
            <w:vAlign w:val="bottom"/>
            <w:vMerge w:val="restart"/>
          </w:tcPr>
          <w:p>
            <w:pPr>
              <w:ind w:left="1980"/>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85"/>
        </w:trPr>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SECOND AMENDMENT TO CREDIT AGREEMENT</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Signature Page</w:t>
            </w:r>
          </w:p>
        </w:tc>
        <w:tc>
          <w:tcPr>
            <w:tcW w:w="0" w:type="dxa"/>
            <w:vAlign w:val="bottom"/>
          </w:tcPr>
          <w:p>
            <w:pPr>
              <w:spacing w:after="0"/>
              <w:rPr>
                <w:sz w:val="1"/>
                <w:szCs w:val="1"/>
                <w:color w:val="auto"/>
              </w:rPr>
            </w:pPr>
          </w:p>
        </w:tc>
      </w:tr>
      <w:tr>
        <w:trPr>
          <w:trHeight w:val="112"/>
        </w:trPr>
        <w:tc>
          <w:tcPr>
            <w:tcW w:w="9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28" w:right="9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GUARANTOR ACKNOWLEDGMENT AND CONSENT</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Guarantor hereby expressly: (a) consents to the execution by Borrower, Administrative Agent and Lenders of this Amendment; (b) 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 (c) acknowledges that the Guarantor does not have any set-off, defense, or counterclaim to the payment or performance of any of the obligations of Borrower under the Credit Agreement or the Guarantor under the Guaranty (as defined in the Credit Agreement); (d) 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 (i) 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AGREED TO AND ACCEPTED BY:</w:t>
            </w:r>
          </w:p>
        </w:tc>
        <w:tc>
          <w:tcPr>
            <w:tcW w:w="14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6000" w:type="dxa"/>
            <w:vAlign w:val="bottom"/>
            <w:gridSpan w:val="2"/>
          </w:tcPr>
          <w:p>
            <w:pPr>
              <w:ind w:left="900"/>
              <w:spacing w:after="0"/>
              <w:rPr>
                <w:sz w:val="20"/>
                <w:szCs w:val="20"/>
                <w:color w:val="auto"/>
              </w:rPr>
            </w:pP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600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0" w:type="dxa"/>
            <w:vAlign w:val="bottom"/>
          </w:tcPr>
          <w:p>
            <w:pPr>
              <w:spacing w:after="0"/>
              <w:rPr>
                <w:sz w:val="1"/>
                <w:szCs w:val="1"/>
                <w:color w:val="auto"/>
              </w:rPr>
            </w:pPr>
          </w:p>
        </w:tc>
      </w:tr>
      <w:tr>
        <w:trPr>
          <w:trHeight w:val="890"/>
        </w:trPr>
        <w:tc>
          <w:tcPr>
            <w:tcW w:w="4060" w:type="dxa"/>
            <w:vAlign w:val="bottom"/>
          </w:tcPr>
          <w:p>
            <w:pPr>
              <w:spacing w:after="0"/>
              <w:rPr>
                <w:sz w:val="24"/>
                <w:szCs w:val="24"/>
                <w:color w:val="auto"/>
              </w:rPr>
            </w:pPr>
          </w:p>
        </w:tc>
        <w:tc>
          <w:tcPr>
            <w:tcW w:w="600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144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144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0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GUARANTOR ACKNOWLEDGMENT AND CONSENT TO</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SECOND AMENDMENT TO CREDIT AGREEMENT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4" w:right="9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3887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262890</wp:posOffset>
            </wp:positionV>
            <wp:extent cx="63887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648335</wp:posOffset>
            </wp:positionV>
            <wp:extent cx="16033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95250</wp:posOffset>
            </wp:positionV>
            <wp:extent cx="16033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SEVENTH AMENDED AND RESTATED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LIMITED LIABILITY COMPANY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February 27, 2019</w:t>
      </w:r>
    </w:p>
    <w:p>
      <w:pPr>
        <w:spacing w:after="0" w:line="200" w:lineRule="exact"/>
        <w:rPr>
          <w:sz w:val="20"/>
          <w:szCs w:val="20"/>
          <w:color w:val="auto"/>
        </w:rPr>
      </w:pPr>
    </w:p>
    <w:p>
      <w:pPr>
        <w:spacing w:after="0" w:line="2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MEMBERSHIP INTERESTS OF FRESHREALM, LLC, AND THE UNITS THEREOF REPRESENTED BY THIS LIMITED LIABILITY COMPANY AGREEMENT, HAVE NOT BEEN REGISTERED UNDER THE UNITED STATES SECURITIES ACT OF 1933, AS AMENDED, OR UNDER ANY OTHER APPLICABLE SECURITIES LAWS. SUCH MEMBERSHIP INTERESTS AND/OR UNITS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459740</wp:posOffset>
            </wp:positionV>
            <wp:extent cx="63887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388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2"/>
                <w:szCs w:val="22"/>
                <w:color w:val="auto"/>
              </w:rPr>
            </w:pPr>
          </w:p>
        </w:tc>
      </w:tr>
      <w:tr>
        <w:trPr>
          <w:trHeight w:val="750"/>
        </w:trPr>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51"/>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ARTICLE I</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19"/>
        </w:trPr>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ARTICLE II</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ORGANIZATIONAL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2.1</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Formation of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2.2</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Limited Liability Company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2.3</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Name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2.4</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Purpose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2.5</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Principal Office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2.6</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Registered Office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2.7</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Term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2.8</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 Partnership</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ARTICLE III</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UNITS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3.1</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Units Generally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3.2</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Authorization and Issuance of Units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3.3</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Units Issued to Initial Service Providers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3.4</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Authorization to Issue Profits Interest Units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3.5</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Issuance of Additional Units and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3.6</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Purchase of Units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9"/>
        </w:trPr>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ARTICLE IV</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4.1</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Substituted 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4.2</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Additional 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4.3</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Representations and Warranties of Members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4.4</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Limitation of Liability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4.5</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Lack of Authority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9"/>
        </w:trPr>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4.6</w:t>
            </w: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Members’ Right to Act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616"/>
        </w:trPr>
        <w:tc>
          <w:tcPr>
            <w:tcW w:w="16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89" w:right="91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 (cont.)</w:t>
            </w:r>
          </w:p>
        </w:tc>
        <w:tc>
          <w:tcPr>
            <w:tcW w:w="25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32"/>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4.7</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No Right of Partition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4.8</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Indemnification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V</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CAPITAL CONTRIBUTIONS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5.1</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Initial Cash Capital Contributions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5.2</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Additional Capital Contributions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5.3</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Capital Accounts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5.4</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No Withdrawal</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5.5</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Loans from Members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5.6</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Distributions In-Kind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6.1</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6.2</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Tax Withholding</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6.3</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Survival of Certain Provisions______________</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6.4</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Indemnification and Reimbursement for Payments on Behalf of a Member</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VII</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MANAGEMENT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7.1</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Board of Directors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7.2</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Delegation of Authority</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7.3</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Chief Executive Officer</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7.4</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Other Officers, Employees and Consultants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7.5</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Limitation of Liability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VIII</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BOOKS, RECORDS, ACCOUNTING AND REPORTS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8.1</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Records and Accounting</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8.2</w:t>
            </w:r>
          </w:p>
        </w:tc>
        <w:tc>
          <w:tcPr>
            <w:tcW w:w="7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Fiscal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80010</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0"/>
          </w:cols>
          <w:pgMar w:left="1160" w:top="89" w:right="9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6600" w:type="dxa"/>
            <w:vAlign w:val="bottom"/>
            <w:gridSpan w:val="3"/>
          </w:tcPr>
          <w:p>
            <w:pPr>
              <w:ind w:left="1880"/>
              <w:spacing w:after="0"/>
              <w:rPr>
                <w:sz w:val="20"/>
                <w:szCs w:val="20"/>
                <w:color w:val="auto"/>
              </w:rPr>
            </w:pPr>
            <w:r>
              <w:rPr>
                <w:rFonts w:ascii="Times New Roman" w:cs="Times New Roman" w:eastAsia="Times New Roman" w:hAnsi="Times New Roman"/>
                <w:sz w:val="22"/>
                <w:szCs w:val="22"/>
                <w:b w:val="1"/>
                <w:bCs w:val="1"/>
                <w:color w:val="auto"/>
              </w:rPr>
              <w:t>TABLE OF CONTENTS (cont.)</w:t>
            </w:r>
          </w:p>
        </w:tc>
        <w:tc>
          <w:tcPr>
            <w:tcW w:w="1780" w:type="dxa"/>
            <w:vAlign w:val="bottom"/>
          </w:tcPr>
          <w:p>
            <w:pPr>
              <w:spacing w:after="0"/>
              <w:rPr>
                <w:sz w:val="22"/>
                <w:szCs w:val="22"/>
                <w:color w:val="auto"/>
              </w:rPr>
            </w:pPr>
          </w:p>
        </w:tc>
      </w:tr>
      <w:tr>
        <w:trPr>
          <w:trHeight w:val="532"/>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8.3</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Reports</w:t>
            </w:r>
          </w:p>
        </w:tc>
        <w:tc>
          <w:tcPr>
            <w:tcW w:w="296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IX</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COVENANTS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9.1</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9.2</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Non-compete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9.3</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Inventions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9.4</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Other Business Activities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9.5</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Violations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X</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TAX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10.1</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Preparation of Tax Returns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10.2</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Tax Elections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10.3</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______________</w:t>
            </w:r>
          </w:p>
        </w:tc>
        <w:tc>
          <w:tcPr>
            <w:tcW w:w="2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XI</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TRANSFER OF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11.1</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Transfers by Members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11.2</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Right of First Refusal</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11.3</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Approved Sale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11.4</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Void Transfers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11.5</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Additional Restrictions on Transfer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11.6</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Legend</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3"/>
              </w:rPr>
              <w:t>11.7</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Transfer Fees and Expenses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XII</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WITHDRAWAL AND RESIGNATION OF MEMBERS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12.1</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Withdrawal and Resignation of Member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XIII</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DISSOLUTION AND LIQUIDATION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13.1</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Dissolution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13.2</w:t>
            </w:r>
          </w:p>
        </w:tc>
        <w:tc>
          <w:tcPr>
            <w:tcW w:w="66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Liquidation and 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80010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0"/>
          </w:cols>
          <w:pgMar w:left="1160" w:top="89" w:right="9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 (cont.)</w:t>
            </w:r>
          </w:p>
        </w:tc>
        <w:tc>
          <w:tcPr>
            <w:tcW w:w="3540" w:type="dxa"/>
            <w:vAlign w:val="bottom"/>
          </w:tcPr>
          <w:p>
            <w:pPr>
              <w:spacing w:after="0"/>
              <w:rPr>
                <w:sz w:val="22"/>
                <w:szCs w:val="22"/>
                <w:color w:val="auto"/>
              </w:rPr>
            </w:pPr>
          </w:p>
        </w:tc>
      </w:tr>
      <w:tr>
        <w:trPr>
          <w:trHeight w:val="532"/>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13.3</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Cancellation of Certificate</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13.4</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Reasonable Time for Winding Up</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13.5</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Return of Capital</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19"/>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XIV</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GENERAL PROVISIONS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14.1</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Power of Attorney</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14.2</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Amendments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14.3</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to Company Assets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14.4</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Remedies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14.5</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Successors and Assigns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14.6</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14.7</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Execution</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14.8</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Descriptive Headings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14.9</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Applicable Law</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14.10</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Addresses and Notices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14.11</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Creditors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14.12</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Waiver</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14.13</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Further Action</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14.14</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Offset</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14.15</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Entire Agreement</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14.16</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Delivery by Facsimile or E-Mail</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14.17</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Dispute Resolution</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14.18</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Survival</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14.19</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Expenses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14.20</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Effective Date</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19"/>
        </w:trPr>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14.21</w:t>
            </w: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Acknowledgements</w:t>
            </w:r>
          </w:p>
        </w:tc>
        <w:tc>
          <w:tcPr>
            <w:tcW w:w="3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80010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0"/>
          </w:cols>
          <w:pgMar w:left="1160" w:top="89" w:right="91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FRESHREALM, LLC</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SEVENTH AMENDED AND RESTATED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182"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This Seventh Amended and Restated Limited Liability Company Agreement (as it may subsequently be amended from time to time in accordance with the terms hereof,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unless as to any provision it is otherwise specified) is entered into effective as of February 27, 2019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FreshRealm,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Members (as defined herein) signatory hereto from time to time. This Agreement governs the internal affairs of the Company and the authority of its Members. All of the matters set forth in this Agreement are to be considered the “internal affairs” of the Company. The Members, to the fullest extent possible, waive the application of the laws of any jurisdiction other than Delaware.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WHEREAS, the Company and the Members entered into that certain Amended and Restated Limited Liability Company Agreement of the Company, having an effective date as of July 31, 2013, as amended by Amendment No. 1, dated as of October 30, 2013, and Amendment No. 2, dated as of March 1, 2014, as further amended by the Second Amended and Restated Limited Liability Company Agreement dated as of April 30, 2014, and as further amended by the Third Amended and Restated Limited Liability Company Agreement dated as of July 31, 2014, as further amended by the Fourth Amended and Restated Limited Liability Company Agreement, effective as of November 1, 2014, as further amended by the Fifth Amended and Restated Limited Liability Company Agreement, effective as of August 1, 2016, and as further amended by the Sixth Amended and Restated Limited Liability Company Agreement effective as of April 18, 2017, as well as the First Amendment thereto, effective as of July 31, 2018 (collectively,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elected to be classified as a corporation for U.S. federal income tax purposes with an effective date of December 16, 2018 (the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its Members in connection with the Conversion wish to amend in certain respects and restate in its entirety the Original Agreement as set forth in this Agreement;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NOW, THEREFORE, in reliance on the foregoing recitals and for good and valuable consideration,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hereby amend and restate the Original Agreement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7" w:right="91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82"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following meanings as well as any other meanings for capitalized terms that are set forth elsewhere in this Agreement:</w:t>
      </w:r>
    </w:p>
    <w:p>
      <w:pPr>
        <w:spacing w:after="0" w:line="15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means any action, claim, complaint, petition, investigation, suit or other proceeding, whether administrative, civil or criminal, in law or in equity, or before any arbitrator or Governmental Entity.</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Member</w:t>
      </w:r>
      <w:r>
        <w:rPr>
          <w:rFonts w:ascii="Times New Roman" w:cs="Times New Roman" w:eastAsia="Times New Roman" w:hAnsi="Times New Roman"/>
          <w:sz w:val="22"/>
          <w:szCs w:val="22"/>
          <w:color w:val="auto"/>
        </w:rPr>
        <w:t xml:space="preserve">” means a Person admitted to the Company as a Member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particular Person means any other Person controlling, controlled by or under common control with such particular Person.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above Recitals.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ROFR Rightholders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Calavo</w:t>
      </w:r>
      <w:r>
        <w:rPr>
          <w:rFonts w:ascii="Times New Roman" w:cs="Times New Roman" w:eastAsia="Times New Roman" w:hAnsi="Times New Roman"/>
          <w:sz w:val="22"/>
          <w:szCs w:val="22"/>
          <w:color w:val="auto"/>
        </w:rPr>
        <w:t>” means Calavo Growers, Inc., a California corporation.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Calavo Director</w:t>
      </w:r>
      <w:r>
        <w:rPr>
          <w:rFonts w:ascii="Times New Roman" w:cs="Times New Roman" w:eastAsia="Times New Roman" w:hAnsi="Times New Roman"/>
          <w:sz w:val="22"/>
          <w:szCs w:val="22"/>
          <w:color w:val="auto"/>
        </w:rPr>
        <w:t>” has the meaning set forth in Section 7.1(b).</w:t>
      </w:r>
    </w:p>
    <w:p>
      <w:pPr>
        <w:spacing w:after="0" w:line="206"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Contributions</w:t>
      </w:r>
      <w:r>
        <w:rPr>
          <w:rFonts w:ascii="Times New Roman" w:cs="Times New Roman" w:eastAsia="Times New Roman" w:hAnsi="Times New Roman"/>
          <w:sz w:val="22"/>
          <w:szCs w:val="22"/>
          <w:color w:val="auto"/>
        </w:rPr>
        <w:t xml:space="preserve">” means any cash, cash equivalents, promissory obligations or the Fair Market Value of other property which a Member contributes or is deemed to have contributed to the Company with respect to any Unit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in the context of a basis for termination of a Service Provider’s employment with, or service as a non-employee to, the Company, “Cause” as defined in any employment agreement or consulting agreement between the Service Provider and the Company or, if there is no such agreement, the following:</w:t>
      </w:r>
    </w:p>
    <w:p>
      <w:pPr>
        <w:spacing w:after="0" w:line="174" w:lineRule="exact"/>
        <w:rPr>
          <w:sz w:val="20"/>
          <w:szCs w:val="20"/>
          <w:color w:val="auto"/>
        </w:rPr>
      </w:pPr>
    </w:p>
    <w:p>
      <w:pPr>
        <w:ind w:right="160" w:firstLine="648"/>
        <w:spacing w:after="0" w:line="244" w:lineRule="auto"/>
        <w:tabs>
          <w:tab w:leader="none" w:pos="133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breaches any obligation, duty or agreement in any material respect under any employment-related or consulting-related agreement with the Company, which breach is not cured or corrected within ten days after written notice thereof from the Company; or</w:t>
      </w:r>
    </w:p>
    <w:p>
      <w:pPr>
        <w:spacing w:after="0" w:line="173" w:lineRule="exact"/>
        <w:rPr>
          <w:rFonts w:ascii="Times New Roman" w:cs="Times New Roman" w:eastAsia="Times New Roman" w:hAnsi="Times New Roman"/>
          <w:sz w:val="22"/>
          <w:szCs w:val="22"/>
          <w:color w:val="auto"/>
        </w:rPr>
      </w:pPr>
    </w:p>
    <w:p>
      <w:pPr>
        <w:ind w:left="1340" w:hanging="692"/>
        <w:spacing w:after="0"/>
        <w:tabs>
          <w:tab w:leader="none" w:pos="13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violates any provision of this Agreement;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4" w:right="939" w:bottom="1440" w:gutter="0" w:footer="0" w:header="0"/>
        </w:sectPr>
      </w:pPr>
    </w:p>
    <w:bookmarkStart w:id="60" w:name="page61"/>
    <w:bookmarkEnd w:id="60"/>
    <w:p>
      <w:pPr>
        <w:ind w:left="1" w:right="100" w:firstLine="648"/>
        <w:spacing w:after="0" w:line="258" w:lineRule="auto"/>
        <w:tabs>
          <w:tab w:leader="none" w:pos="129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commits any act of personal dishonesty, undisclosed conflict of interest, fraud, or breach of trust involving the Company or any of its customers or suppliers; or</w:t>
      </w:r>
    </w:p>
    <w:p>
      <w:pPr>
        <w:spacing w:after="0" w:line="158" w:lineRule="exact"/>
        <w:rPr>
          <w:rFonts w:ascii="Times New Roman" w:cs="Times New Roman" w:eastAsia="Times New Roman" w:hAnsi="Times New Roman"/>
          <w:sz w:val="22"/>
          <w:szCs w:val="22"/>
          <w:color w:val="auto"/>
        </w:rPr>
      </w:pPr>
    </w:p>
    <w:p>
      <w:pPr>
        <w:ind w:left="1" w:firstLine="648"/>
        <w:spacing w:after="0" w:line="244" w:lineRule="auto"/>
        <w:tabs>
          <w:tab w:leader="none" w:pos="133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is convicted of, or pleads guilty or nolo contendere with respect to, a felony under federal or applicable state law, other than a traffic offense that does not involve serious bodily injury to a third person; or</w:t>
      </w:r>
    </w:p>
    <w:p>
      <w:pPr>
        <w:spacing w:after="0" w:line="173" w:lineRule="exact"/>
        <w:rPr>
          <w:rFonts w:ascii="Times New Roman" w:cs="Times New Roman" w:eastAsia="Times New Roman" w:hAnsi="Times New Roman"/>
          <w:sz w:val="22"/>
          <w:szCs w:val="22"/>
          <w:color w:val="auto"/>
        </w:rPr>
      </w:pPr>
    </w:p>
    <w:p>
      <w:pPr>
        <w:ind w:left="1" w:right="780" w:firstLine="648"/>
        <w:spacing w:after="0" w:line="258" w:lineRule="auto"/>
        <w:tabs>
          <w:tab w:leader="none" w:pos="13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is grossly negligent in the performance of services to the Company, or otherwise engages in any act of willful misconduct; or</w:t>
      </w:r>
    </w:p>
    <w:p>
      <w:pPr>
        <w:spacing w:after="0" w:line="158" w:lineRule="exact"/>
        <w:rPr>
          <w:rFonts w:ascii="Times New Roman" w:cs="Times New Roman" w:eastAsia="Times New Roman" w:hAnsi="Times New Roman"/>
          <w:sz w:val="22"/>
          <w:szCs w:val="22"/>
          <w:color w:val="auto"/>
        </w:rPr>
      </w:pPr>
    </w:p>
    <w:p>
      <w:pPr>
        <w:ind w:left="1" w:firstLine="648"/>
        <w:spacing w:after="0" w:line="235" w:lineRule="auto"/>
        <w:tabs>
          <w:tab w:leader="none" w:pos="133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commits continued and repeated substantive violations of specific written directions of the Board and/or the Person to whom the Service Provider reports, which directions are consistent with the Service Provider’s position and title, or continued and repeated substantive failure to perform duties assigned by the Board and/or the Person to whom the Service Provider reports; provided that no discharge shall be deemed for Cause under this subsection unless the Service Provider first receives written notice from the Company advising him of the specific acts or omissions alleged to constitute violations of written directions or a material failure to perform his duties, and such violations or material failure continue after he shall have had a reasonable opportunity to correct the acts or omissions so complained of; or</w:t>
      </w:r>
    </w:p>
    <w:p>
      <w:pPr>
        <w:spacing w:after="0" w:line="179" w:lineRule="exact"/>
        <w:rPr>
          <w:rFonts w:ascii="Times New Roman" w:cs="Times New Roman" w:eastAsia="Times New Roman" w:hAnsi="Times New Roman"/>
          <w:sz w:val="22"/>
          <w:szCs w:val="22"/>
          <w:color w:val="auto"/>
        </w:rPr>
      </w:pPr>
    </w:p>
    <w:p>
      <w:pPr>
        <w:ind w:left="1341" w:hanging="692"/>
        <w:spacing w:after="0"/>
        <w:tabs>
          <w:tab w:leader="none" w:pos="13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(A) obstructs or impedes, (B) endeavors to influence, obstruct or impede, or</w:t>
      </w:r>
    </w:p>
    <w:p>
      <w:pPr>
        <w:spacing w:after="0" w:line="14" w:lineRule="exact"/>
        <w:rPr>
          <w:rFonts w:ascii="Times New Roman" w:cs="Times New Roman" w:eastAsia="Times New Roman" w:hAnsi="Times New Roman"/>
          <w:sz w:val="22"/>
          <w:szCs w:val="22"/>
          <w:color w:val="auto"/>
        </w:rPr>
      </w:pPr>
    </w:p>
    <w:p>
      <w:pPr>
        <w:ind w:left="1" w:right="340" w:hanging="1"/>
        <w:spacing w:after="0" w:line="235" w:lineRule="auto"/>
        <w:tabs>
          <w:tab w:leader="none" w:pos="34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materially cooperate with, any investigation authorized by the Board or any governmental or self-regulatory entity, provided that the failure to waive attorney-client privilege relating to communications with the Service Provider’s own attorney in connection with an investigation shall not constitute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 as amended from time to time.</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Interest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ROFR Exercise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 w:right="5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with respect to the Company, any Person engaged or proposing to engage in any business related to the business of selling food shipped at between 33 and 44 degrees Fahrenheit directly to consumers using overnight or expedited delivery services such as</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FedEx, UPS, USPS, Uber, Instacart, Google Shopping Express, Task Rabbit and similar delivery service providers.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without limitation, the possession, directly or indirectly, of the power to direct the management and policies of a Person whether through the ownership of voting securities, by contract or otherwise, and each of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has a correlative meaning.</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Co-Packers</w:t>
      </w:r>
      <w:r>
        <w:rPr>
          <w:rFonts w:ascii="Times New Roman" w:cs="Times New Roman" w:eastAsia="Times New Roman" w:hAnsi="Times New Roman"/>
          <w:sz w:val="22"/>
          <w:szCs w:val="22"/>
          <w:color w:val="auto"/>
        </w:rPr>
        <w:t>” means Caito Foods Service, Inc., F&amp;S Produce Company, Inc. and Cut Fruit, LLC.</w:t>
      </w:r>
    </w:p>
    <w:p>
      <w:pPr>
        <w:spacing w:after="0" w:line="20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Delaware Act</w:t>
      </w:r>
      <w:r>
        <w:rPr>
          <w:rFonts w:ascii="Times New Roman" w:cs="Times New Roman" w:eastAsia="Times New Roman" w:hAnsi="Times New Roman"/>
          <w:sz w:val="22"/>
          <w:szCs w:val="22"/>
          <w:color w:val="auto"/>
        </w:rPr>
        <w:t xml:space="preserve">” means the Delaware Limited Liability Company Act, 6 Del.L. § 18-101,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it may be amended from time to time, and any successor to the Delaware Act.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an individual designated as a member of the Board.</w:t>
      </w:r>
    </w:p>
    <w:p>
      <w:pPr>
        <w:spacing w:after="0" w:line="20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any sickness, physical or mental disability or other condition which permanently and materially impairs a Service Provider’s ability to perform his duties as a Service Provider to the Company.</w:t>
      </w:r>
    </w:p>
    <w:p>
      <w:pPr>
        <w:spacing w:after="0" w:line="13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means each distribution with respect to Units made by the Company to a Member, whether in cash, property or Equity Securities of the Company and whether by liquidating distribution, redemption, repurchase or otherwise; provided that none of the following shall be a Distribution: (i) any redemption by the Company of any Equity Securities of the Company in connection with the termination of employment or service of an employee or consultant of the Company, (ii) any recapitalization or exchange of Equity Securities of the Company, and any subdivision (by split or otherwise) or any combination (by reverse split or otherwise) of any outstanding Equity Securities, or (iii) any reasonable fees, other remuneration or expense reimbursement paid to any Member in such Member’s capacity as an employee, officer, consultant or other provider of services to the Company (including payments pursuant to </w:t>
      </w:r>
      <w:r>
        <w:rPr>
          <w:rFonts w:ascii="Times New Roman" w:cs="Times New Roman" w:eastAsia="Times New Roman" w:hAnsi="Times New Roman"/>
          <w:sz w:val="22"/>
          <w:szCs w:val="22"/>
          <w:u w:val="single" w:color="auto"/>
          <w:color w:val="auto"/>
        </w:rPr>
        <w:t>Section 14.19</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any asset as of any date means the purchase price that a willing buyer having all relevant knowledge would pay a willing seller for such asset in an arm’s length transaction, as determined in good faith by the Board based on such factors as the Board, in the exercise of its reasonable business judgment, considers relevant.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Period</w:t>
      </w:r>
      <w:r>
        <w:rPr>
          <w:rFonts w:ascii="Times New Roman" w:cs="Times New Roman" w:eastAsia="Times New Roman" w:hAnsi="Times New Roman"/>
          <w:sz w:val="22"/>
          <w:szCs w:val="22"/>
          <w:color w:val="auto"/>
        </w:rPr>
        <w:t>” means any interim accounting period within a Taxable Year established by the Board.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28" w:right="959" w:bottom="1440" w:gutter="0" w:footer="0" w:header="0"/>
        </w:sectPr>
      </w:pPr>
    </w:p>
    <w:bookmarkStart w:id="62" w:name="page63"/>
    <w:bookmarkEnd w:id="62"/>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calendar quarter ending January 31, April 30, July 31 and October 31, or such other quarterly accounting period that may be established by the Board.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Fresh Benefit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U.S. generally accepted accounting principles.</w:t>
      </w:r>
    </w:p>
    <w:p>
      <w:pPr>
        <w:spacing w:after="0" w:line="20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a material reduction in the scope of a Service Provider’s duties or responsibilities, which reduction has (a) not been approved for proper business purposes by the Board, and (b) is not remedied by the Company within twenty days after notification to the Company containing a reasonably detailed description of such reduction; (ii) the Company’s reduction of the Service Provider’s annual base salary by more than thirty percent other than in conjunction with a termination of his employment or service for Cause; or (iii) the Company’s breach of any material obligation owed to the Service Provider under any employment or consultant agreement with the Company, which breach is not cured within twenty days after written notification to the Company.</w:t>
      </w:r>
    </w:p>
    <w:p>
      <w:pPr>
        <w:spacing w:after="0" w:line="17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the United States of America or any other nation, any state or other political subdivision thereof, or any entity exercising executive, legislative, judicial, regulatory or administrative functions of government.</w:t>
      </w:r>
    </w:p>
    <w:p>
      <w:pPr>
        <w:spacing w:after="0" w:line="17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Impermanence</w:t>
      </w:r>
      <w:r>
        <w:rPr>
          <w:rFonts w:ascii="Times New Roman" w:cs="Times New Roman" w:eastAsia="Times New Roman" w:hAnsi="Times New Roman"/>
          <w:sz w:val="22"/>
          <w:szCs w:val="22"/>
          <w:color w:val="auto"/>
        </w:rPr>
        <w:t>” means Impermanence, LLC, a Delaware limited liability company formed by Peter Hajas, Michael R. Lippold, and other investors and members of the Company’s management.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Impermanence Interests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at a particular time, without duplication, (i) any indebtedness for borrowed money or issued in substitution for or exchange of indebtedness for borrowed money, (ii) any indebtedness evidenced by any note, bond, debenture or other debt security, or with respect to which the assets or properties of the Company are secured, (iii) any indebtedness for the deferred purchase price of property or services with respect to which a Person is liable, contingently or otherwise, as obligor or otherwise (other than trade payables and other current liabilities incurred in the ordinary course of business), (iv) any leases capitalized or required to be capitalized in accordance with generally accepted accounting principles, (v) all indebtedness under guaranties, endorsements, assumptions, or other contractual obligations, including any letters of credit, or the obligations in respect of, or to purchase or otherwise acquire, indebtedness of others, or by which a Person assures a creditor against loss (including contingent reimbursement obligations with respect to letters of credit), and (vi) interest, penalties, fees, charges or other obligations with respect to any of the foregoing.</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3" w:name="page64"/>
    <w:bookmarkEnd w:id="63"/>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Member</w:t>
      </w:r>
      <w:r>
        <w:rPr>
          <w:rFonts w:ascii="Times New Roman" w:cs="Times New Roman" w:eastAsia="Times New Roman" w:hAnsi="Times New Roman"/>
          <w:sz w:val="22"/>
          <w:szCs w:val="22"/>
          <w:color w:val="auto"/>
        </w:rPr>
        <w:t>” means each Person whose name is listed on the signature pages of the Original Agreement and who previously executed and delivered the Original Agreement or a counterpart thereof.</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Line of Credit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means (i) each Initial Member, (ii) Impermanence, (iii) each Co-Packer whose name is listed on the signature pages of this Agreement as of the Effective Date, but only if such Co-Packer has executed and delivered this Agreement or a counterpart thereof, and (iv) any Person admitted to the Company as a Substituted Member or Additional Member; but only for so long as any such Person described in this sentence is shown on the Company’s books and records as the owner of one or more Units.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 ROFR Exercise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Minority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Non-Calavo Director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Member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Offered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 has the meaning set forth in the above Recitals.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 Interest</w:t>
      </w:r>
      <w:r>
        <w:rPr>
          <w:rFonts w:ascii="Times New Roman" w:cs="Times New Roman" w:eastAsia="Times New Roman" w:hAnsi="Times New Roman"/>
          <w:sz w:val="22"/>
          <w:szCs w:val="22"/>
          <w:color w:val="auto"/>
        </w:rPr>
        <w:t xml:space="preserve">” means, with respect to any Member as of any date, the ratio (expressed as a percentage) of the number of Units held by such Member on such date to the aggregate Units held by all Members on such date. Units may or may not include Profits Interests Units depending on the terms and conditions of their Award Agreement. The Percentage Interest of each Member immediately after the Effective Date (assuming the execution and delivery of this Agreement by each Person listed on the signature pages of this Agreement) shall be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which shall be updated and attached hereto within no more than fourteen (14) business days following the Effective Date.</w:t>
      </w:r>
    </w:p>
    <w:p>
      <w:pPr>
        <w:spacing w:after="0" w:line="18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(i) with respect to any Member who is a natural person, such Member’s spouse and descendants (whether natural or adopted) and any trust that is and at all times remains solely for the benefit of the Member and/or the Member’s spouse and/or descendants, (ii) with respect to any Member which is an entity, any entity controlled by such</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64" w:name="page65"/>
    <w:bookmarkEnd w:id="64"/>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Member, (iii) any Person who is already a Member of the Company on the date of Transfer, (iv) in connection with Calavo, the officers and directors of Calavo as of the Effective Date, and (v) in connection with Impermanence, the holders of membership interests in Impermanence as of the Effective Date.</w:t>
      </w:r>
    </w:p>
    <w:p>
      <w:pPr>
        <w:spacing w:after="0" w:line="174"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Profits Interest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0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Offering</w:t>
      </w:r>
      <w:r>
        <w:rPr>
          <w:rFonts w:ascii="Times New Roman" w:cs="Times New Roman" w:eastAsia="Times New Roman" w:hAnsi="Times New Roman"/>
          <w:sz w:val="22"/>
          <w:szCs w:val="22"/>
          <w:color w:val="auto"/>
        </w:rPr>
        <w:t>” means any sale, in an underwritten public offering registered under the Securities Act, of any class or series of the Company’s (or any successor’s) Equity Securities.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Rightholders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ROFR Rightholder Option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 of the Company</w:t>
      </w:r>
      <w:r>
        <w:rPr>
          <w:rFonts w:ascii="Times New Roman" w:cs="Times New Roman" w:eastAsia="Times New Roman" w:hAnsi="Times New Roman"/>
          <w:sz w:val="21"/>
          <w:szCs w:val="21"/>
          <w:color w:val="auto"/>
        </w:rPr>
        <w:t>” means a sale of the outstanding Units or of the assets of the Company by the holder(s) thereof to any Person (other than to the Company) pursuant to which such Person or Persons acquires (i) at least two thirds of the outstanding Units of the Company (whether by merger, consolidation, sale or Transfer of Units or otherwise) or (ii) all or substantially all of the Company’s assets determined on a consolidated basis.</w:t>
      </w:r>
    </w:p>
    <w:p>
      <w:pPr>
        <w:spacing w:after="0" w:line="16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Schedule of Members</w:t>
      </w:r>
      <w:r>
        <w:rPr>
          <w:rFonts w:ascii="Times New Roman" w:cs="Times New Roman" w:eastAsia="Times New Roman" w:hAnsi="Times New Roman"/>
          <w:sz w:val="21"/>
          <w:szCs w:val="21"/>
          <w:color w:val="auto"/>
        </w:rPr>
        <w:t xml:space="preserve">” means the Schedule of Members, which, except as provided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shall identify the Percentage Interests, the number of Units held by the Members and the Capital Contributions made by such Members for such Units, which Schedule of Members the Board shall update upon the issuance of any Units to any new Member, upon the Transfer of any Units to any new or existing Member, upon the forfeiture of any Units, or in the manner described in </w:t>
      </w:r>
      <w:r>
        <w:rPr>
          <w:rFonts w:ascii="Times New Roman" w:cs="Times New Roman" w:eastAsia="Times New Roman" w:hAnsi="Times New Roman"/>
          <w:sz w:val="21"/>
          <w:szCs w:val="21"/>
          <w:u w:val="single" w:color="auto"/>
          <w:color w:val="auto"/>
        </w:rPr>
        <w:t>Section 14.20</w:t>
      </w:r>
      <w:r>
        <w:rPr>
          <w:rFonts w:ascii="Times New Roman" w:cs="Times New Roman" w:eastAsia="Times New Roman" w:hAnsi="Times New Roman"/>
          <w:sz w:val="21"/>
          <w:szCs w:val="21"/>
          <w:color w:val="auto"/>
        </w:rPr>
        <w:t xml:space="preserve"> if any proposed Member does not execute and deliver this Agreement.</w:t>
      </w:r>
    </w:p>
    <w:p>
      <w:pPr>
        <w:spacing w:after="0" w:line="16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4" w:lineRule="exact"/>
        <w:rPr>
          <w:sz w:val="20"/>
          <w:szCs w:val="20"/>
          <w:color w:val="auto"/>
        </w:rPr>
      </w:pPr>
    </w:p>
    <w:p>
      <w:pPr>
        <w:ind w:right="3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Securities Exchange Act of 1934, as amended, and applicable rules and regulations thereunder, and any successor to such statute, rules or regulations. Any reference herein to a specific section, rule or regulation of the Securities Exchange Act shall be deemed to include any corresponding provisions of future law.</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officers, employees, consultants or other service providers of the Company.</w:t>
      </w:r>
    </w:p>
    <w:p>
      <w:pPr>
        <w:spacing w:after="0" w:line="20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Conversion</w:t>
      </w:r>
      <w:r>
        <w:rPr>
          <w:rFonts w:ascii="Times New Roman" w:cs="Times New Roman" w:eastAsia="Times New Roman" w:hAnsi="Times New Roman"/>
          <w:sz w:val="22"/>
          <w:szCs w:val="22"/>
          <w:color w:val="auto"/>
        </w:rPr>
        <w:t>" means the conversion of the Company to a corporation pursuant to Section 265 of the Delaware General Corporation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association or business entity of which (i) if a corporation, a majority of the total voting power of stock entitled</w:t>
      </w:r>
    </w:p>
    <w:p>
      <w:pPr>
        <w:spacing w:after="0" w:line="230" w:lineRule="auto"/>
        <w:rPr>
          <w:sz w:val="20"/>
          <w:szCs w:val="20"/>
          <w:color w:val="auto"/>
        </w:rPr>
      </w:pPr>
      <w:r>
        <w:rPr>
          <w:rFonts w:ascii="Times New Roman" w:cs="Times New Roman" w:eastAsia="Times New Roman" w:hAnsi="Times New Roman"/>
          <w:sz w:val="22"/>
          <w:szCs w:val="22"/>
          <w:color w:val="auto"/>
        </w:rPr>
        <w:t>(without regard to the occurrence of any contingency) to vote in the election of directors thereof is at the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owned or controlled, directly or indirectly, by that Person or one or more of the other Subsidiaries of that Person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combination thereof, or (ii) if a limited liability company, partnership, association or other business entity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than a corporation), a majority of the partnership, membership or other similar ownership interest thereof is at the</w:t>
      </w:r>
    </w:p>
    <w:p>
      <w:pPr>
        <w:spacing w:after="0" w:line="232" w:lineRule="auto"/>
        <w:rPr>
          <w:sz w:val="20"/>
          <w:szCs w:val="20"/>
          <w:color w:val="auto"/>
        </w:rPr>
      </w:pPr>
      <w:r>
        <w:rPr>
          <w:rFonts w:ascii="Times New Roman" w:cs="Times New Roman" w:eastAsia="Times New Roman" w:hAnsi="Times New Roman"/>
          <w:sz w:val="22"/>
          <w:szCs w:val="22"/>
          <w:color w:val="auto"/>
        </w:rPr>
        <w:t>time owned or controlled, directly or indirectly, by any Person or one or more Subsidiaries of that Person or a</w:t>
      </w:r>
    </w:p>
    <w:p>
      <w:pPr>
        <w:spacing w:after="0" w:line="230" w:lineRule="auto"/>
        <w:rPr>
          <w:sz w:val="20"/>
          <w:szCs w:val="20"/>
          <w:color w:val="auto"/>
        </w:rPr>
      </w:pPr>
      <w:r>
        <w:rPr>
          <w:rFonts w:ascii="Times New Roman" w:cs="Times New Roman" w:eastAsia="Times New Roman" w:hAnsi="Times New Roman"/>
          <w:sz w:val="22"/>
          <w:szCs w:val="22"/>
          <w:color w:val="auto"/>
        </w:rPr>
        <w:t>combination thereof. For purposes hereof, a Person or Persons shall be deemed to have a majority ownership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in a limited liability company, partnership, association or other business entity (other than a corporation)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Person or Persons shall be allocated a majority of limited liability company, partnership, association or other</w:t>
      </w:r>
    </w:p>
    <w:p>
      <w:pPr>
        <w:spacing w:after="0" w:line="232" w:lineRule="auto"/>
        <w:rPr>
          <w:sz w:val="20"/>
          <w:szCs w:val="20"/>
          <w:color w:val="auto"/>
        </w:rPr>
      </w:pPr>
      <w:r>
        <w:rPr>
          <w:rFonts w:ascii="Times New Roman" w:cs="Times New Roman" w:eastAsia="Times New Roman" w:hAnsi="Times New Roman"/>
          <w:sz w:val="22"/>
          <w:szCs w:val="22"/>
          <w:color w:val="auto"/>
        </w:rPr>
        <w:t>business entity gains or losses or shall be or control any managing director or general partner of such limited</w:t>
      </w:r>
    </w:p>
    <w:p>
      <w:pPr>
        <w:spacing w:after="0" w:line="230" w:lineRule="auto"/>
        <w:rPr>
          <w:sz w:val="20"/>
          <w:szCs w:val="20"/>
          <w:color w:val="auto"/>
        </w:rPr>
      </w:pPr>
      <w:r>
        <w:rPr>
          <w:rFonts w:ascii="Times New Roman" w:cs="Times New Roman" w:eastAsia="Times New Roman" w:hAnsi="Times New Roman"/>
          <w:sz w:val="22"/>
          <w:szCs w:val="22"/>
          <w:color w:val="auto"/>
        </w:rPr>
        <w:t>liability company, partnership, association or other business entity. For purposes hereof, references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Person shall be given effect only at such times that such Person has one or more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unless otherwise indicated,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refers to a Subsidiary of the Company.</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Substituted Member</w:t>
      </w:r>
      <w:r>
        <w:rPr>
          <w:rFonts w:ascii="Times New Roman" w:cs="Times New Roman" w:eastAsia="Times New Roman" w:hAnsi="Times New Roman"/>
          <w:sz w:val="22"/>
          <w:szCs w:val="22"/>
          <w:color w:val="auto"/>
        </w:rPr>
        <w:t xml:space="preserve">” means a Person that is admitted as a Member to the Company pursuant to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 Vote</w:t>
      </w:r>
      <w:r>
        <w:rPr>
          <w:rFonts w:ascii="Times New Roman" w:cs="Times New Roman" w:eastAsia="Times New Roman" w:hAnsi="Times New Roman"/>
          <w:sz w:val="22"/>
          <w:szCs w:val="22"/>
          <w:color w:val="auto"/>
        </w:rPr>
        <w:t>” means, with respect to a determination by the Members, the affirmative vote at a meeting or by written consent of the holders of at least seventy percent (70%) of the outstanding Units that are held by the Members as of the record date for the meeting or the date of the consent. All Units shall have voting rights from and after the Effective Date.</w:t>
      </w:r>
    </w:p>
    <w:p>
      <w:pPr>
        <w:spacing w:after="0" w:line="18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franchise, estimated, alternative minimum, add-on minimum, sales, use, transfer, registration, value added, excise, natural resources, severance, stamp, occupation, premium, windfall profit, environmental, utility, customs, duties, real property, personal property, capital stock, social security, unemployment, disability, payroll, license, employee or other withholding, or other tax, of any kind whatsoever, including any interest, penalties or additions to tax or additional amounts in respect of the foregoing, in all cases whether or not disputed.</w:t>
      </w:r>
    </w:p>
    <w:p>
      <w:pPr>
        <w:spacing w:after="0" w:line="182" w:lineRule="exact"/>
        <w:rPr>
          <w:sz w:val="20"/>
          <w:szCs w:val="20"/>
          <w:color w:val="auto"/>
        </w:rPr>
      </w:pPr>
    </w:p>
    <w:p>
      <w:pPr>
        <w:ind w:right="6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Taxable Year</w:t>
      </w:r>
      <w:r>
        <w:rPr>
          <w:rFonts w:ascii="Times New Roman" w:cs="Times New Roman" w:eastAsia="Times New Roman" w:hAnsi="Times New Roman"/>
          <w:sz w:val="22"/>
          <w:szCs w:val="22"/>
          <w:color w:val="auto"/>
        </w:rPr>
        <w:t xml:space="preserve">” means the Company’s accounting period for federal income tax purposes determined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Representative</w:t>
      </w:r>
      <w:r>
        <w:rPr>
          <w:rFonts w:ascii="Times New Roman" w:cs="Times New Roman" w:eastAsia="Times New Roman" w:hAnsi="Times New Roman"/>
          <w:sz w:val="22"/>
          <w:szCs w:val="22"/>
          <w:color w:val="auto"/>
        </w:rPr>
        <w:t>” has the meaning set forth in Section 10.4(b).</w:t>
      </w:r>
    </w:p>
    <w:p>
      <w:pPr>
        <w:spacing w:after="0" w:line="206" w:lineRule="exact"/>
        <w:rPr>
          <w:sz w:val="20"/>
          <w:szCs w:val="20"/>
          <w:color w:val="auto"/>
        </w:rPr>
      </w:pPr>
    </w:p>
    <w:p>
      <w:pPr>
        <w:ind w:right="4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transfer, assignment, pledge, mortgage, exchange, hypothecation, grant of a security interest or other direct or indirect disposition or encumbrance of an interest whether with or without consideration, whether voluntarily or involuntarily or by operation of law) or the acts thereof. The terms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Transferred,</w:t>
      </w:r>
      <w:r>
        <w:rPr>
          <w:rFonts w:ascii="Times New Roman" w:cs="Times New Roman" w:eastAsia="Times New Roman" w:hAnsi="Times New Roman"/>
          <w:sz w:val="22"/>
          <w:szCs w:val="22"/>
          <w:color w:val="auto"/>
        </w:rPr>
        <w:t>” and other forms of the word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shall have correlative meanings.</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328" w:right="999" w:bottom="1440" w:gutter="0" w:footer="0" w:header="0"/>
        </w:sectPr>
      </w:pPr>
    </w:p>
    <w:bookmarkStart w:id="66" w:name="page67"/>
    <w:bookmarkEnd w:id="66"/>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income tax regulations promulgated under the Code as in effect from time to time.</w:t>
      </w:r>
    </w:p>
    <w:p>
      <w:pPr>
        <w:spacing w:after="0" w:line="15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 unit held by a Member and representing an ownership interest in the Company, and having the relative rights, powers and duties set forth in this Agreement.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Advances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ORGANIZATIONAL MATTERS</w:t>
      </w:r>
    </w:p>
    <w:p>
      <w:pPr>
        <w:spacing w:after="0" w:line="18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Formation of Company</w:t>
      </w:r>
      <w:r>
        <w:rPr>
          <w:rFonts w:ascii="Times New Roman" w:cs="Times New Roman" w:eastAsia="Times New Roman" w:hAnsi="Times New Roman"/>
          <w:sz w:val="22"/>
          <w:szCs w:val="22"/>
          <w:color w:val="auto"/>
        </w:rPr>
        <w:t>. The Company was formed on January 14, 2013, pursuant to the provisions of the Delaware Act.</w:t>
      </w:r>
    </w:p>
    <w:p>
      <w:pPr>
        <w:spacing w:after="0" w:line="15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Limited Liability Company Agreement</w:t>
      </w:r>
      <w:r>
        <w:rPr>
          <w:rFonts w:ascii="Times New Roman" w:cs="Times New Roman" w:eastAsia="Times New Roman" w:hAnsi="Times New Roman"/>
          <w:sz w:val="22"/>
          <w:szCs w:val="22"/>
          <w:color w:val="auto"/>
        </w:rPr>
        <w:t>. The Company and the Members hereby execute this Agreement for the purpose of establishing the affairs of the Company and the conduct of its business in accordance with the provisions of the Delaware Act.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unless expressly prohibited by the Delaware Act, control.</w:t>
      </w:r>
    </w:p>
    <w:p>
      <w:pPr>
        <w:spacing w:after="0" w:line="18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Name</w:t>
      </w:r>
      <w:r>
        <w:rPr>
          <w:rFonts w:ascii="Times New Roman" w:cs="Times New Roman" w:eastAsia="Times New Roman" w:hAnsi="Times New Roman"/>
          <w:sz w:val="22"/>
          <w:szCs w:val="22"/>
          <w:color w:val="auto"/>
        </w:rPr>
        <w:t>. The name of the Company shall be “</w:t>
      </w:r>
      <w:r>
        <w:rPr>
          <w:rFonts w:ascii="Times New Roman" w:cs="Times New Roman" w:eastAsia="Times New Roman" w:hAnsi="Times New Roman"/>
          <w:sz w:val="22"/>
          <w:szCs w:val="22"/>
          <w:u w:val="single" w:color="auto"/>
          <w:color w:val="auto"/>
        </w:rPr>
        <w:t>FreshRealm, LLC.</w:t>
      </w:r>
      <w:r>
        <w:rPr>
          <w:rFonts w:ascii="Times New Roman" w:cs="Times New Roman" w:eastAsia="Times New Roman" w:hAnsi="Times New Roman"/>
          <w:sz w:val="22"/>
          <w:szCs w:val="22"/>
          <w:color w:val="auto"/>
        </w:rPr>
        <w:t>” The Board in its sole discretion may change the name of the Company at any time and from time to time. Notification of any such change shall be given to all Members. The Company’s business may be conducted under its name and/or any other name or names deemed advisable by the Board.</w:t>
      </w:r>
    </w:p>
    <w:p>
      <w:pPr>
        <w:spacing w:after="0" w:line="181" w:lineRule="exact"/>
        <w:rPr>
          <w:sz w:val="20"/>
          <w:szCs w:val="20"/>
          <w:color w:val="auto"/>
        </w:rPr>
      </w:pPr>
    </w:p>
    <w:p>
      <w:pPr>
        <w:ind w:right="3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Company is to engage in any lawful act or activity for which limited liability companies may be formed under the Delaware Act and to engage in any and all activities necessary or incidental thereto, including, without limitation, activities relating to the marketing of food products directly to consumers or other entities.</w:t>
      </w:r>
    </w:p>
    <w:p>
      <w:pPr>
        <w:spacing w:after="0" w:line="18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the Company shall be located at 34 N. Palm St, Suite 100, Ventura, California 93001, or at such other place as the Board may from time to time designate, and all business and activities of the Company shall be deemed to have occurred at its principal office. The Company may maintain offices at such other place or places as the Board deems advisable. Notification of any such change shall be given to all Members.</w:t>
      </w:r>
    </w:p>
    <w:p>
      <w:pPr>
        <w:spacing w:after="0" w:line="177"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Registered Office; Registered Agent</w:t>
      </w:r>
      <w:r>
        <w:rPr>
          <w:rFonts w:ascii="Times New Roman" w:cs="Times New Roman" w:eastAsia="Times New Roman" w:hAnsi="Times New Roman"/>
          <w:sz w:val="22"/>
          <w:szCs w:val="22"/>
          <w:color w:val="auto"/>
        </w:rPr>
        <w:t>. The registered office of the Company shall be the office of the initial registered agent named in the Certificate of Formation filed with the Secretary of State of Delaware on January 14, 2013 (the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such other office (which need not be a place of business of the Company) as the Board may designate from time to time in the manner provided by the Delaware Act and applicable law. The registered agent for service of process on the Company in the State of Delaware shall be the initial registered agent named in the Certificate or such other Person or Persons as the Board may designate from time to time in the manner provided by the Delaware Act and applicable law.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7" w:name="page68"/>
    <w:bookmarkEnd w:id="67"/>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term of the Company commenced upon the filing of the Certificate with the Secretary of State of Delaware in accordance with the Delaware Act, and shall continue in existence until termination and dissolution thereof in accordance with the provisions of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No Partnership</w:t>
      </w:r>
      <w:r>
        <w:rPr>
          <w:rFonts w:ascii="Times New Roman" w:cs="Times New Roman" w:eastAsia="Times New Roman" w:hAnsi="Times New Roman"/>
          <w:sz w:val="21"/>
          <w:szCs w:val="21"/>
          <w:color w:val="auto"/>
        </w:rPr>
        <w:t>. The Members intend that the Company not be a partnership (including a limited partnership) or joint venture, and that no Member be a partner or joint venturer of any other Member by virtue of this Agreement, for any purposes and neither this Agreement nor any other document entered into by the Company or any Member relating to the subject matter hereof shall be construed to suggest otherwise. The Company has elected to be classified as a corporation for U.S. federal income tax purposes with an effective date as of December 16, 2018. Accordingly, as of December 16, 2018, the Company shall no longer be treated as a partnership for federal, state or local income tax purposes. Each Member and the Company shall file all tax returns and shall otherwise take all tax and financial reporting positions in a manner consistent with such treatment.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UNITS</w:t>
      </w:r>
    </w:p>
    <w:p>
      <w:pPr>
        <w:spacing w:after="0" w:line="18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Units Generally</w:t>
      </w:r>
      <w:r>
        <w:rPr>
          <w:rFonts w:ascii="Times New Roman" w:cs="Times New Roman" w:eastAsia="Times New Roman" w:hAnsi="Times New Roman"/>
          <w:sz w:val="21"/>
          <w:szCs w:val="21"/>
          <w:color w:val="auto"/>
        </w:rPr>
        <w:t xml:space="preserve">. The Members’ ownership interest in the Company shall be represented by issued and outstanding Units, which may be divided into one or more types, classes or series. Each type, class or series of Units shall have the privileges, preferences, duties, liabilities, obligations and rights, including voting rights, if any, set forth in this Agreement with respect to such type, class or series. Unless otherwise determined by the Board, the Units issued hereunder will not be Certificated Units. The Board shall maintain a Schedule of Members and a record of each Member’s ownership interest in the Company (which record, except for the Schedule of Members that is attached to this Agreement as of the Effective Date of this Agreement, shall not be made available to a Member who owns less than a 5.0% Percentage Interest as to any other Member’s ownership interest in the Company, provided further that if a new Member is admitted which is a food service, food supplier, food maker or food packer, then such record of ownership interest shall be made available to the Co-Packers), and shall update the Schedule of Members and such record, as applicable, upon the issuance of any Units to any new Member, upon the Transfer of any Units to any new or existing Member, and upon the forfeiture of any Units. A copy of the Schedule of Members as of the Effective Date of this Agreement is attached hereto as Schedule A. As of the date hereof, the Board and the Members have determined that Article 8 of the Uniform Commercial Code of the State of Delaware (and the Uniform Commercial Code of any other applicable jurisdiction) will not govern any Equity Securities. The Board shall have the sole authority to elect in writing to have any class or series of Equity Securities be subject to Article 8 of the Uniform Commercial Code of the State of Delaware (and the Uniform Commercial Code of any other applicable jurisdiction); provided that any such election to have Article 8 of the Uniform Commercial Code of the State of Delaware (and the Uniform Commercial Code of any other applicable jurisdiction) shall not be effective until at least two days’ prior written notice of the same is provided to the Members, and shall not be revocable once made, and the class or series of Equity Securities subject to such election, if Units (i.e., not derivative securities), shall thereafter be Certificated Units. The ownership by a Member of any class or series of Units shall entitle such Member to Distributions of cash and other property with respect to such Units as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hereof.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8" w:name="page69"/>
    <w:bookmarkEnd w:id="68"/>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Authorization and Issuance of Units</w:t>
      </w:r>
      <w:r>
        <w:rPr>
          <w:rFonts w:ascii="Times New Roman" w:cs="Times New Roman" w:eastAsia="Times New Roman" w:hAnsi="Times New Roman"/>
          <w:sz w:val="22"/>
          <w:szCs w:val="22"/>
          <w:color w:val="auto"/>
        </w:rPr>
        <w:t>. The Company is hereby authorized to issue Units. There are 3,580,379 Units (the “</w:t>
      </w:r>
      <w:r>
        <w:rPr>
          <w:rFonts w:ascii="Times New Roman" w:cs="Times New Roman" w:eastAsia="Times New Roman" w:hAnsi="Times New Roman"/>
          <w:sz w:val="22"/>
          <w:szCs w:val="22"/>
          <w:u w:val="single" w:color="auto"/>
          <w:color w:val="auto"/>
        </w:rPr>
        <w:t>Initial Units</w:t>
      </w:r>
      <w:r>
        <w:rPr>
          <w:rFonts w:ascii="Times New Roman" w:cs="Times New Roman" w:eastAsia="Times New Roman" w:hAnsi="Times New Roman"/>
          <w:sz w:val="22"/>
          <w:szCs w:val="22"/>
          <w:color w:val="auto"/>
        </w:rPr>
        <w:t xml:space="preserve">”) issued and outstanding to the Members in the amounts set forth on the Schedule of Members opposite the names of the Members. In any matters presented to the Members for approval or consent pursuant to this Agreement or applicable law, each Member shall be deemed to have one vote for each Unit held by such Member. The Company and the Members agree that, if any Units are intended to be issued to other investors from time-to-time as provided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then the Company is authorized to sell and issue such unissued Units to such new investors selected by the Board with such Capital Contributions as determined by the Board, as provided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Authorization to Issue Profits Interest Units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296"/>
        <w:spacing w:after="0" w:line="234" w:lineRule="auto"/>
        <w:tabs>
          <w:tab w:leader="none" w:pos="196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701 Plan</w:t>
      </w:r>
      <w:r>
        <w:rPr>
          <w:rFonts w:ascii="Times New Roman" w:cs="Times New Roman" w:eastAsia="Times New Roman" w:hAnsi="Times New Roman"/>
          <w:sz w:val="22"/>
          <w:szCs w:val="22"/>
          <w:color w:val="auto"/>
        </w:rPr>
        <w:t>. This Agreement is a Rule 701 plan pursuant to which all Initial Units held by Initial Service Providers and all Units that constitute solely an economic interest in the profits and appreciation of the Company following the date of the issuance of such Units (a “</w:t>
      </w:r>
      <w:r>
        <w:rPr>
          <w:rFonts w:ascii="Times New Roman" w:cs="Times New Roman" w:eastAsia="Times New Roman" w:hAnsi="Times New Roman"/>
          <w:sz w:val="22"/>
          <w:szCs w:val="22"/>
          <w:u w:val="single" w:color="auto"/>
          <w:color w:val="auto"/>
        </w:rPr>
        <w:t>Profits Interest</w:t>
      </w:r>
      <w:r>
        <w:rPr>
          <w:rFonts w:ascii="Times New Roman" w:cs="Times New Roman" w:eastAsia="Times New Roman" w:hAnsi="Times New Roman"/>
          <w:sz w:val="22"/>
          <w:szCs w:val="22"/>
          <w:color w:val="auto"/>
        </w:rPr>
        <w:t>”) shall be issued and granted in compliance with the securities registration exemption provided by Rule 701 of the Securities Act or another applicable exemption (such plan as in effect from time to time, the “</w:t>
      </w:r>
      <w:r>
        <w:rPr>
          <w:rFonts w:ascii="Times New Roman" w:cs="Times New Roman" w:eastAsia="Times New Roman" w:hAnsi="Times New Roman"/>
          <w:sz w:val="22"/>
          <w:szCs w:val="22"/>
          <w:u w:val="single" w:color="auto"/>
          <w:color w:val="auto"/>
        </w:rPr>
        <w:t>Incentive Plan</w:t>
      </w:r>
      <w:r>
        <w:rPr>
          <w:rFonts w:ascii="Times New Roman" w:cs="Times New Roman" w:eastAsia="Times New Roman" w:hAnsi="Times New Roman"/>
          <w:sz w:val="22"/>
          <w:szCs w:val="22"/>
          <w:color w:val="auto"/>
        </w:rPr>
        <w:t>”). All Profits Interests that were issued prior to the Conversion were intended to constitute "</w:t>
      </w:r>
      <w:r>
        <w:rPr>
          <w:rFonts w:ascii="Times New Roman" w:cs="Times New Roman" w:eastAsia="Times New Roman" w:hAnsi="Times New Roman"/>
          <w:sz w:val="22"/>
          <w:szCs w:val="22"/>
          <w:u w:val="single" w:color="auto"/>
          <w:color w:val="auto"/>
        </w:rPr>
        <w:t>profits interests</w:t>
      </w:r>
      <w:r>
        <w:rPr>
          <w:rFonts w:ascii="Times New Roman" w:cs="Times New Roman" w:eastAsia="Times New Roman" w:hAnsi="Times New Roman"/>
          <w:sz w:val="22"/>
          <w:szCs w:val="22"/>
          <w:color w:val="auto"/>
        </w:rPr>
        <w:t xml:space="preserve">” in the Company within the meaning of IRS Revenue Procedure 93-27. In addition to the Initial Units authorized to be issued under Section 3.2, the Board is hereby authorized to issue Profits Interest Units from time to time, in such amounts as it sees fit to Service Providers as may be authorized by the Board from time to time. For the avoidance of doubt, all Profits Interest Units shall be subject to the rights of the holders of Units to drag along the holders of Profits Interest Units pursuant to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Issuance of Additional Units and Interests</w:t>
      </w:r>
      <w:r>
        <w:rPr>
          <w:rFonts w:ascii="Times New Roman" w:cs="Times New Roman" w:eastAsia="Times New Roman" w:hAnsi="Times New Roman"/>
          <w:sz w:val="22"/>
          <w:szCs w:val="22"/>
          <w:color w:val="auto"/>
        </w:rPr>
        <w:t>. The Board has the right and power to cause the Company to authorize and issue (a) additional Units or other interests in the Company (including to create and issue other classes or series having different rights), (b) obligations, evidences of Indebtedness or other securities or interests convertible or exchangeable into Units or other interests in the Company, and (c) warrants, options or other rights to purchase or otherwise acquire Units or other interests in the Company (collectively, “</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which include the Units issued as of the date hereof); provided, however, that (i) Members shall have no preemptive rights, and (ii) at any time following the date hereof, the Company shall not issue Units to any Person unless such Person shall have executed and delivered a counterpart or joinder to this Agreement. In such event, (A) the rights of Members in respect of Units or interests of any class or series shall be diluted on a pro rata basis based on holdings of such Units or other interests of such class or series, including adjustments in Percentage Interests to accommodate the dilutive effect, and (B) the Board shall have the right and power to amend the Schedule of Members solely to reflect such additional issuances and dilution and to make any such other amendments as it deems necessary or desirable to reflect such additional issuances consistent with the foregoing (including the right and power to amend this Agreement to increase the authorized number of Units of any class or create a new class of Units and to add the terms 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21"/>
          <w:szCs w:val="21"/>
          <w:color w:val="auto"/>
        </w:rPr>
        <w:t xml:space="preserve">such new class including economic and governance rights which may be different from the Initial Units or any other outstanding Equity Securities). Notwithstanding any provision in this Agreement to the contrary (including, without limitation,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and Section 5.2), the Percentage Interest of Calavo shall at no time and under no circumstances be reduced without the prior written consent of the Chief Executive Officer of Calavo.</w:t>
      </w:r>
    </w:p>
    <w:p>
      <w:pPr>
        <w:spacing w:after="0" w:line="162"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Purchase of Units</w:t>
      </w:r>
      <w:r>
        <w:rPr>
          <w:rFonts w:ascii="Times New Roman" w:cs="Times New Roman" w:eastAsia="Times New Roman" w:hAnsi="Times New Roman"/>
          <w:sz w:val="22"/>
          <w:szCs w:val="22"/>
          <w:color w:val="auto"/>
        </w:rPr>
        <w:t>. Subject to the terms of this Agreement, the Board may cause the Company to purchase or otherwise acquire Units; provided that this provision shall not in and of itself obligate any Member to sell any Units to the Company. So long as any such Units are owned by or on behalf of the Company, such Units will not be considered outstanding for any purpose.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MEMBERS; RIGHTS AND OBLIGATIONS OF MEMBERS</w:t>
      </w:r>
    </w:p>
    <w:p>
      <w:pPr>
        <w:spacing w:after="0" w:line="182"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Substituted Members</w:t>
      </w:r>
      <w:r>
        <w:rPr>
          <w:rFonts w:ascii="Times New Roman" w:cs="Times New Roman" w:eastAsia="Times New Roman" w:hAnsi="Times New Roman"/>
          <w:sz w:val="22"/>
          <w:szCs w:val="22"/>
          <w:color w:val="auto"/>
        </w:rPr>
        <w:t>. In connection with the Transfer of Units of a Member permitted under the terms of this Agreement, the Transferee shall become a Substituted Member on the later of (a) the effective date of such Transfer, and (b) the date on which the Board approves such Transferee as a Substituted Member, and such admission shall be shown on the books and records of the Company.</w:t>
      </w:r>
    </w:p>
    <w:p>
      <w:pPr>
        <w:spacing w:after="0" w:line="181"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Additional Members</w:t>
      </w:r>
      <w:r>
        <w:rPr>
          <w:rFonts w:ascii="Times New Roman" w:cs="Times New Roman" w:eastAsia="Times New Roman" w:hAnsi="Times New Roman"/>
          <w:sz w:val="22"/>
          <w:szCs w:val="22"/>
          <w:color w:val="auto"/>
        </w:rPr>
        <w:t xml:space="preserve">. A Person may be admitted to the Company as an Additional Member only as contemplated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only upon furnishing to the Board (a) a letter of acceptance, in form satisfactory to the Board, of all the terms and conditions of this Agreement, including the power of attorney granted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w:t>
      </w:r>
      <w:r>
        <w:rPr>
          <w:rFonts w:ascii="Times New Roman" w:cs="Times New Roman" w:eastAsia="Times New Roman" w:hAnsi="Times New Roman"/>
          <w:sz w:val="22"/>
          <w:szCs w:val="22"/>
          <w:color w:val="auto"/>
        </w:rPr>
        <w:t>, and (b) such other documents or instruments as may be necessary or appropriate to effect such Person’s admission as a Member. Such admission shall become effective on the date on which the Board determines in its sole discretion that such conditions have been satisfied and when any such admission is shown on the books and records of the Company.</w:t>
      </w:r>
    </w:p>
    <w:p>
      <w:pPr>
        <w:spacing w:after="0" w:line="184" w:lineRule="exact"/>
        <w:rPr>
          <w:sz w:val="20"/>
          <w:szCs w:val="20"/>
          <w:color w:val="auto"/>
        </w:rPr>
      </w:pPr>
    </w:p>
    <w:p>
      <w:pPr>
        <w:ind w:right="4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Representations and Warranties of Members</w:t>
      </w:r>
      <w:r>
        <w:rPr>
          <w:rFonts w:ascii="Times New Roman" w:cs="Times New Roman" w:eastAsia="Times New Roman" w:hAnsi="Times New Roman"/>
          <w:sz w:val="22"/>
          <w:szCs w:val="22"/>
          <w:color w:val="auto"/>
        </w:rPr>
        <w:t xml:space="preserve">. By execution and delivery of this Agreement or a joinder to this Agreement, as applicable, except as otherwise provided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each of the Members, whether admitted as of the date hereof or otherwise, represents and warrants to the Company and the other Members and acknowledges that:</w:t>
      </w:r>
    </w:p>
    <w:p>
      <w:pPr>
        <w:spacing w:after="0" w:line="181" w:lineRule="exact"/>
        <w:rPr>
          <w:sz w:val="20"/>
          <w:szCs w:val="20"/>
          <w:color w:val="auto"/>
        </w:rPr>
      </w:pPr>
    </w:p>
    <w:p>
      <w:pPr>
        <w:ind w:right="200" w:firstLine="1296"/>
        <w:spacing w:after="0" w:line="239" w:lineRule="auto"/>
        <w:tabs>
          <w:tab w:leader="none" w:pos="19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180" w:lineRule="exact"/>
        <w:rPr>
          <w:rFonts w:ascii="Times New Roman" w:cs="Times New Roman" w:eastAsia="Times New Roman" w:hAnsi="Times New Roman"/>
          <w:sz w:val="22"/>
          <w:szCs w:val="22"/>
          <w:color w:val="auto"/>
        </w:rPr>
      </w:pPr>
    </w:p>
    <w:p>
      <w:pPr>
        <w:ind w:right="180" w:firstLine="1296"/>
        <w:spacing w:after="0" w:line="238" w:lineRule="auto"/>
        <w:tabs>
          <w:tab w:leader="none" w:pos="19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Members who are Initial Service Providers, such Member is an “</w:t>
      </w:r>
      <w:r>
        <w:rPr>
          <w:rFonts w:ascii="Times New Roman" w:cs="Times New Roman" w:eastAsia="Times New Roman" w:hAnsi="Times New Roman"/>
          <w:sz w:val="22"/>
          <w:szCs w:val="22"/>
          <w:u w:val="single" w:color="auto"/>
          <w:color w:val="auto"/>
        </w:rPr>
        <w:t>accredited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within the meaning of Rule 501 promulgated under the Securities Act, as amended by Section 413(a) of the Dodd-Frank Wall Street Reform and Consumer Protection Act, and agrees that he or it will not take any action that could have an adverse effect on the availability of the exemption from registration provided by Rule 501 promulgated under the Securities Act with respect to the offer and sale of the Units;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0" w:name="page71"/>
    <w:bookmarkEnd w:id="70"/>
    <w:p>
      <w:pPr>
        <w:ind w:right="40" w:firstLine="1296"/>
        <w:spacing w:after="0" w:line="258" w:lineRule="auto"/>
        <w:tabs>
          <w:tab w:leader="none" w:pos="196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Member’s Units are being acquired for his or its own account solely for investment and not with a view to resale or distribution thereof;</w:t>
      </w:r>
    </w:p>
    <w:p>
      <w:pPr>
        <w:spacing w:after="0" w:line="158" w:lineRule="exact"/>
        <w:rPr>
          <w:rFonts w:ascii="Times New Roman" w:cs="Times New Roman" w:eastAsia="Times New Roman" w:hAnsi="Times New Roman"/>
          <w:sz w:val="22"/>
          <w:szCs w:val="22"/>
          <w:color w:val="auto"/>
        </w:rPr>
      </w:pPr>
    </w:p>
    <w:p>
      <w:pPr>
        <w:ind w:right="100" w:firstLine="1296"/>
        <w:spacing w:after="0" w:line="239" w:lineRule="auto"/>
        <w:tabs>
          <w:tab w:leader="none" w:pos="19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has conducted his or its own independent review and analysis of the business, operations, assets, liabilities, results of operations, financial condition and prospects of the Company and such Member acknowledges that it has been provided adequate access to the personnel, properties, premises and records of the Company for such purpose;</w:t>
      </w:r>
    </w:p>
    <w:p>
      <w:pPr>
        <w:spacing w:after="0" w:line="180" w:lineRule="exact"/>
        <w:rPr>
          <w:rFonts w:ascii="Times New Roman" w:cs="Times New Roman" w:eastAsia="Times New Roman" w:hAnsi="Times New Roman"/>
          <w:sz w:val="22"/>
          <w:szCs w:val="22"/>
          <w:color w:val="auto"/>
        </w:rPr>
      </w:pPr>
    </w:p>
    <w:p>
      <w:pPr>
        <w:ind w:right="180" w:firstLine="1296"/>
        <w:spacing w:after="0" w:line="239" w:lineRule="auto"/>
        <w:tabs>
          <w:tab w:leader="none" w:pos="196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such Member to acquire Units has been made by such Member independent of any other Member, and neither the Company nor Calavo has made any statements to such Member as to the advisability of such acquisition or as to the business, operations, assets, liabilities, results of operations, financial condition and prospects of the Company;</w:t>
      </w:r>
    </w:p>
    <w:p>
      <w:pPr>
        <w:spacing w:after="0" w:line="180" w:lineRule="exact"/>
        <w:rPr>
          <w:rFonts w:ascii="Times New Roman" w:cs="Times New Roman" w:eastAsia="Times New Roman" w:hAnsi="Times New Roman"/>
          <w:sz w:val="22"/>
          <w:szCs w:val="22"/>
          <w:color w:val="auto"/>
        </w:rPr>
      </w:pPr>
    </w:p>
    <w:p>
      <w:pPr>
        <w:ind w:right="160" w:firstLine="1296"/>
        <w:spacing w:after="0" w:line="244" w:lineRule="auto"/>
        <w:tabs>
          <w:tab w:leader="none" w:pos="19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has such knowledge and experience in financial and business matters and is capable of evaluating the merits and risks of an investment in the Company and making an informed decision with respect thereto;</w:t>
      </w:r>
    </w:p>
    <w:p>
      <w:pPr>
        <w:spacing w:after="0" w:line="173" w:lineRule="exact"/>
        <w:rPr>
          <w:rFonts w:ascii="Times New Roman" w:cs="Times New Roman" w:eastAsia="Times New Roman" w:hAnsi="Times New Roman"/>
          <w:sz w:val="22"/>
          <w:szCs w:val="22"/>
          <w:color w:val="auto"/>
        </w:rPr>
      </w:pPr>
    </w:p>
    <w:p>
      <w:pPr>
        <w:ind w:right="80" w:firstLine="1296"/>
        <w:spacing w:after="0" w:line="244" w:lineRule="auto"/>
        <w:tabs>
          <w:tab w:leader="none" w:pos="19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is able to bear the economic and financial risk of an investment in the Company for an indefinite period of time, is able to bear the economic risk and lack of liquidity of an investment in the Company, and is able to bear the risk of loss of such Member’s entire investment in the Company;</w:t>
      </w:r>
    </w:p>
    <w:p>
      <w:pPr>
        <w:spacing w:after="0" w:line="173" w:lineRule="exact"/>
        <w:rPr>
          <w:rFonts w:ascii="Times New Roman" w:cs="Times New Roman" w:eastAsia="Times New Roman" w:hAnsi="Times New Roman"/>
          <w:sz w:val="22"/>
          <w:szCs w:val="22"/>
          <w:color w:val="auto"/>
        </w:rPr>
      </w:pPr>
    </w:p>
    <w:p>
      <w:pPr>
        <w:ind w:right="120" w:firstLine="1296"/>
        <w:spacing w:after="0" w:line="244" w:lineRule="auto"/>
        <w:tabs>
          <w:tab w:leader="none" w:pos="19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understands that the operations, financial condition and results of operations of the Company are subject to numerous risks and uncertainties and that there is no guarantee that an investment in the Company will be profitable;</w:t>
      </w:r>
    </w:p>
    <w:p>
      <w:pPr>
        <w:spacing w:after="0" w:line="173" w:lineRule="exact"/>
        <w:rPr>
          <w:rFonts w:ascii="Times New Roman" w:cs="Times New Roman" w:eastAsia="Times New Roman" w:hAnsi="Times New Roman"/>
          <w:sz w:val="22"/>
          <w:szCs w:val="22"/>
          <w:color w:val="auto"/>
        </w:rPr>
      </w:pPr>
    </w:p>
    <w:p>
      <w:pPr>
        <w:ind w:right="120" w:firstLine="1296"/>
        <w:spacing w:after="0" w:line="238" w:lineRule="auto"/>
        <w:tabs>
          <w:tab w:leader="none" w:pos="198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w:t>
      </w:r>
    </w:p>
    <w:p>
      <w:pPr>
        <w:spacing w:after="0" w:line="177" w:lineRule="exact"/>
        <w:rPr>
          <w:rFonts w:ascii="Times New Roman" w:cs="Times New Roman" w:eastAsia="Times New Roman" w:hAnsi="Times New Roman"/>
          <w:sz w:val="22"/>
          <w:szCs w:val="22"/>
          <w:color w:val="auto"/>
        </w:rPr>
      </w:pPr>
    </w:p>
    <w:p>
      <w:pPr>
        <w:ind w:firstLine="1296"/>
        <w:spacing w:after="0" w:line="239" w:lineRule="auto"/>
        <w:tabs>
          <w:tab w:leader="none" w:pos="19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issuance of any Units to any Member nor any provision contained herein will entitle the Member to remain in the employment of the Company or affect the right of the Company to terminate the Member’s employment at any time for any reason, other than as otherwise provided in such Member’s employment agreement or other similar agreement with the Company, if applicable; and</w:t>
      </w:r>
    </w:p>
    <w:p>
      <w:pPr>
        <w:spacing w:after="0" w:line="180" w:lineRule="exact"/>
        <w:rPr>
          <w:rFonts w:ascii="Times New Roman" w:cs="Times New Roman" w:eastAsia="Times New Roman" w:hAnsi="Times New Roman"/>
          <w:sz w:val="22"/>
          <w:szCs w:val="22"/>
          <w:color w:val="auto"/>
        </w:rPr>
      </w:pPr>
    </w:p>
    <w:p>
      <w:pPr>
        <w:ind w:firstLine="1296"/>
        <w:spacing w:after="0" w:line="244" w:lineRule="auto"/>
        <w:tabs>
          <w:tab w:leader="none" w:pos="19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who is an Initial Service Provider is and has been providing the Company with bona fide services and was permitted to purchase his Initial Units in light of those services and not for any other reason, such as being a customer or supplier of the Company.</w:t>
      </w:r>
    </w:p>
    <w:p>
      <w:pPr>
        <w:spacing w:after="0" w:line="17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as otherwise provided in the Delaware Act, by applicable law or expressly in this Agreement, no Member will be obligated personally for 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1" w:name="page72"/>
    <w:bookmarkEnd w:id="71"/>
    <w:p>
      <w:pPr>
        <w:ind w:right="100"/>
        <w:spacing w:after="0" w:line="236" w:lineRule="auto"/>
        <w:rPr>
          <w:sz w:val="20"/>
          <w:szCs w:val="20"/>
          <w:color w:val="auto"/>
        </w:rPr>
      </w:pPr>
      <w:r>
        <w:rPr>
          <w:rFonts w:ascii="Times New Roman" w:cs="Times New Roman" w:eastAsia="Times New Roman" w:hAnsi="Times New Roman"/>
          <w:sz w:val="22"/>
          <w:szCs w:val="22"/>
          <w:color w:val="auto"/>
        </w:rPr>
        <w:t>debt, obligation or liability of the Company or other Members, whether arising in contract, tort or otherwise, including, but not limited to, any loans to the Company from any Member, solely by reason of being a Member.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any of the Members for liabilities of the Company.</w:t>
      </w:r>
    </w:p>
    <w:p>
      <w:pPr>
        <w:spacing w:after="0" w:line="182"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Lack of Authority</w:t>
      </w:r>
      <w:r>
        <w:rPr>
          <w:rFonts w:ascii="Times New Roman" w:cs="Times New Roman" w:eastAsia="Times New Roman" w:hAnsi="Times New Roman"/>
          <w:sz w:val="22"/>
          <w:szCs w:val="22"/>
          <w:color w:val="auto"/>
        </w:rPr>
        <w:t>. No Member in its capacity as such has the authority or power to act for or on behalf of the Company in any manner, to do any act that would be (or could be construed as) binding on the Company or to make any expenditures on behalf of the Company, and the Members hereby consent to the exercise by the Board of the powers conferred on it by law and this Agreement.</w:t>
      </w:r>
    </w:p>
    <w:p>
      <w:pPr>
        <w:spacing w:after="0" w:line="18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Members’ Right to Act</w:t>
      </w:r>
      <w:r>
        <w:rPr>
          <w:rFonts w:ascii="Times New Roman" w:cs="Times New Roman" w:eastAsia="Times New Roman" w:hAnsi="Times New Roman"/>
          <w:sz w:val="21"/>
          <w:szCs w:val="21"/>
          <w:color w:val="auto"/>
        </w:rPr>
        <w:t xml:space="preserve">. For situations for which the approval of the Members (rather than the approval of the Board on behalf of the Members) is required by this Agreement or by applicable law, the Members shall act by Super-Majority Vote through meetings and written consents as described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The actions by the Members permitted hereunder may be taken at a meeting called by the Board or Members holding at least fifty percent of the aggregate number of outstanding Units on at least five days’ prior written notice to the other Members,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the meeting was improperly held sign a written waiver of notice or a consent to the holding of such meeting or an approval of the minutes thereof. The actions by the Members entitled to vote or consent may be taken by vote of the Members entitled to vote or consent at a meeting, or by written consent (without a meeting) so long as a Super-Majority Vote is obtained. Prompt notice of the action so taken without a meeting shall be given to those Members entitled to vote or consent who have not consented in writing. Any action taken pursuant to such written consent of the Members shall have the same force and effect as if taken by the Members at a meeting thereof.</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No Right of Partition</w:t>
      </w:r>
      <w:r>
        <w:rPr>
          <w:rFonts w:ascii="Times New Roman" w:cs="Times New Roman" w:eastAsia="Times New Roman" w:hAnsi="Times New Roman"/>
          <w:sz w:val="21"/>
          <w:szCs w:val="21"/>
          <w:color w:val="auto"/>
        </w:rPr>
        <w:t>. No Member shall have the right to seek or obtain partition by court decree or operation of law of any Company property, or the right to own or use particular or individual assets of the Company.</w:t>
      </w:r>
    </w:p>
    <w:p>
      <w:pPr>
        <w:spacing w:after="0" w:line="13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296"/>
        <w:spacing w:after="0" w:line="235" w:lineRule="auto"/>
        <w:tabs>
          <w:tab w:leader="none" w:pos="196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Directors</w:t>
      </w:r>
      <w:r>
        <w:rPr>
          <w:rFonts w:ascii="Times New Roman" w:cs="Times New Roman" w:eastAsia="Times New Roman" w:hAnsi="Times New Roman"/>
          <w:sz w:val="22"/>
          <w:szCs w:val="22"/>
          <w:color w:val="auto"/>
        </w:rPr>
        <w:t>. Each Person who was or is made a party or is threatened to be made a party to or is otherwise involved in any action, suit or proceeding, whether civil, criminal, administrative or investigative, by reason of the fact that he is or was a Director shall be indemnified and held harmless by the Company to the fullest extent authorized by the Delaware Act, as the same exists or may hereafter be amended (but, in the case of any such amendment, only to the extent that such amendment permits the Delaware Act to provide broader indemnification rights than such law permitted the Delaware Act to provide prior to such amendment), against all expense, liability and loss (including attorneys’ fees, judgments, fines,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2" w:name="page73"/>
    <w:bookmarkEnd w:id="72"/>
    <w:p>
      <w:pPr>
        <w:ind w:right="140"/>
        <w:spacing w:after="0" w:line="258" w:lineRule="auto"/>
        <w:rPr>
          <w:sz w:val="20"/>
          <w:szCs w:val="20"/>
          <w:color w:val="auto"/>
        </w:rPr>
      </w:pPr>
      <w:r>
        <w:rPr>
          <w:rFonts w:ascii="Times New Roman" w:cs="Times New Roman" w:eastAsia="Times New Roman" w:hAnsi="Times New Roman"/>
          <w:sz w:val="22"/>
          <w:szCs w:val="22"/>
          <w:color w:val="auto"/>
        </w:rPr>
        <w:t>and amounts paid in settlement) reasonably incurred or suffered by each Person entitled to receive indemnification hereunder (each an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in connection therewith.</w:t>
      </w:r>
    </w:p>
    <w:p>
      <w:pPr>
        <w:spacing w:after="0" w:line="158" w:lineRule="exact"/>
        <w:rPr>
          <w:sz w:val="20"/>
          <w:szCs w:val="20"/>
          <w:color w:val="auto"/>
        </w:rPr>
      </w:pPr>
    </w:p>
    <w:p>
      <w:pPr>
        <w:ind w:firstLine="1296"/>
        <w:spacing w:after="0" w:line="235" w:lineRule="auto"/>
        <w:tabs>
          <w:tab w:leader="none" w:pos="19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Advancement of Expenses</w:t>
      </w:r>
      <w:r>
        <w:rPr>
          <w:rFonts w:ascii="Times New Roman" w:cs="Times New Roman" w:eastAsia="Times New Roman" w:hAnsi="Times New Roman"/>
          <w:sz w:val="22"/>
          <w:szCs w:val="22"/>
          <w:color w:val="auto"/>
        </w:rPr>
        <w:t xml:space="preserve">. The rights to indemnification conferred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4.8(a)</w:t>
      </w:r>
      <w:r>
        <w:rPr>
          <w:rFonts w:ascii="Times New Roman" w:cs="Times New Roman" w:eastAsia="Times New Roman" w:hAnsi="Times New Roman"/>
          <w:sz w:val="22"/>
          <w:szCs w:val="22"/>
          <w:color w:val="auto"/>
        </w:rPr>
        <w:t xml:space="preserve"> shall include the right to be paid by the Company the expenses (including attorneys’ fees) incurred in defending any such proceeding in advance of its final disposition. The rights to indemnification and to the advancement of expenses conferred in </w:t>
      </w:r>
      <w:r>
        <w:rPr>
          <w:rFonts w:ascii="Times New Roman" w:cs="Times New Roman" w:eastAsia="Times New Roman" w:hAnsi="Times New Roman"/>
          <w:sz w:val="22"/>
          <w:szCs w:val="22"/>
          <w:u w:val="single" w:color="auto"/>
          <w:color w:val="auto"/>
        </w:rPr>
        <w:t>Sections 4.8(a)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4.8(b)</w:t>
      </w:r>
      <w:r>
        <w:rPr>
          <w:rFonts w:ascii="Times New Roman" w:cs="Times New Roman" w:eastAsia="Times New Roman" w:hAnsi="Times New Roman"/>
          <w:sz w:val="22"/>
          <w:szCs w:val="22"/>
          <w:color w:val="auto"/>
        </w:rPr>
        <w:t xml:space="preserve"> shall be contract rights and such rights shall continue as to an Indemnified Person who has ceased to be a Director and shall inure to the benefit of the Indemnified Person’s heirs, executors, administrators, successors and assigns. Any repeal or modification of any of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shall not adversely affect any right or protection of an Indemnified Person existing at the time of such repeal or modification.</w:t>
      </w:r>
    </w:p>
    <w:p>
      <w:pPr>
        <w:spacing w:after="0" w:line="179" w:lineRule="exact"/>
        <w:rPr>
          <w:rFonts w:ascii="Times New Roman" w:cs="Times New Roman" w:eastAsia="Times New Roman" w:hAnsi="Times New Roman"/>
          <w:sz w:val="22"/>
          <w:szCs w:val="22"/>
          <w:color w:val="auto"/>
        </w:rPr>
      </w:pPr>
    </w:p>
    <w:p>
      <w:pPr>
        <w:jc w:val="both"/>
        <w:ind w:right="20" w:firstLine="1296"/>
        <w:spacing w:after="0" w:line="239" w:lineRule="auto"/>
        <w:tabs>
          <w:tab w:leader="none" w:pos="196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Service Providers</w:t>
      </w:r>
      <w:r>
        <w:rPr>
          <w:rFonts w:ascii="Times New Roman" w:cs="Times New Roman" w:eastAsia="Times New Roman" w:hAnsi="Times New Roman"/>
          <w:sz w:val="22"/>
          <w:szCs w:val="22"/>
          <w:color w:val="auto"/>
        </w:rPr>
        <w:t xml:space="preserve">. The Company may, to the extent authorized from time to time by the Board, grant rights of indemnification and advancement of expenses to any Service Provider or other Persons, including any Member, to the fullest extent of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with respect to the indemnification and advancement of expenses of Directors.</w:t>
      </w:r>
    </w:p>
    <w:p>
      <w:pPr>
        <w:spacing w:after="0" w:line="180" w:lineRule="exact"/>
        <w:rPr>
          <w:rFonts w:ascii="Times New Roman" w:cs="Times New Roman" w:eastAsia="Times New Roman" w:hAnsi="Times New Roman"/>
          <w:sz w:val="22"/>
          <w:szCs w:val="22"/>
          <w:color w:val="auto"/>
        </w:rPr>
      </w:pPr>
    </w:p>
    <w:p>
      <w:pPr>
        <w:ind w:right="180" w:firstLine="1296"/>
        <w:spacing w:after="0" w:line="244" w:lineRule="auto"/>
        <w:tabs>
          <w:tab w:leader="none" w:pos="197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to indemnification and the advancement of expenses conferred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shall not be exclusive of any other right which any Person may have or hereafter acquire under any statute, agreement, law, vote of the Board or otherwise.</w:t>
      </w:r>
    </w:p>
    <w:p>
      <w:pPr>
        <w:spacing w:after="0" w:line="173" w:lineRule="exact"/>
        <w:rPr>
          <w:rFonts w:ascii="Times New Roman" w:cs="Times New Roman" w:eastAsia="Times New Roman" w:hAnsi="Times New Roman"/>
          <w:sz w:val="22"/>
          <w:szCs w:val="22"/>
          <w:color w:val="auto"/>
        </w:rPr>
      </w:pPr>
    </w:p>
    <w:p>
      <w:pPr>
        <w:ind w:right="40" w:firstLine="1296"/>
        <w:spacing w:after="0" w:line="239" w:lineRule="auto"/>
        <w:tabs>
          <w:tab w:leader="none" w:pos="196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may determine to have the Company maintain insurance, at the Company’s expense, to protect any Person against any expense, liability or loss relating to the Company or its business whether or not the Company would have the power to indemnify such Person against such expense, liability or loss under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1296"/>
        <w:spacing w:after="0" w:line="236" w:lineRule="auto"/>
        <w:tabs>
          <w:tab w:leader="none" w:pos="194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herein to the contrary (including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any indemnity by the Company relating to the matters covered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shall be provided out of and to the extent of Company assets only and neither the Board nor any other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to help satisfy such indemnity of the Company (except as expressly provided herein).</w:t>
      </w:r>
    </w:p>
    <w:p>
      <w:pPr>
        <w:spacing w:after="0" w:line="182" w:lineRule="exact"/>
        <w:rPr>
          <w:rFonts w:ascii="Times New Roman" w:cs="Times New Roman" w:eastAsia="Times New Roman" w:hAnsi="Times New Roman"/>
          <w:sz w:val="22"/>
          <w:szCs w:val="22"/>
          <w:color w:val="auto"/>
        </w:rPr>
      </w:pPr>
    </w:p>
    <w:p>
      <w:pPr>
        <w:ind w:right="120" w:firstLine="1296"/>
        <w:spacing w:after="0" w:line="255" w:lineRule="auto"/>
        <w:tabs>
          <w:tab w:leader="none" w:pos="198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Savings Clause</w:t>
      </w:r>
      <w:r>
        <w:rPr>
          <w:rFonts w:ascii="Times New Roman" w:cs="Times New Roman" w:eastAsia="Times New Roman" w:hAnsi="Times New Roman"/>
          <w:sz w:val="21"/>
          <w:szCs w:val="21"/>
          <w:color w:val="auto"/>
        </w:rPr>
        <w:t xml:space="preserve">. If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or any portion hereof shall be invalidated on any ground by any court of competent jurisdiction, then the Company shall nevertheless indemnify and hold harmless each Indemnified Person and other Person authorized by the Board to be indemnified pursuant to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to the fullest extent required by any applicable portion of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that shall not have been invalidated.</w:t>
      </w:r>
    </w:p>
    <w:p>
      <w:pPr>
        <w:spacing w:after="0" w:line="162" w:lineRule="exact"/>
        <w:rPr>
          <w:rFonts w:ascii="Times New Roman" w:cs="Times New Roman" w:eastAsia="Times New Roman" w:hAnsi="Times New Roman"/>
          <w:sz w:val="21"/>
          <w:szCs w:val="21"/>
          <w:color w:val="auto"/>
        </w:rPr>
      </w:pPr>
    </w:p>
    <w:p>
      <w:pPr>
        <w:ind w:right="680" w:firstLine="1296"/>
        <w:spacing w:after="0" w:line="258" w:lineRule="auto"/>
        <w:tabs>
          <w:tab w:leader="none" w:pos="19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shall survive the dissolution, liquidation, winding up and termination of the Company.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CAPITAL CONTRIBUTIONS</w:t>
      </w:r>
    </w:p>
    <w:p>
      <w:pPr>
        <w:spacing w:after="0" w:line="182"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Initial Cash Capital Contributions</w:t>
      </w:r>
      <w:r>
        <w:rPr>
          <w:rFonts w:ascii="Times New Roman" w:cs="Times New Roman" w:eastAsia="Times New Roman" w:hAnsi="Times New Roman"/>
          <w:sz w:val="22"/>
          <w:szCs w:val="22"/>
          <w:color w:val="auto"/>
        </w:rPr>
        <w:t>. Each Member has made a Capital Contribution in cash to the Company in the amount set forth opposite such Member’s name on the Schedule of Members and has received or shall receive Units with respect to each such Member’s Capital Contribution, as set forth on the Schedule of Members (as such Schedule may be amended by the Board to reflect any additional issuances of Units after the Effective Date).</w:t>
      </w:r>
    </w:p>
    <w:p>
      <w:pPr>
        <w:spacing w:after="0" w:line="17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Additional Capital Contributions</w:t>
      </w:r>
      <w:r>
        <w:rPr>
          <w:rFonts w:ascii="Times New Roman" w:cs="Times New Roman" w:eastAsia="Times New Roman" w:hAnsi="Times New Roman"/>
          <w:sz w:val="22"/>
          <w:szCs w:val="22"/>
          <w:color w:val="auto"/>
        </w:rPr>
        <w:t xml:space="preserve">. No Member shall make any additional Capital Contributions to the Company unless agreed to by the Board. If at any time, or from time to time, the Board determines the Company has inadequate capital to accomplish its business objectives and goals, the Board may in its sole discretion issue and sell Equity Securities, from time to time, as contemplated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to existing Members or to third parties, and any such third party may be admitted to the Company as an Additional Member with a new class of Units, as applicable, in accordance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and the individual ownership interest in the Company of each of the Members shall be reduced, as applicable, on a pro rata basis to accommodate any dilutive effect.</w:t>
      </w:r>
    </w:p>
    <w:p>
      <w:pPr>
        <w:spacing w:after="0" w:line="18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Capital Accounts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u w:val="single" w:color="auto"/>
          <w:color w:val="auto"/>
        </w:rPr>
        <w:t>Capital Accounts</w:t>
      </w:r>
      <w:r>
        <w:rPr>
          <w:rFonts w:ascii="Times New Roman" w:cs="Times New Roman" w:eastAsia="Times New Roman" w:hAnsi="Times New Roman"/>
          <w:sz w:val="22"/>
          <w:szCs w:val="22"/>
          <w:color w:val="auto"/>
        </w:rPr>
        <w:t>. Prior to the effectiveness of the Conversion, the Company maintained a separate capital account for each Member according to the rules of Treasury Regulation Section 1.704-1(b)(2)(iv). From and after the effectiveness of the Conversion, the Capital Accounts will no longer be used.</w:t>
      </w:r>
    </w:p>
    <w:p>
      <w:pPr>
        <w:spacing w:after="0" w:line="174" w:lineRule="exact"/>
        <w:rPr>
          <w:sz w:val="20"/>
          <w:szCs w:val="20"/>
          <w:color w:val="auto"/>
        </w:rPr>
      </w:pPr>
    </w:p>
    <w:p>
      <w:pPr>
        <w:ind w:right="9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 Withdrawal</w:t>
      </w:r>
      <w:r>
        <w:rPr>
          <w:rFonts w:ascii="Times New Roman" w:cs="Times New Roman" w:eastAsia="Times New Roman" w:hAnsi="Times New Roman"/>
          <w:sz w:val="22"/>
          <w:szCs w:val="22"/>
          <w:color w:val="auto"/>
        </w:rPr>
        <w:t>. No Person shall be entitled to withdraw any part of such Person’s Capital Contributions or to receive any Distribution from the Company, except as expressly provided herein.</w:t>
      </w:r>
    </w:p>
    <w:p>
      <w:pPr>
        <w:spacing w:after="0" w:line="15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Loans from Members</w:t>
      </w:r>
      <w:r>
        <w:rPr>
          <w:rFonts w:ascii="Times New Roman" w:cs="Times New Roman" w:eastAsia="Times New Roman" w:hAnsi="Times New Roman"/>
          <w:sz w:val="22"/>
          <w:szCs w:val="22"/>
          <w:color w:val="auto"/>
        </w:rPr>
        <w:t>. The Board is authorized to permit loans from Members to the Company on such terms as it determines are appropriate. Loans by Members to the Company shall not be considered Capital Contributions. The amount of any such loans shall be a debt of the Company to such Member and shall be payable or collectible in accordance with the terms and conditions upon which such loans are made.</w:t>
      </w:r>
    </w:p>
    <w:p>
      <w:pPr>
        <w:spacing w:after="0" w:line="181" w:lineRule="exact"/>
        <w:rPr>
          <w:sz w:val="20"/>
          <w:szCs w:val="20"/>
          <w:color w:val="auto"/>
        </w:rPr>
      </w:pPr>
    </w:p>
    <w:p>
      <w:pPr>
        <w:jc w:val="both"/>
        <w:ind w:right="120" w:firstLine="648"/>
        <w:spacing w:after="0" w:line="251"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Distributions In-Kind</w:t>
      </w:r>
      <w:r>
        <w:rPr>
          <w:rFonts w:ascii="Times New Roman" w:cs="Times New Roman" w:eastAsia="Times New Roman" w:hAnsi="Times New Roman"/>
          <w:sz w:val="21"/>
          <w:szCs w:val="21"/>
          <w:color w:val="auto"/>
        </w:rPr>
        <w:t xml:space="preserve">. To the extent that the Company distributes property in-kind to the Members, the Company shall be treated as making a distribution equal to the Fair Market Value of such property for purposes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and such property shall be treated as if it were sold for an amount equal to its Fair Market Value (or such other amount as is required to be used by the Code or applicable Treasury Regulation) and any resulting gain or loss shall be allocated to the Members’ Capital Accounts in accordance with </w:t>
      </w:r>
      <w:r>
        <w:rPr>
          <w:rFonts w:ascii="Times New Roman" w:cs="Times New Roman" w:eastAsia="Times New Roman" w:hAnsi="Times New Roman"/>
          <w:sz w:val="21"/>
          <w:szCs w:val="21"/>
          <w:u w:val="single" w:color="auto"/>
          <w:color w:val="auto"/>
        </w:rPr>
        <w:t>Sections 6.3</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4" w:right="9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296"/>
        <w:spacing w:after="0" w:line="234" w:lineRule="auto"/>
        <w:tabs>
          <w:tab w:leader="none" w:pos="196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limitation set forth in the last sentence of this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the Board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reasonable business needs of the Company (which needs may include the payment or the making of provision for the payment when due of the Company’s obligations, including, but not limited to, present and anticipated debts and obligations, capital needs and expenses, the payment of any management or administrative fees and expenses, and reasonable reserves for contingencies). Notwithstanding any provision to the contrary contained in this Agreement, the Company shall not make any Distribution to Members if such Distribution would violate § 18-607 of the Delaware Act or other applicable law.</w:t>
      </w:r>
    </w:p>
    <w:p>
      <w:pPr>
        <w:spacing w:after="0" w:line="180" w:lineRule="exact"/>
        <w:rPr>
          <w:rFonts w:ascii="Times New Roman" w:cs="Times New Roman" w:eastAsia="Times New Roman" w:hAnsi="Times New Roman"/>
          <w:sz w:val="22"/>
          <w:szCs w:val="22"/>
          <w:color w:val="auto"/>
        </w:rPr>
      </w:pPr>
    </w:p>
    <w:p>
      <w:pPr>
        <w:ind w:right="80" w:firstLine="1296"/>
        <w:spacing w:after="0" w:line="235" w:lineRule="auto"/>
        <w:tabs>
          <w:tab w:leader="none" w:pos="19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of Distributions</w:t>
      </w:r>
      <w:r>
        <w:rPr>
          <w:rFonts w:ascii="Times New Roman" w:cs="Times New Roman" w:eastAsia="Times New Roman" w:hAnsi="Times New Roman"/>
          <w:sz w:val="22"/>
          <w:szCs w:val="22"/>
          <w:color w:val="auto"/>
        </w:rPr>
        <w:t xml:space="preserve">. All Distributions determined to be made by the Board pursuant to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shall be made to the Members pro rata, pari passu in accordance with their respective Percentage Interests, provided, however, that (i) Profits Interest Units shall be excluded in determining Percentage Interests unless the terms and conditions of their particular Award Agreement have been met for treatment as Units entitled to Distributions and (ii) that each Member who is an Initial Service Provider authorizes and directs the Company to first apply any and all Distributions to such Member against such Member’s Promissory Note until the Promissory Note is paid in full.</w:t>
      </w:r>
    </w:p>
    <w:p>
      <w:pPr>
        <w:spacing w:after="0" w:line="183" w:lineRule="exact"/>
        <w:rPr>
          <w:rFonts w:ascii="Times New Roman" w:cs="Times New Roman" w:eastAsia="Times New Roman" w:hAnsi="Times New Roman"/>
          <w:sz w:val="22"/>
          <w:szCs w:val="22"/>
          <w:color w:val="auto"/>
        </w:rPr>
      </w:pPr>
    </w:p>
    <w:p>
      <w:pPr>
        <w:ind w:firstLine="1296"/>
        <w:spacing w:after="0" w:line="251" w:lineRule="auto"/>
        <w:tabs>
          <w:tab w:leader="none" w:pos="196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of Tax Advances</w:t>
      </w:r>
      <w:r>
        <w:rPr>
          <w:rFonts w:ascii="Times New Roman" w:cs="Times New Roman" w:eastAsia="Times New Roman" w:hAnsi="Times New Roman"/>
          <w:sz w:val="21"/>
          <w:szCs w:val="21"/>
          <w:color w:val="auto"/>
        </w:rPr>
        <w:t xml:space="preserve">. The Members acknowledge that the Company may have made certain Tax Advances (as defined in the Original Agreement), and that, pursuant to the Original Agreement, any such Tax Advances received by a Member will continue to be treated as advances on Distributions to be received by the recipient of such Tax Advance pursuant to Section 6.1(b), and shall reduce, dollar-for-dollar, the amount otherwise distributable to such Member pursuant to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(including pursuant to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right="40" w:firstLine="1296"/>
        <w:spacing w:after="0" w:line="238" w:lineRule="auto"/>
        <w:tabs>
          <w:tab w:leader="none" w:pos="19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loaned money to a Member or to a Member’s Affiliate (including, without limitation, a corporation, limited liability company or other entity controlled by the Member), the Company shall be entitled to apply all or a portion of a Distribution that is otherwise payable to the Member to the repayment of the principal and accrued interest that is due and payable on such loan and, in such event, the Member shall not receive the portion of the Distribution that is applied to the repayment of such loan.</w:t>
      </w:r>
    </w:p>
    <w:p>
      <w:pPr>
        <w:spacing w:after="0" w:line="17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Tax Withholding; Withholding Advances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664"/>
        <w:spacing w:after="0"/>
        <w:tabs>
          <w:tab w:leader="none" w:pos="1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If requested by the Board, each Member shall, if legally able to do so,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Board: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4" w:right="919" w:bottom="1440" w:gutter="0" w:footer="0" w:header="0"/>
        </w:sectPr>
      </w:pPr>
    </w:p>
    <w:bookmarkStart w:id="75" w:name="page76"/>
    <w:bookmarkEnd w:id="75"/>
    <w:p>
      <w:pPr>
        <w:ind w:right="180" w:firstLine="2592"/>
        <w:spacing w:after="0" w:line="244" w:lineRule="auto"/>
        <w:tabs>
          <w:tab w:leader="none" w:pos="328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affidavit in form satisfactory to the Board that the applicable Member (or its members, as the case may be) is not subject to withholding under the provisions of any federal, state, local, foreign or other applicable law;</w:t>
      </w:r>
    </w:p>
    <w:p>
      <w:pPr>
        <w:spacing w:after="0" w:line="173" w:lineRule="exact"/>
        <w:rPr>
          <w:rFonts w:ascii="Times New Roman" w:cs="Times New Roman" w:eastAsia="Times New Roman" w:hAnsi="Times New Roman"/>
          <w:sz w:val="22"/>
          <w:szCs w:val="22"/>
          <w:color w:val="auto"/>
        </w:rPr>
      </w:pPr>
    </w:p>
    <w:p>
      <w:pPr>
        <w:ind w:left="3280" w:hanging="688"/>
        <w:spacing w:after="0"/>
        <w:tabs>
          <w:tab w:leader="none" w:pos="3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certificate that the Board may reasonably request with respect to any such</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laws; and/or</w:t>
      </w:r>
    </w:p>
    <w:p>
      <w:pPr>
        <w:spacing w:after="0" w:line="182" w:lineRule="exact"/>
        <w:rPr>
          <w:rFonts w:ascii="Times New Roman" w:cs="Times New Roman" w:eastAsia="Times New Roman" w:hAnsi="Times New Roman"/>
          <w:sz w:val="21"/>
          <w:szCs w:val="21"/>
          <w:color w:val="auto"/>
        </w:rPr>
      </w:pPr>
    </w:p>
    <w:p>
      <w:pPr>
        <w:ind w:left="3240" w:hanging="648"/>
        <w:spacing w:after="0"/>
        <w:tabs>
          <w:tab w:leader="none" w:pos="3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or instrument reasonably requested by the Board relating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Member’s status under such law.</w:t>
      </w:r>
    </w:p>
    <w:p>
      <w:pPr>
        <w:spacing w:after="0" w:line="18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 xml:space="preserve">If a Member fails or is unable to deliver to the Board the affidavit described in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the Board may withhold amounts from such Member in accordance with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80" w:firstLine="1296"/>
        <w:spacing w:after="0" w:line="235" w:lineRule="auto"/>
        <w:tabs>
          <w:tab w:leader="none" w:pos="198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Advances</w:t>
      </w:r>
      <w:r>
        <w:rPr>
          <w:rFonts w:ascii="Times New Roman" w:cs="Times New Roman" w:eastAsia="Times New Roman" w:hAnsi="Times New Roman"/>
          <w:sz w:val="22"/>
          <w:szCs w:val="22"/>
          <w:color w:val="auto"/>
        </w:rPr>
        <w:t>. The Company is hereby authorized at all times to make payments (“</w:t>
      </w:r>
      <w:r>
        <w:rPr>
          <w:rFonts w:ascii="Times New Roman" w:cs="Times New Roman" w:eastAsia="Times New Roman" w:hAnsi="Times New Roman"/>
          <w:sz w:val="22"/>
          <w:szCs w:val="22"/>
          <w:u w:val="single" w:color="auto"/>
          <w:color w:val="auto"/>
        </w:rPr>
        <w:t>Withholding Advances</w:t>
      </w:r>
      <w:r>
        <w:rPr>
          <w:rFonts w:ascii="Times New Roman" w:cs="Times New Roman" w:eastAsia="Times New Roman" w:hAnsi="Times New Roman"/>
          <w:sz w:val="22"/>
          <w:szCs w:val="22"/>
          <w:color w:val="auto"/>
        </w:rPr>
        <w:t>”) with respect to each Member in amounts required to discharge any obligation of the Company (as determined by the Board based on the advice of legal or tax counsel to the Company) to withhold or make payments to any federal, state, local or foreign taxing authority (a “</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xml:space="preserve">”) with respect to any Distribution to such Member and to withhold the same from Distributions to such Member. Any funds withheld from a Distribution by reason of this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shall nonetheless be deemed Distributed to the Member in question for all purposes under this Agreement.</w:t>
      </w:r>
    </w:p>
    <w:p>
      <w:pPr>
        <w:spacing w:after="0" w:line="183" w:lineRule="exact"/>
        <w:rPr>
          <w:rFonts w:ascii="Times New Roman" w:cs="Times New Roman" w:eastAsia="Times New Roman" w:hAnsi="Times New Roman"/>
          <w:sz w:val="22"/>
          <w:szCs w:val="22"/>
          <w:color w:val="auto"/>
        </w:rPr>
      </w:pPr>
    </w:p>
    <w:p>
      <w:pPr>
        <w:ind w:right="80" w:firstLine="1296"/>
        <w:spacing w:after="0" w:line="239" w:lineRule="auto"/>
        <w:tabs>
          <w:tab w:leader="none" w:pos="196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Withholding Advances</w:t>
      </w:r>
      <w:r>
        <w:rPr>
          <w:rFonts w:ascii="Times New Roman" w:cs="Times New Roman" w:eastAsia="Times New Roman" w:hAnsi="Times New Roman"/>
          <w:sz w:val="22"/>
          <w:szCs w:val="22"/>
          <w:color w:val="auto"/>
        </w:rPr>
        <w:t>. Any Withholding Advance made by the Company to a Taxing Authority on behalf of a Member and not simultaneously withheld from a Distribution to that Member shall, with interest thereon accruing from the date of payment at a rate equal to the prime rate published in the Wall Street Journal on the date of payment plus two percent per annum (the “</w:t>
      </w:r>
      <w:r>
        <w:rPr>
          <w:rFonts w:ascii="Times New Roman" w:cs="Times New Roman" w:eastAsia="Times New Roman" w:hAnsi="Times New Roman"/>
          <w:sz w:val="22"/>
          <w:szCs w:val="22"/>
          <w:u w:val="single" w:color="auto"/>
          <w:color w:val="auto"/>
        </w:rPr>
        <w:t>Company Interest Rate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3280" w:hanging="688"/>
        <w:spacing w:after="0"/>
        <w:tabs>
          <w:tab w:leader="none" w:pos="32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promptly repaid to the Company by the Member on whose behalf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Advance was made; or</w:t>
      </w:r>
    </w:p>
    <w:p>
      <w:pPr>
        <w:spacing w:after="0" w:line="182" w:lineRule="exact"/>
        <w:rPr>
          <w:rFonts w:ascii="Times New Roman" w:cs="Times New Roman" w:eastAsia="Times New Roman" w:hAnsi="Times New Roman"/>
          <w:sz w:val="22"/>
          <w:szCs w:val="22"/>
          <w:color w:val="auto"/>
        </w:rPr>
      </w:pPr>
    </w:p>
    <w:p>
      <w:pPr>
        <w:jc w:val="both"/>
        <w:ind w:right="200" w:firstLine="2592"/>
        <w:spacing w:after="0" w:line="244" w:lineRule="auto"/>
        <w:tabs>
          <w:tab w:leader="none" w:pos="32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be repaid by reducing the amount of the next succeeding Distribution or Distributions to be made to such Member (which reduction amount shall be deemed to have been Distributed to the Member.</w:t>
      </w:r>
    </w:p>
    <w:p>
      <w:pPr>
        <w:spacing w:after="0" w:line="174"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21"/>
          <w:szCs w:val="21"/>
          <w:color w:val="auto"/>
        </w:rPr>
        <w:t>Interest shall cease to accrue from the time the Member on whose behalf the Withholding Advance was made repays such Withholding Advance (and all accrued interest) by either method of repayment described above.</w:t>
      </w:r>
    </w:p>
    <w:p>
      <w:pPr>
        <w:spacing w:after="0" w:line="135" w:lineRule="exact"/>
        <w:rPr>
          <w:sz w:val="20"/>
          <w:szCs w:val="20"/>
          <w:color w:val="auto"/>
        </w:rPr>
      </w:pPr>
    </w:p>
    <w:p>
      <w:pPr>
        <w:ind w:right="40" w:firstLine="1296"/>
        <w:spacing w:after="0" w:line="235" w:lineRule="auto"/>
        <w:tabs>
          <w:tab w:leader="none" w:pos="19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xml:space="preserve"> and the obligations of a Member pursuant to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including bringing a lawsuit to collect repayment with interest of any Withholding Advances.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76" w:name="page77"/>
    <w:bookmarkEnd w:id="76"/>
    <w:p>
      <w:pPr>
        <w:jc w:val="both"/>
        <w:ind w:right="260" w:firstLine="1296"/>
        <w:spacing w:after="0" w:line="244" w:lineRule="auto"/>
        <w:tabs>
          <w:tab w:leader="none" w:pos="196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Overwithholding</w:t>
      </w:r>
      <w:r>
        <w:rPr>
          <w:rFonts w:ascii="Times New Roman" w:cs="Times New Roman" w:eastAsia="Times New Roman" w:hAnsi="Times New Roman"/>
          <w:sz w:val="22"/>
          <w:szCs w:val="22"/>
          <w:color w:val="auto"/>
        </w:rPr>
        <w:t>. Neither the Company nor the Board shall be liable for any excess taxes withheld in respect of any Distribution. In the event of an overwithholding, a Member’s sole recourse shall be to apply for a refund from the appropriate Taxing Authority.</w:t>
      </w:r>
    </w:p>
    <w:p>
      <w:pPr>
        <w:spacing w:after="0" w:line="174"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Survival of Certain Provisions</w:t>
      </w:r>
      <w:r>
        <w:rPr>
          <w:rFonts w:ascii="Times New Roman" w:cs="Times New Roman" w:eastAsia="Times New Roman" w:hAnsi="Times New Roman"/>
          <w:sz w:val="22"/>
          <w:szCs w:val="22"/>
          <w:color w:val="auto"/>
        </w:rPr>
        <w:t>. The Members acknowledge that the provisions governing book and tax allocations contained in Sections 6.3-6.7 of the Original Agreement shall continue to apply with respect to all tax years ending on or prior to December 16, 2018.</w:t>
      </w:r>
    </w:p>
    <w:p>
      <w:pPr>
        <w:spacing w:after="0" w:line="17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Indemnification and Reimbursement for Payments on Behalf of a Member</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Sections 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if the Company is required by law to make any payment to a Governmental Entity that is specifically attributable to a Member or a Member’s status as such (including federal withholding taxes, state personal property taxes, and state unincorporated business taxes), then such Member shall indemnify and contribute to the Company in full the entire amount paid (including interest, penalties and related expenses). The Board may offset Distributions to which a Person is otherwise entitled under this Agreement against such Person’s obligation to indemnify the Company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A Member’s obligation to indemnify and make contributions to the Company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shall survive the termination, dissolution, liquidation and winding up of the Company, and for purposes of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the Company shall be treated as continuing in existence. The Company may pursue and enforce all rights and remedies it may have against each Member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including instituting a lawsuit to collect such indemnification and contribution with interest at the applicable statutory rate.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MANAGEMENT</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296"/>
        <w:spacing w:after="0" w:line="247" w:lineRule="auto"/>
        <w:tabs>
          <w:tab w:leader="none" w:pos="196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Board’s Power, Authority and Duties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be the governing body of the Company and shall be responsible for the management, operation and control of the business and affairs of the Company. The Board shall constitute the “</w:t>
      </w:r>
      <w:r>
        <w:rPr>
          <w:rFonts w:ascii="Times New Roman" w:cs="Times New Roman" w:eastAsia="Times New Roman" w:hAnsi="Times New Roman"/>
          <w:sz w:val="21"/>
          <w:szCs w:val="21"/>
          <w:u w:val="single" w:color="auto"/>
          <w:color w:val="auto"/>
        </w:rPr>
        <w:t>manager</w:t>
      </w:r>
      <w:r>
        <w:rPr>
          <w:rFonts w:ascii="Times New Roman" w:cs="Times New Roman" w:eastAsia="Times New Roman" w:hAnsi="Times New Roman"/>
          <w:sz w:val="21"/>
          <w:szCs w:val="21"/>
          <w:color w:val="auto"/>
        </w:rPr>
        <w:t>” of the Company for purposes of the Delaware Act, and the Board shall have, and is hereby granted, the full and complete power, authority and sole discretion for, on behalf of and in the name of the Company, to take such actions as it may in its sole discretion deem necessary or advisable to carry out any and all of the objectives and purposes of the Company, subject only to the terms of this Agreement. However, no individual member of the Board shall have the authority to act on his own as a “</w:t>
      </w:r>
      <w:r>
        <w:rPr>
          <w:rFonts w:ascii="Times New Roman" w:cs="Times New Roman" w:eastAsia="Times New Roman" w:hAnsi="Times New Roman"/>
          <w:sz w:val="21"/>
          <w:szCs w:val="21"/>
          <w:u w:val="single" w:color="auto"/>
          <w:color w:val="auto"/>
        </w:rPr>
        <w:t>manager</w:t>
      </w:r>
      <w:r>
        <w:rPr>
          <w:rFonts w:ascii="Times New Roman" w:cs="Times New Roman" w:eastAsia="Times New Roman" w:hAnsi="Times New Roman"/>
          <w:sz w:val="21"/>
          <w:szCs w:val="21"/>
          <w:color w:val="auto"/>
        </w:rPr>
        <w:t>” of the Company for purposes of the Delaware Act.</w:t>
      </w:r>
    </w:p>
    <w:p>
      <w:pPr>
        <w:spacing w:after="0" w:line="172" w:lineRule="exact"/>
        <w:rPr>
          <w:rFonts w:ascii="Times New Roman" w:cs="Times New Roman" w:eastAsia="Times New Roman" w:hAnsi="Times New Roman"/>
          <w:sz w:val="21"/>
          <w:szCs w:val="21"/>
          <w:color w:val="auto"/>
        </w:rPr>
      </w:pPr>
    </w:p>
    <w:p>
      <w:pPr>
        <w:ind w:right="220" w:firstLine="1296"/>
        <w:spacing w:after="0" w:line="235" w:lineRule="auto"/>
        <w:tabs>
          <w:tab w:leader="none" w:pos="19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Number of Directors; Initial Directors; Removal of Directors; Vacancies</w:t>
      </w:r>
      <w:r>
        <w:rPr>
          <w:rFonts w:ascii="Times New Roman" w:cs="Times New Roman" w:eastAsia="Times New Roman" w:hAnsi="Times New Roman"/>
          <w:sz w:val="22"/>
          <w:szCs w:val="22"/>
          <w:color w:val="auto"/>
        </w:rPr>
        <w:t>. The authorized number of Directors shall be six, with Calavo having the right to appoint three Directors (the “</w:t>
      </w:r>
      <w:r>
        <w:rPr>
          <w:rFonts w:ascii="Times New Roman" w:cs="Times New Roman" w:eastAsia="Times New Roman" w:hAnsi="Times New Roman"/>
          <w:sz w:val="22"/>
          <w:szCs w:val="22"/>
          <w:u w:val="single" w:color="auto"/>
          <w:color w:val="auto"/>
        </w:rPr>
        <w:t>Calavo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and with all Members other than Calavo having the right to, collectively, appoint three Directors (the “</w:t>
      </w:r>
      <w:r>
        <w:rPr>
          <w:rFonts w:ascii="Times New Roman" w:cs="Times New Roman" w:eastAsia="Times New Roman" w:hAnsi="Times New Roman"/>
          <w:sz w:val="22"/>
          <w:szCs w:val="22"/>
          <w:u w:val="single" w:color="auto"/>
          <w:color w:val="auto"/>
        </w:rPr>
        <w:t>Non-Calavo Directors</w:t>
      </w:r>
      <w:r>
        <w:rPr>
          <w:rFonts w:ascii="Times New Roman" w:cs="Times New Roman" w:eastAsia="Times New Roman" w:hAnsi="Times New Roman"/>
          <w:sz w:val="22"/>
          <w:szCs w:val="22"/>
          <w:color w:val="auto"/>
        </w:rPr>
        <w:t>”). The three initial Calavo Directors appointed by Calavo are Lecil E. Cole, Steven Hollister and Kathleen M. Holmgren. The three initial Non-Calavo Directors appointed by all other Members are Peter Hajas, Kenneth Catchot and Michael R. Lippold. Each Director shall remain in office until his death, resignation or earlier removal from office by Calavo (in the case of a Calavo Director) or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77" w:name="page78"/>
    <w:bookmarkEnd w:id="77"/>
    <w:p>
      <w:pPr>
        <w:spacing w:after="0" w:line="234" w:lineRule="auto"/>
        <w:rPr>
          <w:sz w:val="20"/>
          <w:szCs w:val="20"/>
          <w:color w:val="auto"/>
        </w:rPr>
      </w:pPr>
      <w:r>
        <w:rPr>
          <w:rFonts w:ascii="Times New Roman" w:cs="Times New Roman" w:eastAsia="Times New Roman" w:hAnsi="Times New Roman"/>
          <w:sz w:val="22"/>
          <w:szCs w:val="22"/>
          <w:color w:val="auto"/>
        </w:rPr>
        <w:t xml:space="preserve">by the Members other than Calavo (in the case of a Non-Calavo Director). Calavo and the other Members shall each shall have the right and power to remove one or more of their respective designees at any time and for any reason or no specified reason and appoint a new Director(s). Any Director may resign at any time upon notice to the Board. Any vacancy occurring in the Board shall be filled at any time by the Member or Members who have the right to appoint such Director(s) in accordance with this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The Members other than Calavo shall agree among themselves upon the manner in which they may remove their designated Directors and appoint new Directors, and Calavo and the Company are authorized to rely upon written notices from Impermanence regarding the removal and replacement of such Directors. The resignation, withdrawal or removal of a Director who is also a Member shall not, itself, affect the Director’s rights as a Member, if applicable, and shall not constitute a withdrawal of a Member.</w:t>
      </w:r>
    </w:p>
    <w:p>
      <w:pPr>
        <w:spacing w:after="0" w:line="180" w:lineRule="exact"/>
        <w:rPr>
          <w:sz w:val="20"/>
          <w:szCs w:val="20"/>
          <w:color w:val="auto"/>
        </w:rPr>
      </w:pPr>
    </w:p>
    <w:p>
      <w:pPr>
        <w:ind w:right="20" w:firstLine="1296"/>
        <w:spacing w:after="0" w:line="236" w:lineRule="auto"/>
        <w:tabs>
          <w:tab w:leader="none" w:pos="196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xml:space="preserve">. The Board, by the affirmative vote or written consent of a majority of the authorized number of Directors described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shall from time to time select a Director to serve as the Chairman of the Board. Peter Hajas shall continue to serve as the Chairman of the Board beginning as of the Effective Date, provided that the Board has the right and power to designate at any time another Director to serve as the Chairman of the Board. The Board shall from time to time determine and specify the powers, duties and responsibilities that shall be given to the Chairman of the Board.</w:t>
      </w:r>
    </w:p>
    <w:p>
      <w:pPr>
        <w:spacing w:after="0" w:line="182" w:lineRule="exact"/>
        <w:rPr>
          <w:rFonts w:ascii="Times New Roman" w:cs="Times New Roman" w:eastAsia="Times New Roman" w:hAnsi="Times New Roman"/>
          <w:sz w:val="22"/>
          <w:szCs w:val="22"/>
          <w:color w:val="auto"/>
        </w:rPr>
      </w:pPr>
    </w:p>
    <w:p>
      <w:pPr>
        <w:ind w:left="1980" w:hanging="684"/>
        <w:spacing w:after="0"/>
        <w:tabs>
          <w:tab w:leader="none" w:pos="1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of the Board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00" w:firstLine="2592"/>
        <w:spacing w:after="0" w:line="239" w:lineRule="auto"/>
        <w:tabs>
          <w:tab w:leader="none" w:pos="328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Board shall meet at such times and at such places (including meetings by conference calls) as are determined from time to time by the Chairman of the Board or by at least two other Directors on at least twelve hours’ notice to each Director, either personally, by telephone, by facsimile, by e-mail or by mail, unless all of the Directors agree to meet on shorter notice.</w:t>
      </w:r>
    </w:p>
    <w:p>
      <w:pPr>
        <w:spacing w:after="0" w:line="180" w:lineRule="exact"/>
        <w:rPr>
          <w:rFonts w:ascii="Times New Roman" w:cs="Times New Roman" w:eastAsia="Times New Roman" w:hAnsi="Times New Roman"/>
          <w:sz w:val="22"/>
          <w:szCs w:val="22"/>
          <w:color w:val="auto"/>
        </w:rPr>
      </w:pPr>
    </w:p>
    <w:p>
      <w:pPr>
        <w:ind w:right="100" w:firstLine="2592"/>
        <w:spacing w:after="0" w:line="235" w:lineRule="auto"/>
        <w:tabs>
          <w:tab w:leader="none" w:pos="328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 Action by the Board; Remote Participation</w:t>
      </w:r>
      <w:r>
        <w:rPr>
          <w:rFonts w:ascii="Times New Roman" w:cs="Times New Roman" w:eastAsia="Times New Roman" w:hAnsi="Times New Roman"/>
          <w:sz w:val="22"/>
          <w:szCs w:val="22"/>
          <w:color w:val="auto"/>
        </w:rPr>
        <w:t xml:space="preserve">. A majority of the authorized number of Directors specified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shall constitute a quorum for the transaction of business of the Board. At all times when the Board is conducting business at a meeting of the Board, a quorum of the Board must be present at such meeting. The affirmative vote of a majority of the authorized number of Directors shall be required to take action at a Board meeting and shall constitute valid and binding action by the Board. One or more Directors may participate in a meeting of the Board by means of conference telephone or other electronic technology by means of which all Persons participating in the meeting can hear each other. Participation in a meeting pursuant to this </w:t>
      </w:r>
      <w:r>
        <w:rPr>
          <w:rFonts w:ascii="Times New Roman" w:cs="Times New Roman" w:eastAsia="Times New Roman" w:hAnsi="Times New Roman"/>
          <w:sz w:val="22"/>
          <w:szCs w:val="22"/>
          <w:u w:val="single" w:color="auto"/>
          <w:color w:val="auto"/>
        </w:rPr>
        <w:t>subsection (ii)</w:t>
      </w:r>
      <w:r>
        <w:rPr>
          <w:rFonts w:ascii="Times New Roman" w:cs="Times New Roman" w:eastAsia="Times New Roman" w:hAnsi="Times New Roman"/>
          <w:sz w:val="22"/>
          <w:szCs w:val="22"/>
          <w:color w:val="auto"/>
        </w:rPr>
        <w:t xml:space="preserve"> shall constitute presence in person at the meeting.</w:t>
      </w:r>
    </w:p>
    <w:p>
      <w:pPr>
        <w:spacing w:after="0" w:line="179" w:lineRule="exact"/>
        <w:rPr>
          <w:rFonts w:ascii="Times New Roman" w:cs="Times New Roman" w:eastAsia="Times New Roman" w:hAnsi="Times New Roman"/>
          <w:sz w:val="22"/>
          <w:szCs w:val="22"/>
          <w:color w:val="auto"/>
        </w:rPr>
      </w:pPr>
    </w:p>
    <w:p>
      <w:pPr>
        <w:ind w:right="120" w:firstLine="1296"/>
        <w:spacing w:after="0" w:line="238" w:lineRule="auto"/>
        <w:tabs>
          <w:tab w:leader="none" w:pos="196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xml:space="preserve">. Notwithstanding anything herein to the contrary, any action of the Board may be taken without a meeting if a written consent of a majority of the authorized number of Directors specified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shall approve such action. Such consent shall have the same force and effect as a vote at a meeting where a quorum was present and may be stated as such in any document or instrument filed with the Secretary of State of Delaware.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8" w:name="page79"/>
    <w:bookmarkEnd w:id="78"/>
    <w:p>
      <w:pPr>
        <w:ind w:left="1940" w:hanging="644"/>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 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20" w:firstLine="2592"/>
        <w:spacing w:after="0" w:line="236" w:lineRule="auto"/>
        <w:tabs>
          <w:tab w:leader="none" w:pos="328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Directors shall receive such compensation, if any, for their services in such capacity as may be designated by the Board, from time to time. In addition, each Director shall be reimbursed for his reasonable out-of-pocket expenses incurred in the performance of his duties as a Director, pursuant to such policies as from time to time are established by the Board. Nothing contained in this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 xml:space="preserve"> shall be construed to preclude any Director from serving the Company or Calavo in any other capacity and receiving reasonable compensation for such services.</w:t>
      </w:r>
    </w:p>
    <w:p>
      <w:pPr>
        <w:spacing w:after="0" w:line="182" w:lineRule="exact"/>
        <w:rPr>
          <w:rFonts w:ascii="Times New Roman" w:cs="Times New Roman" w:eastAsia="Times New Roman" w:hAnsi="Times New Roman"/>
          <w:sz w:val="22"/>
          <w:szCs w:val="22"/>
          <w:color w:val="auto"/>
        </w:rPr>
      </w:pPr>
    </w:p>
    <w:p>
      <w:pPr>
        <w:ind w:left="3280" w:hanging="688"/>
        <w:spacing w:after="0"/>
        <w:tabs>
          <w:tab w:leader="none" w:pos="328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does not, and is not intended to, confer upon any Director</w:t>
      </w:r>
    </w:p>
    <w:p>
      <w:pPr>
        <w:spacing w:after="0" w:line="14" w:lineRule="exact"/>
        <w:rPr>
          <w:rFonts w:ascii="Times New Roman" w:cs="Times New Roman" w:eastAsia="Times New Roman" w:hAnsi="Times New Roman"/>
          <w:sz w:val="22"/>
          <w:szCs w:val="22"/>
          <w:color w:val="auto"/>
        </w:rPr>
      </w:pPr>
    </w:p>
    <w:p>
      <w:pPr>
        <w:ind w:right="8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with respect to continued employment by the Company or Calavo, and nothing herein should be construed to have created any employment agreement with any Director.</w:t>
      </w:r>
    </w:p>
    <w:p>
      <w:pPr>
        <w:spacing w:after="0" w:line="17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The Board may, from time to time, delegate to one or more Persons such authority and duties as the Board may deem advisable. Any delegation pursuant to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may be revoked at any time by the Board in its sole discretion.</w:t>
      </w:r>
    </w:p>
    <w:p>
      <w:pPr>
        <w:spacing w:after="0" w:line="174"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Company shall have a Chief Executive Officer (the “</w:t>
      </w:r>
      <w:r>
        <w:rPr>
          <w:rFonts w:ascii="Times New Roman" w:cs="Times New Roman" w:eastAsia="Times New Roman" w:hAnsi="Times New Roman"/>
          <w:sz w:val="22"/>
          <w:szCs w:val="22"/>
          <w:u w:val="single" w:color="auto"/>
          <w:color w:val="auto"/>
        </w:rPr>
        <w:t>Chief 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who shall be appointed by the Board. Subject to such powers, duties and responsibilities, if any, as may be given by the Board to the Chairman of the Board, the Chief Executive Officer shall be responsible for the day-to-day management, business and affairs of the Company and shall perform all duties incidental to his office which may be required by law and all such other duties as are properly required of him by the Board. The Chief Executive Officer shall be subject to the control of the Board. Michael R. Lippold shall be the Company’s Chief Executive Officer beginning as of the Effective Date and shall serve in that capacity until his death, resignation or earlier removal and replacement at any time by the Board. The Board shall approve the Chief Executive Officer’s compensation and perquisites.</w:t>
      </w:r>
    </w:p>
    <w:p>
      <w:pPr>
        <w:spacing w:after="0" w:line="18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Other Officers, Employees and Consultants</w:t>
      </w:r>
      <w:r>
        <w:rPr>
          <w:rFonts w:ascii="Times New Roman" w:cs="Times New Roman" w:eastAsia="Times New Roman" w:hAnsi="Times New Roman"/>
          <w:sz w:val="22"/>
          <w:szCs w:val="22"/>
          <w:color w:val="auto"/>
        </w:rPr>
        <w:t>. The Company shall have such other officers, employees and consultants as the Board determines from time to time are necessary or advisable, and such officers and employees shall have any such titles as the Board determines are necessary or advisable. The Board shall approve the compensation and perquisites of each of such officers, employees and consultants or may elect to grant that authority to the Chief Executive Officer with respect to some or all of such officers, employees or consultants. Each such officer, employee and consultant shall have such power, authority and duties as are assigned to him from time to time by the Chief Executive Officer or the Board. In absence of an express statement of powers and authority of an officer, each officer shall have the power and authority normally and customarily vested in such officers of a corporation. Any number of offices may be held by the same person and no officer need be a Member. Except for the Chief Executive Officer, who shall report directly to the Board, each officer, employee and consultant shall report directly to the Chief Executive Officer or to another person or persons designated by the Chief Executive Officer, provided that the Board has the right and power to designate that any such officer, employee or consultant shall instead report directly to the Board or to the Chief Executive Officer. The Board has the right and power to remove at any time and replace 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9" w:name="page80"/>
    <w:bookmarkEnd w:id="79"/>
    <w:p>
      <w:pPr>
        <w:ind w:right="40"/>
        <w:spacing w:after="0" w:line="258" w:lineRule="auto"/>
        <w:rPr>
          <w:sz w:val="20"/>
          <w:szCs w:val="20"/>
          <w:color w:val="auto"/>
        </w:rPr>
      </w:pPr>
      <w:r>
        <w:rPr>
          <w:rFonts w:ascii="Times New Roman" w:cs="Times New Roman" w:eastAsia="Times New Roman" w:hAnsi="Times New Roman"/>
          <w:sz w:val="22"/>
          <w:szCs w:val="22"/>
          <w:color w:val="auto"/>
        </w:rPr>
        <w:t>officer, employee or consultant of the Company, and any such removal may be made by the Board for any reason or for no specified reason.</w:t>
      </w:r>
    </w:p>
    <w:p>
      <w:pPr>
        <w:spacing w:after="0" w:line="158"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as otherwise provided herein or in any agreement entered into by such Person and the Company, and to the maximum extent permitted by the Delaware Act, no present or former member of the Board shall be liable to the Company or to any other Member for any act or omission performed or omitted by such Person in good faith in his capacity as a member of the Board; provided that such limitation of liability shall not apply to the extent the act or omission was attributable to such Person’s gross negligence, willful misconduct or knowing violation of law or this Agreement or any other agreement with the Company. The Board shall be entitled to rely upon the advice of legal counsel, independent public accountants and other experts, including financial advisors, and any act of or failure to act by the Board in good faith reliance on such advice shall in no event subject the Board or any of its Affiliates, employees, agents or representatives to liability to the Company or any Member.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BOOKS, RECORDS, ACCOUNTING AND REPORTS</w:t>
      </w:r>
    </w:p>
    <w:p>
      <w:pPr>
        <w:spacing w:after="0" w:line="18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Records and Accounting</w:t>
      </w:r>
      <w:r>
        <w:rPr>
          <w:rFonts w:ascii="Times New Roman" w:cs="Times New Roman" w:eastAsia="Times New Roman" w:hAnsi="Times New Roman"/>
          <w:sz w:val="22"/>
          <w:szCs w:val="22"/>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the Delaware Act and other applicable laws. Any holder of at least ten percent of the then-outstanding Units shall be entitled to full access to the Company’s books and records at any time during normal business hours. All matters concerning (a) the determination of the relative amount of allocations and distributions among the Members pursuant to </w:t>
      </w:r>
      <w:r>
        <w:rPr>
          <w:rFonts w:ascii="Times New Roman" w:cs="Times New Roman" w:eastAsia="Times New Roman" w:hAnsi="Times New Roman"/>
          <w:sz w:val="22"/>
          <w:szCs w:val="22"/>
          <w:u w:val="single" w:color="auto"/>
          <w:color w:val="auto"/>
        </w:rPr>
        <w:t>Articles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and (b) accounting procedures and determinations, and other determinations not specifically and expressly provided for by the terms of this Agreement, shall be determined by the Board, whose determination shall be final and conclusive as to all of the Members absent manifest clerical error.</w:t>
      </w:r>
    </w:p>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(the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of the Company shall be January 1 to December 31, or such other annual accounting period as may be established by the Board.</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296"/>
        <w:spacing w:after="0" w:line="236" w:lineRule="auto"/>
        <w:tabs>
          <w:tab w:leader="none" w:pos="196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upon the written request of any Member, deliver or cause to be delivered to such Member with reasonable promptness, information and financial data concerning the Company requested by the Member but only to the extent the delivery of such information and data is expressly required by the Delaware Act or is necessary for such Member to consummate a Transfer of Units permitted by this Agreement; provided further that furnishing such information and data shall not be financially burdensome on the Company or the Board, or unreasonably time consuming for the employees of the Board or the Company.</w:t>
      </w:r>
    </w:p>
    <w:p>
      <w:pPr>
        <w:spacing w:after="0" w:line="182" w:lineRule="exact"/>
        <w:rPr>
          <w:rFonts w:ascii="Times New Roman" w:cs="Times New Roman" w:eastAsia="Times New Roman" w:hAnsi="Times New Roman"/>
          <w:sz w:val="22"/>
          <w:szCs w:val="22"/>
          <w:color w:val="auto"/>
        </w:rPr>
      </w:pPr>
    </w:p>
    <w:p>
      <w:pPr>
        <w:ind w:right="20" w:firstLine="1296"/>
        <w:spacing w:after="0" w:line="244" w:lineRule="auto"/>
        <w:tabs>
          <w:tab w:leader="none" w:pos="198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availability of information, the Company shall use reasonable efforts to deliver or cause to be delivered, within ninety days after the end of each Fiscal Year, to each Person who was a Member at any time during such Fiscal Year all</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0" w:name="page81"/>
    <w:bookmarkEnd w:id="80"/>
    <w:p>
      <w:pPr>
        <w:ind w:right="500"/>
        <w:spacing w:after="0" w:line="258" w:lineRule="auto"/>
        <w:rPr>
          <w:sz w:val="20"/>
          <w:szCs w:val="20"/>
          <w:color w:val="auto"/>
        </w:rPr>
      </w:pPr>
      <w:r>
        <w:rPr>
          <w:rFonts w:ascii="Times New Roman" w:cs="Times New Roman" w:eastAsia="Times New Roman" w:hAnsi="Times New Roman"/>
          <w:sz w:val="22"/>
          <w:szCs w:val="22"/>
          <w:color w:val="auto"/>
        </w:rPr>
        <w:t>information with respect to such Person’s Units which is necessary for the preparation of such Person’s United States federal and state income tax returns.</w:t>
      </w:r>
    </w:p>
    <w:p>
      <w:pPr>
        <w:spacing w:after="0" w:line="158" w:lineRule="exact"/>
        <w:rPr>
          <w:sz w:val="20"/>
          <w:szCs w:val="20"/>
          <w:color w:val="auto"/>
        </w:rPr>
      </w:pPr>
    </w:p>
    <w:p>
      <w:pPr>
        <w:ind w:right="100" w:firstLine="1296"/>
        <w:spacing w:after="0" w:line="234" w:lineRule="auto"/>
        <w:tabs>
          <w:tab w:leader="none" w:pos="196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each holder of at least ten percent of the then-outstanding Units monthly, quarterly and annual financial statements of the Company within fifteen days, thirty days and sixty days, respectively, after the end of each month, quarter or Fiscal Year. Upon Calavo’s prior request, the annual financial statements of the Company shall be audited by an accounting firm reasonably approved by Calavo if the Company is not at such time consolidated with Calavo for accounting purposes. In addition, the Company shall deliver to every other Member financial statements of the Company for each Fiscal Year at the same time that the Company delivers such annual financial statements to Members holding at least ten percent of the then-outstanding Units. Each Member must maintain the confidentiality of the financial statements described in this paragraph, except to the extent that disclosure is required under applicable provisions of the Securities Act or the Securities Exchange Act or the rules and regulations thereunder.</w:t>
      </w:r>
    </w:p>
    <w:p>
      <w:pPr>
        <w:spacing w:after="0" w:line="1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u w:val="single" w:color="auto"/>
          <w:color w:val="auto"/>
        </w:rPr>
        <w:t>COVENANTS</w:t>
      </w:r>
    </w:p>
    <w:p>
      <w:pPr>
        <w:spacing w:after="0" w:line="182"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Member recognizes and acknowledges that it has and may in the future receive certain confidential and proprietary information and trade secrets of the Company and its Affiliates that are not generally known to the public, including, but not limited to, information concerning business plans, financial statements and other information provided pursuant to this Agreement, identifiable, specific and discrete business opportunities being pursued by the Company, operating practices and methods, expansion plans, strategic plans, marketing plans, contracts, customer and supplier lists or other business documents which the Company treats as confidential, in any format whatsoever (including oral, written, electronic or any other form or medium) (collectively,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Except as otherwise agreed to by the Board, each Member agrees that it will not, and shall cause each of its directors, officers, members, partners, employees and agents not to, during or after the term of this Agreement, whether directly or indirectly through an Affiliate or otherwise, take commercial or proprietary advantage of or profit from any Confidential Information or disclose Confidential Information to any Person for any reason or purpose whatsoever, except (i) to authorized Directors, officers, representatives, agents and employees of the Company and as otherwise may be proper in the course of performing such Member’s obligations, or enforcing such Member’s rights, under this Agreement; (ii) to any bona fide prospective purchaser of the equity or assets of such Member or its Affiliates or the Units held by such Member or of the assets or Units of the Company, or prospective merger partner of such Member or its Affiliates or of the Company, provided that such prospective purchaser or merger partner agrees to be bound by the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or a comparable agreement; or (iii) as is required to be disclosed by order of a court of competent jurisdiction, administrative body or governmental body, or by subpoena, summons or legal process, or by law, rule or regulation, provided that, to the extent permitted by law, the Member required to make such disclosure shall provide to the Board prompt notice of such disclosure. For purposes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not include any information which is disclosed by the Company or Calavo in a prospectus or other documents for dissemination to the public or otherwise becomes generally available to the public other than as a result of disclosure by such Person or any other Person who receives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1" w:name="page82"/>
    <w:bookmarkEnd w:id="81"/>
    <w:p>
      <w:pPr>
        <w:spacing w:after="0" w:line="236" w:lineRule="auto"/>
        <w:rPr>
          <w:sz w:val="20"/>
          <w:szCs w:val="20"/>
          <w:color w:val="auto"/>
        </w:rPr>
      </w:pPr>
      <w:r>
        <w:rPr>
          <w:rFonts w:ascii="Times New Roman" w:cs="Times New Roman" w:eastAsia="Times New Roman" w:hAnsi="Times New Roman"/>
          <w:sz w:val="22"/>
          <w:szCs w:val="22"/>
          <w:color w:val="auto"/>
        </w:rPr>
        <w:t xml:space="preserve">information from such Person in breach of this Agreement or in breach of any other confidentiality obligation that is owed to the Company or Calavo. Neither the preceding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nor any other provision of this Agreement shall be construed as prohibiting Calavo from disclosing any Confidential Information or other information that it is required to disclose under the Securities Act or the Securities Exchange Act, or the rules and regulations thereunder, in connection with a report or other document that Calavo files with the Securities and Exchange Commission.</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Non-compete; Non-solicit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296"/>
        <w:spacing w:after="0" w:line="243" w:lineRule="auto"/>
        <w:tabs>
          <w:tab w:leader="none" w:pos="196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In light of each Member’s access to Confidential Information and position of trust and confidence with the Company, each Member hereby agrees that, so long as such Member owns Units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xml:space="preserve">”), such Member shall not (i) render services or give advice to, or affiliate with (as employee, partner, consultant or otherwise), or (ii) directly or indirectly through one or more of any of their respective Affiliates, own, manage, operate, control or participate in the ownership, management, operation or control of, any Competitor or any division or business segment of any Competitor or otherwise directly or indirectly compete with the business conducted by the Company; provided, that nothing in this </w:t>
      </w:r>
      <w:r>
        <w:rPr>
          <w:rFonts w:ascii="Times New Roman" w:cs="Times New Roman" w:eastAsia="Times New Roman" w:hAnsi="Times New Roman"/>
          <w:sz w:val="21"/>
          <w:szCs w:val="21"/>
          <w:u w:val="single" w:color="auto"/>
          <w:color w:val="auto"/>
        </w:rPr>
        <w:t>Section 9.2(a)</w:t>
      </w:r>
      <w:r>
        <w:rPr>
          <w:rFonts w:ascii="Times New Roman" w:cs="Times New Roman" w:eastAsia="Times New Roman" w:hAnsi="Times New Roman"/>
          <w:sz w:val="21"/>
          <w:szCs w:val="21"/>
          <w:color w:val="auto"/>
        </w:rPr>
        <w:t xml:space="preserve"> shall prohibit such Member from acquiring or owning, directly or indirectly, up to 2% of the aggregate voting securities of any Competitor that is a publicly traded Person; and provided, further, that the restrictions of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shall cease to apply to a Service Provider who, within six months after a Sale of the Company (other than a Statutory Conversion or any transaction, the sole purpose of which is to change the Company's form to a corporation), ceases to be a Service Provider of the Company by reason of (i) the Company’s termination of the Service Provider’s employment with, or other service to, the Company without Cause, or (ii) the Service Provider’s termination of his employment with, or other service to, the Company for Good Reason. With respect to the Co-Packers in their capacity as Members, if a Co-Packer should not be able to comply with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such Co-Packer shall be allowed to sell or transfer its Units as provided in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hereof. If such Co-Packer is unable, after using commercially reasonable efforts, to secure a bona fide purchase offer for its Units within 90 days of being notified that such Co-Packer is not in compliance with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and has not otherwise taken such actions as would be necessary to permit such Co-Packer to regain compliance with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then the Company shall exercise its right to acquire such Co-Packer’s Units as provided in the last sentence of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xml:space="preserve"> below.</w:t>
      </w:r>
    </w:p>
    <w:p>
      <w:pPr>
        <w:spacing w:after="0" w:line="187" w:lineRule="exact"/>
        <w:rPr>
          <w:rFonts w:ascii="Times New Roman" w:cs="Times New Roman" w:eastAsia="Times New Roman" w:hAnsi="Times New Roman"/>
          <w:sz w:val="21"/>
          <w:szCs w:val="21"/>
          <w:color w:val="auto"/>
        </w:rPr>
      </w:pPr>
    </w:p>
    <w:p>
      <w:pPr>
        <w:ind w:right="40" w:firstLine="1296"/>
        <w:spacing w:after="0" w:line="235" w:lineRule="auto"/>
        <w:tabs>
          <w:tab w:leader="none" w:pos="198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 of Employees</w:t>
      </w:r>
      <w:r>
        <w:rPr>
          <w:rFonts w:ascii="Times New Roman" w:cs="Times New Roman" w:eastAsia="Times New Roman" w:hAnsi="Times New Roman"/>
          <w:sz w:val="22"/>
          <w:szCs w:val="22"/>
          <w:color w:val="auto"/>
        </w:rPr>
        <w:t>. In light of each Member’s access to Confidential Information and position of trust and confidence with the Company, each Member further agrees that, during the Restricted Period, he shall not, directly or indirectly through one or more of any of their respective Affiliates, hire or solicit, or encourage any other Person to hire or solicit, any individual who has been employed by the Company within one year prior to the date of such hiring or solicitation, or encourage any such individual to leave such</w:t>
      </w:r>
    </w:p>
    <w:p>
      <w:pPr>
        <w:ind w:right="4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employment. This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shall not prevent a Member from hiring or soliciting any employee or former employee of the Company who responds to a general solicitation that is a public solicitation of prospective employees and not directed specifically to any Company employees.</w:t>
      </w:r>
    </w:p>
    <w:p>
      <w:pPr>
        <w:spacing w:after="0" w:line="178" w:lineRule="exact"/>
        <w:rPr>
          <w:rFonts w:ascii="Times New Roman" w:cs="Times New Roman" w:eastAsia="Times New Roman" w:hAnsi="Times New Roman"/>
          <w:sz w:val="22"/>
          <w:szCs w:val="22"/>
          <w:color w:val="auto"/>
        </w:rPr>
      </w:pPr>
    </w:p>
    <w:p>
      <w:pPr>
        <w:ind w:right="80" w:firstLine="1296"/>
        <w:spacing w:after="0" w:line="258" w:lineRule="auto"/>
        <w:tabs>
          <w:tab w:leader="none" w:pos="19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 of Customers</w:t>
      </w:r>
      <w:r>
        <w:rPr>
          <w:rFonts w:ascii="Times New Roman" w:cs="Times New Roman" w:eastAsia="Times New Roman" w:hAnsi="Times New Roman"/>
          <w:sz w:val="22"/>
          <w:szCs w:val="22"/>
          <w:color w:val="auto"/>
        </w:rPr>
        <w:t>. In light of each Member’s access to Confidential Information and position of trust and confidence with the Company, each Member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2" w:name="page83"/>
    <w:bookmarkEnd w:id="82"/>
    <w:p>
      <w:pPr>
        <w:ind w:right="300"/>
        <w:spacing w:after="0" w:line="244" w:lineRule="auto"/>
        <w:rPr>
          <w:sz w:val="20"/>
          <w:szCs w:val="20"/>
          <w:color w:val="auto"/>
        </w:rPr>
      </w:pPr>
      <w:r>
        <w:rPr>
          <w:rFonts w:ascii="Times New Roman" w:cs="Times New Roman" w:eastAsia="Times New Roman" w:hAnsi="Times New Roman"/>
          <w:sz w:val="22"/>
          <w:szCs w:val="22"/>
          <w:color w:val="auto"/>
        </w:rPr>
        <w:t>further agrees that, during the Restricted Period, he shall not, directly or indirectly through one or more of any of their respective Affiliates, solicit or entice, or attempt to solicit or entice, any customers or suppliers of the Company for purposes of diverting their business from the Company.</w:t>
      </w:r>
    </w:p>
    <w:p>
      <w:pPr>
        <w:spacing w:after="0" w:line="174" w:lineRule="exact"/>
        <w:rPr>
          <w:sz w:val="20"/>
          <w:szCs w:val="20"/>
          <w:color w:val="auto"/>
        </w:rPr>
      </w:pPr>
    </w:p>
    <w:p>
      <w:pPr>
        <w:ind w:right="60" w:firstLine="1296"/>
        <w:spacing w:after="0" w:line="235" w:lineRule="auto"/>
        <w:tabs>
          <w:tab w:leader="none" w:pos="198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Pencil</w:t>
      </w:r>
      <w:r>
        <w:rPr>
          <w:rFonts w:ascii="Times New Roman" w:cs="Times New Roman" w:eastAsia="Times New Roman" w:hAnsi="Times New Roman"/>
          <w:sz w:val="22"/>
          <w:szCs w:val="22"/>
          <w:color w:val="auto"/>
        </w:rPr>
        <w:t xml:space="preserve">. If any court of competent jurisdiction determines that any of the covenants set forth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any part thereof, is unenforceable because of the duration or geographic scope of such provision, such court shall have the right and power to modify any such unenforceable provision in lieu of severing such unenforceable provision from this Agreement in its entirety, whether by rewriting the offending provision, deleting any or all of the offending provision, adding additional language to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by making such other modifications as it deems warranted to carry out the intent and agreement of the parties as embodied herein to the maximum extent permitted by applicable law. The parties hereto expressly agree that this Agreement as so modified by the court shall be binding upon and enforceable against each of them.</w:t>
      </w:r>
    </w:p>
    <w:p>
      <w:pPr>
        <w:spacing w:after="0" w:line="17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All processes, designs, technologies and inventions relating to the business of the Company (collectively,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xml:space="preserve">”), including new contributions, improvements, ideas, discoveries, trademarks and trade names, conceived, developed, invented, made or found by a Service Provider, alone or with others, during his employment or consultancy with the Company, whether or not patentable and whether or not conceived, developed, invented, made or found on the Company’s time or with the use of the Company’s facilities or materials, shall be the property of the Company and shall be promptly and fully disclosed by the Service Provider to the Company. The Service Providers shall perform all necessary acts (including, without limitation, executing and delivering any confirmatory assignments, documents or instruments requested by the Company) to assign or otherwise to vest title to any such Inventions in the Company and to enable the Company, at its sole expense, to secure and maintain patents or any other rights for such Inventions. As used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of the Company</w:t>
      </w:r>
      <w:r>
        <w:rPr>
          <w:rFonts w:ascii="Times New Roman" w:cs="Times New Roman" w:eastAsia="Times New Roman" w:hAnsi="Times New Roman"/>
          <w:sz w:val="21"/>
          <w:szCs w:val="21"/>
          <w:color w:val="auto"/>
        </w:rPr>
        <w:t>” shall mean whatever business the Company is conducting at the relevant time.</w:t>
      </w:r>
    </w:p>
    <w:p>
      <w:pPr>
        <w:spacing w:after="0" w:line="17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Other Business Activities</w:t>
      </w:r>
      <w:r>
        <w:rPr>
          <w:rFonts w:ascii="Times New Roman" w:cs="Times New Roman" w:eastAsia="Times New Roman" w:hAnsi="Times New Roman"/>
          <w:sz w:val="22"/>
          <w:szCs w:val="22"/>
          <w:color w:val="auto"/>
        </w:rPr>
        <w:t>. The parties hereto expressly acknowledge and agree that, notwithstanding any other provision of this Agreement: (a) each of Calavo, Fresh Benefit, Inc. (“</w:t>
      </w:r>
      <w:r>
        <w:rPr>
          <w:rFonts w:ascii="Times New Roman" w:cs="Times New Roman" w:eastAsia="Times New Roman" w:hAnsi="Times New Roman"/>
          <w:sz w:val="22"/>
          <w:szCs w:val="22"/>
          <w:u w:val="single" w:color="auto"/>
          <w:color w:val="auto"/>
        </w:rPr>
        <w:t>Fresh Benefit</w:t>
      </w:r>
      <w:r>
        <w:rPr>
          <w:rFonts w:ascii="Times New Roman" w:cs="Times New Roman" w:eastAsia="Times New Roman" w:hAnsi="Times New Roman"/>
          <w:sz w:val="22"/>
          <w:szCs w:val="22"/>
          <w:color w:val="auto"/>
        </w:rPr>
        <w:t>”), of which David Ominsky and William Farrell III are officers and/or beneficial owners of equity securities, and their respective Affiliates are permitted to have, and presently have or may in the future have, investments or other business relationships, ventures, agreements or arrangements with entities engaged in business that is not directly competitive with the business of the Company (an “</w:t>
      </w: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(b) none of Calavo, Fresh Benefit or their respective Affiliates will be prohibited by virtue of Calavo’s and Messrs. Ominsky and Farrell III’s respective investment in the Company from pursuing and engaging in any such activities; (c) none of Calavo, Fresh Benefit or their respective Affiliates will be obligated to inform the Company or any Member of any such opportunity, relationship or investment (a “</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or to present such Business Opportunity to the Company, and the Company hereby renounces any interest in a Business Opportunity and any expectancy that a Business Opportunity will be offered to it; (d) nothing contained herein shall limit, prohibit or restrict any Director, who is also a Calavo director, from serving on the board of directors or other governing body or committee of any Other Business; and (e) the Members will not acquire,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3" w:name="page84"/>
    <w:bookmarkEnd w:id="83"/>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be provided with an option or opportunity to acquire, or be entitled to any interest or participation in any Other Business as a result of the participation therein of any of Calavo, Fresh Benefit or their respective Affiliates. The parties hereto expressly authorize and consent to the involvement of Calavo, Fresh Benefit and/or their respective Affiliates in any Other Business. The parties hereto expressly waive, to the fullest extent permitted by applicable law, any rights to assert any claim that such involvement breaches any fiduciary or other duty or obligation owed by Calavo, David Ominsky or William Farrell III to the Company or any Member or to assert that such involvement constitutes a conflict of interest by Calavo, David Ominsky or William Farrell III with respect to the Company or any Member. Notwithstanding anything to the contrary in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shall remain in effect.</w:t>
      </w:r>
    </w:p>
    <w:p>
      <w:pPr>
        <w:spacing w:after="0" w:line="18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Violations</w:t>
      </w:r>
      <w:r>
        <w:rPr>
          <w:rFonts w:ascii="Times New Roman" w:cs="Times New Roman" w:eastAsia="Times New Roman" w:hAnsi="Times New Roman"/>
          <w:sz w:val="22"/>
          <w:szCs w:val="22"/>
          <w:color w:val="auto"/>
        </w:rPr>
        <w:t xml:space="preserve">. If any Member breaches any provision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in the event that any such breach is threatened by any Member, in addition to and without limiting or waiving any other remedies available to the Company at law or in equity, the Company shall be entitled to immediate injunctive relief in any court, domestic or foreign, having the capacity to grant such relief, to restrain any such breach or threatened breach and to enforce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parties hereto expressly acknowledge and agree that, among the Company’s other rights and remedies, the Company shall not be required to make any payments or distributions to a Member under this Agreement or under an employment agreement or consulting agreement between a Member who is a Service Provider and the Company if such Member violates any agreement or duty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The Company has a right to buy a breaching Member’s Units for his or its cash Capital Contribution to the Company in respect of such Units.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TAX MATTERS</w:t>
      </w:r>
    </w:p>
    <w:p>
      <w:pPr>
        <w:spacing w:after="0" w:line="182"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Preparation of Tax Returns</w:t>
      </w:r>
      <w:r>
        <w:rPr>
          <w:rFonts w:ascii="Times New Roman" w:cs="Times New Roman" w:eastAsia="Times New Roman" w:hAnsi="Times New Roman"/>
          <w:sz w:val="22"/>
          <w:szCs w:val="22"/>
          <w:color w:val="auto"/>
        </w:rPr>
        <w:t>. The Company shall arrange for the preparation and timely filing of all returns required to be filed by the Company. Each Member shall timely furnish to the Board all pertinent information in its possession relating to Company operations that is necessary to enable the Company’s income tax returns to be prepared and filed.</w:t>
      </w:r>
    </w:p>
    <w:p>
      <w:pPr>
        <w:spacing w:after="0" w:line="181"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Tax Elections</w:t>
      </w:r>
      <w:r>
        <w:rPr>
          <w:rFonts w:ascii="Times New Roman" w:cs="Times New Roman" w:eastAsia="Times New Roman" w:hAnsi="Times New Roman"/>
          <w:sz w:val="22"/>
          <w:szCs w:val="22"/>
          <w:color w:val="auto"/>
        </w:rPr>
        <w:t>. The Taxable Year shall be determined by the Board in accordance with applicable laws. The Board shall, in its sole discretion, determine whether to make or revoke any available election pursuant to the Code. Each Member will upon request supply any information necessary to give proper effect to such election.</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The following provisions shall apply solely with respect to tax years ending on or prior to December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2018:</w:t>
      </w:r>
    </w:p>
    <w:p>
      <w:pPr>
        <w:spacing w:after="0" w:line="182" w:lineRule="exact"/>
        <w:rPr>
          <w:sz w:val="20"/>
          <w:szCs w:val="20"/>
          <w:color w:val="auto"/>
        </w:rPr>
      </w:pPr>
    </w:p>
    <w:p>
      <w:pPr>
        <w:ind w:right="20" w:firstLine="1296"/>
        <w:spacing w:after="0" w:line="236" w:lineRule="auto"/>
        <w:tabs>
          <w:tab w:leader="none" w:pos="19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Controversies</w:t>
      </w:r>
      <w:r>
        <w:rPr>
          <w:rFonts w:ascii="Times New Roman" w:cs="Times New Roman" w:eastAsia="Times New Roman" w:hAnsi="Times New Roman"/>
          <w:sz w:val="22"/>
          <w:szCs w:val="22"/>
          <w:color w:val="auto"/>
        </w:rPr>
        <w:t>. The Tax Representative is authorized and required to represent the Company (at the Company’s expense) in connection with all examinations of the Company’s affairs by tax authorities, including resulting administrative and judicial proceedings, and to expend Company funds for professional services and reasonably incurred in connection therewith. Each Member agrees to cooperate with the Company and to do or refrain from doing any or all things reasonably requested by the Company with respect to the conduct of such proceedings;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4" w:name="page85"/>
    <w:bookmarkEnd w:id="84"/>
    <w:p>
      <w:pPr>
        <w:ind w:left="1960" w:hanging="684"/>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Representative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2592"/>
        <w:spacing w:after="0" w:line="282" w:lineRule="auto"/>
        <w:tabs>
          <w:tab w:leader="none" w:pos="3251"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throughout this Agreement to provisions of the Code shall be to such provisions as enacted by the Bipartisan Budget Act of 2015, as such provisions may subsequently be modified.</w:t>
      </w:r>
    </w:p>
    <w:p>
      <w:pPr>
        <w:spacing w:after="0" w:line="134" w:lineRule="exact"/>
        <w:rPr>
          <w:rFonts w:ascii="Times New Roman" w:cs="Times New Roman" w:eastAsia="Times New Roman" w:hAnsi="Times New Roman"/>
          <w:sz w:val="21"/>
          <w:szCs w:val="21"/>
          <w:color w:val="auto"/>
        </w:rPr>
      </w:pPr>
    </w:p>
    <w:p>
      <w:pPr>
        <w:jc w:val="both"/>
        <w:ind w:left="-20" w:right="40" w:firstLine="2592"/>
        <w:spacing w:after="0" w:line="255" w:lineRule="auto"/>
        <w:tabs>
          <w:tab w:leader="none" w:pos="326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and until another Member is designated as the Company's designated “partnership representative” within the meaning of Code Section 6223 (the “</w:t>
      </w:r>
      <w:r>
        <w:rPr>
          <w:rFonts w:ascii="Times New Roman" w:cs="Times New Roman" w:eastAsia="Times New Roman" w:hAnsi="Times New Roman"/>
          <w:sz w:val="21"/>
          <w:szCs w:val="21"/>
          <w:u w:val="single" w:color="auto"/>
          <w:color w:val="auto"/>
        </w:rPr>
        <w:t>Tax Representative</w:t>
      </w:r>
      <w:r>
        <w:rPr>
          <w:rFonts w:ascii="Times New Roman" w:cs="Times New Roman" w:eastAsia="Times New Roman" w:hAnsi="Times New Roman"/>
          <w:sz w:val="21"/>
          <w:szCs w:val="21"/>
          <w:color w:val="auto"/>
        </w:rPr>
        <w:t>”), the existing Tax Matters Partner shall act as the Tax Representative with sole authority to act on behalf of the Company for purposes of Subchapter C of Chapter 63 of the Code and any comparable provisions of state or local income tax laws.</w:t>
      </w:r>
    </w:p>
    <w:p>
      <w:pPr>
        <w:spacing w:after="0" w:line="162" w:lineRule="exact"/>
        <w:rPr>
          <w:rFonts w:ascii="Times New Roman" w:cs="Times New Roman" w:eastAsia="Times New Roman" w:hAnsi="Times New Roman"/>
          <w:sz w:val="21"/>
          <w:szCs w:val="21"/>
          <w:color w:val="auto"/>
        </w:rPr>
      </w:pPr>
    </w:p>
    <w:p>
      <w:pPr>
        <w:ind w:left="-20" w:right="20" w:firstLine="2592"/>
        <w:spacing w:after="0" w:line="244" w:lineRule="auto"/>
        <w:tabs>
          <w:tab w:leader="none" w:pos="322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qualifies to elect pursuant to Code Section 6221(b) (or any successor provision) to have Subchapter C of Chapter 63 of the Code not apply to any federal income tax audits and other proceedings, the Tax Representative shall cause the Company to make such election.</w:t>
      </w:r>
    </w:p>
    <w:p>
      <w:pPr>
        <w:spacing w:after="0" w:line="173" w:lineRule="exact"/>
        <w:rPr>
          <w:rFonts w:ascii="Times New Roman" w:cs="Times New Roman" w:eastAsia="Times New Roman" w:hAnsi="Times New Roman"/>
          <w:sz w:val="22"/>
          <w:szCs w:val="22"/>
          <w:color w:val="auto"/>
        </w:rPr>
      </w:pPr>
    </w:p>
    <w:p>
      <w:pPr>
        <w:ind w:left="-20" w:right="380" w:firstLine="2592"/>
        <w:spacing w:after="0" w:line="236" w:lineRule="auto"/>
        <w:tabs>
          <w:tab w:leader="none" w:pos="326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“partnership adjustment” (as defined in Code Section 6241(2)) is determined with respect to the Company, the Tax Representative shall promptly notify the Members upon the receipt of a notice of final partnership adjustment, and shall, within 30 days after the receipt of such notice, take such actions as it deems reasonably necessary (including whether to file a petition in Tax Court) to cause the Company to pay the amount of any such adjustment under Code Section 6225, or make the election under Code Section 6226.</w:t>
      </w:r>
    </w:p>
    <w:p>
      <w:pPr>
        <w:spacing w:after="0" w:line="182" w:lineRule="exact"/>
        <w:rPr>
          <w:rFonts w:ascii="Times New Roman" w:cs="Times New Roman" w:eastAsia="Times New Roman" w:hAnsi="Times New Roman"/>
          <w:sz w:val="22"/>
          <w:szCs w:val="22"/>
          <w:color w:val="auto"/>
        </w:rPr>
      </w:pPr>
    </w:p>
    <w:p>
      <w:pPr>
        <w:ind w:left="-20" w:right="140" w:firstLine="2592"/>
        <w:spacing w:after="0" w:line="233" w:lineRule="auto"/>
        <w:tabs>
          <w:tab w:leader="none" w:pos="325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“partnership adjustment” (as defined in Code Section 6241(2)) is finally determined with respect to the Company, and the Tax Representative has not caused the Company to make the election under Code Section 6226, then (i) the Members shall take such actions requested by the Tax Representative, including filing amended tax returns and paying any tax due in accordance with Code Section 6225(c)(2); (ii) the Tax Representative shall use commercially reasonable efforts to make any modifications available under Code Section 6225(c)(3), (4) and (5); and (iii) any “imputed underpayment” (as determined in accordance with Code Section 6225) or partnership adjustment that does not give rise to an imputed underpayment shall be apportioned among the Members of the Company for the taxable year in which the adjustment is finalized in such manner as may be necessary (as determined by the Tax Representative in good faith) so that, to the maximum extent possible, the tax and economic consequences of the partnership adjustment and any associated interest and penalties are borne by the Members based upon the Units they held in the Company for the reviewed year.</w:t>
      </w:r>
    </w:p>
    <w:p>
      <w:pPr>
        <w:spacing w:after="0" w:line="186" w:lineRule="exact"/>
        <w:rPr>
          <w:rFonts w:ascii="Times New Roman" w:cs="Times New Roman" w:eastAsia="Times New Roman" w:hAnsi="Times New Roman"/>
          <w:sz w:val="22"/>
          <w:szCs w:val="22"/>
          <w:color w:val="auto"/>
        </w:rPr>
      </w:pPr>
    </w:p>
    <w:p>
      <w:pPr>
        <w:ind w:left="-20" w:right="60" w:firstLine="2592"/>
        <w:spacing w:after="0" w:line="235" w:lineRule="auto"/>
        <w:tabs>
          <w:tab w:leader="none" w:pos="326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Subsidiary of the Company (i) pays any partnership adjustment under Code Section 6225; (ii) requires the Company to file an amended tax return and pay associated taxes to reduce the amount of a partnership adjustment imposed on the Subsidiary, or (iii) makes an election under Code Section 6226, the Tax Representative shall cause the Company to make the administrative adjustment request provided for in Code Section 6227 consistent with the principles and limitations set forth in Sections 10.3(b)(iv) through 10.3(b</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above for partnership adjustments of the Company, and the Members shall take such actions reasonably requested by the Tax Representative in furtherance of such administrative adjustment request.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80010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328" w:right="919" w:bottom="1440" w:gutter="0" w:footer="0" w:header="0"/>
        </w:sectPr>
      </w:pPr>
    </w:p>
    <w:bookmarkStart w:id="85" w:name="page86"/>
    <w:bookmarkEnd w:id="85"/>
    <w:p>
      <w:pPr>
        <w:jc w:val="both"/>
        <w:ind w:left="1" w:right="220" w:firstLine="2592"/>
        <w:spacing w:after="0" w:line="244" w:lineRule="auto"/>
        <w:tabs>
          <w:tab w:leader="none" w:pos="328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Member or former Member under this Section 10.3 shall survive the transfer or redemption by such Member of its Units and the termination of this Agreement or the dissolution of the Company.</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TRANSFER OF UNITS</w:t>
      </w:r>
    </w:p>
    <w:p>
      <w:pPr>
        <w:spacing w:after="0" w:line="182" w:lineRule="exact"/>
        <w:rPr>
          <w:sz w:val="20"/>
          <w:szCs w:val="20"/>
          <w:color w:val="auto"/>
        </w:rPr>
      </w:pPr>
    </w:p>
    <w:p>
      <w:pPr>
        <w:ind w:left="641"/>
        <w:spacing w:after="0"/>
        <w:tabs>
          <w:tab w:leader="none" w:pos="126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Transfers by Members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1" w:hanging="664"/>
        <w:spacing w:after="0"/>
        <w:tabs>
          <w:tab w:leader="none" w:pos="196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shall Transfer any interest in any Units other than (i) to a Permitted Transferee,</w:t>
      </w:r>
    </w:p>
    <w:p>
      <w:pPr>
        <w:spacing w:after="0" w:line="25" w:lineRule="exact"/>
        <w:rPr>
          <w:rFonts w:ascii="Times New Roman" w:cs="Times New Roman" w:eastAsia="Times New Roman" w:hAnsi="Times New Roman"/>
          <w:sz w:val="21"/>
          <w:szCs w:val="21"/>
          <w:color w:val="auto"/>
        </w:rPr>
      </w:pPr>
    </w:p>
    <w:p>
      <w:pPr>
        <w:ind w:left="1" w:right="180" w:hanging="1"/>
        <w:spacing w:after="0" w:line="234" w:lineRule="auto"/>
        <w:tabs>
          <w:tab w:leader="none" w:pos="31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 Approved Sale or a Public Offering, (iii) pursuant to and in compliance with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11.2(h)</w:t>
      </w:r>
      <w:r>
        <w:rPr>
          <w:rFonts w:ascii="Times New Roman" w:cs="Times New Roman" w:eastAsia="Times New Roman" w:hAnsi="Times New Roman"/>
          <w:sz w:val="22"/>
          <w:szCs w:val="22"/>
          <w:color w:val="auto"/>
        </w:rPr>
        <w:t xml:space="preserve">, (iv) to Calavo or other Members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(v) with the prior written consent of the Board, which consent may be withheld in the Board’s sole discretion Any Transfer or attempted Transfer in violation of this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shall be void.</w:t>
      </w:r>
    </w:p>
    <w:p>
      <w:pPr>
        <w:spacing w:after="0" w:line="177" w:lineRule="exact"/>
        <w:rPr>
          <w:rFonts w:ascii="Times New Roman" w:cs="Times New Roman" w:eastAsia="Times New Roman" w:hAnsi="Times New Roman"/>
          <w:sz w:val="22"/>
          <w:szCs w:val="22"/>
          <w:color w:val="auto"/>
        </w:rPr>
      </w:pPr>
    </w:p>
    <w:p>
      <w:pPr>
        <w:ind w:left="1" w:right="80" w:firstLine="1296"/>
        <w:spacing w:after="0" w:line="238" w:lineRule="auto"/>
        <w:tabs>
          <w:tab w:leader="none" w:pos="198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connection with an Approved Sale, each Transferee of Units or other interest(s) in the Company, including any beneficiary of a deceased Service Provider whose Initial Units have vested pursuant to this Agreement, shall, as conditions precedent to such Transfer, be admitted as a Member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execute and deliver a counterpart or joinder to this Agreement pursuant to which such Transferee shall agree to be bound by the provisions of this Agreement.</w:t>
      </w:r>
    </w:p>
    <w:p>
      <w:pPr>
        <w:spacing w:after="0" w:line="177" w:lineRule="exact"/>
        <w:rPr>
          <w:sz w:val="20"/>
          <w:szCs w:val="20"/>
          <w:color w:val="auto"/>
        </w:rPr>
      </w:pPr>
    </w:p>
    <w:p>
      <w:pPr>
        <w:ind w:left="641"/>
        <w:spacing w:after="0"/>
        <w:tabs>
          <w:tab w:leader="none" w:pos="12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Right of First Refusal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 w:right="180" w:firstLine="1296"/>
        <w:spacing w:after="0" w:line="244" w:lineRule="auto"/>
        <w:tabs>
          <w:tab w:leader="none" w:pos="196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xml:space="preserve">. At any time prior to the consummation of a Public Offering or an Approved Sale, and subject to the terms and conditions specified in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(including, without limitation,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 the Company, first, and each Member holding Units other than Calavo, second, shall have a right of first refusal if any Member other than Calavo (the “</w:t>
      </w:r>
      <w:r>
        <w:rPr>
          <w:rFonts w:ascii="Times New Roman" w:cs="Times New Roman" w:eastAsia="Times New Roman" w:hAnsi="Times New Roman"/>
          <w:sz w:val="21"/>
          <w:szCs w:val="21"/>
          <w:u w:val="single" w:color="auto"/>
          <w:color w:val="auto"/>
        </w:rPr>
        <w:t>Offering Member</w:t>
      </w:r>
      <w:r>
        <w:rPr>
          <w:rFonts w:ascii="Times New Roman" w:cs="Times New Roman" w:eastAsia="Times New Roman" w:hAnsi="Times New Roman"/>
          <w:sz w:val="21"/>
          <w:szCs w:val="21"/>
          <w:color w:val="auto"/>
        </w:rPr>
        <w:t>”) receives a bona fide offer that the Offering Member desires to accept to Transfer all or any portion of the Units (the “</w:t>
      </w: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it or he owns, provided that the foregoing shall not apply to Transfers to Permitted Transferees. As used herein, the term “</w:t>
      </w:r>
      <w:r>
        <w:rPr>
          <w:rFonts w:ascii="Times New Roman" w:cs="Times New Roman" w:eastAsia="Times New Roman" w:hAnsi="Times New Roman"/>
          <w:sz w:val="21"/>
          <w:szCs w:val="21"/>
          <w:u w:val="single" w:color="auto"/>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ROFR Rightholders</w:t>
      </w:r>
      <w:r>
        <w:rPr>
          <w:rFonts w:ascii="Times New Roman" w:cs="Times New Roman" w:eastAsia="Times New Roman" w:hAnsi="Times New Roman"/>
          <w:sz w:val="21"/>
          <w:szCs w:val="21"/>
          <w:color w:val="auto"/>
        </w:rPr>
        <w:t>” shall mean, in the case of a proposed Transfer of the Offered Units, all Members other than Calavo and the Offering Member holding Units, and the term “</w:t>
      </w:r>
      <w:r>
        <w:rPr>
          <w:rFonts w:ascii="Times New Roman" w:cs="Times New Roman" w:eastAsia="Times New Roman" w:hAnsi="Times New Roman"/>
          <w:sz w:val="21"/>
          <w:szCs w:val="21"/>
          <w:u w:val="single" w:color="auto"/>
          <w:color w:val="auto"/>
        </w:rPr>
        <w:t>Offering Member</w:t>
      </w:r>
      <w:r>
        <w:rPr>
          <w:rFonts w:ascii="Times New Roman" w:cs="Times New Roman" w:eastAsia="Times New Roman" w:hAnsi="Times New Roman"/>
          <w:sz w:val="21"/>
          <w:szCs w:val="21"/>
          <w:color w:val="auto"/>
        </w:rPr>
        <w:t>” shall exclude Calavo. In the event that Impermanence receives a bona fide offer that Impermanence desires to accept to Transfer a majority of the ownership interests of Impermanence (“</w:t>
      </w:r>
      <w:r>
        <w:rPr>
          <w:rFonts w:ascii="Times New Roman" w:cs="Times New Roman" w:eastAsia="Times New Roman" w:hAnsi="Times New Roman"/>
          <w:sz w:val="21"/>
          <w:szCs w:val="21"/>
          <w:u w:val="single" w:color="auto"/>
          <w:color w:val="auto"/>
        </w:rPr>
        <w:t>Impermanence Interests</w:t>
      </w:r>
      <w:r>
        <w:rPr>
          <w:rFonts w:ascii="Times New Roman" w:cs="Times New Roman" w:eastAsia="Times New Roman" w:hAnsi="Times New Roman"/>
          <w:sz w:val="21"/>
          <w:szCs w:val="21"/>
          <w:color w:val="auto"/>
        </w:rPr>
        <w:t xml:space="preserve">”), so long as Impermanence owns Units, the term (as used in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(i) “</w:t>
      </w: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shall be deemed to refer to Impermanence Interests, and (ii)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xml:space="preserve">” shall refer to Impermanence Interests when the context requires; provided, however, that notwithstanding anything to the contrary contained herein, the right of first refusal provided under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as to Impermanence Units shall extend solely to the Applicable ROFR Rightholders (and not to the Company) and the following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shall be interpreted accordingly.</w:t>
      </w:r>
    </w:p>
    <w:p>
      <w:pPr>
        <w:spacing w:after="0" w:line="179" w:lineRule="exact"/>
        <w:rPr>
          <w:rFonts w:ascii="Times New Roman" w:cs="Times New Roman" w:eastAsia="Times New Roman" w:hAnsi="Times New Roman"/>
          <w:sz w:val="21"/>
          <w:szCs w:val="21"/>
          <w:color w:val="auto"/>
        </w:rPr>
      </w:pPr>
    </w:p>
    <w:p>
      <w:pPr>
        <w:ind w:left="1" w:firstLine="1296"/>
        <w:spacing w:after="0" w:line="244" w:lineRule="auto"/>
        <w:tabs>
          <w:tab w:leader="none" w:pos="198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Exceptions</w:t>
      </w:r>
      <w:r>
        <w:rPr>
          <w:rFonts w:ascii="Times New Roman" w:cs="Times New Roman" w:eastAsia="Times New Roman" w:hAnsi="Times New Roman"/>
          <w:sz w:val="22"/>
          <w:szCs w:val="22"/>
          <w:color w:val="auto"/>
        </w:rPr>
        <w:t>. Each time the Offering Member receives an offer for a Transfer of any of its or his Units, other than Transfers that (i) are to Permitted Transferees, or (ii) are proposed to be made by a dragging Member or required to be made by a Member</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571" w:right="939" w:bottom="1440" w:gutter="0" w:footer="0" w:header="0"/>
        </w:sectPr>
      </w:pPr>
    </w:p>
    <w:bookmarkStart w:id="86" w:name="page87"/>
    <w:bookmarkEnd w:id="86"/>
    <w:p>
      <w:pPr>
        <w:ind w:left="1"/>
        <w:spacing w:after="0" w:line="239" w:lineRule="auto"/>
        <w:rPr>
          <w:sz w:val="20"/>
          <w:szCs w:val="20"/>
          <w:color w:val="auto"/>
        </w:rPr>
      </w:pPr>
      <w:r>
        <w:rPr>
          <w:rFonts w:ascii="Times New Roman" w:cs="Times New Roman" w:eastAsia="Times New Roman" w:hAnsi="Times New Roman"/>
          <w:sz w:val="22"/>
          <w:szCs w:val="22"/>
          <w:color w:val="auto"/>
        </w:rPr>
        <w:t xml:space="preserve">dragged along pursuant to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in connection with an Approved Sale or a Public Offering, the Offering Member shall first make an offering of the Offered Units to the Company, first, and the Applicable ROFR Rightholders, second, all in accordance with the following provisions of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prior to Transferring such Offered Units to the proposed purchaser.</w:t>
      </w:r>
    </w:p>
    <w:p>
      <w:pPr>
        <w:spacing w:after="0" w:line="181" w:lineRule="exact"/>
        <w:rPr>
          <w:sz w:val="20"/>
          <w:szCs w:val="20"/>
          <w:color w:val="auto"/>
        </w:rPr>
      </w:pPr>
    </w:p>
    <w:p>
      <w:pPr>
        <w:ind w:left="1961" w:hanging="664"/>
        <w:spacing w:after="0"/>
        <w:tabs>
          <w:tab w:leader="none" w:pos="196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 Notice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right="300" w:firstLine="2592"/>
        <w:spacing w:after="0" w:line="249" w:lineRule="auto"/>
        <w:tabs>
          <w:tab w:leader="none" w:pos="3280"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Offering Member shall, within five business days of receipt of the Transfer offer, give written notice (the “</w:t>
      </w:r>
      <w:r>
        <w:rPr>
          <w:rFonts w:ascii="Times New Roman" w:cs="Times New Roman" w:eastAsia="Times New Roman" w:hAnsi="Times New Roman"/>
          <w:sz w:val="21"/>
          <w:szCs w:val="21"/>
          <w:u w:val="single" w:color="auto"/>
          <w:color w:val="auto"/>
        </w:rPr>
        <w:t>Offering Member Notice</w:t>
      </w:r>
      <w:r>
        <w:rPr>
          <w:rFonts w:ascii="Times New Roman" w:cs="Times New Roman" w:eastAsia="Times New Roman" w:hAnsi="Times New Roman"/>
          <w:sz w:val="21"/>
          <w:szCs w:val="21"/>
          <w:color w:val="auto"/>
        </w:rPr>
        <w:t>”) to the Company and the Applicable ROFR Rightholders stating that it has received a signed, bona fide offer for a Transfer of its or his Units and specifying:</w:t>
      </w:r>
    </w:p>
    <w:p>
      <w:pPr>
        <w:spacing w:after="0" w:line="1" w:lineRule="exact"/>
        <w:rPr>
          <w:rFonts w:ascii="Times New Roman" w:cs="Times New Roman" w:eastAsia="Times New Roman" w:hAnsi="Times New Roman"/>
          <w:sz w:val="21"/>
          <w:szCs w:val="21"/>
          <w:color w:val="auto"/>
        </w:rPr>
      </w:pPr>
    </w:p>
    <w:p>
      <w:pPr>
        <w:ind w:left="1" w:right="60" w:hanging="1"/>
        <w:spacing w:after="0" w:line="233" w:lineRule="auto"/>
        <w:tabs>
          <w:tab w:leader="none" w:pos="3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Offered Units to be Transferred by the Offering Member; (B) the proposed date, time and location of the closing of the Transfer, which shall not be less than sixty business days from the date of the Offering Member Notice; (C) the purchase price per Offered Unit (which shall be payable solely in cash) and the other material terms and conditions of the Transfer; and (D) the name of the Person who has offered to purchase such Offered Units. The Offering Member Notice shall be accompanied by a copy of the signed offer from the proposed purchaser.</w:t>
      </w:r>
    </w:p>
    <w:p>
      <w:pPr>
        <w:spacing w:after="0" w:line="177" w:lineRule="exact"/>
        <w:rPr>
          <w:rFonts w:ascii="Times New Roman" w:cs="Times New Roman" w:eastAsia="Times New Roman" w:hAnsi="Times New Roman"/>
          <w:sz w:val="22"/>
          <w:szCs w:val="22"/>
          <w:color w:val="auto"/>
        </w:rPr>
      </w:pPr>
    </w:p>
    <w:p>
      <w:pPr>
        <w:ind w:left="1" w:right="20" w:firstLine="2592"/>
        <w:spacing w:after="0" w:line="244" w:lineRule="auto"/>
        <w:tabs>
          <w:tab w:leader="none" w:pos="3286"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Offering Member Notice shall constitute the Offering Member’s offer to Transfer the Offered Units to the Company and the Applicable ROFR Rightholders, which offer shall be irrevocable until the end of the ROFR Rightholder Option Period described in </w:t>
      </w:r>
      <w:r>
        <w:rPr>
          <w:rFonts w:ascii="Times New Roman" w:cs="Times New Roman" w:eastAsia="Times New Roman" w:hAnsi="Times New Roman"/>
          <w:sz w:val="22"/>
          <w:szCs w:val="22"/>
          <w:u w:val="single" w:color="auto"/>
          <w:color w:val="auto"/>
        </w:rPr>
        <w:t>Section 11.2(d)(iii)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 w:right="20" w:firstLine="2592"/>
        <w:spacing w:after="0" w:line="249" w:lineRule="auto"/>
        <w:tabs>
          <w:tab w:leader="none" w:pos="3242"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delivering the Offering Member Notice, the Offering Member represents and warrants to the Company and each Applicable ROFR Rightholder that: (A) the Offering Member has full right, title and interest in and to the Offered Units; (B) the Offering Member has all the necessary power and authority and has taken all necessary action to Transfer such Offered Units as contemplated by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(C) the Offered Units are free and clear of any and all liens other than those arising as a result of or under the terms of this Agreement; and (D) the Offered Units are the subject of a bona fide offer from the proposed purchaser.</w:t>
      </w:r>
    </w:p>
    <w:p>
      <w:pPr>
        <w:spacing w:after="0" w:line="171" w:lineRule="exact"/>
        <w:rPr>
          <w:rFonts w:ascii="Times New Roman" w:cs="Times New Roman" w:eastAsia="Times New Roman" w:hAnsi="Times New Roman"/>
          <w:sz w:val="21"/>
          <w:szCs w:val="21"/>
          <w:color w:val="auto"/>
        </w:rPr>
      </w:pPr>
    </w:p>
    <w:p>
      <w:pPr>
        <w:ind w:left="1981" w:hanging="684"/>
        <w:spacing w:after="0"/>
        <w:tabs>
          <w:tab w:leader="none" w:pos="198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Right of First Refusal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 w:firstLine="2592"/>
        <w:spacing w:after="0" w:line="234" w:lineRule="auto"/>
        <w:tabs>
          <w:tab w:leader="none" w:pos="3284"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the Offering Member Notice, the Company and each Applicable ROFR Rightholder shall have the right to purchase the Offered Units in the following order of priority: first, the Company shall have the right to purchase all or any portion of the Offered Units in accordance with the procedures set forth in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xml:space="preserve">, and thereafter, the Applicable ROFR Rightholders shall have the right to purchase the Offered Units, in accordance with the procedures set forth in </w:t>
      </w:r>
      <w:r>
        <w:rPr>
          <w:rFonts w:ascii="Times New Roman" w:cs="Times New Roman" w:eastAsia="Times New Roman" w:hAnsi="Times New Roman"/>
          <w:sz w:val="22"/>
          <w:szCs w:val="22"/>
          <w:u w:val="single" w:color="auto"/>
          <w:color w:val="auto"/>
        </w:rPr>
        <w:t>Section 11.2(d)(iii)</w:t>
      </w:r>
      <w:r>
        <w:rPr>
          <w:rFonts w:ascii="Times New Roman" w:cs="Times New Roman" w:eastAsia="Times New Roman" w:hAnsi="Times New Roman"/>
          <w:sz w:val="22"/>
          <w:szCs w:val="22"/>
          <w:color w:val="auto"/>
        </w:rPr>
        <w:t xml:space="preserve">, to the extent the Company does not exercise its right in full. Notwithstanding the foregoing, the Company and the Applicable ROFR Rightholders may only exercise their right to purchase the Offered Units if, after giving effect to all elections made under this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 no less than all of the Offered Units will be purchased by the Company and/or the Applicable ROFR Rightholders.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71" w:right="919" w:bottom="1440" w:gutter="0" w:footer="0" w:header="0"/>
        </w:sectPr>
      </w:pPr>
    </w:p>
    <w:bookmarkStart w:id="87" w:name="page88"/>
    <w:bookmarkEnd w:id="87"/>
    <w:p>
      <w:pPr>
        <w:ind w:right="60" w:firstLine="2592"/>
        <w:spacing w:after="0" w:line="235" w:lineRule="auto"/>
        <w:tabs>
          <w:tab w:leader="none" w:pos="328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right of the Company to purchase any Offered Units shall be exercisable with the delivery of a written notice (the “</w:t>
      </w:r>
      <w:r>
        <w:rPr>
          <w:rFonts w:ascii="Times New Roman" w:cs="Times New Roman" w:eastAsia="Times New Roman" w:hAnsi="Times New Roman"/>
          <w:sz w:val="22"/>
          <w:szCs w:val="22"/>
          <w:u w:val="single" w:color="auto"/>
          <w:color w:val="auto"/>
        </w:rPr>
        <w:t>Company ROFR Exercise Notice</w:t>
      </w:r>
      <w:r>
        <w:rPr>
          <w:rFonts w:ascii="Times New Roman" w:cs="Times New Roman" w:eastAsia="Times New Roman" w:hAnsi="Times New Roman"/>
          <w:sz w:val="22"/>
          <w:szCs w:val="22"/>
          <w:color w:val="auto"/>
        </w:rPr>
        <w:t>”) by the Company to the Offering Member and the Applicable ROFR Rightholders within ten business days of receipt of the Offering Member Notice (the “</w:t>
      </w:r>
      <w:r>
        <w:rPr>
          <w:rFonts w:ascii="Times New Roman" w:cs="Times New Roman" w:eastAsia="Times New Roman" w:hAnsi="Times New Roman"/>
          <w:sz w:val="22"/>
          <w:szCs w:val="22"/>
          <w:u w:val="single" w:color="auto"/>
          <w:color w:val="auto"/>
        </w:rPr>
        <w:t>Company Option Period</w:t>
      </w:r>
      <w:r>
        <w:rPr>
          <w:rFonts w:ascii="Times New Roman" w:cs="Times New Roman" w:eastAsia="Times New Roman" w:hAnsi="Times New Roman"/>
          <w:sz w:val="22"/>
          <w:szCs w:val="22"/>
          <w:color w:val="auto"/>
        </w:rPr>
        <w:t>”), stating the number (including where such number is zero) of Offered Units the Company elects irrevocably to purchase on the terms and respective purchase prices set forth in the Offering Member Notice. The Company ROFR Exercise Notice shall be binding upon delivery and irrevocable by the Company.</w:t>
      </w:r>
    </w:p>
    <w:p>
      <w:pPr>
        <w:spacing w:after="0" w:line="183" w:lineRule="exact"/>
        <w:rPr>
          <w:rFonts w:ascii="Times New Roman" w:cs="Times New Roman" w:eastAsia="Times New Roman" w:hAnsi="Times New Roman"/>
          <w:sz w:val="22"/>
          <w:szCs w:val="22"/>
          <w:color w:val="auto"/>
        </w:rPr>
      </w:pPr>
    </w:p>
    <w:p>
      <w:pPr>
        <w:ind w:firstLine="2592"/>
        <w:spacing w:after="0" w:line="233" w:lineRule="auto"/>
        <w:tabs>
          <w:tab w:leader="none" w:pos="32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shall have indicated an intent to purchase any less than all of the Offered Units, the Applicable ROFR Rightholders shall have the right to purchase the remaining Offered Units not selected by the Company. For a period of fifteen business days following the receipt of a Company ROFR Exercise Notice in which the Company has elected to purchase less than all the Offered Units (such period, the “</w:t>
      </w:r>
      <w:r>
        <w:rPr>
          <w:rFonts w:ascii="Times New Roman" w:cs="Times New Roman" w:eastAsia="Times New Roman" w:hAnsi="Times New Roman"/>
          <w:sz w:val="22"/>
          <w:szCs w:val="22"/>
          <w:u w:val="single" w:color="auto"/>
          <w:color w:val="auto"/>
        </w:rPr>
        <w:t>ROFR Rightholder Option Period</w:t>
      </w:r>
      <w:r>
        <w:rPr>
          <w:rFonts w:ascii="Times New Roman" w:cs="Times New Roman" w:eastAsia="Times New Roman" w:hAnsi="Times New Roman"/>
          <w:sz w:val="22"/>
          <w:szCs w:val="22"/>
          <w:color w:val="auto"/>
        </w:rPr>
        <w:t>”), each Applicable ROFR Rightholder shall have the right to elect irrevocably to purchase all or none of its Percentage Interest of the remaining Offered Units by delivering a written notice to the Company and the Offering Member (a “</w:t>
      </w:r>
      <w:r>
        <w:rPr>
          <w:rFonts w:ascii="Times New Roman" w:cs="Times New Roman" w:eastAsia="Times New Roman" w:hAnsi="Times New Roman"/>
          <w:sz w:val="22"/>
          <w:szCs w:val="22"/>
          <w:u w:val="single" w:color="auto"/>
          <w:color w:val="auto"/>
        </w:rPr>
        <w:t>Member ROFR Exercise Notice</w:t>
      </w:r>
      <w:r>
        <w:rPr>
          <w:rFonts w:ascii="Times New Roman" w:cs="Times New Roman" w:eastAsia="Times New Roman" w:hAnsi="Times New Roman"/>
          <w:sz w:val="22"/>
          <w:szCs w:val="22"/>
          <w:color w:val="auto"/>
        </w:rPr>
        <w:t>”) specifying its desire to purchase its Percentage Interest of the remaining Offered Units, on the terms and respective purchase prices set forth in the Offering Member Notice. In addition, each Applicable ROFR Rightholder shall include in its Member ROFR Exercise Notice the number of remaining Offered Units that it wishes to purchase if any other Applicable ROFR Rightholders do not exercise their rights to purchase their entire Percentage Interest of the remaining Offered Units. Any Member ROFR Exercise Notice shall be binding upon delivery and irrevocable by the Applicable ROFR Rightholder.</w:t>
      </w:r>
    </w:p>
    <w:p>
      <w:pPr>
        <w:spacing w:after="0" w:line="183" w:lineRule="exact"/>
        <w:rPr>
          <w:rFonts w:ascii="Times New Roman" w:cs="Times New Roman" w:eastAsia="Times New Roman" w:hAnsi="Times New Roman"/>
          <w:sz w:val="22"/>
          <w:szCs w:val="22"/>
          <w:color w:val="auto"/>
        </w:rPr>
      </w:pPr>
    </w:p>
    <w:p>
      <w:pPr>
        <w:ind w:right="20" w:firstLine="2592"/>
        <w:spacing w:after="0" w:line="238" w:lineRule="auto"/>
        <w:tabs>
          <w:tab w:leader="none" w:pos="327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of the Company or any Applicable ROFR Rightholder to deliver a Company ROFR Exercise Notice or Member ROFR Exercise Notice, respectively, by the end of the Company Option Period or ROFR Rightholder Option Period, respectively, shall constitute a waiver of their respective rights of first refusal under this </w:t>
      </w:r>
      <w:r>
        <w:rPr>
          <w:rFonts w:ascii="Times New Roman" w:cs="Times New Roman" w:eastAsia="Times New Roman" w:hAnsi="Times New Roman"/>
          <w:sz w:val="22"/>
          <w:szCs w:val="22"/>
          <w:u w:val="single" w:color="auto"/>
          <w:color w:val="auto"/>
        </w:rPr>
        <w:t>Section 11.2(d)(iv)</w:t>
      </w:r>
      <w:r>
        <w:rPr>
          <w:rFonts w:ascii="Times New Roman" w:cs="Times New Roman" w:eastAsia="Times New Roman" w:hAnsi="Times New Roman"/>
          <w:sz w:val="22"/>
          <w:szCs w:val="22"/>
          <w:color w:val="auto"/>
        </w:rPr>
        <w:t xml:space="preserve"> with respect to the Transfer of Offered Units, but shall not affect their respective rights with respect to any future Transfers.</w:t>
      </w:r>
    </w:p>
    <w:p>
      <w:pPr>
        <w:spacing w:after="0" w:line="177" w:lineRule="exact"/>
        <w:rPr>
          <w:rFonts w:ascii="Times New Roman" w:cs="Times New Roman" w:eastAsia="Times New Roman" w:hAnsi="Times New Roman"/>
          <w:sz w:val="22"/>
          <w:szCs w:val="22"/>
          <w:color w:val="auto"/>
        </w:rPr>
      </w:pPr>
    </w:p>
    <w:p>
      <w:pPr>
        <w:ind w:right="200" w:firstLine="1296"/>
        <w:spacing w:after="0" w:line="244" w:lineRule="auto"/>
        <w:tabs>
          <w:tab w:leader="none" w:pos="196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Offered Units</w:t>
      </w:r>
      <w:r>
        <w:rPr>
          <w:rFonts w:ascii="Times New Roman" w:cs="Times New Roman" w:eastAsia="Times New Roman" w:hAnsi="Times New Roman"/>
          <w:sz w:val="22"/>
          <w:szCs w:val="22"/>
          <w:color w:val="auto"/>
        </w:rPr>
        <w:t xml:space="preserve">. Upon the expiration of the ROFR Rightholder Option Period, the Offered Units not selected for purchase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xml:space="preserve"> shall be allocated for purchase among the Applicable ROFR Rightholders as follows:</w:t>
      </w:r>
    </w:p>
    <w:p>
      <w:pPr>
        <w:spacing w:after="0" w:line="173" w:lineRule="exact"/>
        <w:rPr>
          <w:rFonts w:ascii="Times New Roman" w:cs="Times New Roman" w:eastAsia="Times New Roman" w:hAnsi="Times New Roman"/>
          <w:sz w:val="22"/>
          <w:szCs w:val="22"/>
          <w:color w:val="auto"/>
        </w:rPr>
      </w:pPr>
    </w:p>
    <w:p>
      <w:pPr>
        <w:jc w:val="both"/>
        <w:ind w:right="300" w:firstLine="2592"/>
        <w:spacing w:after="0" w:line="244" w:lineRule="auto"/>
        <w:tabs>
          <w:tab w:leader="none" w:pos="328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each Applicable ROFR Rightholder having elected to purchase its entire Percentage Interest of such Units, such Applicable ROFR Rightholder’s Percentage Interest of such Units; and</w:t>
      </w:r>
    </w:p>
    <w:p>
      <w:pPr>
        <w:spacing w:after="0" w:line="173" w:lineRule="exact"/>
        <w:rPr>
          <w:rFonts w:ascii="Times New Roman" w:cs="Times New Roman" w:eastAsia="Times New Roman" w:hAnsi="Times New Roman"/>
          <w:sz w:val="22"/>
          <w:szCs w:val="22"/>
          <w:color w:val="auto"/>
        </w:rPr>
      </w:pPr>
    </w:p>
    <w:p>
      <w:pPr>
        <w:ind w:left="3280" w:hanging="688"/>
        <w:spacing w:after="0"/>
        <w:tabs>
          <w:tab w:leader="none" w:pos="32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balance, if any, not allocated under clause (i) above (and not</w:t>
      </w:r>
    </w:p>
    <w:p>
      <w:pPr>
        <w:spacing w:after="0" w:line="14" w:lineRule="exact"/>
        <w:rPr>
          <w:rFonts w:ascii="Times New Roman" w:cs="Times New Roman" w:eastAsia="Times New Roman" w:hAnsi="Times New Roman"/>
          <w:sz w:val="22"/>
          <w:szCs w:val="22"/>
          <w:color w:val="auto"/>
        </w:rPr>
      </w:pPr>
    </w:p>
    <w:p>
      <w:pPr>
        <w:ind w:right="8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purchased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shall be allocated to those Applicable ROFR Rightholders who set forth in their Member ROFR Exercise Notices a number of Offered Units that exceeded their respective Percentage Interest (the “</w:t>
      </w:r>
      <w:r>
        <w:rPr>
          <w:rFonts w:ascii="Times New Roman" w:cs="Times New Roman" w:eastAsia="Times New Roman" w:hAnsi="Times New Roman"/>
          <w:sz w:val="22"/>
          <w:szCs w:val="22"/>
          <w:u w:val="single" w:color="auto"/>
          <w:color w:val="auto"/>
        </w:rPr>
        <w:t>Purchasing Rightholders</w:t>
      </w:r>
      <w:r>
        <w:rPr>
          <w:rFonts w:ascii="Times New Roman" w:cs="Times New Roman" w:eastAsia="Times New Roman" w:hAnsi="Times New Roman"/>
          <w:sz w:val="22"/>
          <w:szCs w:val="22"/>
          <w:color w:val="auto"/>
        </w:rPr>
        <w:t>”), in an amount, with respect to each such Purchasing Rightholder, that is equal to the lesser of (A) the number of Offered Units that such Purchasing Rightholder elected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88" w:name="page89"/>
    <w:bookmarkEnd w:id="88"/>
    <w:p>
      <w:pPr>
        <w:ind w:right="80"/>
        <w:spacing w:after="0" w:line="238" w:lineRule="auto"/>
        <w:rPr>
          <w:sz w:val="20"/>
          <w:szCs w:val="20"/>
          <w:color w:val="auto"/>
        </w:rPr>
      </w:pPr>
      <w:r>
        <w:rPr>
          <w:rFonts w:ascii="Times New Roman" w:cs="Times New Roman" w:eastAsia="Times New Roman" w:hAnsi="Times New Roman"/>
          <w:sz w:val="22"/>
          <w:szCs w:val="22"/>
          <w:color w:val="auto"/>
        </w:rPr>
        <w:t xml:space="preserve">purchase in excess of its Percentage Interest; or (B) the product of (x) the number of Offered Units not allocated under clause (i) (and not purchased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multiplied by (y) a fraction, the numerator of which is the number of Offered Units that such Purchasing Rightholder was permitted to purchase pursuant to clause (i), and the denominator of which is the aggregate number of Offered Units that all Purchasing Rightholders were permitted to purchase pursuant to clause (i).</w:t>
      </w:r>
    </w:p>
    <w:p>
      <w:pPr>
        <w:spacing w:after="0" w:line="177" w:lineRule="exact"/>
        <w:rPr>
          <w:sz w:val="20"/>
          <w:szCs w:val="20"/>
          <w:color w:val="auto"/>
        </w:rPr>
      </w:pPr>
    </w:p>
    <w:p>
      <w:pPr>
        <w:ind w:right="40" w:firstLine="2592"/>
        <w:spacing w:after="0" w:line="244" w:lineRule="auto"/>
        <w:tabs>
          <w:tab w:leader="none" w:pos="323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 described in clause (ii) shall be repeated until no Offered Units remain or until such time as all Purchasing Rightholders have been permitted to purchase all Offered Units that they desire to purchase.</w:t>
      </w:r>
    </w:p>
    <w:p>
      <w:pPr>
        <w:spacing w:after="0" w:line="173" w:lineRule="exact"/>
        <w:rPr>
          <w:rFonts w:ascii="Times New Roman" w:cs="Times New Roman" w:eastAsia="Times New Roman" w:hAnsi="Times New Roman"/>
          <w:sz w:val="22"/>
          <w:szCs w:val="22"/>
          <w:color w:val="auto"/>
        </w:rPr>
      </w:pPr>
    </w:p>
    <w:p>
      <w:pPr>
        <w:ind w:firstLine="1296"/>
        <w:spacing w:after="0" w:line="233" w:lineRule="auto"/>
        <w:tabs>
          <w:tab w:leader="none" w:pos="194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Consummation of Sale</w:t>
      </w:r>
      <w:r>
        <w:rPr>
          <w:rFonts w:ascii="Times New Roman" w:cs="Times New Roman" w:eastAsia="Times New Roman" w:hAnsi="Times New Roman"/>
          <w:sz w:val="22"/>
          <w:szCs w:val="22"/>
          <w:color w:val="auto"/>
        </w:rPr>
        <w:t xml:space="preserve">. In the event that the Company and/or the Applicable ROFR Rightholders shall have, in the aggregate, exercised their respective rights to purchase all and not less than all of the Offered Units, then the Offering Member shall sell such Offered Units to the Company and/or the Applicable ROFR Rightholders, and the Company and/or the Applicable ROFR Rightholders, as the case may be, shall purchase such Offered Units, within sixty days following the expiration of the ROFR Rightholder Option Period (which period may be extended for a reasonable time not to exceed ninety days to the extent reasonably necessary to obtain required approvals or consents from any Governmental Authority). Each Member shall take all actions as may be reasonably necessary to consummate the sale contemplated by this </w:t>
      </w:r>
      <w:r>
        <w:rPr>
          <w:rFonts w:ascii="Times New Roman" w:cs="Times New Roman" w:eastAsia="Times New Roman" w:hAnsi="Times New Roman"/>
          <w:sz w:val="22"/>
          <w:szCs w:val="22"/>
          <w:u w:val="single" w:color="auto"/>
          <w:color w:val="auto"/>
        </w:rPr>
        <w:t>Section 11.2(f)</w:t>
      </w:r>
      <w:r>
        <w:rPr>
          <w:rFonts w:ascii="Times New Roman" w:cs="Times New Roman" w:eastAsia="Times New Roman" w:hAnsi="Times New Roman"/>
          <w:sz w:val="22"/>
          <w:szCs w:val="22"/>
          <w:color w:val="auto"/>
        </w:rPr>
        <w:t xml:space="preserve">, including, without limitation, entering into agreements and delivering certificates and instruments and consents as may be deemed necessary or appropriate. At the closing of any sale and purchase pursuant to this </w:t>
      </w:r>
      <w:r>
        <w:rPr>
          <w:rFonts w:ascii="Times New Roman" w:cs="Times New Roman" w:eastAsia="Times New Roman" w:hAnsi="Times New Roman"/>
          <w:sz w:val="22"/>
          <w:szCs w:val="22"/>
          <w:u w:val="single" w:color="auto"/>
          <w:color w:val="auto"/>
        </w:rPr>
        <w:t>Section 11.2(f)</w:t>
      </w:r>
      <w:r>
        <w:rPr>
          <w:rFonts w:ascii="Times New Roman" w:cs="Times New Roman" w:eastAsia="Times New Roman" w:hAnsi="Times New Roman"/>
          <w:sz w:val="22"/>
          <w:szCs w:val="22"/>
          <w:color w:val="auto"/>
        </w:rPr>
        <w:t>, the Offering Member shall deliver to the Company and/or the participating Applicable ROFR Rightholders certificates (if any) representing the Offered Units to be sold, free and clear of any liens or encumbrances (other than those contained in this Agreement), accompanied by evidence of transfer and all necessary transfer taxes paid and stamps affixed, if necessary, against receipt of the purchase price therefor from the Company and/or such Applicable ROFR Rightholders by certified or official bank check or by wire transfer of immediately available funds.</w:t>
      </w:r>
    </w:p>
    <w:p>
      <w:pPr>
        <w:spacing w:after="0" w:line="178" w:lineRule="exact"/>
        <w:rPr>
          <w:rFonts w:ascii="Times New Roman" w:cs="Times New Roman" w:eastAsia="Times New Roman" w:hAnsi="Times New Roman"/>
          <w:sz w:val="22"/>
          <w:szCs w:val="22"/>
          <w:color w:val="auto"/>
        </w:rPr>
      </w:pPr>
    </w:p>
    <w:p>
      <w:pPr>
        <w:ind w:right="20" w:firstLine="1296"/>
        <w:spacing w:after="0" w:line="248" w:lineRule="auto"/>
        <w:tabs>
          <w:tab w:leader="none" w:pos="198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to Proposed Purchaser</w:t>
      </w:r>
      <w:r>
        <w:rPr>
          <w:rFonts w:ascii="Times New Roman" w:cs="Times New Roman" w:eastAsia="Times New Roman" w:hAnsi="Times New Roman"/>
          <w:sz w:val="21"/>
          <w:szCs w:val="21"/>
          <w:color w:val="auto"/>
        </w:rPr>
        <w:t xml:space="preserve">. In the event that the Company and/or the Applicable ROFR Rightholders shall not have collectively elected to purchase all of the Offered Units, then the Offering Member may Transfer all of such Offered Units, at a price per Offered Unit not less than specified in the Offering Member Notice and on other terms and conditions which are not materially more favorable in the aggregate to the proposed purchaser than those specified in the Offering Member Notice, but only to the extent that such Transfer occurs within sixty days after expiration of the ROFR Rightholder Option Period. Any Offered Units not Transferred within such 60-day period will be subject to the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upon subsequent Transfer.</w:t>
      </w:r>
    </w:p>
    <w:p>
      <w:pPr>
        <w:spacing w:after="0" w:line="171" w:lineRule="exact"/>
        <w:rPr>
          <w:rFonts w:ascii="Times New Roman" w:cs="Times New Roman" w:eastAsia="Times New Roman" w:hAnsi="Times New Roman"/>
          <w:sz w:val="21"/>
          <w:szCs w:val="21"/>
          <w:color w:val="auto"/>
        </w:rPr>
      </w:pPr>
    </w:p>
    <w:p>
      <w:pPr>
        <w:ind w:right="80" w:firstLine="1296"/>
        <w:spacing w:after="0" w:line="239" w:lineRule="auto"/>
        <w:tabs>
          <w:tab w:leader="none" w:pos="19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to Right of First Refusal</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or in any other provision of this Agreement, Calavo (i) may Transfer at any time after the Effective Date all or any portion of the Units it owns, and (ii) is not obligated to provide the Company or any other Member with the right of first refusal described in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 connection with any such Transfer.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89" w:name="page90"/>
    <w:bookmarkEnd w:id="89"/>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Approved Sale; Drag Along Obligations; Tag Along Rights; Public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296"/>
        <w:spacing w:after="0" w:line="235" w:lineRule="auto"/>
        <w:tabs>
          <w:tab w:leader="none" w:pos="196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Board approves a Sale of the Company (an “</w:t>
      </w:r>
      <w:r>
        <w:rPr>
          <w:rFonts w:ascii="Times New Roman" w:cs="Times New Roman" w:eastAsia="Times New Roman" w:hAnsi="Times New Roman"/>
          <w:sz w:val="22"/>
          <w:szCs w:val="22"/>
          <w:u w:val="single" w:color="auto"/>
          <w:color w:val="auto"/>
        </w:rPr>
        <w:t>Approved Sale</w:t>
      </w:r>
      <w:r>
        <w:rPr>
          <w:rFonts w:ascii="Times New Roman" w:cs="Times New Roman" w:eastAsia="Times New Roman" w:hAnsi="Times New Roman"/>
          <w:sz w:val="22"/>
          <w:szCs w:val="22"/>
          <w:color w:val="auto"/>
        </w:rPr>
        <w:t>”) or Statutory Conversion, each Member, on ten days’ written notice from the Board, shall vote for, consent to and raise no objections against such Approved Sale or Statutory Conversion. If the Approved Sale is structured as a (i) merger or consolidation, each Member holding Units shall waive any dissenters rights, appraisal rights or similar rights in connection with such merger or consolidation or (ii) sale of Units, each Member holding Units shall agree to sell all of its or his Units and rights to acquire Units on the terms and conditions approved by the Board. Each Member holding Units shall take all necessary or desirable actions in connection with the consummation of the Approved Sale or Statutory Conversion as requested by the Board.</w:t>
      </w:r>
    </w:p>
    <w:p>
      <w:pPr>
        <w:spacing w:after="0" w:line="179" w:lineRule="exact"/>
        <w:rPr>
          <w:rFonts w:ascii="Times New Roman" w:cs="Times New Roman" w:eastAsia="Times New Roman" w:hAnsi="Times New Roman"/>
          <w:sz w:val="22"/>
          <w:szCs w:val="22"/>
          <w:color w:val="auto"/>
        </w:rPr>
      </w:pPr>
    </w:p>
    <w:p>
      <w:pPr>
        <w:ind w:right="20" w:firstLine="1296"/>
        <w:spacing w:after="0" w:line="234" w:lineRule="auto"/>
        <w:tabs>
          <w:tab w:leader="none" w:pos="197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each Member holding Units with respect to the Approved Sale are subject to the satisfaction of the following conditions: (i) the consideration payable upon consummation of such Approved Sale to all Members shall be allocated among the Members as if distributed pursuant to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(except to the extent that Tax Advances required to have been made by the Company pursuant to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have not been made, in which case such consideration shall first be distributed in respect of all Tax Advances which were not made as required by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and then in accordance with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and (ii) upon the consummation of the Approved Sale, all of the Members holding a particular class of Units shall receive the same amount of consideration per Unit of such class (with any noncash consideration valued in good faith by the Board), as reduced for any Member by the aggregate principal amount plus all accrued and unpaid interest on any debt or other obligations of such Member to the Company.</w:t>
      </w:r>
    </w:p>
    <w:p>
      <w:pPr>
        <w:spacing w:after="0" w:line="180" w:lineRule="exact"/>
        <w:rPr>
          <w:rFonts w:ascii="Times New Roman" w:cs="Times New Roman" w:eastAsia="Times New Roman" w:hAnsi="Times New Roman"/>
          <w:sz w:val="22"/>
          <w:szCs w:val="22"/>
          <w:color w:val="auto"/>
        </w:rPr>
      </w:pPr>
    </w:p>
    <w:p>
      <w:pPr>
        <w:ind w:firstLine="1296"/>
        <w:spacing w:after="0" w:line="232" w:lineRule="auto"/>
        <w:tabs>
          <w:tab w:leader="none" w:pos="196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in connection with an Approved Sale, (i) no Member will be required to make affirmative representations or warranties except as to such Member’s due power and authority, non-contravention and ownership of Units, free and clear of all liens, and (ii) each Member may be severally (and not jointly) obligated to join on a pro rata basis in any customary indemnification obligation agreed to by the Board in connection with such Approved Sale, except that each Member may be fully liable for obligations that relate specifically to such Member, such as indemnification with respect to representations and warranties given by such Member regarding such Member’s title to and ownership of Units; provided that no Member shall be obligated in connection with such Approved Sale to agree to indemnify or hold harmless the Transferees with respect to any amount in excess of the cash proceeds to which such Member is entitled in such Approved Sale or to make indemnity payments in excess of the net cash proceeds paid to such holder in connection with such Approved Sale; provided further that any escrow of proceeds of any such transaction shall be withheld on a pro rata basis among all Members. Each Member shall enter into any customary indemnification or contribution agreement reasonably requested by the Board to ensure compliance with this </w:t>
      </w:r>
      <w:r>
        <w:rPr>
          <w:rFonts w:ascii="Times New Roman" w:cs="Times New Roman" w:eastAsia="Times New Roman" w:hAnsi="Times New Roman"/>
          <w:sz w:val="22"/>
          <w:szCs w:val="22"/>
          <w:u w:val="single" w:color="auto"/>
          <w:color w:val="auto"/>
        </w:rPr>
        <w:t>Section 11.3(c)</w:t>
      </w:r>
      <w:r>
        <w:rPr>
          <w:rFonts w:ascii="Times New Roman" w:cs="Times New Roman" w:eastAsia="Times New Roman" w:hAnsi="Times New Roman"/>
          <w:sz w:val="22"/>
          <w:szCs w:val="22"/>
          <w:color w:val="auto"/>
        </w:rPr>
        <w:t xml:space="preserve"> and the provisions of this </w:t>
      </w:r>
      <w:r>
        <w:rPr>
          <w:rFonts w:ascii="Times New Roman" w:cs="Times New Roman" w:eastAsia="Times New Roman" w:hAnsi="Times New Roman"/>
          <w:sz w:val="22"/>
          <w:szCs w:val="22"/>
          <w:u w:val="single" w:color="auto"/>
          <w:color w:val="auto"/>
        </w:rPr>
        <w:t>Section 11.3(c)</w:t>
      </w:r>
      <w:r>
        <w:rPr>
          <w:rFonts w:ascii="Times New Roman" w:cs="Times New Roman" w:eastAsia="Times New Roman" w:hAnsi="Times New Roman"/>
          <w:sz w:val="22"/>
          <w:szCs w:val="22"/>
          <w:color w:val="auto"/>
        </w:rPr>
        <w:t xml:space="preserve"> shall be deemed complied with if the requirement for several liability is addressed through such agreement, even if the purchase and sale agreement or merger agreement related to the Approved Sale provides for joint and several liability.</w:t>
      </w:r>
    </w:p>
    <w:p>
      <w:pPr>
        <w:spacing w:after="0" w:line="192" w:lineRule="exact"/>
        <w:rPr>
          <w:rFonts w:ascii="Times New Roman" w:cs="Times New Roman" w:eastAsia="Times New Roman" w:hAnsi="Times New Roman"/>
          <w:sz w:val="22"/>
          <w:szCs w:val="22"/>
          <w:color w:val="auto"/>
        </w:rPr>
      </w:pPr>
    </w:p>
    <w:p>
      <w:pPr>
        <w:ind w:right="40" w:firstLine="1296"/>
        <w:spacing w:after="0" w:line="258" w:lineRule="auto"/>
        <w:tabs>
          <w:tab w:leader="none" w:pos="19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holders of a majority of the Units enter into any negotiation or transaction for which Rule 506 (or any similar rule then in effect) promulgated by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90" w:name="page91"/>
    <w:bookmarkEnd w:id="90"/>
    <w:p>
      <w:pPr>
        <w:ind w:right="20"/>
        <w:spacing w:after="0" w:line="246" w:lineRule="auto"/>
        <w:rPr>
          <w:sz w:val="20"/>
          <w:szCs w:val="20"/>
          <w:color w:val="auto"/>
        </w:rPr>
      </w:pPr>
      <w:r>
        <w:rPr>
          <w:rFonts w:ascii="Times New Roman" w:cs="Times New Roman" w:eastAsia="Times New Roman" w:hAnsi="Times New Roman"/>
          <w:sz w:val="21"/>
          <w:szCs w:val="21"/>
          <w:color w:val="auto"/>
        </w:rPr>
        <w:t>the Securities and Exchange Commission under the Securities Act may be available with respect to such negotiation or transaction (including a merger, consolidation or other reorganization), any Member who is not an “</w:t>
      </w:r>
      <w:r>
        <w:rPr>
          <w:rFonts w:ascii="Times New Roman" w:cs="Times New Roman" w:eastAsia="Times New Roman" w:hAnsi="Times New Roman"/>
          <w:sz w:val="21"/>
          <w:szCs w:val="21"/>
          <w:u w:val="single" w:color="auto"/>
          <w:color w:val="auto"/>
        </w:rPr>
        <w:t>accredited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 under Rule 501 under the Securities Act shall, at the request of the holders of a majority of the Units, appoint a “</w:t>
      </w:r>
      <w:r>
        <w:rPr>
          <w:rFonts w:ascii="Times New Roman" w:cs="Times New Roman" w:eastAsia="Times New Roman" w:hAnsi="Times New Roman"/>
          <w:sz w:val="21"/>
          <w:szCs w:val="21"/>
          <w:u w:val="single" w:color="auto"/>
          <w:color w:val="auto"/>
        </w:rPr>
        <w:t>purchaser representative</w:t>
      </w:r>
      <w:r>
        <w:rPr>
          <w:rFonts w:ascii="Times New Roman" w:cs="Times New Roman" w:eastAsia="Times New Roman" w:hAnsi="Times New Roman"/>
          <w:sz w:val="21"/>
          <w:szCs w:val="21"/>
          <w:color w:val="auto"/>
        </w:rPr>
        <w:t>” (as such term is defined in Rule 501 promulgated under the Securities Act) designated by the Company and reasonably acceptable to the holders of a majority of the Units. If any Member so appoints a purchaser representative, the Company shall pay the fees of such purchaser representative. However, if any Member declines to appoint the purchaser representative designated by the Company, such Member shall appoint another purchaser representative (reasonably acceptable to the holders of a majority of the Units), and such Member shall be responsible for the fees of the purchaser representative so appointed.</w:t>
      </w:r>
    </w:p>
    <w:p>
      <w:pPr>
        <w:spacing w:after="0" w:line="176" w:lineRule="exact"/>
        <w:rPr>
          <w:sz w:val="20"/>
          <w:szCs w:val="20"/>
          <w:color w:val="auto"/>
        </w:rPr>
      </w:pPr>
    </w:p>
    <w:p>
      <w:pPr>
        <w:jc w:val="both"/>
        <w:ind w:right="140" w:firstLine="1296"/>
        <w:spacing w:after="0" w:line="239" w:lineRule="auto"/>
        <w:tabs>
          <w:tab w:leader="none" w:pos="196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11.3(d)</w:t>
      </w:r>
      <w:r>
        <w:rPr>
          <w:rFonts w:ascii="Times New Roman" w:cs="Times New Roman" w:eastAsia="Times New Roman" w:hAnsi="Times New Roman"/>
          <w:sz w:val="22"/>
          <w:szCs w:val="22"/>
          <w:color w:val="auto"/>
        </w:rPr>
        <w:t xml:space="preserve">, each Member Transferring Units pursuant to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pay a share of the expenses incurred by the Members in connection with such Transfer on a pro rata basis among all Transferring Members (including by reducing the portion of the consideration to which such Member would be entitled in such Approved Sale).</w:t>
      </w:r>
    </w:p>
    <w:p>
      <w:pPr>
        <w:spacing w:after="0" w:line="180" w:lineRule="exact"/>
        <w:rPr>
          <w:rFonts w:ascii="Times New Roman" w:cs="Times New Roman" w:eastAsia="Times New Roman" w:hAnsi="Times New Roman"/>
          <w:sz w:val="22"/>
          <w:szCs w:val="22"/>
          <w:color w:val="auto"/>
        </w:rPr>
      </w:pPr>
    </w:p>
    <w:p>
      <w:pPr>
        <w:ind w:left="1940" w:hanging="644"/>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Members owning a majority of the outstanding Units of the Company</w:t>
      </w:r>
    </w:p>
    <w:p>
      <w:pPr>
        <w:spacing w:after="0" w:line="1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Members</w:t>
      </w:r>
      <w:r>
        <w:rPr>
          <w:rFonts w:ascii="Times New Roman" w:cs="Times New Roman" w:eastAsia="Times New Roman" w:hAnsi="Times New Roman"/>
          <w:sz w:val="22"/>
          <w:szCs w:val="22"/>
          <w:color w:val="auto"/>
        </w:rPr>
        <w:t>”) desire or propose to sell a majority of the issued and outstanding Units of the Company for consideration but the foregoing is not an Approved Sale, the Majority Members shall first notify the remaining Members (the “</w:t>
      </w:r>
      <w:r>
        <w:rPr>
          <w:rFonts w:ascii="Times New Roman" w:cs="Times New Roman" w:eastAsia="Times New Roman" w:hAnsi="Times New Roman"/>
          <w:sz w:val="22"/>
          <w:szCs w:val="22"/>
          <w:u w:val="single" w:color="auto"/>
          <w:color w:val="auto"/>
        </w:rPr>
        <w:t>Minority Members</w:t>
      </w:r>
      <w:r>
        <w:rPr>
          <w:rFonts w:ascii="Times New Roman" w:cs="Times New Roman" w:eastAsia="Times New Roman" w:hAnsi="Times New Roman"/>
          <w:sz w:val="22"/>
          <w:szCs w:val="22"/>
          <w:color w:val="auto"/>
        </w:rPr>
        <w:t>”) in writing of the proposed sale within at least ten (10) business days prior to the closing of such sale and detail its principal terms, including but not limited to the proposed price and purchaser. Upon the Minority Members’ receipt of such notice, each Minority Member shall have a period of fifteen (15) days within which to notify the Majority Members in writing of his desire to sell to the prospective purchaser (or, at the Majority Members’ option, to the Majority Members, who hereby agree to purchase in the event they exercise such option and the proposed sale is consummated) the Minority Members’ Units for the price and on the terms specified in the notice. If a Minority Member elects to sell to the prospective purchaser (and the Majority Members do not exercise the foregoing option to purchase), then the Majority Members shall assign to the Minority Members making such election as much of their interest in the agreement with the prospective purchaser as such Minority Members shall be entitled to and shall accept hereunder (allocating in accordance with each participating Member’s Percentage Interest). If, within fifteen (15) days following their receipt of the notice from the Majority Members, none of the Minority Members elects to sell such Minority Members' Units to the prospective purchaser, the Majority Members shall have a period of sixty (60) days thereafter to sell their Units to the prospective purchaser, but only on terms and conditions no more favorable to the Majority Members than those contained in the notice sent to the Minority Members.</w:t>
      </w:r>
    </w:p>
    <w:p>
      <w:pPr>
        <w:spacing w:after="0" w:line="185" w:lineRule="exact"/>
        <w:rPr>
          <w:sz w:val="20"/>
          <w:szCs w:val="20"/>
          <w:color w:val="auto"/>
        </w:rPr>
      </w:pPr>
    </w:p>
    <w:p>
      <w:pPr>
        <w:ind w:right="160" w:firstLine="1296"/>
        <w:spacing w:after="0" w:line="236" w:lineRule="auto"/>
        <w:tabs>
          <w:tab w:leader="none" w:pos="19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the Board approves a Public Offering, each Member shall, and shall cause its representatives to, vote for, consent to (to the extent it has any voting or consenting rights) and raise no objections against any such transaction, and the Company, the Board and each Member shall take all reasonable actions in connection with the consummation of any such transaction as requested by the Board, including without limitation executing a market stand-off agreement and lock-up agreement as may be required by the representative of the underwriters.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91" w:name="page92"/>
    <w:bookmarkEnd w:id="91"/>
    <w:p>
      <w:pPr>
        <w:ind w:firstLine="1296"/>
        <w:spacing w:after="0" w:line="236" w:lineRule="auto"/>
        <w:tabs>
          <w:tab w:leader="none" w:pos="19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manner shall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be construed to grant to any Member any dissenters’ rights or appraisal rights or give any Member any right to vote in any transaction structured as a merger or consolidation (it being understood that the Members have expressly waived rights under Section 18-210 of the Delaware Act and any other dissenters rights, appraisal rights or similar rights (if any) and have granted to the Board the sole right to approve or consent to a merger or consolidation of the Company without approval or consent of the Members).</w:t>
      </w:r>
    </w:p>
    <w:p>
      <w:pPr>
        <w:spacing w:after="0" w:line="182"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Void Transfers</w:t>
      </w:r>
      <w:r>
        <w:rPr>
          <w:rFonts w:ascii="Times New Roman" w:cs="Times New Roman" w:eastAsia="Times New Roman" w:hAnsi="Times New Roman"/>
          <w:sz w:val="21"/>
          <w:szCs w:val="21"/>
          <w:color w:val="auto"/>
        </w:rPr>
        <w:t>. Any Transfer by any Member of any Units or other interest in the Company in contravention of this Agreement in any respect (including the failure of the Transferee to execute and deliver a counterpart or joinder to this Agreement) shall be void and ineffectual and shall not bind or be recognized by the Company or any other party. No purported assignee shall have any right to any distributions of the Company.</w:t>
      </w:r>
    </w:p>
    <w:p>
      <w:pPr>
        <w:spacing w:after="0" w:line="16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Additional Restrictions on Transfer</w:t>
      </w:r>
      <w:r>
        <w:rPr>
          <w:rFonts w:ascii="Times New Roman" w:cs="Times New Roman" w:eastAsia="Times New Roman" w:hAnsi="Times New Roman"/>
          <w:sz w:val="22"/>
          <w:szCs w:val="22"/>
          <w:color w:val="auto"/>
        </w:rPr>
        <w:t xml:space="preserve">. Notwithstanding any other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no Transfer of Units or any other interest in the Company may be made unless in the opinion of counsel (who may be counsel for the Company), reasonably satisfactory in form and substance to the Board and counsel for the Company (which opinion may be waived, in whole or in part, at the sole discretion of the Board), such Transfer would be exempt from registration under the Securities Act. Such opinion of counsel shall be delivered in writing to the Company prior to the date of the Transfer.</w:t>
      </w:r>
    </w:p>
    <w:p>
      <w:pPr>
        <w:spacing w:after="0" w:line="18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In the event that certificates representing the Units are issued (“</w:t>
      </w:r>
      <w:r>
        <w:rPr>
          <w:rFonts w:ascii="Times New Roman" w:cs="Times New Roman" w:eastAsia="Times New Roman" w:hAnsi="Times New Roman"/>
          <w:sz w:val="22"/>
          <w:szCs w:val="22"/>
          <w:u w:val="single" w:color="auto"/>
          <w:color w:val="auto"/>
        </w:rPr>
        <w:t>Certificated Units</w:t>
      </w:r>
      <w:r>
        <w:rPr>
          <w:rFonts w:ascii="Times New Roman" w:cs="Times New Roman" w:eastAsia="Times New Roman" w:hAnsi="Times New Roman"/>
          <w:sz w:val="22"/>
          <w:szCs w:val="22"/>
          <w:color w:val="auto"/>
        </w:rPr>
        <w:t>”), such certificates will bear the following legend:</w:t>
      </w:r>
    </w:p>
    <w:p>
      <w:pPr>
        <w:spacing w:after="0" w:line="15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UNITS REPRESENTED BY THIS CERTIFICATE HAVE NOT BEEN REGISTERED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APPLICABLE STATE SECURITIES LAWS (“</w:t>
      </w:r>
      <w:r>
        <w:rPr>
          <w:rFonts w:ascii="Times New Roman" w:cs="Times New Roman" w:eastAsia="Times New Roman" w:hAnsi="Times New Roman"/>
          <w:sz w:val="22"/>
          <w:szCs w:val="22"/>
          <w:u w:val="single" w:color="auto"/>
          <w:color w:val="auto"/>
        </w:rPr>
        <w:t>STATE ACTS</w:t>
      </w:r>
      <w:r>
        <w:rPr>
          <w:rFonts w:ascii="Times New Roman" w:cs="Times New Roman" w:eastAsia="Times New Roman" w:hAnsi="Times New Roman"/>
          <w:sz w:val="22"/>
          <w:szCs w:val="22"/>
          <w:color w:val="auto"/>
        </w:rPr>
        <w:t>”) AND MAY NOT BE SOLD, ASSIGNED, PLEDGED OR TRANSFERRED OR OTHERWISE DISPOSED OF IN THE ABSENCE OF AN EFFECTIVE REGISTRATION STATEMENT UNDER THE ACT OR STATE ACTS OR AN EXEMPTION FROM REGISTRATION THEREUNDER. THE TRANSFER OF THE UNITS REPRESENTED BY THIS CERTIFICATE IS SUBJECT TO THE CONDITIONS SPECIFIED IN A LIMITED LIABILITY COMPANY AGREEMENT, AS AMENDED AND MODIFIED FROM TIME TO TIME, GOVERNING THE ISSUER AND BY AND AMONG CERTAIN INVESTORS THEREIN. A COPY OF SUCH CONDITIONS SHALL BE FURNISHED BY THE ISSUER TO THE HOLDER HEREOF UPON WRITTEN REQUEST AND WITHOUT CHARGE.”</w:t>
      </w:r>
    </w:p>
    <w:p>
      <w:pPr>
        <w:spacing w:after="0" w:line="180"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Transfer Fees and Expenses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Sections 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w:t>
      </w:r>
      <w:r>
        <w:rPr>
          <w:rFonts w:ascii="Times New Roman" w:cs="Times New Roman" w:eastAsia="Times New Roman" w:hAnsi="Times New Roman"/>
          <w:sz w:val="22"/>
          <w:szCs w:val="22"/>
          <w:color w:val="auto"/>
        </w:rPr>
        <w:t>, unless waived in writing by the Board in its sole discretion, the Transferor and Transferee of any Units or other interest in the Company shall be jointly and severally obligated to reimburse the Company for all reasonable expenses (including attorneys’ fees and expenses) of any Transfer or proposed Transfer, whether or not consummated.</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WITHDRAWAL AND RESIGNATION OF MEMBERS</w:t>
      </w:r>
    </w:p>
    <w:p>
      <w:pPr>
        <w:spacing w:after="0" w:line="18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Withdrawal and Resignation of Member</w:t>
      </w:r>
      <w:r>
        <w:rPr>
          <w:rFonts w:ascii="Times New Roman" w:cs="Times New Roman" w:eastAsia="Times New Roman" w:hAnsi="Times New Roman"/>
          <w:sz w:val="21"/>
          <w:szCs w:val="21"/>
          <w:color w:val="auto"/>
        </w:rPr>
        <w:t xml:space="preserve">. No Member shall have the power or right to withdraw or otherwise resign as a Member prior to the dissolution and winding up of the Company pursuant to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xml:space="preserve"> without the prior written consent of the Board (which consent may be withheld by the Board in its sole discretion), except as otherwise expressly permitted by this Agreement. Upon a Transfer of all of a Member’s Units in a Transfer permitted by this Agreement, such Member shall cease to be a Member. Notwithstanding that payment on account of a withdrawal may be made after the effective time of such withdrawal, any completely withdrawing Member will not be considered a Member for any purpose after the effective time of such complete withdrawal, and, in the case of a partial withdrawal, such Member’s Capital Account (and corresponding voting and other rights) shall be reduced for all other purposes hereunder upon the effective time of such partial withdrawal.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DISSOLUTION AND LIQUIDATION</w:t>
      </w:r>
    </w:p>
    <w:p>
      <w:pPr>
        <w:spacing w:after="0" w:line="182"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The Company shall not be dissolved by the admission of Additional Members or Substituted Members. The Company shall dissolve, and its affairs shall be wound up only upon the first to occur of the following:</w:t>
      </w:r>
    </w:p>
    <w:p>
      <w:pPr>
        <w:spacing w:after="0" w:line="174" w:lineRule="exact"/>
        <w:rPr>
          <w:sz w:val="20"/>
          <w:szCs w:val="20"/>
          <w:color w:val="auto"/>
        </w:rPr>
      </w:pPr>
    </w:p>
    <w:p>
      <w:pPr>
        <w:ind w:left="1960" w:hanging="664"/>
        <w:spacing w:after="0"/>
        <w:tabs>
          <w:tab w:leader="none" w:pos="19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approval at any time of the Board; or</w:t>
      </w:r>
    </w:p>
    <w:p>
      <w:pPr>
        <w:spacing w:after="0" w:line="206" w:lineRule="exact"/>
        <w:rPr>
          <w:rFonts w:ascii="Times New Roman" w:cs="Times New Roman" w:eastAsia="Times New Roman" w:hAnsi="Times New Roman"/>
          <w:sz w:val="22"/>
          <w:szCs w:val="22"/>
          <w:color w:val="auto"/>
        </w:rPr>
      </w:pPr>
    </w:p>
    <w:p>
      <w:pPr>
        <w:ind w:right="600" w:firstLine="1296"/>
        <w:spacing w:after="0" w:line="258" w:lineRule="auto"/>
        <w:tabs>
          <w:tab w:leader="none" w:pos="197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of a decree of judicial dissolution of the Company under Section 35-5 of the Delaware Act or an administrative dissolution under Section 18-802 of the Delaware Act.</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Except as otherwise set forth in this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the Company is intended to have perpetual existence. The death, retirement, resignation, expulsion, bankruptcy or dissolution of a Member or the occurrence of any other event that terminates the continued membership of a Member in the Company shall not cause a dissolution of the Company, and the Company shall continue in existence subject to the terms and conditions of this Agreement.</w:t>
      </w:r>
    </w:p>
    <w:p>
      <w:pPr>
        <w:spacing w:after="0" w:line="16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Liquidation and Termination</w:t>
      </w:r>
      <w:r>
        <w:rPr>
          <w:rFonts w:ascii="Times New Roman" w:cs="Times New Roman" w:eastAsia="Times New Roman" w:hAnsi="Times New Roman"/>
          <w:sz w:val="22"/>
          <w:szCs w:val="22"/>
          <w:color w:val="auto"/>
        </w:rPr>
        <w:t>. On the dissolution of the Company, the Board shall act as liquidator or may appoint one or more representatives, Members or other Persons as liquidator(s). The liquidators shall pay, satisfy or discharge from Company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reasonably determine) and proceed diligently to wind up the affairs of the Company and make final distributions as provided herein and in the Delaware Act. The costs of liquidation shall be borne as a Company expense. The Fair Market Value (as determined by the liquidators) of any remaining assets of the Company shall, following payment, satisfaction or discharge of all liabilities as determined by the liquidators, be distributed as liquidating Distributions to the holders of Units in the following order of priority: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4" w:right="939" w:bottom="1440" w:gutter="0" w:footer="0" w:header="0"/>
        </w:sectPr>
      </w:pPr>
    </w:p>
    <w:bookmarkStart w:id="93" w:name="page94"/>
    <w:bookmarkEnd w:id="93"/>
    <w:p>
      <w:pPr>
        <w:ind w:firstLine="1944"/>
        <w:spacing w:after="0" w:line="258" w:lineRule="auto"/>
        <w:tabs>
          <w:tab w:leader="none" w:pos="261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Members in accordance with their final positive Capital Account balances as of immediately prior to the Conversion, as set forth on Schedule 13.2; and</w:t>
      </w:r>
    </w:p>
    <w:p>
      <w:pPr>
        <w:spacing w:after="0" w:line="158" w:lineRule="exact"/>
        <w:rPr>
          <w:rFonts w:ascii="Times New Roman" w:cs="Times New Roman" w:eastAsia="Times New Roman" w:hAnsi="Times New Roman"/>
          <w:sz w:val="22"/>
          <w:szCs w:val="22"/>
          <w:color w:val="auto"/>
        </w:rPr>
      </w:pPr>
    </w:p>
    <w:p>
      <w:pPr>
        <w:ind w:right="240" w:firstLine="1944"/>
        <w:spacing w:after="0" w:line="258" w:lineRule="auto"/>
        <w:tabs>
          <w:tab w:leader="none" w:pos="262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Then, to the Members in accordance with their Percentage Interests (but for clarity, still subject to the terms of any Profits Interest Unit agreements for applicable Members).</w:t>
      </w:r>
    </w:p>
    <w:p>
      <w:pPr>
        <w:spacing w:after="0" w:line="158"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Until final distribution, the liquidators shall continue to operate the Company properties with all of the power and authority of the Board.</w:t>
      </w:r>
    </w:p>
    <w:p>
      <w:pPr>
        <w:spacing w:after="0" w:line="15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Cancellation of Certificate</w:t>
      </w:r>
      <w:r>
        <w:rPr>
          <w:rFonts w:ascii="Times New Roman" w:cs="Times New Roman" w:eastAsia="Times New Roman" w:hAnsi="Times New Roman"/>
          <w:sz w:val="22"/>
          <w:szCs w:val="22"/>
          <w:color w:val="auto"/>
        </w:rPr>
        <w:t xml:space="preserve">. On completion of the distribution of Company assets as provided herein, the Company shall be terminated (and the Company shall not be terminated prior to such time), and the Board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13.3</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Reasonable Time for Winding Up</w:t>
      </w:r>
      <w:r>
        <w:rPr>
          <w:rFonts w:ascii="Times New Roman" w:cs="Times New Roman" w:eastAsia="Times New Roman" w:hAnsi="Times New Roman"/>
          <w:sz w:val="22"/>
          <w:szCs w:val="22"/>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in order to minimize any losses otherwise attendant upon such winding up.</w:t>
      </w:r>
    </w:p>
    <w:p>
      <w:pPr>
        <w:spacing w:after="0" w:line="17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The Board, Members or other liquidators shall not be personally liable for the return of Capital Contributions or any portion thereof to the Members (it being understood that any such return shall be made solely from Company assets).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296"/>
        <w:spacing w:after="0" w:line="245" w:lineRule="auto"/>
        <w:tabs>
          <w:tab w:leader="none" w:pos="196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Member hereby constitutes and appoints the Board, with full power of substitution, as its or his true and lawful agent and attorney-in-fact, with full power and authority in its name, place and stead, to execute, swear to, acknowledge, deliver, file and record in the appropriate public offices (i) this Agreement, all certificates and other instruments and all amendments thereof in accordance with the terms hereof which the Board deems appropriate or necessary to form, qualify, or continue the qualification of, the Company as a limited liability company in the State of Delaware and in all other jurisdictions in which the Company may conduct business or own property; (ii) all instruments which the Board deems appropriate or necessary to reflect any amendment, change, modification or restatement of this Agreement in accordance with its terms; (iii) all conveyances and other instruments or documents which the Board deems appropriate or necessary to reflect the dissolution and liquidation of the Company pursuant to the terms of this Agreement, including a certificate of cancellation; and (iv) all instruments relating to the admission, withdrawal or substitution of any Member pursuant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XII</w:t>
      </w:r>
      <w:r>
        <w:rPr>
          <w:rFonts w:ascii="Times New Roman" w:cs="Times New Roman" w:eastAsia="Times New Roman" w:hAnsi="Times New Roman"/>
          <w:sz w:val="21"/>
          <w:szCs w:val="21"/>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94" w:name="page95"/>
    <w:bookmarkEnd w:id="94"/>
    <w:p>
      <w:pPr>
        <w:ind w:right="160" w:firstLine="1296"/>
        <w:spacing w:after="0" w:line="239" w:lineRule="auto"/>
        <w:tabs>
          <w:tab w:leader="none" w:pos="19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power of attorney is irrevocable and coupled with an interest, and shall survive the death, disability, incapacity, dissolution, bankruptcy, insolvency or termination of any Member and the Transfer of all or any portion of his or its Units and shall extend to such Member’s heirs, successors, assigns and personal representatives.</w:t>
      </w:r>
    </w:p>
    <w:p>
      <w:pPr>
        <w:spacing w:after="0" w:line="181"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Subject to the right and power of the Board to amend this Agreement to the limited extent expressly provided in the last sentence of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including in connection with the issuance of new or additional Equity Securities, or any class or series thereof, this Agreement may be amended, modified, or waived only by a Super-Majority Vote of the Units; provided that: (a) if, after the Effective Date of this Agreement at least one additional class of Units is issued by the Company, any such amendment, modification, or waiver would adversely affect in any material respect the rights, preferences or privileges of any class of Units relative to another class of Units, such amendment, modification, or waiver shall also require the affirmative vote of at least two-thirds of the outstanding Units of the class of Units so adversely affected; (b) if any such amendment, modification or waiver would materially change the rights or obligations as between members of the same class of Units with respect to such Units (e.g. grant some but not all Members of a class certain material rights with respect to their Units), such amendment, modification, or waiver shall also require the approval of at least eighty percent of the outstanding Units of that class of Units and/or (c) if such amendment, modification or waiver would require a Member to make a mandatory capital contribution in the Company, or would otherwise subject a Member to increased personal liability other than as provided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then such amendment, modification or waiver shall also require the approval of such Member. In connection with any amendment, modification or waiver, or other approval hereunder, the Board will have no obligation to provide any information to any Person unless the consent of such Person is required to be obtained in order to effectuate such amendment, modification or waiver; and provided that the Board shall be required to inform the holders of Units of the substance and occurrence of any amendment. Notwithstanding anything to the contrary in this Agreement, the Board may, without the consent of any Member, amend the Schedule of Members attached hereto to reflect the admission of any Member or Members, the creation or issuance of any other Units or interests in the Company and the corresponding adjustments to Percentage Interests or the making of any Capital Contributions, and may amend the Schedule of Members and this Agreement in the manner described in </w:t>
      </w:r>
      <w:r>
        <w:rPr>
          <w:rFonts w:ascii="Times New Roman" w:cs="Times New Roman" w:eastAsia="Times New Roman" w:hAnsi="Times New Roman"/>
          <w:sz w:val="22"/>
          <w:szCs w:val="22"/>
          <w:u w:val="single" w:color="auto"/>
          <w:color w:val="auto"/>
        </w:rPr>
        <w:t>Section 14.20</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Title to Company Assets</w:t>
      </w:r>
      <w:r>
        <w:rPr>
          <w:rFonts w:ascii="Times New Roman" w:cs="Times New Roman" w:eastAsia="Times New Roman" w:hAnsi="Times New Roman"/>
          <w:sz w:val="22"/>
          <w:szCs w:val="22"/>
          <w:color w:val="auto"/>
        </w:rPr>
        <w:t>. Company assets shall be deemed to be owned by the Company as an entity, and no Member, individually or collectively, shall have any ownership interest in such Company assets or any portion thereof. Legal title to any or all Company assets may be held in the name of the Company or one or more nominees, as the Board may determine. The Board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79"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95" w:name="page96"/>
    <w:bookmarkEnd w:id="95"/>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7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2"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w:t>
      </w:r>
    </w:p>
    <w:p>
      <w:pPr>
        <w:spacing w:after="0" w:line="158"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Descriptive Headings; Interpretation</w:t>
      </w:r>
      <w:r>
        <w:rPr>
          <w:rFonts w:ascii="Times New Roman" w:cs="Times New Roman" w:eastAsia="Times New Roman" w:hAnsi="Times New Roman"/>
          <w:sz w:val="22"/>
          <w:szCs w:val="22"/>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words “including” or “include”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1" w:lineRule="exact"/>
        <w:rPr>
          <w:sz w:val="20"/>
          <w:szCs w:val="20"/>
          <w:color w:val="auto"/>
        </w:rPr>
      </w:pPr>
    </w:p>
    <w:p>
      <w:pPr>
        <w:jc w:val="both"/>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Addresses and Notices</w:t>
      </w:r>
      <w:r>
        <w:rPr>
          <w:rFonts w:ascii="Times New Roman" w:cs="Times New Roman" w:eastAsia="Times New Roman" w:hAnsi="Times New Roman"/>
          <w:sz w:val="22"/>
          <w:szCs w:val="22"/>
          <w:color w:val="auto"/>
        </w:rPr>
        <w:t>. All notices, demands or other communications to be given or delivered under or by reason of the provisions of this Agreement shall be in writing and shall be deemed to have been given or made when (a) delivered personally to the recipient, (b) telecopied to the recipient (with hard copy sent to the recipient by reputable overnight courier service (charges prepaid) that same day) if telecopied before 2:00 p.m. Los Angeles, California time on a business day, and otherwise on the next business day, or (c) one business day after being sent to the recipient by reputable overnight courier service (charges prepaid). Such notices, demands and other communications shall be sent to the address for such recipient set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28" w:right="959" w:bottom="1440" w:gutter="0" w:footer="0" w:header="0"/>
        </w:sectPr>
      </w:pPr>
    </w:p>
    <w:bookmarkStart w:id="96" w:name="page97"/>
    <w:bookmarkEnd w:id="96"/>
    <w:p>
      <w:pPr>
        <w:ind w:right="40"/>
        <w:spacing w:after="0" w:line="251" w:lineRule="auto"/>
        <w:rPr>
          <w:sz w:val="20"/>
          <w:szCs w:val="20"/>
          <w:color w:val="auto"/>
        </w:rPr>
      </w:pPr>
      <w:r>
        <w:rPr>
          <w:rFonts w:ascii="Times New Roman" w:cs="Times New Roman" w:eastAsia="Times New Roman" w:hAnsi="Times New Roman"/>
          <w:sz w:val="21"/>
          <w:szCs w:val="21"/>
          <w:color w:val="auto"/>
        </w:rPr>
        <w:t xml:space="preserve">forth in the Company’s books and records (which shall initially be the addresses set forth on the signature pages of this Agreement), or to such other address or to the attention of such other person as the recipient party has specified by prior written notice to the sending party. Any notice to the Board or the Company shall be deemed given if received by the Board at the principal office of the Company designated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with a copy delivered to Calavo’s Chief Executive Officer at Calavo’s address set forth below its signature on this Agreement.</w:t>
      </w:r>
    </w:p>
    <w:p>
      <w:pPr>
        <w:spacing w:after="0" w:line="16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Creditors</w:t>
      </w:r>
      <w:r>
        <w:rPr>
          <w:rFonts w:ascii="Times New Roman" w:cs="Times New Roman" w:eastAsia="Times New Roman" w:hAnsi="Times New Roman"/>
          <w:sz w:val="22"/>
          <w:szCs w:val="22"/>
          <w:color w:val="auto"/>
        </w:rPr>
        <w:t>. None of the provisions of this Agreement shall be for the benefit of or enforceable by any non-Member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Company other than as a secured creditor.</w:t>
      </w:r>
    </w:p>
    <w:p>
      <w:pPr>
        <w:spacing w:after="0" w:line="17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74"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Further Action</w:t>
      </w:r>
      <w:r>
        <w:rPr>
          <w:rFonts w:ascii="Times New Roman" w:cs="Times New Roman" w:eastAsia="Times New Roman" w:hAnsi="Times New Roman"/>
          <w:sz w:val="22"/>
          <w:szCs w:val="22"/>
          <w:color w:val="auto"/>
        </w:rPr>
        <w:t>. The parties agree to execute and deliver all documents, provide all information and take or refrain from taking such actions as may be necessary or appropriate to achieve the purposes of this Agreement.</w:t>
      </w:r>
    </w:p>
    <w:p>
      <w:pPr>
        <w:spacing w:after="0" w:line="174"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14.14 </w:t>
      </w: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Whenever the Company is to pay any sum to any Member, any amounts that such Member owes to the Company under this Agreement may, to the extent permitted pursuant to applicable law, be deducted from that owed sum before such payment.</w:t>
      </w:r>
    </w:p>
    <w:p>
      <w:pPr>
        <w:spacing w:after="0" w:line="174"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those documents expressly referred to herein and other documents dated as of even date herewith or of the Original Agreement, including the Line of Credit Agreement, the Promissory Notes, the Units Pledge and Security Agreements between Calavo and the Initial Service Providers, and the Service Provider Agreement between the Company and David Ominsky,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4"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14.16 </w:t>
      </w:r>
      <w:r>
        <w:rPr>
          <w:rFonts w:ascii="Times New Roman" w:cs="Times New Roman" w:eastAsia="Times New Roman" w:hAnsi="Times New Roman"/>
          <w:sz w:val="22"/>
          <w:szCs w:val="22"/>
          <w:u w:val="single" w:color="auto"/>
          <w:color w:val="auto"/>
        </w:rPr>
        <w:t>Delivery by Facsimile or E-Mail</w:t>
      </w:r>
      <w:r>
        <w:rPr>
          <w:rFonts w:ascii="Times New Roman" w:cs="Times New Roman" w:eastAsia="Times New Roman" w:hAnsi="Times New Roman"/>
          <w:sz w:val="22"/>
          <w:szCs w:val="22"/>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97" w:name="page98"/>
    <w:bookmarkEnd w:id="97"/>
    <w:p>
      <w:pPr>
        <w:ind w:right="100"/>
        <w:spacing w:after="0" w:line="258" w:lineRule="auto"/>
        <w:rPr>
          <w:sz w:val="20"/>
          <w:szCs w:val="20"/>
          <w:color w:val="auto"/>
        </w:rPr>
      </w:pPr>
      <w:r>
        <w:rPr>
          <w:rFonts w:ascii="Times New Roman" w:cs="Times New Roman" w:eastAsia="Times New Roman" w:hAnsi="Times New Roman"/>
          <w:sz w:val="22"/>
          <w:szCs w:val="22"/>
          <w:color w:val="auto"/>
        </w:rPr>
        <w:t>communicated through the use of a facsimile machine or e-mail as a defense to the formation or enforceability of a contract and each such party forever waives any such defense.</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14.17 </w:t>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Any Action seeking to enforce any provision of, or based on any matter arising out of or in connection with, this Agreement or the transactions contemplated by this Agreement may be brought against any of the parties only in any federal or state court located in Los Angeles, California and each of the parties hereto hereby consents to the exclusive jurisdiction of such courts (and of the appropriate appellate courts) in any such Action and waives any objection to venue laid therein. Process in any such Action may be served on any party anywhere in the world, whether within or without the State of California. Without limiting the generality of the foregoing, each party hereto agrees that service of process upon such party at the address referred to in </w:t>
      </w:r>
      <w:r>
        <w:rPr>
          <w:rFonts w:ascii="Times New Roman" w:cs="Times New Roman" w:eastAsia="Times New Roman" w:hAnsi="Times New Roman"/>
          <w:sz w:val="21"/>
          <w:szCs w:val="21"/>
          <w:u w:val="single" w:color="auto"/>
          <w:color w:val="auto"/>
        </w:rPr>
        <w:t>Section</w:t>
      </w:r>
    </w:p>
    <w:p>
      <w:pPr>
        <w:ind w:right="160"/>
        <w:spacing w:after="0" w:line="237" w:lineRule="auto"/>
        <w:rPr>
          <w:sz w:val="20"/>
          <w:szCs w:val="20"/>
          <w:color w:val="auto"/>
        </w:rPr>
      </w:pPr>
      <w:r>
        <w:rPr>
          <w:rFonts w:ascii="Times New Roman" w:cs="Times New Roman" w:eastAsia="Times New Roman" w:hAnsi="Times New Roman"/>
          <w:sz w:val="22"/>
          <w:szCs w:val="22"/>
          <w:u w:val="single" w:color="auto"/>
          <w:color w:val="auto"/>
        </w:rPr>
        <w:t>14.10</w:t>
      </w:r>
      <w:r>
        <w:rPr>
          <w:rFonts w:ascii="Times New Roman" w:cs="Times New Roman" w:eastAsia="Times New Roman" w:hAnsi="Times New Roman"/>
          <w:sz w:val="22"/>
          <w:szCs w:val="22"/>
          <w:color w:val="auto"/>
        </w:rPr>
        <w:t>, together with written notice of such service to such party, shall be deemed effective service of process upon such party.</w:t>
      </w:r>
    </w:p>
    <w:p>
      <w:pPr>
        <w:spacing w:after="0" w:line="17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14.18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 xml:space="preserve"> shall survive and continue in full force in accordance with its terms notwithstanding any termination of this Agreement or the dissolution of the Company.</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14.19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and hold Calavo harmless against liability for the payment of the reasonable out-of-pocket expenses of Calavo (including the reasonable fees and expenses of legal counsel or other advisors) in connection with (a) start-up and organizational costs in connection with the formation of the Company and the commencement of its business and operations and (b) the preparation, negotiation and execution of this Agreement and each other agreement executed in connection herewith and the consummation of the transactions contemplated hereby. Nothing in this Agreement shall require reimbursement of expenses of any Member except as described in the preceding sentence.</w:t>
      </w:r>
    </w:p>
    <w:p>
      <w:pPr>
        <w:spacing w:after="0" w:line="184"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14.20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shall be in full force and effect, as of February 27, 2019 following its execution and approval as provided for herein. In that connection, (a) the Percentage Interests set forth in Schedule A assume that each party whose name is listed on the signature pages of this Agreement as of the Effective Date has executed and delivered this Agreement, and (b) the Board has the right and power, without the consent of any Member, to make technical changes to this Agreement and to add references to any Additional Member or Substituted Member approved for admission as provided in this Agreement.</w:t>
      </w:r>
    </w:p>
    <w:p>
      <w:pPr>
        <w:spacing w:after="0" w:line="18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1"/>
          <w:szCs w:val="21"/>
          <w:color w:val="auto"/>
        </w:rPr>
        <w:t xml:space="preserve">14.21 </w:t>
      </w: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Upon execution and delivery of a counterpart to this Agreement or a joinder to this Agreement, each Member and Additional Member shall be deemed to acknowledge to, and agree with, Calavo and every other Member as follows: (a) the determination of such Member or Additional Member to acquire Units pursuant to this Agreement and any other agreement referenced herein has been made by such Member or Additional Member independent of any other Member and independent of any statements or opinions as to the advisability of such purchase or as to the properties, business, prospects or condition (financial or otherwise) of the Company which may have been made or given by the Board or by any agent or employee of the Board; (b) the Board has not acted as an agent of such Member or Additional Member in connection with making its investment hereunder, and the Board shall not serve as an agent of such Member or Additional Member in connection with monitoring its investment hereunder; (c) TroyGould PC is not counsel to any Members other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98" w:name="page99"/>
    <w:bookmarkEnd w:id="98"/>
    <w:p>
      <w:pPr>
        <w:spacing w:after="0" w:line="248" w:lineRule="auto"/>
        <w:rPr>
          <w:sz w:val="20"/>
          <w:szCs w:val="20"/>
          <w:color w:val="auto"/>
        </w:rPr>
      </w:pPr>
      <w:r>
        <w:rPr>
          <w:rFonts w:ascii="Times New Roman" w:cs="Times New Roman" w:eastAsia="Times New Roman" w:hAnsi="Times New Roman"/>
          <w:sz w:val="21"/>
          <w:szCs w:val="21"/>
          <w:color w:val="auto"/>
        </w:rPr>
        <w:t>than Calavo and is not representing and will not represent any other Member or Additional Member in connection with this Agreement or any dispute which may arise between Calavo, on the one hand, and any other Member or Additional Member, on the other hand; (d) such Member or Additional Member will, if it desires legal advice with respect to this Agreement, retain its own independent counsel; and (e) TroyGould PC may represent Calavo in connection with any and all matters contemplated hereby (including any dispute between Calavo, on the one hand, and any other Member or Additional Member, on the other hand) and each other Member or Additional Member waives any conflict of interest in connection with such representation by TroyGould PC.</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328" w:right="1079" w:bottom="1440" w:gutter="0" w:footer="0" w:header="0"/>
        </w:sectPr>
      </w:pPr>
    </w:p>
    <w:bookmarkStart w:id="99" w:name="page100"/>
    <w:bookmarkEnd w:id="99"/>
    <w:p>
      <w:pPr>
        <w:ind w:left="120"/>
        <w:spacing w:after="0"/>
        <w:rPr>
          <w:sz w:val="20"/>
          <w:szCs w:val="20"/>
          <w:color w:val="auto"/>
        </w:rPr>
      </w:pPr>
      <w:r>
        <w:rPr>
          <w:rFonts w:ascii="Times New Roman" w:cs="Times New Roman" w:eastAsia="Times New Roman" w:hAnsi="Times New Roman"/>
          <w:sz w:val="21"/>
          <w:szCs w:val="21"/>
          <w:color w:val="auto"/>
        </w:rPr>
        <w:t>IN WITNESS WHEREOF, the parties have executed and delivered this Agreement as of the Effective Date.</w:t>
      </w: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APPROVING MEMBERS</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11430</wp:posOffset>
            </wp:positionV>
            <wp:extent cx="29927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auto"/>
        </w:rPr>
        <w:t>Name:  Lecil E. Cole</w:t>
      </w:r>
    </w:p>
    <w:p>
      <w:pPr>
        <w:ind w:left="484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tab/>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Lecil E. Cole,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-151130</wp:posOffset>
            </wp:positionV>
            <wp:extent cx="2992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Kenneth Catchot, Individually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-151130</wp:posOffset>
            </wp:positionV>
            <wp:extent cx="29927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0"/>
          <w:szCs w:val="20"/>
          <w:color w:val="auto"/>
        </w:rPr>
        <w:t>K. Catchot 2005 Family Trust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Kathleen Holmgren, Individually and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-151130</wp:posOffset>
            </wp:positionV>
            <wp:extent cx="29927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222222"/>
        </w:rPr>
        <w:t xml:space="preserve">of </w:t>
      </w:r>
      <w:r>
        <w:rPr>
          <w:rFonts w:ascii="Arial" w:cs="Arial" w:eastAsia="Arial" w:hAnsi="Arial"/>
          <w:sz w:val="17"/>
          <w:szCs w:val="17"/>
          <w:color w:val="222222"/>
        </w:rPr>
        <w:t>THE HOLMGREN FAMILTY TRUST OF 1996</w:t>
      </w:r>
    </w:p>
    <w:p>
      <w:pPr>
        <w:spacing w:after="0" w:line="200" w:lineRule="exact"/>
        <w:rPr>
          <w:sz w:val="20"/>
          <w:szCs w:val="20"/>
          <w:color w:val="auto"/>
        </w:rPr>
      </w:pPr>
    </w:p>
    <w:p>
      <w:pPr>
        <w:spacing w:after="0" w:line="2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IMPERMANENCE LLC</w:t>
      </w: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11430</wp:posOffset>
            </wp:positionV>
            <wp:extent cx="29927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auto"/>
        </w:rPr>
        <w:t>Name:  Michael R. Lippold</w:t>
      </w:r>
    </w:p>
    <w:p>
      <w:pPr>
        <w:ind w:left="484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100" w:name="page101"/>
    <w:bookmarkEnd w:id="100"/>
    <w:p>
      <w:pPr>
        <w:ind w:left="4840"/>
        <w:spacing w:after="0"/>
        <w:rPr>
          <w:sz w:val="20"/>
          <w:szCs w:val="20"/>
          <w:color w:val="auto"/>
        </w:rPr>
      </w:pPr>
      <w:r>
        <w:rPr>
          <w:rFonts w:ascii="Times New Roman" w:cs="Times New Roman" w:eastAsia="Times New Roman" w:hAnsi="Times New Roman"/>
          <w:sz w:val="22"/>
          <w:szCs w:val="22"/>
          <w:color w:val="auto"/>
        </w:rPr>
        <w:t>Peter S. Hajas,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-151130</wp:posOffset>
            </wp:positionV>
            <wp:extent cx="2992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Michael R. Lippold,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-144145</wp:posOffset>
            </wp:positionV>
            <wp:extent cx="2992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FRESHREALM, LLC</w:t>
      </w: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11430</wp:posOffset>
            </wp:positionV>
            <wp:extent cx="2992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auto"/>
        </w:rPr>
        <w:t>Name:  Michael R. Lippold</w:t>
      </w:r>
    </w:p>
    <w:p>
      <w:pPr>
        <w:ind w:left="484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A Schedule of Members as of February 27, 2019</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To be 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356870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13.2</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To be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501015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11" w:lineRule="auto"/>
        <w:rPr>
          <w:sz w:val="20"/>
          <w:szCs w:val="20"/>
          <w:color w:val="auto"/>
        </w:rPr>
      </w:pPr>
      <w:r>
        <w:rPr>
          <w:rFonts w:ascii="Times New Roman" w:cs="Times New Roman" w:eastAsia="Times New Roman" w:hAnsi="Times New Roman"/>
          <w:sz w:val="16"/>
          <w:szCs w:val="16"/>
          <w:color w:val="auto"/>
        </w:rPr>
        <w:t>15 U.S.C. § 7241</w:t>
      </w:r>
    </w:p>
    <w:p>
      <w:pPr>
        <w:jc w:val="center"/>
        <w:spacing w:after="0" w:line="211"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194" w:lineRule="exact"/>
        <w:rPr>
          <w:rFonts w:ascii="Times New Roman" w:cs="Times New Roman" w:eastAsia="Times New Roman" w:hAnsi="Times New Roman"/>
          <w:sz w:val="16"/>
          <w:szCs w:val="16"/>
          <w:color w:val="auto"/>
        </w:rPr>
      </w:pPr>
    </w:p>
    <w:p>
      <w:pPr>
        <w:ind w:left="660" w:right="260" w:hanging="657"/>
        <w:spacing w:after="0" w:line="232"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660" w:right="320" w:hanging="657"/>
        <w:spacing w:after="0" w:line="232"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660" w:hanging="657"/>
        <w:spacing w:after="0" w:line="232"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160" w:hanging="649"/>
        <w:spacing w:after="0" w:line="227"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1300" w:right="80" w:hanging="649"/>
        <w:spacing w:after="0" w:line="227"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32"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6"/>
          <w:szCs w:val="16"/>
          <w:color w:val="auto"/>
        </w:rPr>
      </w:pPr>
    </w:p>
    <w:p>
      <w:pPr>
        <w:ind w:left="1300" w:right="120" w:hanging="649"/>
        <w:spacing w:after="0" w:line="232"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6"/>
          <w:szCs w:val="16"/>
          <w:color w:val="auto"/>
        </w:rPr>
      </w:pPr>
    </w:p>
    <w:p>
      <w:pPr>
        <w:ind w:left="660" w:right="560" w:hanging="657"/>
        <w:spacing w:after="0" w:line="245"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00" w:right="360" w:hanging="649"/>
        <w:spacing w:after="0" w:line="232"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45" w:lineRule="auto"/>
        <w:tabs>
          <w:tab w:leader="none" w:pos="13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8"/>
          <w:szCs w:val="18"/>
          <w:color w:val="auto"/>
        </w:rPr>
        <w:t>March 7, 2019</w:t>
      </w:r>
      <w:r>
        <w:rPr>
          <w:sz w:val="20"/>
          <w:szCs w:val="20"/>
          <w:color w:val="auto"/>
        </w:rPr>
        <w:tab/>
      </w:r>
      <w:r>
        <w:rPr>
          <w:rFonts w:ascii="Times New Roman" w:cs="Times New Roman" w:eastAsia="Times New Roman" w:hAnsi="Times New Roman"/>
          <w:sz w:val="16"/>
          <w:szCs w:val="16"/>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8890</wp:posOffset>
            </wp:positionV>
            <wp:extent cx="28727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5" w:lineRule="auto"/>
        <w:rPr>
          <w:sz w:val="20"/>
          <w:szCs w:val="20"/>
          <w:color w:val="auto"/>
        </w:rPr>
      </w:pPr>
      <w:r>
        <w:rPr>
          <w:rFonts w:ascii="Times New Roman" w:cs="Times New Roman" w:eastAsia="Times New Roman" w:hAnsi="Times New Roman"/>
          <w:sz w:val="16"/>
          <w:szCs w:val="16"/>
          <w:color w:val="auto"/>
        </w:rPr>
        <w:t>Lecil E. Cole</w:t>
      </w:r>
    </w:p>
    <w:p>
      <w:pPr>
        <w:ind w:left="4540"/>
        <w:spacing w:after="0" w:line="211" w:lineRule="auto"/>
        <w:rPr>
          <w:sz w:val="20"/>
          <w:szCs w:val="20"/>
          <w:color w:val="auto"/>
        </w:rPr>
      </w:pPr>
      <w:r>
        <w:rPr>
          <w:rFonts w:ascii="Times New Roman" w:cs="Times New Roman" w:eastAsia="Times New Roman" w:hAnsi="Times New Roman"/>
          <w:sz w:val="16"/>
          <w:szCs w:val="16"/>
          <w:color w:val="auto"/>
        </w:rPr>
        <w:t>Chairman of the Board of Directors, President</w:t>
      </w:r>
    </w:p>
    <w:p>
      <w:pPr>
        <w:ind w:left="4540"/>
        <w:spacing w:after="0"/>
        <w:rPr>
          <w:sz w:val="20"/>
          <w:szCs w:val="20"/>
          <w:color w:val="auto"/>
        </w:rPr>
      </w:pPr>
      <w:r>
        <w:rPr>
          <w:rFonts w:ascii="Times New Roman" w:cs="Times New Roman" w:eastAsia="Times New Roman" w:hAnsi="Times New Roman"/>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5" w:right="14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11" w:lineRule="auto"/>
        <w:rPr>
          <w:sz w:val="20"/>
          <w:szCs w:val="20"/>
          <w:color w:val="auto"/>
        </w:rPr>
      </w:pPr>
      <w:r>
        <w:rPr>
          <w:rFonts w:ascii="Times New Roman" w:cs="Times New Roman" w:eastAsia="Times New Roman" w:hAnsi="Times New Roman"/>
          <w:sz w:val="16"/>
          <w:szCs w:val="16"/>
          <w:color w:val="auto"/>
        </w:rPr>
        <w:t>15 U.S.C. § 7241</w:t>
      </w:r>
    </w:p>
    <w:p>
      <w:pPr>
        <w:jc w:val="center"/>
        <w:spacing w:after="0" w:line="211"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194" w:lineRule="exact"/>
        <w:rPr>
          <w:rFonts w:ascii="Times New Roman" w:cs="Times New Roman" w:eastAsia="Times New Roman" w:hAnsi="Times New Roman"/>
          <w:sz w:val="16"/>
          <w:szCs w:val="16"/>
          <w:color w:val="auto"/>
        </w:rPr>
      </w:pPr>
    </w:p>
    <w:p>
      <w:pPr>
        <w:ind w:left="660" w:right="260" w:hanging="657"/>
        <w:spacing w:after="0" w:line="232" w:lineRule="auto"/>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660" w:right="320" w:hanging="657"/>
        <w:spacing w:after="0" w:line="232" w:lineRule="auto"/>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660" w:hanging="657"/>
        <w:spacing w:after="0" w:line="232" w:lineRule="auto"/>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160" w:hanging="649"/>
        <w:spacing w:after="0" w:line="227"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1300" w:right="80" w:hanging="649"/>
        <w:spacing w:after="0" w:line="227"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32"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6"/>
          <w:szCs w:val="16"/>
          <w:color w:val="auto"/>
        </w:rPr>
      </w:pPr>
    </w:p>
    <w:p>
      <w:pPr>
        <w:ind w:left="1300" w:right="120" w:hanging="649"/>
        <w:spacing w:after="0" w:line="232"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6"/>
          <w:szCs w:val="16"/>
          <w:color w:val="auto"/>
        </w:rPr>
      </w:pPr>
    </w:p>
    <w:p>
      <w:pPr>
        <w:ind w:left="660" w:right="560" w:hanging="657"/>
        <w:spacing w:after="0" w:line="245" w:lineRule="auto"/>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00" w:right="360" w:hanging="649"/>
        <w:spacing w:after="0" w:line="232"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45" w:lineRule="auto"/>
        <w:tabs>
          <w:tab w:leader="none" w:pos="13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8"/>
          <w:szCs w:val="18"/>
          <w:color w:val="auto"/>
        </w:rPr>
        <w:t>March 7, 2019</w:t>
      </w:r>
      <w:r>
        <w:rPr>
          <w:sz w:val="20"/>
          <w:szCs w:val="20"/>
          <w:color w:val="auto"/>
        </w:rPr>
        <w:tab/>
      </w:r>
      <w:r>
        <w:rPr>
          <w:rFonts w:ascii="Times New Roman" w:cs="Times New Roman" w:eastAsia="Times New Roman" w:hAnsi="Times New Roman"/>
          <w:sz w:val="16"/>
          <w:szCs w:val="16"/>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8890</wp:posOffset>
            </wp:positionV>
            <wp:extent cx="29159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35" w:lineRule="auto"/>
        <w:rPr>
          <w:sz w:val="20"/>
          <w:szCs w:val="20"/>
          <w:color w:val="auto"/>
        </w:rPr>
      </w:pPr>
      <w:r>
        <w:rPr>
          <w:rFonts w:ascii="Times New Roman" w:cs="Times New Roman" w:eastAsia="Times New Roman" w:hAnsi="Times New Roman"/>
          <w:sz w:val="16"/>
          <w:szCs w:val="16"/>
          <w:color w:val="auto"/>
        </w:rPr>
        <w:t>B. John Lindeman</w:t>
      </w:r>
    </w:p>
    <w:p>
      <w:pPr>
        <w:ind w:left="4480"/>
        <w:spacing w:after="0" w:line="211" w:lineRule="auto"/>
        <w:rPr>
          <w:sz w:val="20"/>
          <w:szCs w:val="20"/>
          <w:color w:val="auto"/>
        </w:rPr>
      </w:pPr>
      <w:r>
        <w:rPr>
          <w:rFonts w:ascii="Times New Roman" w:cs="Times New Roman" w:eastAsia="Times New Roman" w:hAnsi="Times New Roman"/>
          <w:sz w:val="16"/>
          <w:szCs w:val="16"/>
          <w:color w:val="auto"/>
        </w:rPr>
        <w:t>Chief Financial Officer and Corporate Secretary</w:t>
      </w:r>
    </w:p>
    <w:p>
      <w:pPr>
        <w:ind w:left="44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5" w:right="14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jc w:val="cente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24"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January 31, 2019,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2019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Lecil E. Cole</w:t>
      </w:r>
    </w:p>
    <w:p>
      <w:pPr>
        <w:spacing w:after="0" w:line="204" w:lineRule="auto"/>
        <w:rPr>
          <w:sz w:val="20"/>
          <w:szCs w:val="20"/>
          <w:color w:val="auto"/>
        </w:rPr>
      </w:pPr>
      <w:r>
        <w:rPr>
          <w:rFonts w:ascii="Times New Roman" w:cs="Times New Roman" w:eastAsia="Times New Roman" w:hAnsi="Times New Roman"/>
          <w:sz w:val="18"/>
          <w:szCs w:val="18"/>
          <w:color w:val="auto"/>
        </w:rPr>
        <w:t>Chairman of the Board, President and</w:t>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 John Lindeman</w:t>
      </w:r>
    </w:p>
    <w:p>
      <w:pPr>
        <w:spacing w:after="0" w:line="204" w:lineRule="auto"/>
        <w:rPr>
          <w:sz w:val="20"/>
          <w:szCs w:val="20"/>
          <w:color w:val="auto"/>
        </w:rPr>
      </w:pPr>
      <w:r>
        <w:rPr>
          <w:rFonts w:ascii="Times New Roman" w:cs="Times New Roman" w:eastAsia="Times New Roman" w:hAnsi="Times New Roman"/>
          <w:sz w:val="18"/>
          <w:szCs w:val="18"/>
          <w:color w:val="auto"/>
        </w:rPr>
        <w:t>Chief Financial Officer and</w:t>
      </w: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570865</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6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7"/>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01"/>
    </w:lvl>
  </w:abstractNum>
  <w:abstractNum w:abstractNumId="6">
    <w:nsid w:val="7724C67E"/>
    <w:multiLevelType w:val="hybridMultilevel"/>
    <w:lvl w:ilvl="0">
      <w:lvlJc w:val="left"/>
      <w:lvlText w:val="%1"/>
      <w:numFmt w:val="decimal"/>
      <w:start w:val="10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2"/>
    </w:lvl>
  </w:abstractNum>
  <w:abstractNum w:abstractNumId="9">
    <w:nsid w:val="5E884ADC"/>
    <w:multiLevelType w:val="hybridMultilevel"/>
    <w:lvl w:ilvl="0">
      <w:lvlJc w:val="left"/>
      <w:lvlText w:val="%1."/>
      <w:numFmt w:val="decimal"/>
      <w:start w:val="3"/>
    </w:lvl>
  </w:abstractNum>
  <w:abstractNum w:abstractNumId="10">
    <w:nsid w:val="51EAD36B"/>
    <w:multiLevelType w:val="hybridMultilevel"/>
    <w:lvl w:ilvl="0">
      <w:lvlJc w:val="left"/>
      <w:lvlText w:val="(%1)"/>
      <w:numFmt w:val="upperLetter"/>
      <w:start w:val="2"/>
    </w:lvl>
  </w:abstractNum>
  <w:abstractNum w:abstractNumId="11">
    <w:nsid w:val="2D517796"/>
    <w:multiLevelType w:val="hybridMultilevel"/>
    <w:lvl w:ilvl="0">
      <w:lvlJc w:val="left"/>
      <w:lvlText w:val="%1."/>
      <w:numFmt w:val="decimal"/>
      <w:start w:val="1"/>
    </w:lvl>
    <w:lvl w:ilvl="1">
      <w:lvlJc w:val="left"/>
      <w:lvlText w:val="(%2)"/>
      <w:numFmt w:val="lowerLetter"/>
      <w:start w:val="1"/>
    </w:lvl>
  </w:abstractNum>
  <w:abstractNum w:abstractNumId="12">
    <w:nsid w:val="580BD78F"/>
    <w:multiLevelType w:val="hybridMultilevel"/>
    <w:lvl w:ilvl="0">
      <w:lvlJc w:val="left"/>
      <w:lvlText w:val="(%1)"/>
      <w:numFmt w:val="lowerLetter"/>
      <w:start w:val="2"/>
    </w:lvl>
  </w:abstractNum>
  <w:abstractNum w:abstractNumId="13">
    <w:nsid w:val="153EA438"/>
    <w:multiLevelType w:val="hybridMultilevel"/>
    <w:lvl w:ilvl="0">
      <w:lvlJc w:val="left"/>
      <w:lvlText w:val="%1"/>
      <w:numFmt w:val="lowerLetter"/>
      <w:start w:val="1"/>
    </w:lvl>
    <w:lvl w:ilvl="1">
      <w:lvlJc w:val="left"/>
      <w:lvlText w:val="(%2)"/>
      <w:numFmt w:val="decimal"/>
      <w:start w:val="4"/>
    </w:lvl>
  </w:abstractNum>
  <w:abstractNum w:abstractNumId="14">
    <w:nsid w:val="3855585C"/>
    <w:multiLevelType w:val="hybridMultilevel"/>
    <w:lvl w:ilvl="0">
      <w:lvlJc w:val="left"/>
      <w:lvlText w:val="(%1)"/>
      <w:numFmt w:val="lowerLetter"/>
      <w:start w:val="3"/>
    </w:lvl>
    <w:lvl w:ilvl="1">
      <w:lvlJc w:val="left"/>
      <w:lvlText w:val="%2"/>
      <w:numFmt w:val="decimal"/>
      <w:start w:val="1"/>
    </w:lvl>
  </w:abstractNum>
  <w:abstractNum w:abstractNumId="15">
    <w:nsid w:val="70A64E2A"/>
    <w:multiLevelType w:val="hybridMultilevel"/>
    <w:lvl w:ilvl="0">
      <w:lvlJc w:val="left"/>
      <w:lvlText w:val="(%1)"/>
      <w:numFmt w:val="lowerLetter"/>
      <w:start w:val="4"/>
    </w:lvl>
  </w:abstractNum>
  <w:abstractNum w:abstractNumId="16">
    <w:nsid w:val="6A2342EC"/>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2"/>
    </w:lvl>
  </w:abstractNum>
  <w:abstractNum w:abstractNumId="17">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8">
    <w:nsid w:val="1D4ED43B"/>
    <w:multiLevelType w:val="hybridMultilevel"/>
    <w:lvl w:ilvl="0">
      <w:lvlJc w:val="left"/>
      <w:lvlText w:val="(%1)"/>
      <w:numFmt w:val="lowerRoman"/>
      <w:start w:val="2"/>
    </w:lvl>
  </w:abstractNum>
  <w:abstractNum w:abstractNumId="19">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
    </w:lvl>
  </w:abstractNum>
  <w:abstractNum w:abstractNumId="20">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Letter"/>
      <w:start w:val="10"/>
    </w:lvl>
  </w:abstractNum>
  <w:abstractNum w:abstractNumId="21">
    <w:nsid w:val="57E4CCA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2">
    <w:nsid w:val="7A6D8D3C"/>
    <w:multiLevelType w:val="hybridMultilevel"/>
    <w:lvl w:ilvl="0">
      <w:lvlJc w:val="left"/>
      <w:lvlText w:val="%1"/>
      <w:numFmt w:val="decimal"/>
      <w:start w:val="1"/>
    </w:lvl>
    <w:lvl w:ilvl="1">
      <w:lvlJc w:val="left"/>
      <w:lvlText w:val="(%2)"/>
      <w:numFmt w:val="lowerLetter"/>
      <w:start w:val="4"/>
    </w:lvl>
  </w:abstractNum>
  <w:abstractNum w:abstractNumId="23">
    <w:nsid w:val="4B588F54"/>
    <w:multiLevelType w:val="hybridMultilevel"/>
    <w:lvl w:ilvl="0">
      <w:lvlJc w:val="left"/>
      <w:lvlText w:val="%1."/>
      <w:numFmt w:val="decimal"/>
      <w:start w:val="4"/>
    </w:lvl>
    <w:lvl w:ilvl="1">
      <w:lvlJc w:val="left"/>
      <w:lvlText w:val="%2"/>
      <w:numFmt w:val="lowerLetter"/>
      <w:start w:val="1"/>
    </w:lvl>
  </w:abstractNum>
  <w:abstractNum w:abstractNumId="24">
    <w:nsid w:val="542289EC"/>
    <w:multiLevelType w:val="hybridMultilevel"/>
    <w:lvl w:ilvl="0">
      <w:lvlJc w:val="left"/>
      <w:lvlText w:val="(%1)"/>
      <w:numFmt w:val="lowerRoman"/>
      <w:start w:val="1"/>
    </w:lvl>
  </w:abstractNum>
  <w:abstractNum w:abstractNumId="25">
    <w:nsid w:val="6DE91B18"/>
    <w:multiLevelType w:val="hybridMultilevel"/>
    <w:lvl w:ilvl="0">
      <w:lvlJc w:val="left"/>
      <w:lvlText w:val="%1"/>
      <w:numFmt w:val="upperLetter"/>
      <w:start w:val="1"/>
    </w:lvl>
    <w:lvl w:ilvl="1">
      <w:lvlJc w:val="left"/>
      <w:lvlText w:val="(%2)"/>
      <w:numFmt w:val="lowerRoman"/>
      <w:start w:val="3"/>
    </w:lvl>
  </w:abstractNum>
  <w:abstractNum w:abstractNumId="26">
    <w:nsid w:val="38437FDB"/>
    <w:multiLevelType w:val="hybridMultilevel"/>
    <w:lvl w:ilvl="0">
      <w:lvlJc w:val="left"/>
      <w:lvlText w:val="(%1)"/>
      <w:numFmt w:val="upperLetter"/>
      <w:start w:val="3"/>
    </w:lvl>
    <w:lvl w:ilvl="1">
      <w:lvlJc w:val="left"/>
      <w:lvlText w:val="%2"/>
      <w:numFmt w:val="lowerRoman"/>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3"/>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2"/>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Roman"/>
      <w:start w:val="1"/>
    </w:lvl>
  </w:abstractNum>
  <w:abstractNum w:abstractNumId="35">
    <w:nsid w:val="75C6C33A"/>
    <w:multiLevelType w:val="hybridMultilevel"/>
    <w:lvl w:ilvl="0">
      <w:lvlJc w:val="left"/>
      <w:lvlText w:val="(%1)"/>
      <w:numFmt w:val="lowerLetter"/>
      <w:start w:val="2"/>
    </w:lvl>
    <w:lvl w:ilvl="1">
      <w:lvlJc w:val="left"/>
      <w:lvlText w:val="(%2)"/>
      <w:numFmt w:val="lowerRoman"/>
      <w:start w:val="1"/>
    </w:lvl>
  </w:abstractNum>
  <w:abstractNum w:abstractNumId="36">
    <w:nsid w:val="12E685FB"/>
    <w:multiLevelType w:val="hybridMultilevel"/>
    <w:lvl w:ilvl="0">
      <w:lvlJc w:val="left"/>
      <w:lvlText w:val="(%1)"/>
      <w:numFmt w:val="lowerLetter"/>
      <w:start w:val="4"/>
    </w:lvl>
  </w:abstractNum>
  <w:abstractNum w:abstractNumId="37">
    <w:nsid w:val="70C6A529"/>
    <w:multiLevelType w:val="hybridMultilevel"/>
    <w:lvl w:ilvl="0">
      <w:lvlJc w:val="left"/>
      <w:lvlText w:val="(%1)"/>
      <w:numFmt w:val="lowerLetter"/>
      <w:start w:val="5"/>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3"/>
    </w:lvl>
    <w:lvl w:ilvl="1">
      <w:lvlJc w:val="left"/>
      <w:lvlText w:val="(%2)"/>
      <w:numFmt w:val="lowerRoman"/>
      <w:start w:val="1"/>
    </w:lvl>
  </w:abstractNum>
  <w:abstractNum w:abstractNumId="40">
    <w:nsid w:val="4F4EF005"/>
    <w:multiLevelType w:val="hybridMultilevel"/>
    <w:lvl w:ilvl="0">
      <w:lvlJc w:val="left"/>
      <w:lvlText w:val="(%1)"/>
      <w:numFmt w:val="lowerLetter"/>
      <w:start w:val="6"/>
    </w:lvl>
    <w:lvl w:ilvl="1">
      <w:lvlJc w:val="left"/>
      <w:lvlText w:val="(%2)"/>
      <w:numFmt w:val="lowerRoman"/>
      <w:start w:val="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3"/>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4"/>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2"/>
    </w:lvl>
    <w:lvl w:ilvl="1">
      <w:lvlJc w:val="left"/>
      <w:lvlText w:val="(%2)"/>
      <w:numFmt w:val="lowerRoman"/>
      <w:start w:val="1"/>
    </w:lvl>
  </w:abstractNum>
  <w:abstractNum w:abstractNumId="47">
    <w:nsid w:val="235BA861"/>
    <w:multiLevelType w:val="hybridMultilevel"/>
    <w:lvl w:ilvl="0">
      <w:lvlJc w:val="left"/>
      <w:lvlText w:val="(%1)"/>
      <w:numFmt w:val="lowerRoman"/>
      <w:start w:val="7"/>
    </w:lvl>
  </w:abstractNum>
  <w:abstractNum w:abstractNumId="48">
    <w:nsid w:val="47398C89"/>
    <w:multiLevelType w:val="hybridMultilevel"/>
    <w:lvl w:ilvl="0">
      <w:lvlJc w:val="left"/>
      <w:lvlText w:val="%1"/>
      <w:numFmt w:val="lowerLetter"/>
      <w:start w:val="1"/>
    </w:lvl>
    <w:lvl w:ilvl="1">
      <w:lvlJc w:val="left"/>
      <w:lvlText w:val="(%2)"/>
      <w:numFmt w:val="lowerLetter"/>
      <w:start w:val="1"/>
    </w:lvl>
  </w:abstractNum>
  <w:abstractNum w:abstractNumId="49">
    <w:nsid w:val="354FE9F9"/>
    <w:multiLevelType w:val="hybridMultilevel"/>
    <w:lvl w:ilvl="0">
      <w:lvlJc w:val="left"/>
      <w:lvlText w:val="(%1)"/>
      <w:numFmt w:val="lowerLetter"/>
      <w:start w:val="35"/>
    </w:lvl>
    <w:lvl w:ilvl="1">
      <w:lvlJc w:val="left"/>
      <w:lvlText w:val="(%2)"/>
      <w:numFmt w:val="lowerLetter"/>
      <w:start w:val="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2">
    <w:nsid w:val="D34B6A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53">
    <w:nsid w:val="10233C9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4">
    <w:nsid w:val="3F6AB60F"/>
    <w:multiLevelType w:val="hybridMultilevel"/>
    <w:lvl w:ilvl="0">
      <w:lvlJc w:val="left"/>
      <w:lvlText w:val="%1"/>
      <w:numFmt w:val="lowerLetter"/>
      <w:start w:val="1"/>
    </w:lvl>
    <w:lvl w:ilvl="1">
      <w:lvlJc w:val="left"/>
      <w:lvlText w:val="(%2)"/>
      <w:numFmt w:val="lowerRoman"/>
      <w:start w:val="2"/>
    </w:lvl>
  </w:abstractNum>
  <w:abstractNum w:abstractNumId="55">
    <w:nsid w:val="61574095"/>
    <w:multiLevelType w:val="hybridMultilevel"/>
    <w:lvl w:ilvl="0">
      <w:lvlJc w:val="left"/>
      <w:lvlText w:val="(%1)"/>
      <w:numFmt w:val="lowerLetter"/>
      <w:start w:val="5"/>
    </w:lvl>
    <w:lvl w:ilvl="1">
      <w:lvlJc w:val="left"/>
      <w:lvlText w:val="(%2)"/>
      <w:numFmt w:val="lowerRoman"/>
      <w:start w:val="1"/>
    </w:lvl>
  </w:abstractNum>
  <w:abstractNum w:abstractNumId="56">
    <w:nsid w:val="7E0C57B1"/>
    <w:multiLevelType w:val="hybridMultilevel"/>
    <w:lvl w:ilvl="0">
      <w:lvlJc w:val="left"/>
      <w:lvlText w:val="%1"/>
      <w:numFmt w:val="lowerLetter"/>
      <w:start w:val="1"/>
    </w:lvl>
    <w:lvl w:ilvl="1">
      <w:lvlJc w:val="left"/>
      <w:lvlText w:val="(%2)"/>
      <w:numFmt w:val="lowerLetter"/>
      <w:start w:val="61"/>
    </w:lvl>
  </w:abstractNum>
  <w:abstractNum w:abstractNumId="57">
    <w:nsid w:val="77AE35EB"/>
    <w:multiLevelType w:val="hybridMultilevel"/>
    <w:lvl w:ilvl="0">
      <w:lvlJc w:val="left"/>
      <w:lvlText w:val="(%1)"/>
      <w:numFmt w:val="lowerLetter"/>
      <w:start w:val="6"/>
    </w:lvl>
    <w:lvl w:ilvl="1">
      <w:lvlJc w:val="left"/>
      <w:lvlText w:val="%2"/>
      <w:numFmt w:val="lowerLetter"/>
      <w:start w:val="1"/>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5"/>
    </w:lvl>
  </w:abstractNum>
  <w:abstractNum w:abstractNumId="60">
    <w:nsid w:val="5FF87E05"/>
    <w:multiLevelType w:val="hybridMultilevel"/>
    <w:lvl w:ilvl="0">
      <w:lvlJc w:val="left"/>
      <w:lvlText w:val="(%1)"/>
      <w:numFmt w:val="lowerLetter"/>
      <w:start w:val="7"/>
    </w:lvl>
  </w:abstractNum>
  <w:abstractNum w:abstractNumId="61">
    <w:nsid w:val="2F305DEF"/>
    <w:multiLevelType w:val="hybridMultilevel"/>
    <w:lvl w:ilvl="0">
      <w:lvlJc w:val="left"/>
      <w:lvlText w:val="(%1)"/>
      <w:numFmt w:val="lowerLetter"/>
      <w:start w:val="8"/>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2020-01-09T15:41:41Z</dcterms:created>
  <dcterms:modified xsi:type="dcterms:W3CDTF">2020-01-09T15:41:41Z</dcterms:modified>
</cp:coreProperties>
</file>