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20, 2022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92075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168275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December 20, 2022, Calavo Growers, Inc. (Calavo) issued a press release containing our financial results for the three- and twelve-month periods ended October 31, 2022. A copy of our press release is attached hereto as Exhibit 99.1 and is incorporated by reference herein.</w:t>
      </w:r>
    </w:p>
    <w:p>
      <w:pPr>
        <w:spacing w:after="0" w:line="184"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December 20, 2022 of the Registrant.</w:t>
      </w:r>
    </w:p>
    <w:p>
      <w:pPr>
        <w:spacing w:after="0" w:line="23" w:lineRule="exact"/>
        <w:rPr>
          <w:sz w:val="20"/>
          <w:szCs w:val="20"/>
          <w:color w:val="auto"/>
        </w:rPr>
      </w:pPr>
    </w:p>
    <w:p>
      <w:pPr>
        <w:ind w:left="580" w:hanging="52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20, 2022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Brian Kocher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President and Chief Executive Officer (Principal Executive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274320</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 Announces Fourth Quarter and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2022 Financial Results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Delivered fourth quarter and full year earnings improvement, led by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Prepared segment recovery</w:t>
      </w:r>
    </w:p>
    <w:p>
      <w:pPr>
        <w:spacing w:after="0" w:line="231" w:lineRule="exact"/>
        <w:rPr>
          <w:sz w:val="20"/>
          <w:szCs w:val="20"/>
          <w:color w:val="auto"/>
        </w:rPr>
      </w:pPr>
    </w:p>
    <w:p>
      <w:pPr>
        <w:jc w:val="both"/>
        <w:ind w:left="60" w:right="459"/>
        <w:spacing w:after="0" w:line="270" w:lineRule="auto"/>
        <w:rPr>
          <w:sz w:val="20"/>
          <w:szCs w:val="20"/>
          <w:color w:val="auto"/>
        </w:rPr>
      </w:pPr>
      <w:r>
        <w:rPr>
          <w:rFonts w:ascii="Arial" w:cs="Arial" w:eastAsia="Arial" w:hAnsi="Arial"/>
          <w:sz w:val="22"/>
          <w:szCs w:val="22"/>
          <w:b w:val="1"/>
          <w:bCs w:val="1"/>
          <w:color w:val="auto"/>
        </w:rPr>
        <w:t xml:space="preserve">SANTA PAULA, Calif., Dec. 20, 2022—Calavo Growers, Inc. (Nasdaq-GS: CVGW),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color w:val="auto"/>
        </w:rPr>
        <w:t>global avocado-industry leader and provider of convenient, ready-to-eat fresh food, today reported its financial results for the fiscal fourth quarter and fiscal year ended October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Fourth Quarter Financial Overview</w:t>
      </w:r>
    </w:p>
    <w:p>
      <w:pPr>
        <w:spacing w:after="0" w:line="57" w:lineRule="exact"/>
        <w:rPr>
          <w:sz w:val="20"/>
          <w:szCs w:val="20"/>
          <w:color w:val="auto"/>
        </w:rPr>
      </w:pPr>
    </w:p>
    <w:p>
      <w:pPr>
        <w:ind w:left="700" w:hanging="326"/>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revenue of $243.6 million, an 11% decline from prior year</w:t>
      </w:r>
    </w:p>
    <w:p>
      <w:pPr>
        <w:spacing w:after="0" w:line="4" w:lineRule="exact"/>
        <w:rPr>
          <w:sz w:val="20"/>
          <w:szCs w:val="20"/>
          <w:color w:val="auto"/>
        </w:rPr>
      </w:pPr>
    </w:p>
    <w:p>
      <w:pPr>
        <w:ind w:left="1340" w:hanging="318"/>
        <w:spacing w:after="0"/>
        <w:tabs>
          <w:tab w:leader="none" w:pos="1340" w:val="left"/>
        </w:tabs>
        <w:numPr>
          <w:ilvl w:val="1"/>
          <w:numId w:val="4"/>
        </w:numPr>
        <w:rPr>
          <w:rFonts w:ascii="Courier New" w:cs="Courier New" w:eastAsia="Courier New" w:hAnsi="Courier New"/>
          <w:sz w:val="22"/>
          <w:szCs w:val="22"/>
          <w:color w:val="auto"/>
        </w:rPr>
      </w:pPr>
      <w:r>
        <w:rPr>
          <w:rFonts w:ascii="Arial" w:cs="Arial" w:eastAsia="Arial" w:hAnsi="Arial"/>
          <w:sz w:val="22"/>
          <w:szCs w:val="22"/>
          <w:color w:val="auto"/>
        </w:rPr>
        <w:t>Grown segment revenue declined 20% year-over-year to $119.1 million</w:t>
      </w:r>
    </w:p>
    <w:p>
      <w:pPr>
        <w:ind w:left="1340" w:hanging="318"/>
        <w:spacing w:after="0" w:line="237" w:lineRule="auto"/>
        <w:tabs>
          <w:tab w:leader="none" w:pos="1340" w:val="left"/>
        </w:tabs>
        <w:numPr>
          <w:ilvl w:val="1"/>
          <w:numId w:val="4"/>
        </w:numPr>
        <w:rPr>
          <w:rFonts w:ascii="Courier New" w:cs="Courier New" w:eastAsia="Courier New" w:hAnsi="Courier New"/>
          <w:sz w:val="22"/>
          <w:szCs w:val="22"/>
          <w:color w:val="auto"/>
        </w:rPr>
      </w:pPr>
      <w:r>
        <w:rPr>
          <w:rFonts w:ascii="Arial" w:cs="Arial" w:eastAsia="Arial" w:hAnsi="Arial"/>
          <w:sz w:val="22"/>
          <w:szCs w:val="22"/>
          <w:color w:val="auto"/>
        </w:rPr>
        <w:t>Prepared segment revenue increased 0.6% year-over-year to $125.0 million</w:t>
      </w:r>
    </w:p>
    <w:p>
      <w:pPr>
        <w:spacing w:after="0" w:line="11" w:lineRule="exact"/>
        <w:rPr>
          <w:rFonts w:ascii="Courier New" w:cs="Courier New" w:eastAsia="Courier New" w:hAnsi="Courier New"/>
          <w:sz w:val="22"/>
          <w:szCs w:val="22"/>
          <w:color w:val="auto"/>
        </w:rPr>
      </w:pPr>
    </w:p>
    <w:p>
      <w:pPr>
        <w:ind w:left="700" w:hanging="326"/>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Gross profit of $20.4 million compared to $9.1 million for the year-ago quarter</w:t>
      </w:r>
    </w:p>
    <w:p>
      <w:pPr>
        <w:spacing w:after="0" w:line="17" w:lineRule="exact"/>
        <w:rPr>
          <w:rFonts w:ascii="Arial" w:cs="Arial" w:eastAsia="Arial" w:hAnsi="Arial"/>
          <w:sz w:val="22"/>
          <w:szCs w:val="22"/>
          <w:color w:val="auto"/>
        </w:rPr>
      </w:pPr>
    </w:p>
    <w:p>
      <w:pPr>
        <w:ind w:left="1340" w:right="679" w:hanging="318"/>
        <w:spacing w:after="0" w:line="243" w:lineRule="auto"/>
        <w:tabs>
          <w:tab w:leader="none" w:pos="1340" w:val="left"/>
        </w:tabs>
        <w:numPr>
          <w:ilvl w:val="1"/>
          <w:numId w:val="4"/>
        </w:numPr>
        <w:rPr>
          <w:rFonts w:ascii="Courier New" w:cs="Courier New" w:eastAsia="Courier New" w:hAnsi="Courier New"/>
          <w:sz w:val="22"/>
          <w:szCs w:val="22"/>
          <w:color w:val="auto"/>
        </w:rPr>
      </w:pPr>
      <w:r>
        <w:rPr>
          <w:rFonts w:ascii="Arial" w:cs="Arial" w:eastAsia="Arial" w:hAnsi="Arial"/>
          <w:sz w:val="22"/>
          <w:szCs w:val="22"/>
          <w:color w:val="auto"/>
        </w:rPr>
        <w:t>Grown segment gross profit increased $1.1 million from prior year to $8.6 million</w:t>
      </w:r>
    </w:p>
    <w:p>
      <w:pPr>
        <w:spacing w:after="0" w:line="21" w:lineRule="exact"/>
        <w:rPr>
          <w:rFonts w:ascii="Courier New" w:cs="Courier New" w:eastAsia="Courier New" w:hAnsi="Courier New"/>
          <w:sz w:val="22"/>
          <w:szCs w:val="22"/>
          <w:color w:val="auto"/>
        </w:rPr>
      </w:pPr>
    </w:p>
    <w:p>
      <w:pPr>
        <w:ind w:left="1340" w:right="199" w:hanging="318"/>
        <w:spacing w:after="0" w:line="243" w:lineRule="auto"/>
        <w:tabs>
          <w:tab w:leader="none" w:pos="1340" w:val="left"/>
        </w:tabs>
        <w:numPr>
          <w:ilvl w:val="1"/>
          <w:numId w:val="4"/>
        </w:numPr>
        <w:rPr>
          <w:rFonts w:ascii="Courier New" w:cs="Courier New" w:eastAsia="Courier New" w:hAnsi="Courier New"/>
          <w:sz w:val="22"/>
          <w:szCs w:val="22"/>
          <w:color w:val="auto"/>
        </w:rPr>
      </w:pPr>
      <w:r>
        <w:rPr>
          <w:rFonts w:ascii="Arial" w:cs="Arial" w:eastAsia="Arial" w:hAnsi="Arial"/>
          <w:sz w:val="22"/>
          <w:szCs w:val="22"/>
          <w:color w:val="auto"/>
        </w:rPr>
        <w:t>Prepared segment gross profit increased $10.1 million from prior year to $11.8 million</w:t>
      </w:r>
    </w:p>
    <w:p>
      <w:pPr>
        <w:spacing w:after="0" w:line="21" w:lineRule="exact"/>
        <w:rPr>
          <w:rFonts w:ascii="Courier New" w:cs="Courier New" w:eastAsia="Courier New" w:hAnsi="Courier New"/>
          <w:sz w:val="22"/>
          <w:szCs w:val="22"/>
          <w:color w:val="auto"/>
        </w:rPr>
      </w:pPr>
    </w:p>
    <w:p>
      <w:pPr>
        <w:ind w:left="700" w:right="179" w:hanging="326"/>
        <w:spacing w:after="0" w:line="255" w:lineRule="auto"/>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Net loss of $(3.3) million, or $(0.19) per diluted share, compared to net loss of $(13.0) million, or $(0.73) per diluted share, for the same period last year</w:t>
      </w:r>
    </w:p>
    <w:p>
      <w:pPr>
        <w:spacing w:after="0" w:line="15" w:lineRule="exact"/>
        <w:rPr>
          <w:rFonts w:ascii="Arial" w:cs="Arial" w:eastAsia="Arial" w:hAnsi="Arial"/>
          <w:sz w:val="22"/>
          <w:szCs w:val="22"/>
          <w:color w:val="auto"/>
        </w:rPr>
      </w:pPr>
    </w:p>
    <w:p>
      <w:pPr>
        <w:ind w:left="700" w:right="199" w:hanging="326"/>
        <w:spacing w:after="0" w:line="267" w:lineRule="auto"/>
        <w:tabs>
          <w:tab w:leader="none" w:pos="700" w:val="left"/>
        </w:tabs>
        <w:numPr>
          <w:ilvl w:val="0"/>
          <w:numId w:val="4"/>
        </w:numPr>
        <w:rPr>
          <w:rFonts w:ascii="Arial" w:cs="Arial" w:eastAsia="Arial" w:hAnsi="Arial"/>
          <w:sz w:val="21"/>
          <w:szCs w:val="21"/>
          <w:color w:val="auto"/>
        </w:rPr>
      </w:pPr>
      <w:r>
        <w:rPr>
          <w:rFonts w:ascii="Arial" w:cs="Arial" w:eastAsia="Arial" w:hAnsi="Arial"/>
          <w:sz w:val="21"/>
          <w:szCs w:val="21"/>
          <w:color w:val="auto"/>
        </w:rPr>
        <w:t>Adjusted net income of $0.6 million, or $0.03 per diluted share, compared to adjusted net loss of $(1.4) million, or $(0.08) per diluted share for the year-ago quarter</w:t>
      </w:r>
    </w:p>
    <w:p>
      <w:pPr>
        <w:spacing w:after="0" w:line="16" w:lineRule="exact"/>
        <w:rPr>
          <w:rFonts w:ascii="Arial" w:cs="Arial" w:eastAsia="Arial" w:hAnsi="Arial"/>
          <w:sz w:val="21"/>
          <w:szCs w:val="21"/>
          <w:color w:val="auto"/>
        </w:rPr>
      </w:pPr>
    </w:p>
    <w:p>
      <w:pPr>
        <w:ind w:left="700" w:right="199" w:hanging="326"/>
        <w:spacing w:after="0" w:line="262" w:lineRule="auto"/>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Adjusted EBITDA of $9.6 million, or $0.55 per diluted share compared to $1.4 million, or $0.08 per diluted share for the same period last year</w:t>
      </w:r>
    </w:p>
    <w:p>
      <w:pPr>
        <w:spacing w:after="0" w:line="195" w:lineRule="exact"/>
        <w:rPr>
          <w:sz w:val="20"/>
          <w:szCs w:val="20"/>
          <w:color w:val="auto"/>
        </w:rPr>
      </w:pPr>
    </w:p>
    <w:p>
      <w:pPr>
        <w:ind w:left="60" w:right="459"/>
        <w:spacing w:after="0" w:line="283" w:lineRule="auto"/>
        <w:rPr>
          <w:sz w:val="20"/>
          <w:szCs w:val="20"/>
          <w:color w:val="auto"/>
        </w:rPr>
      </w:pPr>
      <w:r>
        <w:rPr>
          <w:rFonts w:ascii="Arial" w:cs="Arial" w:eastAsia="Arial" w:hAnsi="Arial"/>
          <w:sz w:val="22"/>
          <w:szCs w:val="22"/>
          <w:i w:val="1"/>
          <w:iCs w:val="1"/>
          <w:color w:val="auto"/>
        </w:rPr>
        <w:t>Adjusted net income (loss) and adjusted EBITDA are non-GAAP financial measures. See “Non-GAAP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633730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Fiscal Year 2022 Financial Overview</w:t>
      </w:r>
    </w:p>
    <w:p>
      <w:pPr>
        <w:spacing w:after="0" w:line="57" w:lineRule="exact"/>
        <w:rPr>
          <w:sz w:val="20"/>
          <w:szCs w:val="20"/>
          <w:color w:val="auto"/>
        </w:rPr>
      </w:pPr>
    </w:p>
    <w:p>
      <w:pPr>
        <w:ind w:left="1020" w:hanging="646"/>
        <w:spacing w:after="0"/>
        <w:tabs>
          <w:tab w:leader="none" w:pos="1020"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Total revenue of $1.2 billion, compared to $1.1 billion for fiscal year 2021</w:t>
      </w:r>
    </w:p>
    <w:p>
      <w:pPr>
        <w:spacing w:after="0" w:line="17" w:lineRule="exact"/>
        <w:rPr>
          <w:rFonts w:ascii="Arial" w:cs="Arial" w:eastAsia="Arial" w:hAnsi="Arial"/>
          <w:sz w:val="22"/>
          <w:szCs w:val="22"/>
          <w:b w:val="1"/>
          <w:bCs w:val="1"/>
          <w:color w:val="auto"/>
        </w:rPr>
      </w:pPr>
    </w:p>
    <w:p>
      <w:pPr>
        <w:ind w:left="1020" w:hanging="646"/>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Gross profit of $73.8 million compared to $57.4 million for fiscal year 2021</w:t>
      </w:r>
    </w:p>
    <w:p>
      <w:pPr>
        <w:spacing w:after="0" w:line="17" w:lineRule="exact"/>
        <w:rPr>
          <w:rFonts w:ascii="Arial" w:cs="Arial" w:eastAsia="Arial" w:hAnsi="Arial"/>
          <w:sz w:val="22"/>
          <w:szCs w:val="22"/>
          <w:color w:val="auto"/>
        </w:rPr>
      </w:pPr>
    </w:p>
    <w:p>
      <w:pPr>
        <w:ind w:left="1020" w:right="359" w:hanging="646"/>
        <w:spacing w:after="0" w:line="262"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Net loss of $(6.2) million, or $(0.35) per share, compared to a net loss of $(11.8) million, or $(0.67) per share for fiscal year 2021</w:t>
      </w:r>
    </w:p>
    <w:p>
      <w:pPr>
        <w:spacing w:after="0" w:line="1" w:lineRule="exact"/>
        <w:rPr>
          <w:rFonts w:ascii="Arial" w:cs="Arial" w:eastAsia="Arial" w:hAnsi="Arial"/>
          <w:sz w:val="22"/>
          <w:szCs w:val="22"/>
          <w:color w:val="auto"/>
        </w:rPr>
      </w:pPr>
    </w:p>
    <w:p>
      <w:pPr>
        <w:ind w:left="1020" w:right="199" w:hanging="646"/>
        <w:spacing w:after="0" w:line="262"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Adjusted net income of $8.9 million, or $0.50 per share, compared to adjusted net income of $6.2 million, or $0.35 per diluted share for fiscal year 2021</w:t>
      </w:r>
    </w:p>
    <w:p>
      <w:pPr>
        <w:spacing w:after="0" w:line="1" w:lineRule="exact"/>
        <w:rPr>
          <w:rFonts w:ascii="Arial" w:cs="Arial" w:eastAsia="Arial" w:hAnsi="Arial"/>
          <w:sz w:val="22"/>
          <w:szCs w:val="22"/>
          <w:color w:val="auto"/>
        </w:rPr>
      </w:pPr>
    </w:p>
    <w:p>
      <w:pPr>
        <w:ind w:left="1020" w:hanging="646"/>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Adjusted EBITDA of $35.1 million, compared to $26.8 million for fiscal year 2021</w:t>
      </w:r>
    </w:p>
    <w:p>
      <w:pPr>
        <w:spacing w:after="0" w:line="17" w:lineRule="exact"/>
        <w:rPr>
          <w:rFonts w:ascii="Arial" w:cs="Arial" w:eastAsia="Arial" w:hAnsi="Arial"/>
          <w:sz w:val="22"/>
          <w:szCs w:val="22"/>
          <w:color w:val="auto"/>
        </w:rPr>
      </w:pPr>
    </w:p>
    <w:p>
      <w:pPr>
        <w:ind w:left="1020" w:hanging="646"/>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Reduced net debt by approximately $38 million</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Fourth Quarter and Fiscal Year Highlights</w:t>
      </w:r>
    </w:p>
    <w:p>
      <w:pPr>
        <w:spacing w:after="0" w:line="57" w:lineRule="exact"/>
        <w:rPr>
          <w:sz w:val="20"/>
          <w:szCs w:val="20"/>
          <w:color w:val="auto"/>
        </w:rPr>
      </w:pPr>
    </w:p>
    <w:p>
      <w:pPr>
        <w:ind w:left="1020" w:right="1099" w:hanging="646"/>
        <w:spacing w:after="0" w:line="262" w:lineRule="auto"/>
        <w:tabs>
          <w:tab w:leader="none" w:pos="1020"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Established new executive leadership team and better aligned corporate compensation programs to company performance</w:t>
      </w:r>
    </w:p>
    <w:p>
      <w:pPr>
        <w:spacing w:after="0" w:line="1" w:lineRule="exact"/>
        <w:rPr>
          <w:rFonts w:ascii="Arial" w:cs="Arial" w:eastAsia="Arial" w:hAnsi="Arial"/>
          <w:sz w:val="22"/>
          <w:szCs w:val="22"/>
          <w:b w:val="1"/>
          <w:bCs w:val="1"/>
          <w:color w:val="auto"/>
        </w:rPr>
      </w:pPr>
    </w:p>
    <w:p>
      <w:pPr>
        <w:ind w:left="1020" w:hanging="646"/>
        <w:spacing w:after="0"/>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Achieved significant performance improvement in Prepared segment</w:t>
      </w:r>
    </w:p>
    <w:p>
      <w:pPr>
        <w:spacing w:after="0" w:line="17" w:lineRule="exact"/>
        <w:rPr>
          <w:rFonts w:ascii="Arial" w:cs="Arial" w:eastAsia="Arial" w:hAnsi="Arial"/>
          <w:sz w:val="22"/>
          <w:szCs w:val="22"/>
          <w:color w:val="auto"/>
        </w:rPr>
      </w:pPr>
    </w:p>
    <w:p>
      <w:pPr>
        <w:ind w:left="1020" w:hanging="646"/>
        <w:spacing w:after="0"/>
        <w:tabs>
          <w:tab w:leader="none" w:pos="1020" w:val="left"/>
        </w:tabs>
        <w:numPr>
          <w:ilvl w:val="0"/>
          <w:numId w:val="6"/>
        </w:numPr>
        <w:rPr>
          <w:rFonts w:ascii="Arial" w:cs="Arial" w:eastAsia="Arial" w:hAnsi="Arial"/>
          <w:sz w:val="21"/>
          <w:szCs w:val="21"/>
          <w:color w:val="auto"/>
        </w:rPr>
      </w:pPr>
      <w:r>
        <w:rPr>
          <w:rFonts w:ascii="Arial" w:cs="Arial" w:eastAsia="Arial" w:hAnsi="Arial"/>
          <w:sz w:val="21"/>
          <w:szCs w:val="21"/>
          <w:color w:val="auto"/>
        </w:rPr>
        <w:t>Realized $16 million of benefits from Project Uno in Q4 and $46 million for full year</w:t>
      </w:r>
    </w:p>
    <w:p>
      <w:pPr>
        <w:spacing w:after="0" w:line="28" w:lineRule="exact"/>
        <w:rPr>
          <w:rFonts w:ascii="Arial" w:cs="Arial" w:eastAsia="Arial" w:hAnsi="Arial"/>
          <w:sz w:val="21"/>
          <w:szCs w:val="21"/>
          <w:color w:val="auto"/>
        </w:rPr>
      </w:pPr>
    </w:p>
    <w:p>
      <w:pPr>
        <w:ind w:left="1020" w:right="439" w:hanging="646"/>
        <w:spacing w:after="0" w:line="262"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Generated $18.5 million in gross proceeds from sale of non-strategic Limoneira shares</w:t>
      </w:r>
    </w:p>
    <w:p>
      <w:pPr>
        <w:spacing w:after="0" w:line="1" w:lineRule="exact"/>
        <w:rPr>
          <w:rFonts w:ascii="Arial" w:cs="Arial" w:eastAsia="Arial" w:hAnsi="Arial"/>
          <w:sz w:val="22"/>
          <w:szCs w:val="22"/>
          <w:color w:val="auto"/>
        </w:rPr>
      </w:pPr>
    </w:p>
    <w:p>
      <w:pPr>
        <w:ind w:left="1020" w:right="119" w:hanging="646"/>
        <w:spacing w:after="0" w:line="262"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Launched a brand refresh, updating the company’s logo, tagline, brand personality and website to support Calavo’s One Company vision</w:t>
      </w:r>
    </w:p>
    <w:p>
      <w:pPr>
        <w:spacing w:after="0" w:line="1" w:lineRule="exact"/>
        <w:rPr>
          <w:rFonts w:ascii="Arial" w:cs="Arial" w:eastAsia="Arial" w:hAnsi="Arial"/>
          <w:sz w:val="22"/>
          <w:szCs w:val="22"/>
          <w:color w:val="auto"/>
        </w:rPr>
      </w:pPr>
    </w:p>
    <w:p>
      <w:pPr>
        <w:ind w:left="1020" w:right="219" w:hanging="646"/>
        <w:spacing w:after="0" w:line="262"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Announced official certification and opening of Jalisco avocado packing facility for the U.S. market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Management Commentary</w:t>
      </w:r>
    </w:p>
    <w:p>
      <w:pPr>
        <w:spacing w:after="0" w:line="43" w:lineRule="exact"/>
        <w:rPr>
          <w:sz w:val="20"/>
          <w:szCs w:val="20"/>
          <w:color w:val="auto"/>
        </w:rPr>
      </w:pPr>
    </w:p>
    <w:p>
      <w:pPr>
        <w:ind w:left="60" w:right="79"/>
        <w:spacing w:after="0" w:line="279" w:lineRule="auto"/>
        <w:rPr>
          <w:sz w:val="20"/>
          <w:szCs w:val="20"/>
          <w:color w:val="auto"/>
        </w:rPr>
      </w:pPr>
      <w:r>
        <w:rPr>
          <w:rFonts w:ascii="Arial" w:cs="Arial" w:eastAsia="Arial" w:hAnsi="Arial"/>
          <w:sz w:val="21"/>
          <w:szCs w:val="21"/>
          <w:color w:val="auto"/>
        </w:rPr>
        <w:t>“In the fourth quarter, we generated sequential and year-over-year improvements in total company gross profit and adjusted EBITDA led by our Prepared segment with both the guacamole and fresh-cut fruit and vegetable divisions contributing to the continued momentum,” said Brian W. Kocher, President and Chief Executive Officer of Calavo Growers, Inc. “Earnings were moderated by the Grown segment, which had a slower than anticipated recovery from the challenging market conditions that occurred late in the third quarter.</w:t>
      </w:r>
    </w:p>
    <w:p>
      <w:pPr>
        <w:spacing w:after="0" w:line="192" w:lineRule="exact"/>
        <w:rPr>
          <w:sz w:val="20"/>
          <w:szCs w:val="20"/>
          <w:color w:val="auto"/>
        </w:rPr>
      </w:pPr>
    </w:p>
    <w:p>
      <w:pPr>
        <w:ind w:left="60" w:right="279"/>
        <w:spacing w:after="0" w:line="278" w:lineRule="auto"/>
        <w:rPr>
          <w:sz w:val="20"/>
          <w:szCs w:val="20"/>
          <w:color w:val="auto"/>
        </w:rPr>
      </w:pPr>
      <w:r>
        <w:rPr>
          <w:rFonts w:ascii="Arial" w:cs="Arial" w:eastAsia="Arial" w:hAnsi="Arial"/>
          <w:sz w:val="21"/>
          <w:szCs w:val="21"/>
          <w:color w:val="auto"/>
        </w:rPr>
        <w:t>“Prepared segment gross profit for the quarter increased $10.1 million versus the prior year quarter, achieving a gross margin of 9.4%. The gross profit increase occurred across the segment with the fresh-cut division , formerly RFG, generating a gross margin of over 8% and the guacamole division, formerly Foods, realizing a gross margin of about 14% as fruit input costs declined over the course of the quarter. Grown segment gross profit increased versus the prior year quarter despite a 4% decline in avocado volume as avocado earnings per carton increased and performance in our tomato and papaya business improved.</w:t>
      </w:r>
    </w:p>
    <w:p>
      <w:pPr>
        <w:spacing w:after="0" w:line="188" w:lineRule="exact"/>
        <w:rPr>
          <w:sz w:val="20"/>
          <w:szCs w:val="20"/>
          <w:color w:val="auto"/>
        </w:rPr>
      </w:pPr>
    </w:p>
    <w:p>
      <w:pPr>
        <w:ind w:left="60" w:right="99"/>
        <w:spacing w:after="0" w:line="264" w:lineRule="auto"/>
        <w:rPr>
          <w:sz w:val="20"/>
          <w:szCs w:val="20"/>
          <w:color w:val="auto"/>
        </w:rPr>
      </w:pPr>
      <w:r>
        <w:rPr>
          <w:rFonts w:ascii="Arial" w:cs="Arial" w:eastAsia="Arial" w:hAnsi="Arial"/>
          <w:sz w:val="22"/>
          <w:szCs w:val="22"/>
          <w:color w:val="auto"/>
        </w:rPr>
        <w:t>“For the fiscal year, both the Grown and Prepared segments contributed to higher earnings, with the Prepared segment showing significant improvement as a result of Project Uno initiatives. Prepared gross profit more than doubled as improvements in the fresh-cut division more than compensated for lower profit in the guacamole division caused by input cost pressure. Grown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501015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87" w:lineRule="exact"/>
        <w:rPr>
          <w:sz w:val="20"/>
          <w:szCs w:val="20"/>
          <w:color w:val="auto"/>
        </w:rPr>
      </w:pPr>
    </w:p>
    <w:p>
      <w:pPr>
        <w:ind w:left="60" w:right="299"/>
        <w:spacing w:after="0" w:line="275" w:lineRule="auto"/>
        <w:rPr>
          <w:sz w:val="20"/>
          <w:szCs w:val="20"/>
          <w:color w:val="auto"/>
        </w:rPr>
      </w:pPr>
      <w:r>
        <w:rPr>
          <w:rFonts w:ascii="Arial" w:cs="Arial" w:eastAsia="Arial" w:hAnsi="Arial"/>
          <w:sz w:val="22"/>
          <w:szCs w:val="22"/>
          <w:color w:val="auto"/>
        </w:rPr>
        <w:t>profit increased as avocado volume declines of 12% were more than offset by higher gross profit per carton.</w:t>
      </w:r>
    </w:p>
    <w:p>
      <w:pPr>
        <w:spacing w:after="0" w:line="190" w:lineRule="exact"/>
        <w:rPr>
          <w:sz w:val="20"/>
          <w:szCs w:val="20"/>
          <w:color w:val="auto"/>
        </w:rPr>
      </w:pPr>
    </w:p>
    <w:p>
      <w:pPr>
        <w:ind w:left="60" w:right="139"/>
        <w:spacing w:after="0" w:line="263" w:lineRule="auto"/>
        <w:rPr>
          <w:sz w:val="20"/>
          <w:szCs w:val="20"/>
          <w:color w:val="auto"/>
        </w:rPr>
      </w:pPr>
      <w:r>
        <w:rPr>
          <w:rFonts w:ascii="Arial" w:cs="Arial" w:eastAsia="Arial" w:hAnsi="Arial"/>
          <w:sz w:val="22"/>
          <w:szCs w:val="22"/>
          <w:color w:val="auto"/>
        </w:rPr>
        <w:t>“The mindset of continuous improvement established with Project Uno has led to $46 million in benefits in fiscal 2022 from pricing initiatives, SKU rationalization, unified procurement, labor efficiencies, freight consolidation and administrative synergies. Since its inception, Project Uno has systematically focused on improving profitability. It isn’t a one-time program, and I’m pleased to report that the practices and attitudes we’ve developed around Project Uno are being integrated into our daily operations and we will continue the focus even if we no longer report specifically on Project Uno.”</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Fourth Quarter 2022 Consolidated Financial Review</w:t>
      </w:r>
    </w:p>
    <w:p>
      <w:pPr>
        <w:spacing w:after="0" w:line="43" w:lineRule="exact"/>
        <w:rPr>
          <w:sz w:val="20"/>
          <w:szCs w:val="20"/>
          <w:color w:val="auto"/>
        </w:rPr>
      </w:pPr>
    </w:p>
    <w:p>
      <w:pPr>
        <w:ind w:left="60" w:right="239"/>
        <w:spacing w:after="0" w:line="264" w:lineRule="auto"/>
        <w:rPr>
          <w:sz w:val="20"/>
          <w:szCs w:val="20"/>
          <w:color w:val="auto"/>
        </w:rPr>
      </w:pPr>
      <w:r>
        <w:rPr>
          <w:rFonts w:ascii="Arial" w:cs="Arial" w:eastAsia="Arial" w:hAnsi="Arial"/>
          <w:sz w:val="22"/>
          <w:szCs w:val="22"/>
          <w:color w:val="auto"/>
        </w:rPr>
        <w:t>Total revenue for the fourth quarter 2022 was $243.6 million, compared to $273.4 million for the fourth quarter 2021, a decline of 11%. Grown segment sales decreased 20% and Prepared segment sales increased 0.6%. The average selling price of avocados in the Company’s Grown segment decreased by 20% while volumes were down 4.2% versus the prior-year period.</w:t>
      </w:r>
    </w:p>
    <w:p>
      <w:pPr>
        <w:spacing w:after="0" w:line="269" w:lineRule="exact"/>
        <w:rPr>
          <w:sz w:val="20"/>
          <w:szCs w:val="20"/>
          <w:color w:val="auto"/>
        </w:rPr>
      </w:pPr>
    </w:p>
    <w:p>
      <w:pPr>
        <w:ind w:left="60" w:right="359"/>
        <w:spacing w:after="0" w:line="262" w:lineRule="auto"/>
        <w:rPr>
          <w:sz w:val="20"/>
          <w:szCs w:val="20"/>
          <w:color w:val="auto"/>
        </w:rPr>
      </w:pPr>
      <w:r>
        <w:rPr>
          <w:rFonts w:ascii="Arial" w:cs="Arial" w:eastAsia="Arial" w:hAnsi="Arial"/>
          <w:sz w:val="22"/>
          <w:szCs w:val="22"/>
          <w:color w:val="auto"/>
        </w:rPr>
        <w:t>Gross profit for the fourth quarter was $20.4 million, or 8.3% of revenue, compared to $9.1 million, or 3.3% of revenue, for the same period last year.</w:t>
      </w:r>
    </w:p>
    <w:p>
      <w:pPr>
        <w:spacing w:after="0" w:line="271" w:lineRule="exact"/>
        <w:rPr>
          <w:sz w:val="20"/>
          <w:szCs w:val="20"/>
          <w:color w:val="auto"/>
        </w:rPr>
      </w:pPr>
    </w:p>
    <w:p>
      <w:pPr>
        <w:ind w:left="60" w:right="179"/>
        <w:spacing w:after="0" w:line="266" w:lineRule="auto"/>
        <w:rPr>
          <w:sz w:val="20"/>
          <w:szCs w:val="20"/>
          <w:color w:val="auto"/>
        </w:rPr>
      </w:pPr>
      <w:r>
        <w:rPr>
          <w:rFonts w:ascii="Arial" w:cs="Arial" w:eastAsia="Arial" w:hAnsi="Arial"/>
          <w:sz w:val="22"/>
          <w:szCs w:val="22"/>
          <w:color w:val="auto"/>
        </w:rPr>
        <w:t>Selling, general and administrative (SG&amp;A) expenses for the fourth quarter totaled $17.1 million compared to $16.3 million for the same period last year. SG&amp;A was higher than prior year mainly due to higher costs associated with compensation including short-term incentive expense.</w:t>
      </w:r>
    </w:p>
    <w:p>
      <w:pPr>
        <w:spacing w:after="0" w:line="269" w:lineRule="exact"/>
        <w:rPr>
          <w:sz w:val="20"/>
          <w:szCs w:val="20"/>
          <w:color w:val="auto"/>
        </w:rPr>
      </w:pPr>
    </w:p>
    <w:p>
      <w:pPr>
        <w:ind w:left="60" w:right="239"/>
        <w:spacing w:after="0" w:line="262" w:lineRule="auto"/>
        <w:rPr>
          <w:sz w:val="20"/>
          <w:szCs w:val="20"/>
          <w:color w:val="auto"/>
        </w:rPr>
      </w:pPr>
      <w:r>
        <w:rPr>
          <w:rFonts w:ascii="Arial" w:cs="Arial" w:eastAsia="Arial" w:hAnsi="Arial"/>
          <w:sz w:val="22"/>
          <w:szCs w:val="22"/>
          <w:color w:val="auto"/>
        </w:rPr>
        <w:t>Net loss for the fourth quarter was $(3.3) million, or $(0.19) per share. This compares with a net loss of $(13.0) million, or $(0.73) per diluted share, for the same period last year.</w:t>
      </w:r>
    </w:p>
    <w:p>
      <w:pPr>
        <w:spacing w:after="0" w:line="271" w:lineRule="exact"/>
        <w:rPr>
          <w:sz w:val="20"/>
          <w:szCs w:val="20"/>
          <w:color w:val="auto"/>
        </w:rPr>
      </w:pPr>
    </w:p>
    <w:p>
      <w:pPr>
        <w:ind w:left="60" w:right="279"/>
        <w:spacing w:after="0" w:line="275" w:lineRule="auto"/>
        <w:rPr>
          <w:sz w:val="20"/>
          <w:szCs w:val="20"/>
          <w:color w:val="auto"/>
        </w:rPr>
      </w:pPr>
      <w:r>
        <w:rPr>
          <w:rFonts w:ascii="Arial" w:cs="Arial" w:eastAsia="Arial" w:hAnsi="Arial"/>
          <w:sz w:val="22"/>
          <w:szCs w:val="22"/>
          <w:color w:val="auto"/>
        </w:rPr>
        <w:t>Adjusted net income was $0.6 million, or $0.03 per diluted share, compared to adjusted net loss of $(1.4) million, or $(0.08) per diluted share last year.</w:t>
      </w:r>
    </w:p>
    <w:p>
      <w:pPr>
        <w:spacing w:after="0" w:line="257" w:lineRule="exact"/>
        <w:rPr>
          <w:sz w:val="20"/>
          <w:szCs w:val="20"/>
          <w:color w:val="auto"/>
        </w:rPr>
      </w:pPr>
    </w:p>
    <w:p>
      <w:pPr>
        <w:ind w:left="60" w:right="319"/>
        <w:spacing w:after="0" w:line="262" w:lineRule="auto"/>
        <w:rPr>
          <w:sz w:val="20"/>
          <w:szCs w:val="20"/>
          <w:color w:val="auto"/>
        </w:rPr>
      </w:pPr>
      <w:r>
        <w:rPr>
          <w:rFonts w:ascii="Arial" w:cs="Arial" w:eastAsia="Arial" w:hAnsi="Arial"/>
          <w:sz w:val="22"/>
          <w:szCs w:val="22"/>
          <w:color w:val="auto"/>
        </w:rPr>
        <w:t>Adjusted EBITDA was $9.6 million, or $0.55 per diluted share, compared to $1.4 million, or $0.08 per diluted share for the same period last year.</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Balance Sheet and Liquidity</w:t>
      </w:r>
    </w:p>
    <w:p>
      <w:pPr>
        <w:spacing w:after="0" w:line="43" w:lineRule="exact"/>
        <w:rPr>
          <w:sz w:val="20"/>
          <w:szCs w:val="20"/>
          <w:color w:val="auto"/>
        </w:rPr>
      </w:pPr>
    </w:p>
    <w:p>
      <w:pPr>
        <w:ind w:left="60" w:right="139"/>
        <w:spacing w:after="0" w:line="266" w:lineRule="auto"/>
        <w:rPr>
          <w:sz w:val="20"/>
          <w:szCs w:val="20"/>
          <w:color w:val="auto"/>
        </w:rPr>
      </w:pPr>
      <w:r>
        <w:rPr>
          <w:rFonts w:ascii="Arial" w:cs="Arial" w:eastAsia="Arial" w:hAnsi="Arial"/>
          <w:sz w:val="22"/>
          <w:szCs w:val="22"/>
          <w:color w:val="auto"/>
        </w:rPr>
        <w:t>The Company ended the quarter with $7.2 million of total debt, which included $1.2 million of borrowings under its line of credit and $6.0 million of other long-term obligations and finance leases. Cash and cash equivalents (unrestricted) totaled $2.1 million as of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800735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61" w:lineRule="exact"/>
        <w:rPr>
          <w:sz w:val="20"/>
          <w:szCs w:val="20"/>
          <w:color w:val="auto"/>
        </w:rPr>
      </w:pPr>
    </w:p>
    <w:p>
      <w:pPr>
        <w:ind w:left="60" w:right="4079"/>
        <w:spacing w:after="0" w:line="274" w:lineRule="auto"/>
        <w:rPr>
          <w:sz w:val="20"/>
          <w:szCs w:val="20"/>
          <w:color w:val="auto"/>
        </w:rPr>
      </w:pPr>
      <w:r>
        <w:rPr>
          <w:rFonts w:ascii="Arial" w:cs="Arial" w:eastAsia="Arial" w:hAnsi="Arial"/>
          <w:sz w:val="22"/>
          <w:szCs w:val="22"/>
          <w:b w:val="1"/>
          <w:bCs w:val="1"/>
          <w:color w:val="auto"/>
        </w:rPr>
        <w:t xml:space="preserve">Fourth Quarter Business Segment Performance </w:t>
      </w:r>
      <w:r>
        <w:rPr>
          <w:rFonts w:ascii="Arial" w:cs="Arial" w:eastAsia="Arial" w:hAnsi="Arial"/>
          <w:sz w:val="22"/>
          <w:szCs w:val="22"/>
          <w:i w:val="1"/>
          <w:iCs w:val="1"/>
          <w:color w:val="auto"/>
        </w:rPr>
        <w:t>Grown</w:t>
      </w:r>
    </w:p>
    <w:p>
      <w:pPr>
        <w:spacing w:after="0" w:line="2" w:lineRule="exact"/>
        <w:rPr>
          <w:sz w:val="20"/>
          <w:szCs w:val="20"/>
          <w:color w:val="auto"/>
        </w:rPr>
      </w:pPr>
    </w:p>
    <w:p>
      <w:pPr>
        <w:ind w:left="60" w:right="79"/>
        <w:spacing w:after="0" w:line="263" w:lineRule="auto"/>
        <w:rPr>
          <w:sz w:val="20"/>
          <w:szCs w:val="20"/>
          <w:color w:val="auto"/>
        </w:rPr>
      </w:pPr>
      <w:r>
        <w:rPr>
          <w:rFonts w:ascii="Arial" w:cs="Arial" w:eastAsia="Arial" w:hAnsi="Arial"/>
          <w:sz w:val="22"/>
          <w:szCs w:val="22"/>
          <w:color w:val="auto"/>
        </w:rPr>
        <w:t>Fourth quarter 2022 sales in Calavo’s Grown business segment were $119.1 million, down 20% from $149.8 million for the same period last year. Avocado prices were 20% lower year-over-year, and avocado volume was 4.2% lower. Grown segment gross profit for the fourth quarter was $8.6 million compared to $7.4 million for the same period last year. The increase in gross profit primarily was driven by higher avocado earnings per carton in addition to higher earnings in our tomato and papaya business. Although improved versus the prior year, the volume and margin recovery in our avocado business occurred more gradually from the third quarter than anticipated. By October, margins were improving and volume was increasing. Industry volume from Mexico in Q4 was estimated to be up about 12% versus the prior year.</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Prepared</w:t>
      </w:r>
    </w:p>
    <w:p>
      <w:pPr>
        <w:spacing w:after="0" w:line="53" w:lineRule="exact"/>
        <w:rPr>
          <w:sz w:val="20"/>
          <w:szCs w:val="20"/>
          <w:color w:val="auto"/>
        </w:rPr>
      </w:pPr>
    </w:p>
    <w:p>
      <w:pPr>
        <w:ind w:left="60" w:right="159"/>
        <w:spacing w:after="0" w:line="261" w:lineRule="auto"/>
        <w:rPr>
          <w:sz w:val="20"/>
          <w:szCs w:val="20"/>
          <w:color w:val="auto"/>
        </w:rPr>
      </w:pPr>
      <w:r>
        <w:rPr>
          <w:rFonts w:ascii="Arial" w:cs="Arial" w:eastAsia="Arial" w:hAnsi="Arial"/>
          <w:sz w:val="22"/>
          <w:szCs w:val="22"/>
          <w:color w:val="auto"/>
        </w:rPr>
        <w:t>Prepared segment sales in the fourth quarter of 2022 were $125.0 million, up from $124.2 million in the same period last year, benefitting from price and mix improvements. Segment gross profit was $11.8 million, increasing more than $10 million from the same period last year primarily due to the benefits from ongoing performance initiatives in our fresh-cut division. The Prepared segment generated a gross margin of over 9%, which consisted of a gross margin of over 8% in the fresh-cut division and about 14% in the guacamole division. Along with steady improvement in the fresh-cut division, guacamole margins normalized during the quarter as fruit input costs declined and operational initiatives drove cost benefits. From Q3 to Q4, fruit input costs declined by about 50%.</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2023 Outlook</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In fiscal 2023, we expect and plan for several market trends and corporate initiatives:</w:t>
      </w:r>
    </w:p>
    <w:p>
      <w:pPr>
        <w:spacing w:after="0" w:line="31" w:lineRule="exact"/>
        <w:rPr>
          <w:sz w:val="20"/>
          <w:szCs w:val="20"/>
          <w:color w:val="auto"/>
        </w:rPr>
      </w:pPr>
    </w:p>
    <w:p>
      <w:pPr>
        <w:ind w:left="1020" w:right="239" w:hanging="646"/>
        <w:spacing w:after="0" w:line="275" w:lineRule="auto"/>
        <w:tabs>
          <w:tab w:leader="none" w:pos="1020" w:val="left"/>
        </w:tabs>
        <w:numPr>
          <w:ilvl w:val="0"/>
          <w:numId w:val="7"/>
        </w:numPr>
        <w:rPr>
          <w:rFonts w:ascii="Arial" w:cs="Arial" w:eastAsia="Arial" w:hAnsi="Arial"/>
          <w:sz w:val="21"/>
          <w:szCs w:val="21"/>
          <w:color w:val="auto"/>
        </w:rPr>
      </w:pPr>
      <w:r>
        <w:rPr>
          <w:rFonts w:ascii="Arial" w:cs="Arial" w:eastAsia="Arial" w:hAnsi="Arial"/>
          <w:sz w:val="21"/>
          <w:szCs w:val="21"/>
          <w:color w:val="auto"/>
        </w:rPr>
        <w:t>We estimate the Mexican avocado crop will be 10-20% larger in 2023 and Jalisco fruit will be available for the full year; we expect our Mexican avocado volume to</w:t>
      </w:r>
    </w:p>
    <w:p>
      <w:pPr>
        <w:ind w:left="1020" w:right="559"/>
        <w:spacing w:after="0" w:line="262" w:lineRule="auto"/>
        <w:rPr>
          <w:rFonts w:ascii="Arial" w:cs="Arial" w:eastAsia="Arial" w:hAnsi="Arial"/>
          <w:sz w:val="21"/>
          <w:szCs w:val="21"/>
          <w:color w:val="auto"/>
        </w:rPr>
      </w:pPr>
      <w:r>
        <w:rPr>
          <w:rFonts w:ascii="Arial" w:cs="Arial" w:eastAsia="Arial" w:hAnsi="Arial"/>
          <w:sz w:val="22"/>
          <w:szCs w:val="22"/>
          <w:color w:val="auto"/>
        </w:rPr>
        <w:t>grow in conjunction with increased supplies from Mexico and generally expect volume growth across the businesses</w:t>
      </w:r>
    </w:p>
    <w:p>
      <w:pPr>
        <w:spacing w:after="0" w:line="1" w:lineRule="exact"/>
        <w:rPr>
          <w:rFonts w:ascii="Arial" w:cs="Arial" w:eastAsia="Arial" w:hAnsi="Arial"/>
          <w:sz w:val="21"/>
          <w:szCs w:val="21"/>
          <w:color w:val="auto"/>
        </w:rPr>
      </w:pPr>
    </w:p>
    <w:p>
      <w:pPr>
        <w:ind w:left="1020" w:right="519" w:hanging="646"/>
        <w:spacing w:after="0" w:line="262"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Avocado pricing is expected to decline with increased supply, but we expect to maintain our targeted gross profit per carton between $3 and $4</w:t>
      </w:r>
    </w:p>
    <w:p>
      <w:pPr>
        <w:spacing w:after="0" w:line="1" w:lineRule="exact"/>
        <w:rPr>
          <w:rFonts w:ascii="Arial" w:cs="Arial" w:eastAsia="Arial" w:hAnsi="Arial"/>
          <w:sz w:val="22"/>
          <w:szCs w:val="22"/>
          <w:color w:val="auto"/>
        </w:rPr>
      </w:pPr>
    </w:p>
    <w:p>
      <w:pPr>
        <w:ind w:left="1020" w:right="239" w:hanging="646"/>
        <w:spacing w:after="0" w:line="262"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Input costs for guacamole are expected to be lower due to the supply outlook; we expect gross margin to approximate 25% in the guacamole division</w:t>
      </w:r>
    </w:p>
    <w:p>
      <w:pPr>
        <w:spacing w:after="0" w:line="1" w:lineRule="exact"/>
        <w:rPr>
          <w:rFonts w:ascii="Arial" w:cs="Arial" w:eastAsia="Arial" w:hAnsi="Arial"/>
          <w:sz w:val="22"/>
          <w:szCs w:val="22"/>
          <w:color w:val="auto"/>
        </w:rPr>
      </w:pPr>
    </w:p>
    <w:p>
      <w:pPr>
        <w:ind w:left="1020" w:right="119" w:hanging="646"/>
        <w:spacing w:after="0" w:line="260"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Performance in our fresh-cut business is expected to continue improving in 2023, and we expect to exit 2023 delivering a gross margin run rate of 10-12%; however, we expect the first quarter to be weaker due to seasonality</w:t>
      </w:r>
    </w:p>
    <w:p>
      <w:pPr>
        <w:spacing w:after="0" w:line="1" w:lineRule="exact"/>
        <w:rPr>
          <w:rFonts w:ascii="Arial" w:cs="Arial" w:eastAsia="Arial" w:hAnsi="Arial"/>
          <w:sz w:val="22"/>
          <w:szCs w:val="22"/>
          <w:color w:val="auto"/>
        </w:rPr>
      </w:pPr>
    </w:p>
    <w:p>
      <w:pPr>
        <w:ind w:left="1020" w:right="179" w:hanging="646"/>
        <w:spacing w:after="0" w:line="260"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We expect around 15-20% of our full year earnings to be generated in Q1 and our Q1 Prepared earnings to decline by about a third from the Q4 level due to seasonality</w:t>
      </w:r>
    </w:p>
    <w:p>
      <w:pPr>
        <w:spacing w:after="0" w:line="1" w:lineRule="exact"/>
        <w:rPr>
          <w:rFonts w:ascii="Arial" w:cs="Arial" w:eastAsia="Arial" w:hAnsi="Arial"/>
          <w:sz w:val="22"/>
          <w:szCs w:val="22"/>
          <w:color w:val="auto"/>
        </w:rPr>
      </w:pPr>
    </w:p>
    <w:p>
      <w:pPr>
        <w:ind w:left="1020" w:hanging="646"/>
        <w:spacing w:after="0"/>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We expect 2023 capital expenditures to approximate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821055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Non-GAAP Financial Measures</w:t>
      </w:r>
    </w:p>
    <w:p>
      <w:pPr>
        <w:spacing w:after="0" w:line="57" w:lineRule="exact"/>
        <w:rPr>
          <w:sz w:val="20"/>
          <w:szCs w:val="20"/>
          <w:color w:val="auto"/>
        </w:rPr>
      </w:pPr>
    </w:p>
    <w:p>
      <w:pPr>
        <w:ind w:left="60" w:right="379"/>
        <w:spacing w:after="0" w:line="246" w:lineRule="auto"/>
        <w:rPr>
          <w:sz w:val="20"/>
          <w:szCs w:val="20"/>
          <w:color w:val="auto"/>
        </w:rPr>
      </w:pPr>
      <w:r>
        <w:rPr>
          <w:rFonts w:ascii="Arial" w:cs="Arial" w:eastAsia="Arial" w:hAnsi="Arial"/>
          <w:sz w:val="22"/>
          <w:szCs w:val="22"/>
          <w:color w:val="auto"/>
        </w:rPr>
        <w:t>This press release includes non-GAAP measures such as EBITDA, adjusted EBITDA, adjusted net income and adjusted diluted EPS, which are not prepared in accordance with U.S. generally accepted accounting principles, or “GAAP.”</w:t>
      </w:r>
    </w:p>
    <w:p>
      <w:pPr>
        <w:spacing w:after="0" w:line="262" w:lineRule="exact"/>
        <w:rPr>
          <w:sz w:val="20"/>
          <w:szCs w:val="20"/>
          <w:color w:val="auto"/>
        </w:rPr>
      </w:pPr>
    </w:p>
    <w:p>
      <w:pPr>
        <w:ind w:left="60" w:right="239"/>
        <w:spacing w:after="0" w:line="257" w:lineRule="auto"/>
        <w:rPr>
          <w:sz w:val="20"/>
          <w:szCs w:val="20"/>
          <w:color w:val="auto"/>
        </w:rPr>
      </w:pPr>
      <w:r>
        <w:rPr>
          <w:rFonts w:ascii="Arial" w:cs="Arial" w:eastAsia="Arial" w:hAnsi="Arial"/>
          <w:sz w:val="21"/>
          <w:szCs w:val="21"/>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56" w:lineRule="exact"/>
        <w:rPr>
          <w:sz w:val="20"/>
          <w:szCs w:val="20"/>
          <w:color w:val="auto"/>
        </w:rPr>
      </w:pPr>
    </w:p>
    <w:p>
      <w:pPr>
        <w:ind w:left="60" w:right="79"/>
        <w:spacing w:after="0" w:line="245" w:lineRule="auto"/>
        <w:rPr>
          <w:sz w:val="20"/>
          <w:szCs w:val="20"/>
          <w:color w:val="auto"/>
        </w:rPr>
      </w:pPr>
      <w:r>
        <w:rPr>
          <w:rFonts w:ascii="Arial" w:cs="Arial" w:eastAsia="Arial" w:hAnsi="Arial"/>
          <w:sz w:val="22"/>
          <w:szCs w:val="22"/>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264" w:lineRule="exact"/>
        <w:rPr>
          <w:sz w:val="20"/>
          <w:szCs w:val="20"/>
          <w:color w:val="auto"/>
        </w:rPr>
      </w:pPr>
    </w:p>
    <w:p>
      <w:pPr>
        <w:ind w:left="60" w:right="599"/>
        <w:spacing w:after="0" w:line="272" w:lineRule="auto"/>
        <w:rPr>
          <w:sz w:val="20"/>
          <w:szCs w:val="20"/>
          <w:color w:val="auto"/>
        </w:rPr>
      </w:pPr>
      <w:r>
        <w:rPr>
          <w:rFonts w:ascii="Arial" w:cs="Arial" w:eastAsia="Arial" w:hAnsi="Arial"/>
          <w:sz w:val="21"/>
          <w:szCs w:val="21"/>
          <w:color w:val="auto"/>
        </w:rPr>
        <w:t>Reconciliations of non-GAAP financial measures to the most directly comparable GAAP financial measures are provided in the financial tables that accompany this release.</w:t>
      </w:r>
    </w:p>
    <w:p>
      <w:pPr>
        <w:spacing w:after="0" w:line="249" w:lineRule="exact"/>
        <w:rPr>
          <w:sz w:val="20"/>
          <w:szCs w:val="20"/>
          <w:color w:val="auto"/>
        </w:rPr>
      </w:pPr>
    </w:p>
    <w:p>
      <w:pPr>
        <w:ind w:left="60" w:right="159"/>
        <w:spacing w:after="0" w:line="245" w:lineRule="auto"/>
        <w:rPr>
          <w:sz w:val="20"/>
          <w:szCs w:val="20"/>
          <w:color w:val="auto"/>
        </w:rPr>
      </w:pPr>
      <w:r>
        <w:rPr>
          <w:rFonts w:ascii="Arial" w:cs="Arial" w:eastAsia="Arial" w:hAnsi="Arial"/>
          <w:sz w:val="22"/>
          <w:szCs w:val="22"/>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263" w:lineRule="exact"/>
        <w:rPr>
          <w:sz w:val="20"/>
          <w:szCs w:val="20"/>
          <w:color w:val="auto"/>
        </w:rPr>
      </w:pPr>
    </w:p>
    <w:p>
      <w:pPr>
        <w:ind w:left="60" w:right="199"/>
        <w:spacing w:after="0" w:line="244" w:lineRule="auto"/>
        <w:rPr>
          <w:sz w:val="20"/>
          <w:szCs w:val="20"/>
          <w:color w:val="auto"/>
        </w:rPr>
      </w:pPr>
      <w:r>
        <w:rPr>
          <w:rFonts w:ascii="Arial" w:cs="Arial" w:eastAsia="Arial" w:hAnsi="Arial"/>
          <w:sz w:val="22"/>
          <w:szCs w:val="22"/>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678815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Conference Call and Webcast</w:t>
      </w:r>
    </w:p>
    <w:p>
      <w:pPr>
        <w:spacing w:after="0" w:line="57" w:lineRule="exact"/>
        <w:rPr>
          <w:sz w:val="20"/>
          <w:szCs w:val="20"/>
          <w:color w:val="auto"/>
        </w:rPr>
      </w:pPr>
    </w:p>
    <w:p>
      <w:pPr>
        <w:ind w:left="60" w:right="219"/>
        <w:spacing w:after="0" w:line="264" w:lineRule="auto"/>
        <w:rPr>
          <w:sz w:val="20"/>
          <w:szCs w:val="20"/>
          <w:color w:val="auto"/>
        </w:rPr>
      </w:pPr>
      <w:r>
        <w:rPr>
          <w:rFonts w:ascii="Arial" w:cs="Arial" w:eastAsia="Arial" w:hAnsi="Arial"/>
          <w:sz w:val="22"/>
          <w:szCs w:val="22"/>
          <w:color w:val="auto"/>
        </w:rPr>
        <w:t>Calavo will host a conference call, today at 5:00 pm ET/2:00 pm PT to discuss its financial results. The conference call may be accessed by dialing 877-407-3982 (domestic) or 201-493-6780 (international) with conference ID: 13734664. A live audio webcast of the call also will be available on the Investor Relations section of Calavo’s website at Events &amp; Presentations | Calavo Growers, Inc. and will be archived for replay.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About Calavo Growers, Inc.</w:t>
      </w:r>
    </w:p>
    <w:p>
      <w:pPr>
        <w:spacing w:after="0" w:line="57" w:lineRule="exact"/>
        <w:rPr>
          <w:sz w:val="20"/>
          <w:szCs w:val="20"/>
          <w:color w:val="auto"/>
        </w:rPr>
      </w:pPr>
    </w:p>
    <w:p>
      <w:pPr>
        <w:ind w:left="60" w:right="219"/>
        <w:spacing w:after="0" w:line="262" w:lineRule="auto"/>
        <w:rPr>
          <w:sz w:val="20"/>
          <w:szCs w:val="20"/>
          <w:color w:val="auto"/>
        </w:rPr>
      </w:pPr>
      <w:r>
        <w:rPr>
          <w:rFonts w:ascii="Arial" w:cs="Arial" w:eastAsia="Arial" w:hAnsi="Arial"/>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18" w:lineRule="exact"/>
        <w:rPr>
          <w:sz w:val="20"/>
          <w:szCs w:val="20"/>
          <w:color w:val="auto"/>
        </w:rPr>
      </w:pPr>
    </w:p>
    <w:p>
      <w:pPr>
        <w:ind w:left="60" w:right="279"/>
        <w:spacing w:after="0" w:line="260" w:lineRule="auto"/>
        <w:rPr>
          <w:sz w:val="20"/>
          <w:szCs w:val="20"/>
          <w:color w:val="auto"/>
        </w:rPr>
      </w:pPr>
      <w:r>
        <w:rPr>
          <w:rFonts w:ascii="Arial" w:cs="Arial" w:eastAsia="Arial" w:hAnsi="Arial"/>
          <w:sz w:val="22"/>
          <w:szCs w:val="22"/>
          <w:color w:val="auto"/>
        </w:rPr>
        <w:t xml:space="preserve">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Arial" w:cs="Arial" w:eastAsia="Arial" w:hAnsi="Arial"/>
          <w:sz w:val="22"/>
          <w:szCs w:val="22"/>
          <w:i w:val="1"/>
          <w:iCs w:val="1"/>
          <w:color w:val="auto"/>
        </w:rPr>
        <w:t>The Family of Fresh™</w:t>
      </w:r>
      <w:r>
        <w:rPr>
          <w:rFonts w:ascii="Arial" w:cs="Arial" w:eastAsia="Arial" w:hAnsi="Arial"/>
          <w:sz w:val="22"/>
          <w:szCs w:val="22"/>
          <w:color w:val="auto"/>
        </w:rPr>
        <w:t xml:space="preserve"> at calavo.com.</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Safe Harbor Statement</w:t>
      </w:r>
    </w:p>
    <w:p>
      <w:pPr>
        <w:spacing w:after="0" w:line="43" w:lineRule="exact"/>
        <w:rPr>
          <w:sz w:val="20"/>
          <w:szCs w:val="20"/>
          <w:color w:val="auto"/>
        </w:rPr>
      </w:pPr>
    </w:p>
    <w:p>
      <w:pPr>
        <w:ind w:left="60" w:right="79"/>
        <w:spacing w:after="0" w:line="275" w:lineRule="auto"/>
        <w:rPr>
          <w:sz w:val="20"/>
          <w:szCs w:val="20"/>
          <w:color w:val="auto"/>
        </w:rPr>
      </w:pPr>
      <w:r>
        <w:rPr>
          <w:rFonts w:ascii="Arial" w:cs="Arial" w:eastAsia="Arial" w:hAnsi="Arial"/>
          <w:sz w:val="21"/>
          <w:szCs w:val="21"/>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Risks and uncertainties that may cause our actual results to be materially different from any future results expressed or implied by the forward-looking statements include, but are not limited to, the following: the ability of our new management team, including future additions, to work together successfully; the impact of Project Uno initiatives on our business, results of operations, and financial condition, including uncertainty as to whether the desired effects will be achieved;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foodservice customers, increased costs, the impact of governmental trade restrictions imposed as a result of COVID-19 and the possible adverse impact of COVID-19 on our goodwill and other intangible assets; our ability to raise prices, particularly in our Prepared segment, to offset increases in costs of goods sold, and the impact of such price increases on future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669290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87" w:lineRule="exact"/>
        <w:rPr>
          <w:sz w:val="20"/>
          <w:szCs w:val="20"/>
          <w:color w:val="auto"/>
        </w:rPr>
      </w:pPr>
    </w:p>
    <w:p>
      <w:pPr>
        <w:ind w:left="60" w:right="139"/>
        <w:spacing w:after="0" w:line="275" w:lineRule="auto"/>
        <w:rPr>
          <w:sz w:val="20"/>
          <w:szCs w:val="20"/>
          <w:color w:val="auto"/>
        </w:rPr>
      </w:pPr>
      <w:r>
        <w:rPr>
          <w:rFonts w:ascii="Arial" w:cs="Arial" w:eastAsia="Arial" w:hAnsi="Arial"/>
          <w:sz w:val="21"/>
          <w:szCs w:val="21"/>
          <w:color w:val="auto"/>
        </w:rPr>
        <w:t>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including personnel that have not yet been hired,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17" w:lineRule="exact"/>
        <w:rPr>
          <w:sz w:val="20"/>
          <w:szCs w:val="20"/>
          <w:color w:val="auto"/>
        </w:rPr>
      </w:pPr>
    </w:p>
    <w:p>
      <w:pPr>
        <w:ind w:left="60" w:right="79"/>
        <w:spacing w:after="0" w:line="262" w:lineRule="auto"/>
        <w:rPr>
          <w:sz w:val="20"/>
          <w:szCs w:val="20"/>
          <w:color w:val="auto"/>
        </w:rPr>
      </w:pPr>
      <w:r>
        <w:rPr>
          <w:rFonts w:ascii="Arial" w:cs="Arial" w:eastAsia="Arial" w:hAnsi="Arial"/>
          <w:sz w:val="22"/>
          <w:szCs w:val="22"/>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Investor Contact</w:t>
            </w:r>
          </w:p>
        </w:tc>
        <w:tc>
          <w:tcPr>
            <w:tcW w:w="5960" w:type="dxa"/>
            <w:vAlign w:val="bottom"/>
          </w:tcPr>
          <w:p>
            <w:pPr>
              <w:ind w:left="500"/>
              <w:spacing w:after="0"/>
              <w:rPr>
                <w:sz w:val="20"/>
                <w:szCs w:val="20"/>
                <w:color w:val="auto"/>
              </w:rPr>
            </w:pPr>
            <w:r>
              <w:rPr>
                <w:rFonts w:ascii="Arial" w:cs="Arial" w:eastAsia="Arial" w:hAnsi="Arial"/>
                <w:sz w:val="22"/>
                <w:szCs w:val="22"/>
                <w:b w:val="1"/>
                <w:bCs w:val="1"/>
                <w:color w:val="auto"/>
              </w:rPr>
              <w:t>Media Contact</w:t>
            </w:r>
          </w:p>
        </w:tc>
      </w:tr>
      <w:tr>
        <w:trPr>
          <w:trHeight w:val="257"/>
        </w:trPr>
        <w:tc>
          <w:tcPr>
            <w:tcW w:w="2960" w:type="dxa"/>
            <w:vAlign w:val="bottom"/>
          </w:tcPr>
          <w:p>
            <w:pPr>
              <w:ind w:left="100"/>
              <w:spacing w:after="0"/>
              <w:rPr>
                <w:sz w:val="20"/>
                <w:szCs w:val="20"/>
                <w:color w:val="auto"/>
              </w:rPr>
            </w:pPr>
            <w:r>
              <w:rPr>
                <w:rFonts w:ascii="Arial" w:cs="Arial" w:eastAsia="Arial" w:hAnsi="Arial"/>
                <w:sz w:val="22"/>
                <w:szCs w:val="22"/>
                <w:color w:val="auto"/>
              </w:rPr>
              <w:t>Julie Kegley, Senior Vice</w:t>
            </w:r>
          </w:p>
        </w:tc>
        <w:tc>
          <w:tcPr>
            <w:tcW w:w="5960" w:type="dxa"/>
            <w:vAlign w:val="bottom"/>
          </w:tcPr>
          <w:p>
            <w:pPr>
              <w:ind w:left="500"/>
              <w:spacing w:after="0"/>
              <w:rPr>
                <w:sz w:val="20"/>
                <w:szCs w:val="20"/>
                <w:color w:val="auto"/>
              </w:rPr>
            </w:pPr>
            <w:r>
              <w:rPr>
                <w:rFonts w:ascii="Arial" w:cs="Arial" w:eastAsia="Arial" w:hAnsi="Arial"/>
                <w:sz w:val="22"/>
                <w:szCs w:val="22"/>
                <w:color w:val="auto"/>
              </w:rPr>
              <w:t>Thomas Federl, VP Communications, Marketing &amp; ESG</w:t>
            </w:r>
          </w:p>
        </w:tc>
      </w:tr>
      <w:tr>
        <w:trPr>
          <w:trHeight w:val="256"/>
        </w:trPr>
        <w:tc>
          <w:tcPr>
            <w:tcW w:w="2960" w:type="dxa"/>
            <w:vAlign w:val="bottom"/>
          </w:tcPr>
          <w:p>
            <w:pPr>
              <w:ind w:left="100"/>
              <w:spacing w:after="0"/>
              <w:rPr>
                <w:sz w:val="20"/>
                <w:szCs w:val="20"/>
                <w:color w:val="auto"/>
              </w:rPr>
            </w:pPr>
            <w:r>
              <w:rPr>
                <w:rFonts w:ascii="Arial" w:cs="Arial" w:eastAsia="Arial" w:hAnsi="Arial"/>
                <w:sz w:val="22"/>
                <w:szCs w:val="22"/>
                <w:color w:val="auto"/>
              </w:rPr>
              <w:t>President</w:t>
            </w:r>
          </w:p>
        </w:tc>
        <w:tc>
          <w:tcPr>
            <w:tcW w:w="5960" w:type="dxa"/>
            <w:vAlign w:val="bottom"/>
          </w:tcPr>
          <w:p>
            <w:pPr>
              <w:spacing w:after="0"/>
              <w:rPr>
                <w:sz w:val="22"/>
                <w:szCs w:val="22"/>
                <w:color w:val="auto"/>
              </w:rPr>
            </w:pPr>
          </w:p>
        </w:tc>
      </w:tr>
      <w:tr>
        <w:trPr>
          <w:trHeight w:val="257"/>
        </w:trPr>
        <w:tc>
          <w:tcPr>
            <w:tcW w:w="2960" w:type="dxa"/>
            <w:vAlign w:val="bottom"/>
          </w:tcPr>
          <w:p>
            <w:pPr>
              <w:ind w:left="100"/>
              <w:spacing w:after="0"/>
              <w:rPr>
                <w:sz w:val="20"/>
                <w:szCs w:val="20"/>
                <w:color w:val="auto"/>
              </w:rPr>
            </w:pPr>
            <w:r>
              <w:rPr>
                <w:rFonts w:ascii="Arial" w:cs="Arial" w:eastAsia="Arial" w:hAnsi="Arial"/>
                <w:sz w:val="22"/>
                <w:szCs w:val="22"/>
                <w:color w:val="auto"/>
              </w:rPr>
              <w:t>Financial Profiles, Inc.</w:t>
            </w:r>
          </w:p>
        </w:tc>
        <w:tc>
          <w:tcPr>
            <w:tcW w:w="5960" w:type="dxa"/>
            <w:vAlign w:val="bottom"/>
          </w:tcPr>
          <w:p>
            <w:pPr>
              <w:ind w:left="500"/>
              <w:spacing w:after="0"/>
              <w:rPr>
                <w:sz w:val="20"/>
                <w:szCs w:val="20"/>
                <w:color w:val="auto"/>
              </w:rPr>
            </w:pPr>
            <w:r>
              <w:rPr>
                <w:rFonts w:ascii="Arial" w:cs="Arial" w:eastAsia="Arial" w:hAnsi="Arial"/>
                <w:sz w:val="22"/>
                <w:szCs w:val="22"/>
                <w:color w:val="auto"/>
              </w:rPr>
              <w:t>Calavo Growers, Inc.</w:t>
            </w:r>
          </w:p>
        </w:tc>
      </w:tr>
      <w:tr>
        <w:trPr>
          <w:trHeight w:val="256"/>
        </w:trPr>
        <w:tc>
          <w:tcPr>
            <w:tcW w:w="2960" w:type="dxa"/>
            <w:vAlign w:val="bottom"/>
          </w:tcPr>
          <w:p>
            <w:pPr>
              <w:ind w:left="100"/>
              <w:spacing w:after="0"/>
              <w:rPr>
                <w:sz w:val="20"/>
                <w:szCs w:val="20"/>
                <w:color w:val="auto"/>
              </w:rPr>
            </w:pPr>
            <w:r>
              <w:rPr>
                <w:rFonts w:ascii="Arial" w:cs="Arial" w:eastAsia="Arial" w:hAnsi="Arial"/>
                <w:sz w:val="22"/>
                <w:szCs w:val="22"/>
                <w:color w:val="auto"/>
              </w:rPr>
              <w:t>calavo@finprofiles.com</w:t>
            </w:r>
          </w:p>
        </w:tc>
        <w:tc>
          <w:tcPr>
            <w:tcW w:w="5960" w:type="dxa"/>
            <w:vAlign w:val="bottom"/>
          </w:tcPr>
          <w:p>
            <w:pPr>
              <w:ind w:left="500"/>
              <w:spacing w:after="0"/>
              <w:rPr>
                <w:sz w:val="20"/>
                <w:szCs w:val="20"/>
                <w:color w:val="auto"/>
              </w:rPr>
            </w:pPr>
            <w:r>
              <w:rPr>
                <w:rFonts w:ascii="Arial" w:cs="Arial" w:eastAsia="Arial" w:hAnsi="Arial"/>
                <w:sz w:val="22"/>
                <w:szCs w:val="22"/>
                <w:color w:val="auto"/>
              </w:rPr>
              <w:t>Thomas.Federl@calavo.com</w:t>
            </w:r>
          </w:p>
        </w:tc>
      </w:tr>
      <w:tr>
        <w:trPr>
          <w:trHeight w:val="259"/>
        </w:trPr>
        <w:tc>
          <w:tcPr>
            <w:tcW w:w="2960" w:type="dxa"/>
            <w:vAlign w:val="bottom"/>
          </w:tcPr>
          <w:p>
            <w:pPr>
              <w:ind w:left="100"/>
              <w:spacing w:after="0"/>
              <w:rPr>
                <w:sz w:val="20"/>
                <w:szCs w:val="20"/>
                <w:color w:val="auto"/>
              </w:rPr>
            </w:pPr>
            <w:r>
              <w:rPr>
                <w:rFonts w:ascii="Arial" w:cs="Arial" w:eastAsia="Arial" w:hAnsi="Arial"/>
                <w:sz w:val="22"/>
                <w:szCs w:val="22"/>
                <w:color w:val="auto"/>
              </w:rPr>
              <w:t>310-622-8246</w:t>
            </w:r>
          </w:p>
        </w:tc>
        <w:tc>
          <w:tcPr>
            <w:tcW w:w="5960" w:type="dxa"/>
            <w:vAlign w:val="bottom"/>
          </w:tcPr>
          <w:p>
            <w:pPr>
              <w:ind w:left="500"/>
              <w:spacing w:after="0"/>
              <w:rPr>
                <w:sz w:val="20"/>
                <w:szCs w:val="20"/>
                <w:color w:val="auto"/>
              </w:rPr>
            </w:pPr>
            <w:r>
              <w:rPr>
                <w:rFonts w:ascii="Arial" w:cs="Arial" w:eastAsia="Arial" w:hAnsi="Arial"/>
                <w:sz w:val="22"/>
                <w:szCs w:val="22"/>
                <w:color w:val="auto"/>
              </w:rPr>
              <w:t>843-801-4174</w:t>
            </w:r>
          </w:p>
        </w:tc>
      </w:tr>
      <w:tr>
        <w:trPr>
          <w:trHeight w:val="1077"/>
        </w:trPr>
        <w:tc>
          <w:tcPr>
            <w:tcW w:w="29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CONDENSED BALANCE SHEETS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$4,199 (2022) and $4,816 (2021)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125,674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152,641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113,310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54,518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Limoneira Company</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28,653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47,170</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385,746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445,402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Payable to growers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20,223</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51,795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101,953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pursuant to credit facilities, long-term</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223,371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226,883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385,746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445,402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9"/>
        </w:trPr>
        <w:tc>
          <w:tcPr>
            <w:tcW w:w="6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CALAVO GROWERS, INC.</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CONSOLIDATED CONDENSED STATEMENTS OF OPERATIONS (UNAUDITED)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right"/>
              <w:ind w:right="68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243,571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8"/>
              </w:rPr>
              <w:t>273,424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1,191,073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1,055,830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Cost of sales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223,210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264,305</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1,117,228</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998,405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Gross profit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20,361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9,119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73,845</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57,425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Selling, general and administrative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17,132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16,305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65,698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56,679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Expenses related to Mexican tax matters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1,417</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Impairment and charges related to Florida facility</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ind w:left="20"/>
              <w:spacing w:after="0"/>
              <w:rPr>
                <w:sz w:val="20"/>
                <w:szCs w:val="20"/>
                <w:color w:val="auto"/>
              </w:rPr>
            </w:pPr>
            <w:r>
              <w:rPr>
                <w:rFonts w:ascii="Arial" w:cs="Arial" w:eastAsia="Arial" w:hAnsi="Arial"/>
                <w:sz w:val="20"/>
                <w:szCs w:val="20"/>
                <w:color w:val="auto"/>
              </w:rPr>
              <w:t>closure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9,162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959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9,162</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Gain on sale of Temecula packinghouse</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244"/>
        </w:trPr>
        <w:tc>
          <w:tcPr>
            <w:tcW w:w="4440" w:type="dxa"/>
            <w:vAlign w:val="bottom"/>
            <w:gridSpan w:val="2"/>
          </w:tcPr>
          <w:p>
            <w:pPr>
              <w:ind w:left="20"/>
              <w:spacing w:after="0"/>
              <w:rPr>
                <w:sz w:val="20"/>
                <w:szCs w:val="20"/>
                <w:color w:val="auto"/>
              </w:rPr>
            </w:pPr>
            <w:r>
              <w:rPr>
                <w:rFonts w:ascii="Arial" w:cs="Arial" w:eastAsia="Arial" w:hAnsi="Arial"/>
                <w:sz w:val="20"/>
                <w:szCs w:val="20"/>
                <w:color w:val="auto"/>
              </w:rPr>
              <w:t>Operating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3,014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3"/>
              </w:rPr>
              <w:t>(16,749)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5,987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(9,997)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Other income, net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559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1,517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w w:val="93"/>
              </w:rPr>
              <w:t>Recovery on reserve for FreshRealm note receivable</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20"/>
                <w:szCs w:val="20"/>
                <w:color w:val="auto"/>
                <w:w w:val="94"/>
              </w:rPr>
              <w:t>Realized and unrealized net gain (loss) on Limoneira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40" w:type="dxa"/>
            <w:vAlign w:val="bottom"/>
            <w:gridSpan w:val="2"/>
          </w:tcPr>
          <w:p>
            <w:pPr>
              <w:ind w:left="20"/>
              <w:spacing w:after="0"/>
              <w:rPr>
                <w:sz w:val="20"/>
                <w:szCs w:val="20"/>
                <w:color w:val="auto"/>
              </w:rPr>
            </w:pPr>
            <w:r>
              <w:rPr>
                <w:rFonts w:ascii="Arial" w:cs="Arial" w:eastAsia="Arial" w:hAnsi="Arial"/>
                <w:sz w:val="20"/>
                <w:szCs w:val="20"/>
                <w:color w:val="auto"/>
              </w:rPr>
              <w:t>shares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(2,802)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(2,985)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(8,605)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Income (loss) before income taxes and loss from</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unconsolidated entities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3"/>
              </w:rPr>
              <w:t>(19,400)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(2,787)</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Income tax (provision) benefit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(3,614)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6,326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(10,747)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 from unconsolidated entities</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248</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(564)</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(1,719)</w:t>
            </w:r>
          </w:p>
        </w:tc>
        <w:tc>
          <w:tcPr>
            <w:tcW w:w="0" w:type="dxa"/>
            <w:vAlign w:val="bottom"/>
          </w:tcPr>
          <w:p>
            <w:pPr>
              <w:spacing w:after="0"/>
              <w:rPr>
                <w:sz w:val="1"/>
                <w:szCs w:val="1"/>
                <w:color w:val="auto"/>
              </w:rPr>
            </w:pPr>
          </w:p>
        </w:tc>
      </w:tr>
      <w:tr>
        <w:trPr>
          <w:trHeight w:val="247"/>
        </w:trPr>
        <w:tc>
          <w:tcPr>
            <w:tcW w:w="444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(3,484)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3"/>
              </w:rPr>
              <w:t>(13,038)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(6,602)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(11,922)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20"/>
                <w:szCs w:val="20"/>
                <w:color w:val="auto"/>
                <w:w w:val="93"/>
              </w:rPr>
              <w:t>Add: Net loss attributable to noncontrolling interest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353</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r>
        <w:trPr>
          <w:trHeight w:val="290"/>
        </w:trPr>
        <w:tc>
          <w:tcPr>
            <w:tcW w:w="4440" w:type="dxa"/>
            <w:vAlign w:val="bottom"/>
            <w:gridSpan w:val="2"/>
          </w:tcPr>
          <w:p>
            <w:pPr>
              <w:ind w:left="20"/>
              <w:spacing w:after="0"/>
              <w:rPr>
                <w:sz w:val="20"/>
                <w:szCs w:val="20"/>
                <w:color w:val="auto"/>
              </w:rPr>
            </w:pPr>
            <w:r>
              <w:rPr>
                <w:rFonts w:ascii="Arial" w:cs="Arial" w:eastAsia="Arial" w:hAnsi="Arial"/>
                <w:sz w:val="20"/>
                <w:szCs w:val="20"/>
                <w:color w:val="auto"/>
              </w:rPr>
              <w:t>Net loss attributable to Calavo Growers, Inc.</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(3,316)</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(12,955)</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(6,249)</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(11,818)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Calavo Growers, Inc.’s net loss per share: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Diluted</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(0.35)</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Number of shares used in per share computation: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17,664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17,663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220"/>
              <w:spacing w:after="0"/>
              <w:rPr>
                <w:sz w:val="20"/>
                <w:szCs w:val="20"/>
                <w:color w:val="auto"/>
              </w:rPr>
            </w:pPr>
            <w:r>
              <w:rPr>
                <w:rFonts w:ascii="Arial" w:cs="Arial" w:eastAsia="Arial" w:hAnsi="Arial"/>
                <w:sz w:val="20"/>
                <w:szCs w:val="20"/>
                <w:color w:val="auto"/>
              </w:rPr>
              <w:t>Diluted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17,664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17,635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17,663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9"/>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 SALES AND GROSS PROFIT BY BUSINESS SEGMENT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Interco.</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Grown</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5"/>
              </w:rPr>
              <w:t>Prepared</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8"/>
          </w:tcPr>
          <w:p>
            <w:pPr>
              <w:ind w:left="640"/>
              <w:spacing w:after="0"/>
              <w:rPr>
                <w:sz w:val="20"/>
                <w:szCs w:val="20"/>
                <w:color w:val="auto"/>
              </w:rPr>
            </w:pPr>
            <w:r>
              <w:rPr>
                <w:rFonts w:ascii="Arial" w:cs="Arial" w:eastAsia="Arial" w:hAnsi="Arial"/>
                <w:sz w:val="14"/>
                <w:szCs w:val="14"/>
                <w:b w:val="1"/>
                <w:bCs w:val="1"/>
                <w:color w:val="auto"/>
                <w:w w:val="86"/>
              </w:rPr>
              <w:t>(All amounts are presented in thousands)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Three months ended October 31, 2022</w:t>
            </w: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Net sales</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4"/>
              </w:rPr>
              <w:t>119,098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6"/>
              </w:rPr>
              <w:t>124,979</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(506)</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1"/>
              </w:rPr>
              <w:t>243,571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20"/>
                <w:szCs w:val="20"/>
                <w:color w:val="auto"/>
              </w:rPr>
              <w:t>Cost of sales</w:t>
            </w:r>
          </w:p>
        </w:tc>
        <w:tc>
          <w:tcPr>
            <w:tcW w:w="8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110,527</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113,189</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(506)</w:t>
            </w:r>
          </w:p>
        </w:tc>
        <w:tc>
          <w:tcPr>
            <w:tcW w:w="1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223,210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00" w:type="dxa"/>
            <w:vAlign w:val="bottom"/>
            <w:gridSpan w:val="2"/>
          </w:tcPr>
          <w:p>
            <w:pPr>
              <w:spacing w:after="0"/>
              <w:rPr>
                <w:sz w:val="20"/>
                <w:szCs w:val="20"/>
                <w:color w:val="auto"/>
              </w:rPr>
            </w:pPr>
            <w:r>
              <w:rPr>
                <w:rFonts w:ascii="Arial" w:cs="Arial" w:eastAsia="Arial" w:hAnsi="Arial"/>
                <w:sz w:val="20"/>
                <w:szCs w:val="20"/>
                <w:color w:val="auto"/>
              </w:rPr>
              <w:t>Gross profit</w:t>
            </w:r>
          </w:p>
        </w:tc>
        <w:tc>
          <w:tcPr>
            <w:tcW w:w="8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8,571</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11,790</w:t>
            </w:r>
          </w:p>
        </w:tc>
        <w:tc>
          <w:tcPr>
            <w:tcW w:w="1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20"/>
                <w:szCs w:val="20"/>
                <w:b w:val="1"/>
                <w:bCs w:val="1"/>
                <w:color w:val="auto"/>
              </w:rPr>
              <w:t>Three months ended October 31, 2021</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149,803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124,203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273,424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Cost of sales</w:t>
            </w:r>
          </w:p>
        </w:tc>
        <w:tc>
          <w:tcPr>
            <w:tcW w:w="8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142,371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122,516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264,305</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Gross profit</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7,432</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1,687</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9,119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left="60" w:right="359" w:firstLine="324"/>
        <w:spacing w:after="0" w:line="274" w:lineRule="auto"/>
        <w:rPr>
          <w:sz w:val="20"/>
          <w:szCs w:val="20"/>
          <w:color w:val="auto"/>
        </w:rPr>
      </w:pPr>
      <w:r>
        <w:rPr>
          <w:rFonts w:ascii="Arial" w:cs="Arial" w:eastAsia="Arial" w:hAnsi="Arial"/>
          <w:sz w:val="20"/>
          <w:szCs w:val="20"/>
          <w:color w:val="auto"/>
        </w:rPr>
        <w:t>For three months ended October 31, 2022 and 2021, inter-segment sales and cost of sales of $0.5 million and $0.6 million between Grown and Prepared were eliminated.</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Interco.</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Grown</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w w:val="95"/>
              </w:rPr>
              <w:t>Prepared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Elimins.</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11"/>
          </w:tcPr>
          <w:p>
            <w:pPr>
              <w:ind w:left="640"/>
              <w:spacing w:after="0"/>
              <w:rPr>
                <w:sz w:val="20"/>
                <w:szCs w:val="20"/>
                <w:color w:val="auto"/>
              </w:rPr>
            </w:pPr>
            <w:r>
              <w:rPr>
                <w:rFonts w:ascii="Arial" w:cs="Arial" w:eastAsia="Arial" w:hAnsi="Arial"/>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Year ended October 31, 2022</w:t>
            </w: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20"/>
                <w:szCs w:val="20"/>
                <w:color w:val="auto"/>
              </w:rPr>
              <w:t>Net sales</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1"/>
              </w:rPr>
              <w:t>700,270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4"/>
              </w:rPr>
              <w:t>492,868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(2,065)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89"/>
              </w:rPr>
              <w:t>1,191,073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20"/>
                <w:szCs w:val="20"/>
                <w:color w:val="auto"/>
              </w:rPr>
              <w:t>Cost of sales</w:t>
            </w:r>
          </w:p>
        </w:tc>
        <w:tc>
          <w:tcPr>
            <w:tcW w:w="11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650,105</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469,188</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(2,065)</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1,117,228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600" w:type="dxa"/>
            <w:vAlign w:val="bottom"/>
            <w:gridSpan w:val="2"/>
          </w:tcPr>
          <w:p>
            <w:pPr>
              <w:spacing w:after="0"/>
              <w:rPr>
                <w:sz w:val="20"/>
                <w:szCs w:val="20"/>
                <w:color w:val="auto"/>
              </w:rPr>
            </w:pPr>
            <w:r>
              <w:rPr>
                <w:rFonts w:ascii="Arial" w:cs="Arial" w:eastAsia="Arial" w:hAnsi="Arial"/>
                <w:sz w:val="20"/>
                <w:szCs w:val="20"/>
                <w:color w:val="auto"/>
              </w:rPr>
              <w:t>Gross profit</w:t>
            </w:r>
          </w:p>
        </w:tc>
        <w:tc>
          <w:tcPr>
            <w:tcW w:w="11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50,165</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23,680</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73,845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8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80" w:type="dxa"/>
            <w:vAlign w:val="bottom"/>
          </w:tcPr>
          <w:p>
            <w:pPr>
              <w:spacing w:after="0"/>
              <w:rPr>
                <w:sz w:val="20"/>
                <w:szCs w:val="20"/>
                <w:color w:val="auto"/>
              </w:rPr>
            </w:pPr>
            <w:r>
              <w:rPr>
                <w:rFonts w:ascii="Arial" w:cs="Arial" w:eastAsia="Arial" w:hAnsi="Arial"/>
                <w:sz w:val="20"/>
                <w:szCs w:val="20"/>
                <w:b w:val="1"/>
                <w:bCs w:val="1"/>
                <w:color w:val="auto"/>
              </w:rPr>
              <w:t>Year ended October 31, 2021</w:t>
            </w: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588,527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469,800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1,055,830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Cost of sales</w:t>
            </w:r>
          </w:p>
        </w:tc>
        <w:tc>
          <w:tcPr>
            <w:tcW w:w="1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540,740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460,162</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998,405</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Gross profit</w:t>
            </w:r>
          </w:p>
        </w:tc>
        <w:tc>
          <w:tcPr>
            <w:tcW w:w="1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47,787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9,638</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57,425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0" w:right="339"/>
        <w:spacing w:after="0" w:line="288" w:lineRule="auto"/>
        <w:rPr>
          <w:sz w:val="20"/>
          <w:szCs w:val="20"/>
          <w:color w:val="auto"/>
        </w:rPr>
      </w:pPr>
      <w:r>
        <w:rPr>
          <w:rFonts w:ascii="Arial" w:cs="Arial" w:eastAsia="Arial" w:hAnsi="Arial"/>
          <w:sz w:val="20"/>
          <w:szCs w:val="20"/>
          <w:color w:val="auto"/>
        </w:rPr>
        <w:t>For fiscal year 2022 and 2021, inter-segment sales and cost of sales of $2.1 million and $2.5 million between Grown and Prepared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817245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RECONCILIATION OF ADJUSTED NET INCOME AND EPS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35" w:lineRule="exact"/>
        <w:rPr>
          <w:sz w:val="20"/>
          <w:szCs w:val="20"/>
          <w:color w:val="auto"/>
        </w:rPr>
      </w:pPr>
    </w:p>
    <w:p>
      <w:pPr>
        <w:ind w:left="60" w:right="199"/>
        <w:spacing w:after="0" w:line="322" w:lineRule="auto"/>
        <w:rPr>
          <w:sz w:val="20"/>
          <w:szCs w:val="20"/>
          <w:color w:val="auto"/>
        </w:rPr>
      </w:pPr>
      <w:r>
        <w:rPr>
          <w:rFonts w:ascii="Arial" w:cs="Arial" w:eastAsia="Arial" w:hAnsi="Arial"/>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jc w:val="center"/>
              <w:ind w:right="103"/>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4"/>
                <w:szCs w:val="14"/>
                <w:b w:val="1"/>
                <w:bCs w:val="1"/>
                <w:color w:val="auto"/>
                <w:w w:val="90"/>
              </w:rPr>
              <w:t>October 31,</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3"/>
              </w:rPr>
              <w:t>2021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loss attributable to Calavo Growers, Inc.</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(3,316)</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jc w:val="center"/>
              <w:ind w:right="221"/>
              <w:spacing w:after="0"/>
              <w:rPr>
                <w:sz w:val="20"/>
                <w:szCs w:val="20"/>
                <w:color w:val="auto"/>
              </w:rPr>
            </w:pPr>
            <w:r>
              <w:rPr>
                <w:rFonts w:ascii="Arial" w:cs="Arial" w:eastAsia="Arial" w:hAnsi="Arial"/>
                <w:sz w:val="20"/>
                <w:szCs w:val="20"/>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(12,955)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(6,249)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3"/>
              </w:rPr>
              <w:t>(11,818)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rPr>
              <w:t>Non-GAAP adjustments: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Non-cash losses (income) recognized from</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unconsolidated entities (a)</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w w:val="92"/>
              </w:rPr>
              <w:t>Loss (recovery) from FreshRealm and other related</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240" w:type="dxa"/>
            <w:vAlign w:val="bottom"/>
            <w:gridSpan w:val="3"/>
          </w:tcPr>
          <w:p>
            <w:pPr>
              <w:ind w:left="20"/>
              <w:spacing w:after="0"/>
              <w:rPr>
                <w:sz w:val="20"/>
                <w:szCs w:val="20"/>
                <w:color w:val="auto"/>
              </w:rPr>
            </w:pPr>
            <w:r>
              <w:rPr>
                <w:rFonts w:ascii="Arial" w:cs="Arial" w:eastAsia="Arial" w:hAnsi="Arial"/>
                <w:sz w:val="20"/>
                <w:szCs w:val="20"/>
                <w:color w:val="auto"/>
              </w:rPr>
              <w:t>expenses (b)</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(5,989)</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Acquisition costs (c)</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rPr>
              <w:t>Net (gain) loss on Limoneira shares (d)</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3,125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2,985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8,928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(3,858)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RFG rent expense add back (e)</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rPr>
              <w:t>Restructure costs - consulting, management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240" w:type="dxa"/>
            <w:vAlign w:val="bottom"/>
            <w:gridSpan w:val="3"/>
          </w:tcPr>
          <w:p>
            <w:pPr>
              <w:ind w:left="20"/>
              <w:spacing w:after="0"/>
              <w:rPr>
                <w:sz w:val="20"/>
                <w:szCs w:val="20"/>
                <w:color w:val="auto"/>
              </w:rPr>
            </w:pPr>
            <w:r>
              <w:rPr>
                <w:rFonts w:ascii="Arial" w:cs="Arial" w:eastAsia="Arial" w:hAnsi="Arial"/>
                <w:sz w:val="20"/>
                <w:szCs w:val="20"/>
                <w:color w:val="auto"/>
              </w:rPr>
              <w:t>recruiting and severance (f)</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440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2,370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4,914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3,180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Mexican tax matters (g)</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709</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2,343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w w:val="91"/>
              </w:rPr>
              <w:t>Impairment, losses and charges related to property,</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240" w:type="dxa"/>
            <w:vAlign w:val="bottom"/>
            <w:gridSpan w:val="3"/>
          </w:tcPr>
          <w:p>
            <w:pPr>
              <w:ind w:left="20"/>
              <w:spacing w:after="0"/>
              <w:rPr>
                <w:sz w:val="20"/>
                <w:szCs w:val="20"/>
                <w:color w:val="auto"/>
              </w:rPr>
            </w:pPr>
            <w:r>
              <w:rPr>
                <w:rFonts w:ascii="Arial" w:cs="Arial" w:eastAsia="Arial" w:hAnsi="Arial"/>
                <w:sz w:val="20"/>
                <w:szCs w:val="20"/>
                <w:color w:val="auto"/>
              </w:rPr>
              <w:t>plant and equipment (h)</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186</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9,748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1,145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9,748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Tax impact of adjustments (i)</w:t>
            </w: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(408)</w:t>
            </w:r>
          </w:p>
        </w:tc>
        <w:tc>
          <w:tcPr>
            <w:tcW w:w="1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(4,095)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(3,788)</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rPr>
              <w:t>Adjusted net income (loss) attributed to Calavo</w:t>
            </w:r>
          </w:p>
        </w:tc>
        <w:tc>
          <w:tcPr>
            <w:tcW w:w="340" w:type="dxa"/>
            <w:vAlign w:val="bottom"/>
            <w:gridSpan w:val="2"/>
            <w:vMerge w:val="restart"/>
          </w:tcPr>
          <w:p>
            <w:pPr>
              <w:jc w:val="right"/>
              <w:ind w:right="23"/>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596</w:t>
            </w:r>
          </w:p>
        </w:tc>
        <w:tc>
          <w:tcPr>
            <w:tcW w:w="560" w:type="dxa"/>
            <w:vAlign w:val="bottom"/>
            <w:gridSpan w:val="2"/>
            <w:vMerge w:val="restart"/>
          </w:tcPr>
          <w:p>
            <w:pPr>
              <w:jc w:val="center"/>
              <w:ind w:right="81"/>
              <w:spacing w:after="0"/>
              <w:rPr>
                <w:sz w:val="20"/>
                <w:szCs w:val="20"/>
                <w:color w:val="auto"/>
              </w:rPr>
            </w:pPr>
            <w:r>
              <w:rPr>
                <w:rFonts w:ascii="Arial" w:cs="Arial" w:eastAsia="Arial" w:hAnsi="Arial"/>
                <w:sz w:val="20"/>
                <w:szCs w:val="20"/>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(1,420)</w:t>
            </w:r>
          </w:p>
        </w:tc>
        <w:tc>
          <w:tcPr>
            <w:tcW w:w="400" w:type="dxa"/>
            <w:vAlign w:val="bottom"/>
            <w:gridSpan w:val="2"/>
            <w:vMerge w:val="restart"/>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8,869</w:t>
            </w:r>
          </w:p>
        </w:tc>
        <w:tc>
          <w:tcPr>
            <w:tcW w:w="34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6,220</w:t>
            </w:r>
          </w:p>
        </w:tc>
        <w:tc>
          <w:tcPr>
            <w:tcW w:w="0" w:type="dxa"/>
            <w:vAlign w:val="bottom"/>
          </w:tcPr>
          <w:p>
            <w:pPr>
              <w:spacing w:after="0"/>
              <w:rPr>
                <w:sz w:val="1"/>
                <w:szCs w:val="1"/>
                <w:color w:val="auto"/>
              </w:rPr>
            </w:pPr>
          </w:p>
        </w:tc>
      </w:tr>
      <w:tr>
        <w:trPr>
          <w:trHeight w:val="289"/>
        </w:trPr>
        <w:tc>
          <w:tcPr>
            <w:tcW w:w="4240" w:type="dxa"/>
            <w:vAlign w:val="bottom"/>
            <w:gridSpan w:val="3"/>
          </w:tcPr>
          <w:p>
            <w:pPr>
              <w:ind w:left="20"/>
              <w:spacing w:after="0"/>
              <w:rPr>
                <w:sz w:val="20"/>
                <w:szCs w:val="20"/>
                <w:color w:val="auto"/>
              </w:rPr>
            </w:pPr>
            <w:r>
              <w:rPr>
                <w:rFonts w:ascii="Arial" w:cs="Arial" w:eastAsia="Arial" w:hAnsi="Arial"/>
                <w:sz w:val="20"/>
                <w:szCs w:val="20"/>
                <w:color w:val="auto"/>
              </w:rPr>
              <w:t>Growers, Inc.</w:t>
            </w:r>
          </w:p>
        </w:tc>
        <w:tc>
          <w:tcPr>
            <w:tcW w:w="34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2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w w:val="92"/>
              </w:rPr>
              <w:t>Calavo Growers, Inc.’s net income (loss) per share:</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Diluted EPS (GAAP)</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560" w:type="dxa"/>
            <w:vAlign w:val="bottom"/>
            <w:gridSpan w:val="2"/>
            <w:shd w:val="clear" w:color="auto" w:fill="CCEEFF"/>
          </w:tcPr>
          <w:p>
            <w:pPr>
              <w:jc w:val="center"/>
              <w:ind w:right="81"/>
              <w:spacing w:after="0"/>
              <w:rPr>
                <w:sz w:val="20"/>
                <w:szCs w:val="20"/>
                <w:color w:val="auto"/>
              </w:rPr>
            </w:pPr>
            <w:r>
              <w:rPr>
                <w:rFonts w:ascii="Arial" w:cs="Arial" w:eastAsia="Arial" w:hAnsi="Arial"/>
                <w:sz w:val="20"/>
                <w:szCs w:val="20"/>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(0.73)</w:t>
            </w:r>
          </w:p>
        </w:tc>
        <w:tc>
          <w:tcPr>
            <w:tcW w:w="400" w:type="dxa"/>
            <w:vAlign w:val="bottom"/>
            <w:gridSpan w:val="2"/>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(0.35)</w:t>
            </w:r>
          </w:p>
        </w:tc>
        <w:tc>
          <w:tcPr>
            <w:tcW w:w="34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color w:val="auto"/>
              </w:rPr>
              <w:t>Adjusted Diluted EPS</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220" w:type="dxa"/>
            <w:vAlign w:val="bottom"/>
            <w:tcBorders>
              <w:bottom w:val="single" w:sz="8" w:color="CCEEFF"/>
            </w:tcBorders>
            <w:gridSpan w:val="2"/>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0.03</w:t>
            </w: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center"/>
              <w:ind w:right="221"/>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(0.08)</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0.50</w:t>
            </w: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0.35</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w w:val="95"/>
              </w:rPr>
              <w:t>Number of shares used in per share computation:</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Diluted</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17,664</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17,635</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17,663</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17,621</w:t>
            </w:r>
          </w:p>
        </w:tc>
        <w:tc>
          <w:tcPr>
            <w:tcW w:w="0" w:type="dxa"/>
            <w:vAlign w:val="bottom"/>
          </w:tcPr>
          <w:p>
            <w:pPr>
              <w:spacing w:after="0"/>
              <w:rPr>
                <w:sz w:val="1"/>
                <w:szCs w:val="1"/>
                <w:color w:val="auto"/>
              </w:rPr>
            </w:pPr>
          </w:p>
        </w:tc>
      </w:tr>
      <w:tr>
        <w:trPr>
          <w:trHeight w:val="132"/>
        </w:trPr>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60" w:right="119" w:hanging="324"/>
        <w:spacing w:after="0" w:line="254"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October 31, 2022 and 2021, we realized income from Agricola Don Memo totaling $0.2 million and less than $0.1 million. For the year ended October 31, 2022 and 2021, we realized losses from Agricola Don Memo totaling $0.6 million and $1.7 million.</w:t>
      </w:r>
    </w:p>
    <w:p>
      <w:pPr>
        <w:ind w:left="860" w:right="159" w:hanging="324"/>
        <w:spacing w:after="0" w:line="252"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For the year ended October 31, 2022, we recognized a return to provision discrete tax expense of $0.6 million due to the finalization of the tax treatment of the loss related to the previously recorded impairment of the investment in FreshRealm.</w:t>
      </w:r>
    </w:p>
    <w:p>
      <w:pPr>
        <w:spacing w:after="0" w:line="2" w:lineRule="exact"/>
        <w:rPr>
          <w:rFonts w:ascii="Arial" w:cs="Arial" w:eastAsia="Arial" w:hAnsi="Arial"/>
          <w:sz w:val="16"/>
          <w:szCs w:val="16"/>
          <w:color w:val="auto"/>
        </w:rPr>
      </w:pPr>
    </w:p>
    <w:p>
      <w:pPr>
        <w:ind w:left="860" w:right="239" w:hanging="324"/>
        <w:spacing w:after="0" w:line="248"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year ended October 31, 2021, we incurred professional service costs related to a considered but non-consummated acquisition.</w:t>
      </w:r>
    </w:p>
    <w:p>
      <w:pPr>
        <w:spacing w:after="0" w:line="1" w:lineRule="exact"/>
        <w:rPr>
          <w:rFonts w:ascii="Arial" w:cs="Arial" w:eastAsia="Arial" w:hAnsi="Arial"/>
          <w:sz w:val="16"/>
          <w:szCs w:val="16"/>
          <w:color w:val="auto"/>
        </w:rPr>
      </w:pPr>
    </w:p>
    <w:p>
      <w:pPr>
        <w:ind w:left="860" w:right="119" w:hanging="324"/>
        <w:spacing w:after="0" w:line="256"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October 31, 2022 and 2021, we recorded realized and unrealized losses of $3.1 million and $3.0 million, respectively. For the year-ended October 31, 2022 and 2021, we recorded realized and unrealized losses of $8.6 million, and unrealized gains of $3.9 million on Limoneira shares. For the year ended October 31, 2022, we sold our entire investment of 1,677,299 shares of Limoneira stock. We incurred $0.3 million of broker fees as part of the sale of Limoneira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70" w:lineRule="exact"/>
        <w:rPr>
          <w:sz w:val="20"/>
          <w:szCs w:val="20"/>
          <w:color w:val="auto"/>
        </w:rPr>
      </w:pPr>
    </w:p>
    <w:p>
      <w:pPr>
        <w:ind w:left="860" w:right="199" w:hanging="324"/>
        <w:spacing w:after="0" w:line="295" w:lineRule="auto"/>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October 31, 2022 and 2021, we incurred $0.1 million related to rent paid for Prepared’s former corporate office space that we have vacated and plan to sublease. For the year ended October 31, 2022 and 2021, we incurred $0.4 million related to rent paid for RFG corporate office space that we have vacated and plan to sublease.</w:t>
      </w:r>
    </w:p>
    <w:p>
      <w:pPr>
        <w:ind w:left="860" w:right="159" w:hanging="324"/>
        <w:spacing w:after="0" w:line="286" w:lineRule="auto"/>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year ended October 31, 2022 and 2021, we recorded $2.8 million and $0.9 million of consulting expenses related to an enterprise-wide strategic business operations study conducted by a third-party management consulting organization for the purpose of restructuring to improve the profitability of the organization and efficiency of our operations. For the three months ended October 31, 2021, we recorded $0.8 million of these consulting expenses. In addition, for the three and twelve months ended October 31, 2022, we recorded $0.1 million and $1.4 million of severance accrual related to the Project Uno restructuring. For the three months and twelve months ended October 31, 2022, we incurred $0.3 million and $0.7 million related to management recruiting and severance costs in connection with the restructuring initiative. For the three months and twelve months ended October 31, 2021, we recorded higher stock-based compensation for the early vesting of restricted stock for the retirement of our former Chief Executive Officer and Board member.</w:t>
      </w:r>
    </w:p>
    <w:p>
      <w:pPr>
        <w:spacing w:after="0" w:line="1" w:lineRule="exact"/>
        <w:rPr>
          <w:rFonts w:ascii="Arial" w:cs="Arial" w:eastAsia="Arial" w:hAnsi="Arial"/>
          <w:sz w:val="14"/>
          <w:szCs w:val="14"/>
          <w:color w:val="auto"/>
        </w:rPr>
      </w:pPr>
    </w:p>
    <w:p>
      <w:pPr>
        <w:ind w:left="860" w:right="79" w:hanging="324"/>
        <w:spacing w:after="0" w:line="266" w:lineRule="auto"/>
        <w:tabs>
          <w:tab w:leader="none" w:pos="86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three and twelve months ended October 31, 2022, we incurred $0.3 million and $1.4 million of related professional fees related to the Mexican tax matters. For the three and twelve months ended October 31, 2021, we incurred $0.3 million of related professional fees related to the Mexican tax matters. For the three and twelve months ended October 31, 2022, we recognized a return to provision discrete tax expense of $0.4 million and $0.9 million due to the finalization of the tax treatment for the final settlement of the 2011 Assessment (see below).</w:t>
      </w:r>
    </w:p>
    <w:p>
      <w:pPr>
        <w:spacing w:after="0" w:line="2" w:lineRule="exact"/>
        <w:rPr>
          <w:rFonts w:ascii="Arial" w:cs="Arial" w:eastAsia="Arial" w:hAnsi="Arial"/>
          <w:sz w:val="15"/>
          <w:szCs w:val="15"/>
          <w:color w:val="auto"/>
        </w:rPr>
      </w:pPr>
    </w:p>
    <w:p>
      <w:pPr>
        <w:ind w:left="860" w:right="299"/>
        <w:spacing w:after="0" w:line="252" w:lineRule="auto"/>
        <w:rPr>
          <w:rFonts w:ascii="Arial" w:cs="Arial" w:eastAsia="Arial" w:hAnsi="Arial"/>
          <w:sz w:val="15"/>
          <w:szCs w:val="15"/>
          <w:color w:val="auto"/>
        </w:rPr>
      </w:pPr>
      <w:r>
        <w:rPr>
          <w:rFonts w:ascii="Arial" w:cs="Arial" w:eastAsia="Arial" w:hAnsi="Arial"/>
          <w:sz w:val="16"/>
          <w:szCs w:val="16"/>
          <w:color w:val="auto"/>
        </w:rPr>
        <w:t>In June 2021, we paid $2.4 million in full settlement of the 2011 Assessment. Of this amount, $1.5 million has been recorded as a discrete item in the Income Tax Provision and $0.9 million is related to Value Added Tax expense and recorded as expenses related to the Mexican tax matters. An additional $0.3 million of related professional fees have also been recorded as expenses related to the Mexican tax matters.</w:t>
      </w:r>
    </w:p>
    <w:p>
      <w:pPr>
        <w:jc w:val="both"/>
        <w:ind w:left="860" w:right="179"/>
        <w:spacing w:after="0" w:line="267" w:lineRule="auto"/>
        <w:rPr>
          <w:rFonts w:ascii="Arial" w:cs="Arial" w:eastAsia="Arial" w:hAnsi="Arial"/>
          <w:sz w:val="15"/>
          <w:szCs w:val="15"/>
          <w:color w:val="auto"/>
        </w:rPr>
      </w:pPr>
      <w:r>
        <w:rPr>
          <w:rFonts w:ascii="Arial" w:cs="Arial" w:eastAsia="Arial" w:hAnsi="Arial"/>
          <w:sz w:val="15"/>
          <w:szCs w:val="15"/>
          <w:color w:val="auto"/>
        </w:rPr>
        <w:t>In July 2021, based on our evaluation of the most probable outcomes of the 2013 Assessment, we have recorded an accrual of $11 million in our financial statements as a discrete item in Income Tax Provision. An additional $0.1 million of related professional fees have also been recorded as expenses related to the Mexican tax matters.</w:t>
      </w:r>
    </w:p>
    <w:p>
      <w:pPr>
        <w:spacing w:after="0" w:line="1" w:lineRule="exact"/>
        <w:rPr>
          <w:rFonts w:ascii="Arial" w:cs="Arial" w:eastAsia="Arial" w:hAnsi="Arial"/>
          <w:sz w:val="15"/>
          <w:szCs w:val="15"/>
          <w:color w:val="auto"/>
        </w:rPr>
      </w:pPr>
    </w:p>
    <w:p>
      <w:pPr>
        <w:ind w:left="860" w:right="139" w:hanging="324"/>
        <w:spacing w:after="0" w:line="250"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October 18, 2021, we announced the closure of Prepared’s food processing operations at our Green Cove Springs (near Jacksonville), Florida facility, as part of our Project Uno profit improvement program. As of November 15, the Green Cove facility of RFG has ceased operations. We incurred $0.9 million of expenses for the year ended October 31, 2022, related to the closure of this facility. In addition, we incurred $0.2 million of losses on disposals of fixed assets for the year ended October 31, 2022.</w:t>
      </w:r>
    </w:p>
    <w:p>
      <w:pPr>
        <w:ind w:left="860" w:hanging="324"/>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686435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57"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CALAVO GROWERS, INC.</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RECONCILIATION OF EBITDA AND ADJUSTED EBITDA (UNAUDITED)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27" w:lineRule="exact"/>
        <w:rPr>
          <w:sz w:val="20"/>
          <w:szCs w:val="20"/>
          <w:color w:val="auto"/>
        </w:rPr>
      </w:pPr>
    </w:p>
    <w:p>
      <w:pPr>
        <w:ind w:left="60" w:right="179"/>
        <w:spacing w:after="0" w:line="271" w:lineRule="auto"/>
        <w:rPr>
          <w:sz w:val="20"/>
          <w:szCs w:val="20"/>
          <w:color w:val="auto"/>
        </w:rPr>
      </w:pPr>
      <w:r>
        <w:rPr>
          <w:rFonts w:ascii="Arial" w:cs="Arial" w:eastAsia="Arial" w:hAnsi="Arial"/>
          <w:sz w:val="20"/>
          <w:szCs w:val="20"/>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8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4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October 31,</w:t>
            </w:r>
          </w:p>
        </w:tc>
        <w:tc>
          <w:tcPr>
            <w:tcW w:w="180" w:type="dxa"/>
            <w:vAlign w:val="bottom"/>
          </w:tcPr>
          <w:p>
            <w:pPr>
              <w:spacing w:after="0"/>
              <w:rPr>
                <w:sz w:val="16"/>
                <w:szCs w:val="16"/>
                <w:color w:val="auto"/>
              </w:rPr>
            </w:pPr>
          </w:p>
        </w:tc>
        <w:tc>
          <w:tcPr>
            <w:tcW w:w="1840" w:type="dxa"/>
            <w:vAlign w:val="bottom"/>
            <w:gridSpan w:val="5"/>
          </w:tcPr>
          <w:p>
            <w:pPr>
              <w:ind w:left="480"/>
              <w:spacing w:after="0"/>
              <w:rPr>
                <w:sz w:val="20"/>
                <w:szCs w:val="20"/>
                <w:color w:val="auto"/>
              </w:rPr>
            </w:pPr>
            <w:r>
              <w:rPr>
                <w:rFonts w:ascii="Arial" w:cs="Arial" w:eastAsia="Arial" w:hAnsi="Arial"/>
                <w:sz w:val="14"/>
                <w:szCs w:val="14"/>
                <w:b w:val="1"/>
                <w:bCs w:val="1"/>
                <w:color w:val="auto"/>
              </w:rPr>
              <w:t>October 31,</w:t>
            </w:r>
          </w:p>
        </w:tc>
      </w:tr>
      <w:tr>
        <w:trPr>
          <w:trHeight w:val="181"/>
        </w:trPr>
        <w:tc>
          <w:tcPr>
            <w:tcW w:w="44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238"/>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attributable to Calavo Growers, Inc.</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(12,955)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(6,249)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(11,818)</w:t>
            </w:r>
          </w:p>
        </w:tc>
        <w:tc>
          <w:tcPr>
            <w:tcW w:w="20" w:type="dxa"/>
            <w:vAlign w:val="bottom"/>
          </w:tcPr>
          <w:p>
            <w:pPr>
              <w:spacing w:after="0"/>
              <w:rPr>
                <w:sz w:val="20"/>
                <w:szCs w:val="20"/>
                <w:color w:val="auto"/>
              </w:rPr>
            </w:pPr>
          </w:p>
        </w:tc>
      </w:tr>
      <w:tr>
        <w:trPr>
          <w:trHeight w:val="257"/>
        </w:trPr>
        <w:tc>
          <w:tcPr>
            <w:tcW w:w="446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0"/>
                <w:szCs w:val="20"/>
                <w:color w:val="auto"/>
              </w:rPr>
              <w:t>(98)</w:t>
            </w:r>
          </w:p>
        </w:tc>
        <w:tc>
          <w:tcPr>
            <w:tcW w:w="1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auto"/>
              </w:rPr>
              <w:t>(277)</w:t>
            </w:r>
          </w:p>
        </w:tc>
        <w:tc>
          <w:tcPr>
            <w:tcW w:w="1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color w:val="auto"/>
              </w:rPr>
              <w:t>(500)</w:t>
            </w: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(335)</w:t>
            </w:r>
          </w:p>
        </w:tc>
      </w:tr>
      <w:tr>
        <w:trPr>
          <w:trHeight w:val="257"/>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1,686</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798</w:t>
            </w:r>
          </w:p>
        </w:tc>
        <w:tc>
          <w:tcPr>
            <w:tcW w:w="20" w:type="dxa"/>
            <w:vAlign w:val="bottom"/>
          </w:tcPr>
          <w:p>
            <w:pPr>
              <w:spacing w:after="0"/>
              <w:rPr>
                <w:sz w:val="22"/>
                <w:szCs w:val="22"/>
                <w:color w:val="auto"/>
              </w:rPr>
            </w:pPr>
          </w:p>
        </w:tc>
      </w:tr>
      <w:tr>
        <w:trPr>
          <w:trHeight w:val="473"/>
        </w:trPr>
        <w:tc>
          <w:tcPr>
            <w:tcW w:w="4460" w:type="dxa"/>
            <w:vAlign w:val="bottom"/>
          </w:tcPr>
          <w:p>
            <w:pPr>
              <w:ind w:left="20"/>
              <w:spacing w:after="0"/>
              <w:rPr>
                <w:sz w:val="20"/>
                <w:szCs w:val="20"/>
                <w:color w:val="auto"/>
              </w:rPr>
            </w:pPr>
            <w:r>
              <w:rPr>
                <w:rFonts w:ascii="Arial" w:cs="Arial" w:eastAsia="Arial" w:hAnsi="Arial"/>
                <w:sz w:val="20"/>
                <w:szCs w:val="20"/>
                <w:color w:val="auto"/>
              </w:rPr>
              <w:t>Provision (Benefit) for Income Taxes</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3,614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auto"/>
              </w:rPr>
              <w:t>(6,326)</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3,251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10,747</w:t>
            </w:r>
          </w:p>
        </w:tc>
        <w:tc>
          <w:tcPr>
            <w:tcW w:w="20" w:type="dxa"/>
            <w:vAlign w:val="bottom"/>
          </w:tcPr>
          <w:p>
            <w:pPr>
              <w:spacing w:after="0"/>
              <w:rPr>
                <w:sz w:val="24"/>
                <w:szCs w:val="24"/>
                <w:color w:val="auto"/>
              </w:rPr>
            </w:pPr>
          </w:p>
        </w:tc>
      </w:tr>
      <w:tr>
        <w:trPr>
          <w:trHeight w:val="256"/>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&amp; Amortization</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4,117</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4,646</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16,589</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17,571</w:t>
            </w:r>
          </w:p>
        </w:tc>
        <w:tc>
          <w:tcPr>
            <w:tcW w:w="20" w:type="dxa"/>
            <w:vAlign w:val="bottom"/>
          </w:tcPr>
          <w:p>
            <w:pPr>
              <w:spacing w:after="0"/>
              <w:rPr>
                <w:sz w:val="22"/>
                <w:szCs w:val="22"/>
                <w:color w:val="auto"/>
              </w:rPr>
            </w:pPr>
          </w:p>
        </w:tc>
      </w:tr>
      <w:tr>
        <w:trPr>
          <w:trHeight w:val="257"/>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Stock-Based Compensation (d)</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1,016</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1,132</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3,139</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3,950</w:t>
            </w:r>
          </w:p>
        </w:tc>
        <w:tc>
          <w:tcPr>
            <w:tcW w:w="20" w:type="dxa"/>
            <w:vAlign w:val="bottom"/>
          </w:tcPr>
          <w:p>
            <w:pPr>
              <w:spacing w:after="0"/>
              <w:rPr>
                <w:sz w:val="22"/>
                <w:szCs w:val="22"/>
                <w:color w:val="auto"/>
              </w:rPr>
            </w:pPr>
          </w:p>
        </w:tc>
      </w:tr>
      <w:tr>
        <w:trPr>
          <w:trHeight w:val="237"/>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5,747</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(13,555)</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17,916</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20,913</w:t>
            </w:r>
          </w:p>
        </w:tc>
        <w:tc>
          <w:tcPr>
            <w:tcW w:w="20" w:type="dxa"/>
            <w:vAlign w:val="bottom"/>
          </w:tcPr>
          <w:p>
            <w:pPr>
              <w:spacing w:after="0"/>
              <w:rPr>
                <w:sz w:val="20"/>
                <w:szCs w:val="20"/>
                <w:color w:val="auto"/>
              </w:rPr>
            </w:pPr>
          </w:p>
        </w:tc>
      </w:tr>
      <w:tr>
        <w:trPr>
          <w:trHeight w:val="250"/>
        </w:trPr>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Adjustments:</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4460" w:type="dxa"/>
            <w:vAlign w:val="bottom"/>
          </w:tcPr>
          <w:p>
            <w:pPr>
              <w:ind w:left="20"/>
              <w:spacing w:after="0" w:line="212" w:lineRule="exact"/>
              <w:rPr>
                <w:sz w:val="20"/>
                <w:szCs w:val="20"/>
                <w:color w:val="auto"/>
              </w:rPr>
            </w:pPr>
            <w:r>
              <w:rPr>
                <w:rFonts w:ascii="Arial" w:cs="Arial" w:eastAsia="Arial" w:hAnsi="Arial"/>
                <w:sz w:val="20"/>
                <w:szCs w:val="20"/>
                <w:color w:val="auto"/>
              </w:rPr>
              <w:t>Non-cash losses (income) recognized from</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4460" w:type="dxa"/>
            <w:vAlign w:val="bottom"/>
          </w:tcPr>
          <w:p>
            <w:pPr>
              <w:ind w:left="20"/>
              <w:spacing w:after="0"/>
              <w:rPr>
                <w:sz w:val="20"/>
                <w:szCs w:val="20"/>
                <w:color w:val="auto"/>
              </w:rPr>
            </w:pPr>
            <w:r>
              <w:rPr>
                <w:rFonts w:ascii="Arial" w:cs="Arial" w:eastAsia="Arial" w:hAnsi="Arial"/>
                <w:sz w:val="20"/>
                <w:szCs w:val="20"/>
                <w:color w:val="auto"/>
              </w:rPr>
              <w:t>unconsolidated entities (a)</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(248)</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564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1,719</w:t>
            </w:r>
          </w:p>
        </w:tc>
        <w:tc>
          <w:tcPr>
            <w:tcW w:w="20" w:type="dxa"/>
            <w:vAlign w:val="bottom"/>
          </w:tcPr>
          <w:p>
            <w:pPr>
              <w:spacing w:after="0"/>
              <w:rPr>
                <w:sz w:val="22"/>
                <w:szCs w:val="22"/>
                <w:color w:val="auto"/>
              </w:rPr>
            </w:pPr>
          </w:p>
        </w:tc>
      </w:tr>
      <w:tr>
        <w:trPr>
          <w:trHeight w:val="257"/>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(gain) loss on Limoneira shares (d)</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3,125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2,985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8,928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(3,858)</w:t>
            </w:r>
          </w:p>
        </w:tc>
        <w:tc>
          <w:tcPr>
            <w:tcW w:w="20" w:type="dxa"/>
            <w:vAlign w:val="bottom"/>
          </w:tcPr>
          <w:p>
            <w:pPr>
              <w:spacing w:after="0"/>
              <w:rPr>
                <w:sz w:val="22"/>
                <w:szCs w:val="22"/>
                <w:color w:val="auto"/>
              </w:rPr>
            </w:pPr>
          </w:p>
        </w:tc>
      </w:tr>
      <w:tr>
        <w:trPr>
          <w:trHeight w:val="213"/>
        </w:trPr>
        <w:tc>
          <w:tcPr>
            <w:tcW w:w="4460" w:type="dxa"/>
            <w:vAlign w:val="bottom"/>
          </w:tcPr>
          <w:p>
            <w:pPr>
              <w:ind w:left="20"/>
              <w:spacing w:after="0" w:line="212" w:lineRule="exact"/>
              <w:rPr>
                <w:sz w:val="20"/>
                <w:szCs w:val="20"/>
                <w:color w:val="auto"/>
              </w:rPr>
            </w:pPr>
            <w:r>
              <w:rPr>
                <w:rFonts w:ascii="Arial" w:cs="Arial" w:eastAsia="Arial" w:hAnsi="Arial"/>
                <w:sz w:val="20"/>
                <w:szCs w:val="20"/>
                <w:color w:val="auto"/>
                <w:w w:val="95"/>
              </w:rPr>
              <w:t>Loss (Recovery) from FreshRealm and other related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4460" w:type="dxa"/>
            <w:vAlign w:val="bottom"/>
          </w:tcPr>
          <w:p>
            <w:pPr>
              <w:ind w:left="20"/>
              <w:spacing w:after="0"/>
              <w:rPr>
                <w:sz w:val="20"/>
                <w:szCs w:val="20"/>
                <w:color w:val="auto"/>
              </w:rPr>
            </w:pPr>
            <w:r>
              <w:rPr>
                <w:rFonts w:ascii="Arial" w:cs="Arial" w:eastAsia="Arial" w:hAnsi="Arial"/>
                <w:sz w:val="20"/>
                <w:szCs w:val="20"/>
                <w:color w:val="auto"/>
              </w:rPr>
              <w:t>expenses (b)</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(5,989)</w:t>
            </w:r>
          </w:p>
        </w:tc>
      </w:tr>
      <w:tr>
        <w:trPr>
          <w:trHeight w:val="256"/>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RFG rent expense add back (e)</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396</w:t>
            </w:r>
          </w:p>
        </w:tc>
        <w:tc>
          <w:tcPr>
            <w:tcW w:w="20" w:type="dxa"/>
            <w:vAlign w:val="bottom"/>
          </w:tcPr>
          <w:p>
            <w:pPr>
              <w:spacing w:after="0"/>
              <w:rPr>
                <w:sz w:val="22"/>
                <w:szCs w:val="22"/>
                <w:color w:val="auto"/>
              </w:rPr>
            </w:pPr>
          </w:p>
        </w:tc>
      </w:tr>
      <w:tr>
        <w:trPr>
          <w:trHeight w:val="257"/>
        </w:trPr>
        <w:tc>
          <w:tcPr>
            <w:tcW w:w="4460" w:type="dxa"/>
            <w:vAlign w:val="bottom"/>
          </w:tcPr>
          <w:p>
            <w:pPr>
              <w:ind w:left="20"/>
              <w:spacing w:after="0"/>
              <w:rPr>
                <w:sz w:val="20"/>
                <w:szCs w:val="20"/>
                <w:color w:val="auto"/>
              </w:rPr>
            </w:pPr>
            <w:r>
              <w:rPr>
                <w:rFonts w:ascii="Arial" w:cs="Arial" w:eastAsia="Arial" w:hAnsi="Arial"/>
                <w:sz w:val="20"/>
                <w:szCs w:val="20"/>
                <w:color w:val="auto"/>
              </w:rPr>
              <w:t>Acquisition costs (c)</w:t>
            </w:r>
          </w:p>
        </w:tc>
        <w:tc>
          <w:tcPr>
            <w:tcW w:w="1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262</w:t>
            </w:r>
          </w:p>
        </w:tc>
        <w:tc>
          <w:tcPr>
            <w:tcW w:w="20" w:type="dxa"/>
            <w:vAlign w:val="bottom"/>
          </w:tcPr>
          <w:p>
            <w:pPr>
              <w:spacing w:after="0"/>
              <w:rPr>
                <w:sz w:val="22"/>
                <w:szCs w:val="22"/>
                <w:color w:val="auto"/>
              </w:rPr>
            </w:pPr>
          </w:p>
        </w:tc>
      </w:tr>
      <w:tr>
        <w:trPr>
          <w:trHeight w:val="213"/>
        </w:trPr>
        <w:tc>
          <w:tcPr>
            <w:tcW w:w="4460" w:type="dxa"/>
            <w:vAlign w:val="bottom"/>
            <w:shd w:val="clear" w:color="auto" w:fill="CCEEFF"/>
          </w:tcPr>
          <w:p>
            <w:pPr>
              <w:ind w:left="20"/>
              <w:spacing w:after="0" w:line="212" w:lineRule="exact"/>
              <w:rPr>
                <w:sz w:val="20"/>
                <w:szCs w:val="20"/>
                <w:color w:val="auto"/>
              </w:rPr>
            </w:pPr>
            <w:r>
              <w:rPr>
                <w:rFonts w:ascii="Arial" w:cs="Arial" w:eastAsia="Arial" w:hAnsi="Arial"/>
                <w:sz w:val="20"/>
                <w:szCs w:val="20"/>
                <w:color w:val="auto"/>
              </w:rPr>
              <w:t>Restructure costs - consulting and management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recruiting and severance (f)</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1,708</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4,775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1,833</w:t>
            </w:r>
          </w:p>
        </w:tc>
        <w:tc>
          <w:tcPr>
            <w:tcW w:w="20" w:type="dxa"/>
            <w:vAlign w:val="bottom"/>
          </w:tcPr>
          <w:p>
            <w:pPr>
              <w:spacing w:after="0"/>
              <w:rPr>
                <w:sz w:val="22"/>
                <w:szCs w:val="22"/>
                <w:color w:val="auto"/>
              </w:rPr>
            </w:pPr>
          </w:p>
        </w:tc>
      </w:tr>
      <w:tr>
        <w:trPr>
          <w:trHeight w:val="256"/>
        </w:trPr>
        <w:tc>
          <w:tcPr>
            <w:tcW w:w="4460" w:type="dxa"/>
            <w:vAlign w:val="bottom"/>
          </w:tcPr>
          <w:p>
            <w:pPr>
              <w:ind w:left="20"/>
              <w:spacing w:after="0"/>
              <w:rPr>
                <w:sz w:val="20"/>
                <w:szCs w:val="20"/>
                <w:color w:val="auto"/>
              </w:rPr>
            </w:pPr>
            <w:r>
              <w:rPr>
                <w:rFonts w:ascii="Arial" w:cs="Arial" w:eastAsia="Arial" w:hAnsi="Arial"/>
                <w:sz w:val="20"/>
                <w:szCs w:val="20"/>
                <w:color w:val="auto"/>
              </w:rPr>
              <w:t>Expenses related to Mexican tax matters (g)</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269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455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1,417</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1,797</w:t>
            </w:r>
          </w:p>
        </w:tc>
        <w:tc>
          <w:tcPr>
            <w:tcW w:w="20" w:type="dxa"/>
            <w:vAlign w:val="bottom"/>
          </w:tcPr>
          <w:p>
            <w:pPr>
              <w:spacing w:after="0"/>
              <w:rPr>
                <w:sz w:val="22"/>
                <w:szCs w:val="22"/>
                <w:color w:val="auto"/>
              </w:rPr>
            </w:pPr>
          </w:p>
        </w:tc>
      </w:tr>
      <w:tr>
        <w:trPr>
          <w:trHeight w:val="213"/>
        </w:trPr>
        <w:tc>
          <w:tcPr>
            <w:tcW w:w="4460" w:type="dxa"/>
            <w:vAlign w:val="bottom"/>
            <w:shd w:val="clear" w:color="auto" w:fill="CCEEFF"/>
          </w:tcPr>
          <w:p>
            <w:pPr>
              <w:ind w:left="20"/>
              <w:spacing w:after="0" w:line="212" w:lineRule="exact"/>
              <w:rPr>
                <w:sz w:val="20"/>
                <w:szCs w:val="20"/>
                <w:color w:val="auto"/>
              </w:rPr>
            </w:pPr>
            <w:r>
              <w:rPr>
                <w:rFonts w:ascii="Arial" w:cs="Arial" w:eastAsia="Arial" w:hAnsi="Arial"/>
                <w:sz w:val="20"/>
                <w:szCs w:val="20"/>
                <w:color w:val="auto"/>
                <w:w w:val="96"/>
              </w:rPr>
              <w:t>Impairment, losses and charges related to property,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4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plant and equipment (h)</w:t>
            </w: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w:t>
            </w:r>
          </w:p>
        </w:tc>
        <w:tc>
          <w:tcPr>
            <w:tcW w:w="2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9,748</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1,115</w:t>
            </w:r>
          </w:p>
        </w:tc>
        <w:tc>
          <w:tcPr>
            <w:tcW w:w="2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9,748</w:t>
            </w:r>
          </w:p>
        </w:tc>
        <w:tc>
          <w:tcPr>
            <w:tcW w:w="20" w:type="dxa"/>
            <w:vAlign w:val="bottom"/>
          </w:tcPr>
          <w:p>
            <w:pPr>
              <w:spacing w:after="0"/>
              <w:rPr>
                <w:sz w:val="22"/>
                <w:szCs w:val="22"/>
                <w:color w:val="auto"/>
              </w:rPr>
            </w:pPr>
          </w:p>
        </w:tc>
      </w:tr>
      <w:tr>
        <w:trPr>
          <w:trHeight w:val="263"/>
        </w:trPr>
        <w:tc>
          <w:tcPr>
            <w:tcW w:w="44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20"/>
                <w:szCs w:val="20"/>
                <w:color w:val="auto"/>
              </w:rPr>
              <w:t>Adjusted EBITDA</w:t>
            </w: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9,627</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1,413</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35,147</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26,821</w:t>
            </w:r>
          </w:p>
        </w:tc>
        <w:tc>
          <w:tcPr>
            <w:tcW w:w="20" w:type="dxa"/>
            <w:vAlign w:val="bottom"/>
          </w:tcPr>
          <w:p>
            <w:pPr>
              <w:spacing w:after="0"/>
              <w:rPr>
                <w:sz w:val="22"/>
                <w:szCs w:val="22"/>
                <w:color w:val="auto"/>
              </w:rPr>
            </w:pPr>
          </w:p>
        </w:tc>
      </w:tr>
      <w:tr>
        <w:trPr>
          <w:trHeight w:val="210"/>
        </w:trPr>
        <w:tc>
          <w:tcPr>
            <w:tcW w:w="446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20"/>
                <w:szCs w:val="20"/>
                <w:color w:val="auto"/>
              </w:rPr>
              <w:t>Adjusted EBITDA per dilutive share</w:t>
            </w:r>
          </w:p>
        </w:tc>
        <w:tc>
          <w:tcPr>
            <w:tcW w:w="1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rPr>
              <w:t>0.55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rPr>
              <w:t>0.08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rPr>
              <w:t>1.98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0"/>
                <w:szCs w:val="20"/>
                <w:color w:val="auto"/>
              </w:rPr>
              <w:t>1.52</w:t>
            </w:r>
          </w:p>
        </w:tc>
        <w:tc>
          <w:tcPr>
            <w:tcW w:w="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141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838835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14</w:t>
      </w: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CALAVO GROWERS,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OTHER INFORMATION (UNAUDITED)</w:t>
      </w:r>
    </w:p>
    <w:p>
      <w:pPr>
        <w:spacing w:after="0" w:line="13"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(in thousands, except per pound amounts)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w:t>
            </w:r>
          </w:p>
        </w:tc>
        <w:tc>
          <w:tcPr>
            <w:tcW w:w="2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bottom w:val="single" w:sz="8" w:color="auto"/>
            </w:tcBorders>
          </w:tcPr>
          <w:p>
            <w:pPr>
              <w:spacing w:after="0"/>
              <w:rPr>
                <w:sz w:val="15"/>
                <w:szCs w:val="15"/>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Pounds of avocados sold</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81,652</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332,116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378,168</w:t>
            </w:r>
          </w:p>
        </w:tc>
      </w:tr>
      <w:tr>
        <w:trPr>
          <w:trHeight w:val="257"/>
        </w:trPr>
        <w:tc>
          <w:tcPr>
            <w:tcW w:w="5200" w:type="dxa"/>
            <w:vAlign w:val="bottom"/>
          </w:tcPr>
          <w:p>
            <w:pPr>
              <w:ind w:left="20"/>
              <w:spacing w:after="0"/>
              <w:rPr>
                <w:sz w:val="20"/>
                <w:szCs w:val="20"/>
                <w:color w:val="auto"/>
              </w:rPr>
            </w:pPr>
            <w:r>
              <w:rPr>
                <w:rFonts w:ascii="Arial" w:cs="Arial" w:eastAsia="Arial" w:hAnsi="Arial"/>
                <w:sz w:val="20"/>
                <w:szCs w:val="20"/>
                <w:color w:val="auto"/>
              </w:rPr>
              <w:t>Pounds of prepared avocado products sold</w:t>
            </w: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5,539</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23,453</w:t>
            </w:r>
          </w:p>
        </w:tc>
        <w:tc>
          <w:tcPr>
            <w:tcW w:w="3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25,889</w:t>
            </w: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Average sales price per pound - avocados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r>
        <w:trPr>
          <w:trHeight w:val="256"/>
        </w:trPr>
        <w:tc>
          <w:tcPr>
            <w:tcW w:w="5200" w:type="dxa"/>
            <w:vAlign w:val="bottom"/>
          </w:tcPr>
          <w:p>
            <w:pPr>
              <w:ind w:left="20"/>
              <w:spacing w:after="0"/>
              <w:rPr>
                <w:sz w:val="20"/>
                <w:szCs w:val="20"/>
                <w:color w:val="auto"/>
              </w:rPr>
            </w:pPr>
            <w:r>
              <w:rPr>
                <w:rFonts w:ascii="Arial" w:cs="Arial" w:eastAsia="Arial" w:hAnsi="Arial"/>
                <w:sz w:val="20"/>
                <w:szCs w:val="20"/>
                <w:color w:val="auto"/>
              </w:rPr>
              <w:t>Gross profit per pound - avocados</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0.11</w:t>
            </w: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20"/>
                <w:szCs w:val="20"/>
                <w:color w:val="auto"/>
                <w:w w:val="96"/>
              </w:rPr>
              <w:t>Average sales price per pound – prepared avocado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57"/>
        </w:trPr>
        <w:tc>
          <w:tcPr>
            <w:tcW w:w="5200" w:type="dxa"/>
            <w:vAlign w:val="bottom"/>
          </w:tcPr>
          <w:p>
            <w:pPr>
              <w:ind w:left="20"/>
              <w:spacing w:after="0"/>
              <w:rPr>
                <w:sz w:val="20"/>
                <w:szCs w:val="20"/>
                <w:color w:val="auto"/>
              </w:rPr>
            </w:pPr>
            <w:r>
              <w:rPr>
                <w:rFonts w:ascii="Arial" w:cs="Arial" w:eastAsia="Arial" w:hAnsi="Arial"/>
                <w:sz w:val="20"/>
                <w:szCs w:val="20"/>
                <w:color w:val="auto"/>
              </w:rPr>
              <w:t>Gross profit per pound – prepared avocado products</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r>
      <w:tr>
        <w:trPr>
          <w:trHeight w:val="1208"/>
        </w:trPr>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120"/>
      </w:cols>
      <w:pgMar w:left="1440" w:top="66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o"/>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2022-12-20T15:42:59Z</dcterms:created>
  <dcterms:modified xsi:type="dcterms:W3CDTF">2022-12-20T15:42:59Z</dcterms:modified>
</cp:coreProperties>
</file>