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5126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126990"/>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Lindeman Bruce John</w:t>
              </w:r>
            </w:hyperlink>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CALAVO GROWERS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CVGW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360" w:type="dxa"/>
            <w:vAlign w:val="bottom"/>
            <w:gridSpan w:val="3"/>
            <w:vMerge w:val="continue"/>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320" w:type="dxa"/>
            <w:vAlign w:val="bottom"/>
            <w:tcBorders>
              <w:top w:val="single" w:sz="8" w:color="0000EE"/>
            </w:tcBorders>
          </w:tcPr>
          <w:p>
            <w:pPr>
              <w:spacing w:after="0"/>
              <w:rPr>
                <w:sz w:val="5"/>
                <w:szCs w:val="5"/>
                <w:color w:val="auto"/>
              </w:rPr>
            </w:pPr>
          </w:p>
        </w:tc>
        <w:tc>
          <w:tcPr>
            <w:tcW w:w="14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5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32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52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8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60" w:type="dxa"/>
            <w:vAlign w:val="bottom"/>
            <w:vMerge w:val="restart"/>
          </w:tcPr>
          <w:p>
            <w:pPr>
              <w:ind w:left="8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60" w:type="dxa"/>
            <w:vAlign w:val="bottom"/>
          </w:tcPr>
          <w:p>
            <w:pPr>
              <w:ind w:left="60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8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24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04/23/2025</w:t>
            </w:r>
          </w:p>
        </w:tc>
        <w:tc>
          <w:tcPr>
            <w:tcW w:w="14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CALAVO GROWERS, INC.</w:t>
            </w:r>
          </w:p>
        </w:tc>
        <w:tc>
          <w:tcPr>
            <w:tcW w:w="1260" w:type="dxa"/>
            <w:vAlign w:val="bottom"/>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144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60" w:type="dxa"/>
            <w:vAlign w:val="bottom"/>
            <w:gridSpan w:val="3"/>
            <w:vMerge w:val="continue"/>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23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1141-A CUMMINGS RD.</w:t>
            </w: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232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360" w:type="dxa"/>
            <w:vAlign w:val="bottom"/>
            <w:gridSpan w:val="3"/>
            <w:vMerge w:val="continue"/>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SANTA PAULA 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93060</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8"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4,259</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jc w:val="right"/>
              <w:ind w:right="180"/>
              <w:spacing w:after="0" w:line="143" w:lineRule="exact"/>
              <w:rPr>
                <w:sz w:val="20"/>
                <w:szCs w:val="20"/>
                <w:color w:val="auto"/>
              </w:rPr>
            </w:pPr>
            <w:r>
              <w:rPr>
                <w:rFonts w:ascii="Times New Roman" w:cs="Times New Roman" w:eastAsia="Times New Roman" w:hAnsi="Times New Roman"/>
                <w:sz w:val="13"/>
                <w:szCs w:val="13"/>
                <w:color w:val="0000FF"/>
              </w:rPr>
              <w:t>04/23/2025</w:t>
            </w:r>
          </w:p>
        </w:tc>
        <w:tc>
          <w:tcPr>
            <w:tcW w:w="1100" w:type="dxa"/>
            <w:vAlign w:val="bottom"/>
          </w:tcPr>
          <w:p>
            <w:pPr>
              <w:spacing w:after="0"/>
              <w:rPr>
                <w:sz w:val="5"/>
                <w:szCs w:val="5"/>
                <w:color w:val="auto"/>
              </w:rPr>
            </w:pPr>
          </w:p>
        </w:tc>
        <w:tc>
          <w:tcPr>
            <w:tcW w:w="800" w:type="dxa"/>
            <w:vAlign w:val="bottom"/>
            <w:vMerge w:val="restart"/>
          </w:tcPr>
          <w:p>
            <w:pPr>
              <w:ind w:left="18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4,259</w:t>
            </w:r>
          </w:p>
        </w:tc>
        <w:tc>
          <w:tcPr>
            <w:tcW w:w="2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4,259</w:t>
            </w:r>
          </w:p>
        </w:tc>
        <w:tc>
          <w:tcPr>
            <w:tcW w:w="74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2,220</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2,220</w:t>
            </w:r>
          </w:p>
        </w:tc>
        <w:tc>
          <w:tcPr>
            <w:tcW w:w="74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CVGW common stock.</w:t>
      </w:r>
    </w:p>
    <w:p>
      <w:pPr>
        <w:spacing w:after="0" w:line="45" w:lineRule="exact"/>
        <w:rPr>
          <w:rFonts w:ascii="Times New Roman" w:cs="Times New Roman" w:eastAsia="Times New Roman" w:hAnsi="Times New Roman"/>
          <w:sz w:val="13"/>
          <w:szCs w:val="13"/>
          <w:color w:val="008000"/>
        </w:rPr>
      </w:pPr>
    </w:p>
    <w:p>
      <w:pPr>
        <w:ind w:left="40" w:right="26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fully vest on the date that is the earlier of (i) the one-year anniversary of the date of grant, or (ii) Calavo Growers, Inc.'s 2026 annual meeting of shareholders provided such annual meeting occurs on or after April 8, 2026.</w:t>
      </w:r>
    </w:p>
    <w:p>
      <w:pPr>
        <w:spacing w:after="0" w:line="15" w:lineRule="exact"/>
        <w:rPr>
          <w:rFonts w:ascii="Times New Roman" w:cs="Times New Roman" w:eastAsia="Times New Roman" w:hAnsi="Times New Roman"/>
          <w:sz w:val="13"/>
          <w:szCs w:val="13"/>
          <w:color w:val="008000"/>
        </w:rPr>
      </w:pPr>
    </w:p>
    <w:p>
      <w:pPr>
        <w:ind w:left="40" w:right="30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fully vested on April 23, 2025, and the reporting person's receipt of 2,220 shares of common stock was deferred pursuant to the restricted stock unit award agreement between the reporting person and Calavo Growers, Inc.</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B. John Lindeman</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04/24/2025</w:t>
            </w:r>
          </w:p>
        </w:tc>
      </w:tr>
      <w:tr>
        <w:trPr>
          <w:trHeight w:val="20"/>
        </w:trPr>
        <w:tc>
          <w:tcPr>
            <w:tcW w:w="14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49692" TargetMode="External"/><Relationship Id="rId14" Type="http://schemas.openxmlformats.org/officeDocument/2006/relationships/hyperlink" Target="http://www.sec.gov/cgi-bin/browse-edgar?action=getcompany&amp;CIK=00011334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2025-04-24T18:56:06Z</dcterms:created>
  <dcterms:modified xsi:type="dcterms:W3CDTF">2025-04-24T18:56:06Z</dcterms:modified>
</cp:coreProperties>
</file>