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3"/>
          <w:szCs w:val="23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0" w:lineRule="exact"/>
        <w:rPr>
          <w:sz w:val="24"/>
          <w:szCs w:val="24"/>
          <w:color w:val="auto"/>
        </w:rPr>
      </w:pPr>
    </w:p>
    <w:p>
      <w:pPr>
        <w:ind w:left="360"/>
        <w:spacing w:after="0" w:line="235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35560</wp:posOffset>
            </wp:positionH>
            <wp:positionV relativeFrom="paragraph">
              <wp:posOffset>-236220</wp:posOffset>
            </wp:positionV>
            <wp:extent cx="132080" cy="13208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2080" cy="1320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7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6320" w:type="dxa"/>
            <w:vAlign w:val="bottom"/>
          </w:tcPr>
          <w:p>
            <w:pPr>
              <w:jc w:val="center"/>
              <w:ind w:right="1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8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"/>
        </w:trPr>
        <w:tc>
          <w:tcPr>
            <w:tcW w:w="6320" w:type="dxa"/>
            <w:vAlign w:val="bottom"/>
            <w:vMerge w:val="restart"/>
          </w:tcPr>
          <w:p>
            <w:pPr>
              <w:jc w:val="center"/>
              <w:ind w:right="156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63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63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20" w:type="dxa"/>
            <w:vAlign w:val="bottom"/>
            <w:vMerge w:val="restart"/>
          </w:tcPr>
          <w:p>
            <w:pPr>
              <w:jc w:val="center"/>
              <w:ind w:right="1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8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4"/>
        </w:trPr>
        <w:tc>
          <w:tcPr>
            <w:tcW w:w="632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32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6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6320" w:type="dxa"/>
            <w:vAlign w:val="bottom"/>
            <w:vMerge w:val="restart"/>
          </w:tcPr>
          <w:p>
            <w:pPr>
              <w:jc w:val="center"/>
              <w:ind w:right="1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9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3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2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5278120</wp:posOffset>
            </wp:positionH>
            <wp:positionV relativeFrom="paragraph">
              <wp:posOffset>-631190</wp:posOffset>
            </wp:positionV>
            <wp:extent cx="58420" cy="64452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445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3998595</wp:posOffset>
            </wp:positionH>
            <wp:positionV relativeFrom="paragraph">
              <wp:posOffset>-631190</wp:posOffset>
            </wp:positionV>
            <wp:extent cx="58420" cy="64452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445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-1622425</wp:posOffset>
            </wp:positionH>
            <wp:positionV relativeFrom="paragraph">
              <wp:posOffset>24130</wp:posOffset>
            </wp:positionV>
            <wp:extent cx="6992620" cy="477202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92620" cy="47720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1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80" w:space="260"/>
            <w:col w:w="8540"/>
          </w:cols>
          <w:pgMar w:left="460" w:top="216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1"/>
          <w:szCs w:val="21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2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Dumas Danny</w:t>
        </w:r>
      </w:hyperlink>
    </w:p>
    <w:p>
      <w:pPr>
        <w:spacing w:after="0" w:line="295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2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C/O CALAVO GROWERS, INC.</w:t>
      </w:r>
    </w:p>
    <w:p>
      <w:pPr>
        <w:spacing w:after="0" w:line="65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1141-A CUMMINGS RD.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3" w:lineRule="exact"/>
        <w:rPr>
          <w:sz w:val="24"/>
          <w:szCs w:val="24"/>
          <w:color w:val="auto"/>
        </w:rPr>
      </w:pPr>
    </w:p>
    <w:p>
      <w:pPr>
        <w:spacing w:after="0"/>
        <w:rPr>
          <w:rFonts w:ascii="Times New Roman" w:cs="Times New Roman" w:eastAsia="Times New Roman" w:hAnsi="Times New Roman"/>
          <w:sz w:val="20"/>
          <w:szCs w:val="20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0"/>
            <w:szCs w:val="20"/>
            <w:u w:val="single" w:color="auto"/>
            <w:color w:val="0000EE"/>
          </w:rPr>
          <w:t>CALAVO GROWERS INC</w:t>
        </w:r>
        <w:r>
          <w:rPr>
            <w:rFonts w:ascii="Times New Roman" w:cs="Times New Roman" w:eastAsia="Times New Roman" w:hAnsi="Times New Roman"/>
            <w:sz w:val="20"/>
            <w:szCs w:val="20"/>
            <w:color w:val="0000EE"/>
          </w:rPr>
          <w:t xml:space="preserve"> </w:t>
        </w:r>
      </w:hyperlink>
      <w:r>
        <w:rPr>
          <w:rFonts w:ascii="Times New Roman" w:cs="Times New Roman" w:eastAsia="Times New Roman" w:hAnsi="Times New Roman"/>
          <w:sz w:val="20"/>
          <w:szCs w:val="20"/>
          <w:color w:val="000000"/>
        </w:rPr>
        <w:t>[</w:t>
      </w:r>
      <w:r>
        <w:rPr>
          <w:rFonts w:ascii="Times New Roman" w:cs="Times New Roman" w:eastAsia="Times New Roman" w:hAnsi="Times New Roman"/>
          <w:sz w:val="20"/>
          <w:szCs w:val="20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15"/>
          <w:szCs w:val="15"/>
          <w:color w:val="0000FF"/>
        </w:rPr>
        <w:t>CVGW</w:t>
      </w:r>
      <w:r>
        <w:rPr>
          <w:rFonts w:ascii="Times New Roman" w:cs="Times New Roman" w:eastAsia="Times New Roman" w:hAnsi="Times New Roman"/>
          <w:sz w:val="20"/>
          <w:szCs w:val="20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20"/>
          <w:szCs w:val="20"/>
          <w:color w:val="000000"/>
        </w:rPr>
        <w:t>]</w:t>
      </w:r>
    </w:p>
    <w:p>
      <w:pPr>
        <w:spacing w:after="0" w:line="359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12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07/11/2022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-6" w:right="620" w:firstLine="6"/>
        <w:spacing w:after="0" w:line="260" w:lineRule="auto"/>
        <w:tabs>
          <w:tab w:leader="none" w:pos="139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" w:lineRule="exact"/>
        <w:rPr>
          <w:sz w:val="24"/>
          <w:szCs w:val="24"/>
          <w:color w:val="auto"/>
        </w:rPr>
      </w:pPr>
    </w:p>
    <w:tbl>
      <w:tblPr>
        <w:tblLayout w:type="fixed"/>
        <w:tblInd w:w="194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2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12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6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X</w:t>
            </w:r>
          </w:p>
        </w:tc>
        <w:tc>
          <w:tcPr>
            <w:tcW w:w="13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12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6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5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6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12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7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3" w:lineRule="exact"/>
        <w:rPr>
          <w:sz w:val="24"/>
          <w:szCs w:val="24"/>
          <w:color w:val="auto"/>
        </w:rPr>
      </w:pPr>
    </w:p>
    <w:p>
      <w:pPr>
        <w:ind w:left="934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SVP &amp; GM Grown</w:t>
      </w:r>
    </w:p>
    <w:p>
      <w:pPr>
        <w:spacing w:after="0" w:line="391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180" w:space="720"/>
            <w:col w:w="3140" w:space="686"/>
            <w:col w:w="3354"/>
          </w:cols>
          <w:pgMar w:left="460" w:top="216" w:right="359" w:bottom="1440" w:gutter="0" w:footer="0" w:header="0"/>
          <w:type w:val="continuous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680" w:type="dxa"/>
            <w:vAlign w:val="bottom"/>
            <w:gridSpan w:val="8"/>
          </w:tcPr>
          <w:p>
            <w:pPr>
              <w:jc w:val="center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9"/>
              </w:rPr>
              <w:t>4. If Amendment, Date of Original Filed (Month/Day/Year)</w:t>
            </w:r>
          </w:p>
        </w:tc>
        <w:tc>
          <w:tcPr>
            <w:tcW w:w="3660" w:type="dxa"/>
            <w:vAlign w:val="bottom"/>
            <w:gridSpan w:val="10"/>
          </w:tcPr>
          <w:p>
            <w:pPr>
              <w:ind w:left="30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80" w:type="dxa"/>
            <w:vAlign w:val="bottom"/>
            <w:gridSpan w:val="4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660" w:type="dxa"/>
            <w:vAlign w:val="bottom"/>
            <w:gridSpan w:val="10"/>
            <w:vMerge w:val="restart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2"/>
                <w:szCs w:val="12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440" w:type="dxa"/>
            <w:vAlign w:val="bottom"/>
            <w:gridSpan w:val="3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SANTA PAULA CA</w:t>
            </w:r>
          </w:p>
        </w:tc>
        <w:tc>
          <w:tcPr>
            <w:tcW w:w="114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93060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660" w:type="dxa"/>
            <w:vAlign w:val="bottom"/>
            <w:gridSpan w:val="10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960" w:type="dxa"/>
            <w:vAlign w:val="bottom"/>
            <w:gridSpan w:val="7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96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  <w:vMerge w:val="restart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820" w:type="dxa"/>
            <w:vAlign w:val="bottom"/>
            <w:gridSpan w:val="2"/>
            <w:vMerge w:val="restart"/>
          </w:tcPr>
          <w:p>
            <w:pPr>
              <w:ind w:left="6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74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52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6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00" w:type="dxa"/>
            <w:vAlign w:val="bottom"/>
            <w:tcBorders>
              <w:top w:val="single" w:sz="8" w:color="2C2C2C"/>
            </w:tcBorders>
            <w:gridSpan w:val="15"/>
          </w:tcPr>
          <w:p>
            <w:pPr>
              <w:ind w:left="7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  <w:w w:val="98"/>
              </w:rPr>
              <w:t>Table I - Non-Derivative Securities Acquired, Disposed of, or Beneficially Owned</w:t>
            </w: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5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52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60" w:type="dxa"/>
            <w:vAlign w:val="bottom"/>
            <w:gridSpan w:val="3"/>
          </w:tcPr>
          <w:p>
            <w:pPr>
              <w:ind w:left="7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74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7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Execution Date,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740" w:type="dxa"/>
            <w:vAlign w:val="bottom"/>
            <w:gridSpan w:val="4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Disposed Of (D) (Instr. 3, 4 and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60" w:type="dxa"/>
            <w:vAlign w:val="bottom"/>
            <w:gridSpan w:val="3"/>
          </w:tcPr>
          <w:p>
            <w:pPr>
              <w:ind w:left="7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56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50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40" w:type="dxa"/>
            <w:vAlign w:val="bottom"/>
            <w:gridSpan w:val="4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  <w:vMerge w:val="restart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Reported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60" w:type="dxa"/>
            <w:vAlign w:val="bottom"/>
          </w:tcPr>
          <w:p>
            <w:pPr>
              <w:ind w:left="3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(A) or</w:t>
            </w:r>
          </w:p>
        </w:tc>
        <w:tc>
          <w:tcPr>
            <w:tcW w:w="580" w:type="dxa"/>
            <w:vAlign w:val="bottom"/>
            <w:gridSpan w:val="2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5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74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52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0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0" w:type="dxa"/>
            <w:vAlign w:val="bottom"/>
            <w:tcBorders>
              <w:top w:val="single" w:sz="8" w:color="2C2C2C"/>
            </w:tcBorders>
            <w:gridSpan w:val="15"/>
          </w:tcPr>
          <w:p>
            <w:pPr>
              <w:jc w:val="center"/>
              <w:ind w:left="81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  <w:w w:val="99"/>
              </w:rPr>
              <w:t>Table II - Derivative Securities Acquired, Disposed of, or Beneficially Owned</w:t>
            </w: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60" w:type="dxa"/>
            <w:vAlign w:val="bottom"/>
            <w:gridSpan w:val="12"/>
          </w:tcPr>
          <w:p>
            <w:pPr>
              <w:jc w:val="center"/>
              <w:ind w:left="49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  <w:w w:val="99"/>
              </w:rPr>
              <w:t>(e.g., puts, calls, warrants, options, convertible securities)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48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66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7. Title and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4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1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122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   of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  <w:gridSpan w:val="3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Amount of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4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(Month/Day/Year)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1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66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Code (Instr.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1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80" w:type="dxa"/>
            <w:vAlign w:val="bottom"/>
            <w:gridSpan w:val="3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(Month/Day/Year)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1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6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1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Underlying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1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1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Following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1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1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1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56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3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6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Restricted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66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2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3,533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ind w:left="2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07/11/2022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1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560" w:type="dxa"/>
            <w:vAlign w:val="bottom"/>
          </w:tcPr>
          <w:p>
            <w:pPr>
              <w:ind w:left="1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3,533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2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0</w:t>
            </w:r>
          </w:p>
        </w:tc>
        <w:tc>
          <w:tcPr>
            <w:tcW w:w="600" w:type="dxa"/>
            <w:vAlign w:val="bottom"/>
          </w:tcPr>
          <w:p>
            <w:pPr>
              <w:ind w:left="2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3,533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3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Units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14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7006590</wp:posOffset>
            </wp:positionH>
            <wp:positionV relativeFrom="paragraph">
              <wp:posOffset>-2108835</wp:posOffset>
            </wp:positionV>
            <wp:extent cx="29210" cy="211391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210" cy="211391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45" w:lineRule="exact"/>
        <w:rPr>
          <w:sz w:val="24"/>
          <w:szCs w:val="24"/>
          <w:color w:val="auto"/>
        </w:rPr>
      </w:pPr>
    </w:p>
    <w:p>
      <w:pPr>
        <w:ind w:left="180" w:hanging="137"/>
        <w:spacing w:after="0"/>
        <w:tabs>
          <w:tab w:leader="none" w:pos="18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Each restricted stock unit represents a contingent right to receive one share of CVGW common stock.</w:t>
      </w:r>
    </w:p>
    <w:p>
      <w:pPr>
        <w:spacing w:after="0" w:line="45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180" w:hanging="137"/>
        <w:spacing w:after="0"/>
        <w:tabs>
          <w:tab w:leader="none" w:pos="18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The restricted stock units vest in three equal annual installments beginning July 11, 2023.</w:t>
      </w:r>
    </w:p>
    <w:p>
      <w:pPr>
        <w:spacing w:after="0" w:line="58" w:lineRule="exact"/>
        <w:rPr>
          <w:sz w:val="24"/>
          <w:szCs w:val="24"/>
          <w:color w:val="auto"/>
        </w:rPr>
      </w:pPr>
    </w:p>
    <w:tbl>
      <w:tblPr>
        <w:tblLayout w:type="fixed"/>
        <w:tblInd w:w="660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22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/s/ Danny Dumas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5"/>
              </w:rPr>
              <w:t>07/11/2022</w:t>
            </w:r>
          </w:p>
        </w:tc>
      </w:tr>
      <w:tr>
        <w:trPr>
          <w:trHeight w:val="20"/>
        </w:trPr>
        <w:tc>
          <w:tcPr>
            <w:tcW w:w="116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0"/>
        </w:trPr>
        <w:tc>
          <w:tcPr>
            <w:tcW w:w="22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</w:tr>
    </w:tbl>
    <w:p>
      <w:pPr>
        <w:spacing w:after="0" w:line="23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4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6" w:lineRule="exact"/>
        <w:rPr>
          <w:sz w:val="24"/>
          <w:szCs w:val="24"/>
          <w:color w:val="auto"/>
        </w:rPr>
      </w:pPr>
    </w:p>
    <w:p>
      <w:pPr>
        <w:jc w:val="both"/>
        <w:ind w:left="40" w:right="3540" w:firstLine="3"/>
        <w:spacing w:after="0" w:line="339" w:lineRule="auto"/>
        <w:tabs>
          <w:tab w:leader="none" w:pos="177" w:val="left"/>
        </w:tabs>
        <w:numPr>
          <w:ilvl w:val="0"/>
          <w:numId w:val="3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6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2" Type="http://schemas.openxmlformats.org/officeDocument/2006/relationships/hyperlink" Target="http://www.sec.gov/cgi-bin/browse-edgar?action=getcompany&amp;CIK=0001769737" TargetMode="External"/><Relationship Id="rId13" Type="http://schemas.openxmlformats.org/officeDocument/2006/relationships/hyperlink" Target="http://www.sec.gov/cgi-bin/browse-edgar?action=getcompany&amp;CIK=0001133470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2022-07-11T17:19:19Z</dcterms:created>
  <dcterms:modified xsi:type="dcterms:W3CDTF">2022-07-11T17:19:19Z</dcterms:modified>
</cp:coreProperties>
</file>