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11, 2024</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35"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1"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257"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jc w:val="both"/>
        <w:ind w:left="60" w:right="99" w:firstLine="324"/>
        <w:spacing w:after="0" w:line="306"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60" w:right="159"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539750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120015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162560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On March 11, 2024, Calavo Growers, Inc. (Calavo) issued a press release containing our financial results for the three-month period ended January 31, 2024. A copy of our press release is attached hereto as Exhibit 99.1 and is incorporated by reference herein.</w:t>
      </w:r>
    </w:p>
    <w:p>
      <w:pPr>
        <w:spacing w:after="0" w:line="135"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under the Securities Act of 1933, as amended, or the Exchange Act, except as shall be expressly set forth by specific reference in such filing.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380" w:hanging="324"/>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EE"/>
        </w:rPr>
        <w:t>Press release dated March 11, 2024 of the Registrant.</w:t>
      </w:r>
    </w:p>
    <w:p>
      <w:pPr>
        <w:spacing w:after="0" w:line="9"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11, 2024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Lecil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97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Lecil Cole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19685</wp:posOffset>
            </wp:positionV>
            <wp:extent cx="1337310" cy="131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31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 Announces First Quarter 2024 Financial Results</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SANTA PAULA, Calif., Mar. 11, 2024—Calavo Growers, Inc. (Nasdaq-GS: CVGW), </w:t>
      </w:r>
      <w:r>
        <w:rPr>
          <w:rFonts w:ascii="Times New Roman" w:cs="Times New Roman" w:eastAsia="Times New Roman" w:hAnsi="Times New Roman"/>
          <w:sz w:val="18"/>
          <w:szCs w:val="18"/>
          <w:color w:val="auto"/>
        </w:rPr>
        <w:t>a global avocado industry leader and provider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convenient, ready-to-eat fresh food, today reported its financial results for the fiscal first quarter ended January 31,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Financial Overview</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Introductory Note: In the first quarter of 2024, we concluded that the fresh cut (formerly RFG) business meets the requirements to be classified as held for sale and discontinued operations. As a result, the financial results of that business are reported as discontinued operations in this press release. Prior to the decision to divest our fresh cut business, the Company’s Prepared reporting segment included the fresh cut business unit and our guacamole business. Due to the planned divestiture, the fresh cut business unit is no longer included in our Prepared business segment. Retrospective reclassifications also have been made to prior period financial statements and commentary in this press release to present the fresh cut business unit as discontinued operations. Unless otherwise noted, amounts and commentary included in this press release relate to our continuing operations.</w:t>
      </w:r>
    </w:p>
    <w:p>
      <w:pPr>
        <w:spacing w:after="0" w:line="188" w:lineRule="exact"/>
        <w:rPr>
          <w:sz w:val="20"/>
          <w:szCs w:val="20"/>
          <w:color w:val="auto"/>
        </w:rPr>
      </w:pPr>
    </w:p>
    <w:p>
      <w:pPr>
        <w:ind w:left="660" w:right="4040" w:hanging="652"/>
        <w:spacing w:after="0" w:line="261" w:lineRule="auto"/>
        <w:tabs>
          <w:tab w:leader="none" w:pos="3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sales of $127.6 million, a 3.9% decrease from the prior year quarter o Grown segment net sales decreased 4.0% to $113.0 million</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Prepared segment net sales decreased 2.9% to $14.6 million</w:t>
      </w:r>
    </w:p>
    <w:p>
      <w:pPr>
        <w:spacing w:after="0" w:line="9" w:lineRule="exact"/>
        <w:rPr>
          <w:rFonts w:ascii="Times New Roman" w:cs="Times New Roman" w:eastAsia="Times New Roman" w:hAnsi="Times New Roman"/>
          <w:sz w:val="18"/>
          <w:szCs w:val="18"/>
          <w:color w:val="auto"/>
        </w:rPr>
      </w:pPr>
    </w:p>
    <w:p>
      <w:pPr>
        <w:ind w:left="660" w:right="3700" w:hanging="652"/>
        <w:spacing w:after="0" w:line="250" w:lineRule="auto"/>
        <w:tabs>
          <w:tab w:leader="none" w:pos="3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$12.5 million, compared to $13.1 million for the prior year quarter o Grown segment gross profit decreased $1.3 million to $8.1 million</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Prepared segment gross profit increased $0.7 million to $4.3 million</w:t>
      </w:r>
    </w:p>
    <w:p>
      <w:pPr>
        <w:spacing w:after="0" w:line="9" w:lineRule="exact"/>
        <w:rPr>
          <w:rFonts w:ascii="Times New Roman" w:cs="Times New Roman" w:eastAsia="Times New Roman" w:hAnsi="Times New Roman"/>
          <w:sz w:val="18"/>
          <w:szCs w:val="18"/>
          <w:color w:val="auto"/>
        </w:rPr>
      </w:pPr>
    </w:p>
    <w:p>
      <w:pPr>
        <w:ind w:left="340" w:right="16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from continuing operations of $2.6 million, or $0.15 per diluted share, compared to a net loss of $0.7 million, or $0.04 per diluted share, for the same period last year</w:t>
      </w:r>
    </w:p>
    <w:p>
      <w:pPr>
        <w:ind w:left="340" w:right="20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of $0.2 million, or $0.01 per diluted share, compared to adjusted net income of $0.8 million, or $0.05 per diluted share for the prior year quarter</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$4.8 million compared to $4.6 million for the same period last year</w:t>
      </w:r>
    </w:p>
    <w:p>
      <w:pPr>
        <w:spacing w:after="0" w:line="205"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Adjusted net income (loss), adjusted net income (loss) per diluted share, and adjusted EBITDA are non - GAAP financial measures. See "Non - GAAP Financial Measures" below.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Highlights for Continuing Operations</w:t>
      </w:r>
    </w:p>
    <w:p>
      <w:pPr>
        <w:spacing w:after="0" w:line="31"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 margin per case improved versus prior year quarter while tomato gross profit declined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gross profit improved versus prior year quarter primarily due to lower fruit cost</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progress toward completing the sale of the fresh cut business and anticipate closing the transaction within the fiscal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607060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10</w:t>
      </w:r>
    </w:p>
    <w:p>
      <w:pPr>
        <w:spacing w:after="0" w:line="315" w:lineRule="exact"/>
        <w:rPr>
          <w:sz w:val="20"/>
          <w:szCs w:val="20"/>
          <w:color w:val="auto"/>
        </w:rPr>
      </w:pPr>
    </w:p>
    <w:p>
      <w:pPr>
        <w:ind w:left="340" w:right="26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investigation into certain matters and potential issues under the Foreign Corrupt Practices Act is ongoing and the Company continues to cooperate fully with the Securities and Exchange Commission and the Department of Justice</w:t>
      </w:r>
    </w:p>
    <w:p>
      <w:pPr>
        <w:ind w:left="340" w:right="160" w:hanging="332"/>
        <w:spacing w:after="0" w:line="26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declared a quarterly cash dividend of $0.10 per share to be paid on April 29, 2024, to shareholders of record on April 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“Our first quarter results were affected by temporary market dynamics within our avocado business, particularly for smaller sized fruit, and we are pleased to report that conditions have improved in February and March,” said Lee Cole, President and Chief Executive Officer of Calavo Growers, Inc. “We expect a solid rebound in earnings in the second quarter and fiscal 2024 owing to improved avocado margins, improved tomato performance and the ramp up of the California avocado season. We expect another successful California avocado season for Calavo in fiscal 2024</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continue to anticipate completing the sale of our fresh cut business within the fiscal second quarter. We expect to realize SG&amp;A cost reductions from both the sale of the fresh cut business as well as other cost reductions as we make our corporate structure more efficient. We are targeting SG&amp;A savings of $20 million or more on an annualized basis and already have begun implementing some efficiencies in our corporate structure. We also anticipate a reduction of depreciation and amortization expense of approximately $10 million on an annualized basis due to the divestiture.”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Consolidated Financial Review for Continuing Operations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Total net sales for the first quarter 2024 continuing operations were $127.6 million, compared to $132.8 million for the first quarter 2023, a decline of 3.9%. Grown segment sales decreased 4.0%, and Prepared segment sales decreased 2.9%. The average selling price of avocados in the Grown segment increased by 20% compared to the prior year.</w:t>
      </w:r>
    </w:p>
    <w:p>
      <w:pPr>
        <w:spacing w:after="0" w:line="1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Gross profit for the first quarter was $12.5 million, or 9.8% of net sales, compared to $13.1 million and 9.9%, respectively, for the same period last year.</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for the first quarter totaled $13.5 million, or 10.6% of net sales, compared to $11.6 million and 8.8% of net sales for the same period last year. The increase versus the prior year primarily was related to $2.4 million of professional fees associated with the ongoing investigation. Absent these costs, our SG&amp;A expenses would have been lower than the prior year quarter.</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Net loss for the first quarter was $2.6 million, or $0.15 per diluted share. This compares with a net loss of $0.7 million, or $0.04 per diluted share, for the same period last year.</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Adjusted net loss was $0.2 million, or $0.01 per diluted share, compared to adjusted net income of $0.8 million, or $0.05 per diluted share last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was $4.8 million compared to $4.6 million for the same period last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Liquidity</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 ended the quarter with $47.0 million of net debt, which included $45.7 million of borrowings under its credit facility and $6.9 million of other long-term obligations and finance leases,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607060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10</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of $5.7 million. The Company had approximately $33.6 million of available liquidity as of January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Grown</w:t>
      </w:r>
    </w:p>
    <w:p>
      <w:pPr>
        <w:spacing w:after="0" w:line="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Grown segment gross profit was $8.1 million, or $1.3 million below the prior year quarter. Avocado gross profit per case was higher than in the year-ago quarter, while volume declined 18% as we prioritized margin over volume in our sourcing and sales decisions. While volume was down, avocado prices were approximately 20% higher than in the prior year quarter. Gross profit in our tomato business was down approximately $1.1 million primarily due to lower volume. Performance in our tomato business has improved in the second quarter, and we expect solid tomato results in fiscal 2024. Foreign exchange gains related to appreciation of the peso were approximately $0.4 million higher than in the year-ago quarter.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Prepared (continuing operations)</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Prepared segment gross profit improved $0.7 million to $4.3 million from the prior year quarter. Gross margin rose to 30% from 24% last year on lower fruit input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press release includes non-GAAP measures EBITDA from continuing operations, adjusted EBITDA from continuing operations, adjusted net income (loss) from continuing operations and adjusted net income (loss) from continuing operations per diluted share, which are not prepared in accordance with U.S. generally accepted accounting principles, or “GAAP.”</w:t>
      </w:r>
    </w:p>
    <w:p>
      <w:pPr>
        <w:spacing w:after="0" w:line="18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EBITDA from continuing operations is defined as net income (loss) from continuing operations attributable to Calavo Growers, Inc. excluding (1) interest income and expense, (2) income tax (benefit) provision, (3) depreciation and amortization and (4) stock-based compensation expense. Adjusted EBITDA is EBITDA with further adjustments for (1) non-cash net losses (income) recognized from unconsolidated entities, (2) goodwill impairment, (3) write-off of long-lived assets, (4) acquisition-related costs, (5) restructuring-related costs, including certain severance costs, (6) certain litigation and other related costs, and (7) one-time items. Adjusted EBITDA from continuing operations is a primary metric by which management evaluates the operating performance of the business, on which certain operating expenditures and internal budgets are based. Additionally, the Company’s senior management is compensated in part on the basis of Adjusted EBITDA. The adjustments to calculate EBITDA from continuing operations and adjusted EBITDA from continuing operations are items recognized and recorded under GAAP in particular periods but might be viewed as not necessarily coinciding with the underlying business operations for the periods in which they are so recognized and recorded. Adjusted net income (loss) from continuing operations is defined as net income (loss) from continuing operations attributable to Calavo Growers, Inc. excluding (1) non-cash net losses recognized from unconsolidated entities, (2) goodwill impairment, (3) write-off of long-lived assets, (4) acquisition-related costs, (5) restructuring-related costs, including certain severance costs, (6) certain litigation and other related costs, and (7) one-time items. Adjusted net income (loss) from continuing operations and the related measure of adjusted net income (loss) from continuing operations per diluted share exclude certain items that are recognized and recorded under GAAP in particular periods but might be viewed as not necessarily coinciding with the underlying business operations for the periods in which they are so recognized and recorded. We believe adjusted net income (loss) from continuing operations affords investors a different view of the overall financial performance of the Company than adjusted EBITDA and the GAAP measure of net income (loss) attributable from continuing operations to Calavo Growers,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749935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4</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10</w:t>
      </w:r>
    </w:p>
    <w:p>
      <w:pPr>
        <w:spacing w:after="0" w:line="31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GAAP financial measures are provided in the financial tables below.</w:t>
      </w:r>
    </w:p>
    <w:p>
      <w:pPr>
        <w:spacing w:after="0" w:line="162"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Items are considered one-time in nature if they are non-recurring, infrequent or unusual and have not occurred in the past two years or are not expected to recur in the next two years, in accordance with SEC rules. Non-GAAP information should be considered as supplemental in nature and not as a substitute for, or superior to, any measure of performance prepared in accordance with GAAP. None of these metrics are presented as measures of liquidity. The way the Company measures EBITDA from continuing operations, adjusted EBITDA from continuing operations and adjusted net income (loss) from continuing operations may not be comparable to similarly titled measures presented by other companies and may not be identical to corresponding measures used in Company agreements.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Calavo Growers, Inc.</w:t>
      </w:r>
    </w:p>
    <w:p>
      <w:pPr>
        <w:spacing w:after="0" w:line="3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 xml:space="preserve">Calavo Growers, Inc. (Nasdaq: CVGW) is a global leader in high quality produce, including avocados, tomatoes and papayas, and a pioneer of healthy fresh-cut fruit, vegetables and prepared foods.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processing plants and packing facilities throughout the U.S. and Mexico. Learn more about </w:t>
      </w:r>
      <w:r>
        <w:rPr>
          <w:rFonts w:ascii="Times New Roman" w:cs="Times New Roman" w:eastAsia="Times New Roman" w:hAnsi="Times New Roman"/>
          <w:sz w:val="18"/>
          <w:szCs w:val="18"/>
          <w:i w:val="1"/>
          <w:iCs w:val="1"/>
          <w:color w:val="auto"/>
        </w:rPr>
        <w:t>The Family of Fresh™</w:t>
      </w:r>
      <w:r>
        <w:rPr>
          <w:rFonts w:ascii="Times New Roman" w:cs="Times New Roman" w:eastAsia="Times New Roman" w:hAnsi="Times New Roman"/>
          <w:sz w:val="18"/>
          <w:szCs w:val="18"/>
          <w:color w:val="auto"/>
        </w:rPr>
        <w:t xml:space="preserve"> at calavo.com.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Risks and uncertainties that may cause our actual results to be materially different from any future results expressed or implied by the forward-looking statements include, but are not limited to, the following: the ability of our management team to work together successfully; the impact of operational and restructuring initiatives on our business, results of operations, and financial condition, including uncertainty as to whether the desired effects will be achieved; the impact of weather on market prices and operational costs;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750570</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5</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10</w:t>
      </w:r>
    </w:p>
    <w:p>
      <w:pPr>
        <w:spacing w:after="0" w:line="31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environment and climate change, especially as they may affect our sources of supply;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investigations, legal claims and tax disputes, including an assessment imposed by the Mexican Tax Administrative Service (the “SAT”) and our defenses against collection activities commenced by the SAT; the impact of other pending and potential internal and external investigations and legal claims; the ability of the parties to reach a binding agreement for the proposed sale of our Fresh Cut business and certain related real property, the potential that the price, structure, form of consideration (for example, cash, promissory, equity) and other material terms may be materially different than currently expected, the continuing financial and operating performance of the Fresh Cut business during the negotiation process; the possible effect of the announcement of the sale of the Fresh Cut business on our customer, vendor and supplier relationships, operating results and business generally; if the Company enters into a binding agreement for the proposed transaction, the occurrence of any event, change or other circumstance that prevents the completion of the sale of the proposed transaction, including the failure to satisfy all closing conditions that are included in such binding agreement; and if the potential transaction closes, our ability to realize the expected expense savings from the divestiture.</w:t>
      </w:r>
    </w:p>
    <w:p>
      <w:pPr>
        <w:spacing w:after="0" w:line="19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a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Julie Kegley, Senior Vice President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Profiles, Inc.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calavo@finprofiles.com</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310-622-8246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854710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6</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10</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4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87"/>
        </w:trPr>
        <w:tc>
          <w:tcPr>
            <w:tcW w:w="75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of $3,591 (2024) and $3,364 (2023)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33,897</w:t>
            </w: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31,571</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w:t>
            </w: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Advances to suppliers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w:t>
            </w:r>
          </w:p>
        </w:tc>
      </w:tr>
      <w:tr>
        <w:trPr>
          <w:trHeight w:val="22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140,671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37,533</w:t>
            </w:r>
          </w:p>
        </w:tc>
      </w:tr>
      <w:tr>
        <w:trPr>
          <w:trHeight w:val="230"/>
        </w:trPr>
        <w:tc>
          <w:tcPr>
            <w:tcW w:w="75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Income taxes receivable</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23"/>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245,597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133,370</w:t>
            </w: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60,924</w:t>
            </w:r>
          </w:p>
        </w:tc>
      </w:tr>
      <w:tr>
        <w:trPr>
          <w:trHeight w:val="22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18,357</w:t>
            </w: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w:t>
            </w:r>
          </w:p>
        </w:tc>
      </w:tr>
      <w:tr>
        <w:trPr>
          <w:trHeight w:val="23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w:t>
            </w:r>
          </w:p>
        </w:tc>
      </w:tr>
      <w:tr>
        <w:trPr>
          <w:trHeight w:val="23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105,424</w:t>
            </w: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55,974</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52,381</w:t>
            </w:r>
          </w:p>
        </w:tc>
      </w:tr>
      <w:tr>
        <w:trPr>
          <w:trHeight w:val="263"/>
        </w:trPr>
        <w:tc>
          <w:tcPr>
            <w:tcW w:w="75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394,683</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386,854</w:t>
            </w:r>
          </w:p>
        </w:tc>
      </w:tr>
      <w:tr>
        <w:trPr>
          <w:trHeight w:val="210"/>
        </w:trPr>
        <w:tc>
          <w:tcPr>
            <w:tcW w:w="7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Payable to growers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15,809</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29,911</w:t>
            </w:r>
          </w:p>
        </w:tc>
      </w:tr>
      <w:tr>
        <w:trPr>
          <w:trHeight w:val="22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term loan</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r>
      <w:tr>
        <w:trPr>
          <w:trHeight w:val="230"/>
        </w:trPr>
        <w:tc>
          <w:tcPr>
            <w:tcW w:w="7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obligations and finance leases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3"/>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81,746</w:t>
            </w: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Borrowings pursuant to line of credit, long-term</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35,024</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liabilities held for sale</w:t>
            </w: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29,295</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portion of term loan</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portion of operating leases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17,328</w:t>
            </w:r>
          </w:p>
        </w:tc>
      </w:tr>
      <w:tr>
        <w:trPr>
          <w:trHeight w:val="22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portion of obligations and finance leases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r>
      <w:tr>
        <w:trPr>
          <w:trHeight w:val="223"/>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94,879</w:t>
            </w:r>
          </w:p>
        </w:tc>
      </w:tr>
      <w:tr>
        <w:trPr>
          <w:trHeight w:val="22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202,533</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210,229</w:t>
            </w:r>
          </w:p>
        </w:tc>
      </w:tr>
      <w:tr>
        <w:trPr>
          <w:trHeight w:val="223"/>
        </w:trPr>
        <w:tc>
          <w:tcPr>
            <w:tcW w:w="75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394,683</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386,854</w:t>
            </w:r>
          </w:p>
        </w:tc>
      </w:tr>
      <w:tr>
        <w:trPr>
          <w:trHeight w:val="20"/>
        </w:trPr>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324"/>
        </w:trPr>
        <w:tc>
          <w:tcPr>
            <w:tcW w:w="7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59"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7</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10</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115,138</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(824)</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 and loss from unconsolidated entities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unconsolidated entities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(3,683)</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(6,257)</w:t>
            </w:r>
          </w:p>
        </w:tc>
        <w:tc>
          <w:tcPr>
            <w:tcW w:w="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Calavo Growers, Inc.</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2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net loss per share: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Calavo Growers, Inc</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attributable to Calavo Growers, Inc</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2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4"/>
        </w:trPr>
        <w:tc>
          <w:tcPr>
            <w:tcW w:w="20" w:type="dxa"/>
            <w:vAlign w:val="bottom"/>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59"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8</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10</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 SALES AND GROSS PROFIT BY BUSINESS SEGMENT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Prior to the decision to divest our Fresh Cut business (formerly RFG), the Company’s Prepared reporting segment included the Fresh Cut business unit and our guacamole business. As a result of the planned divestiture, the Fresh Cut business unit is no longer included in our Prepared business segment, and not included in the tables below. All segment information included herein reflects these changes.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Grown</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5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6"/>
          </w:tcPr>
          <w:p>
            <w:pPr>
              <w:jc w:val="center"/>
              <w:ind w:left="675"/>
              <w:spacing w:after="0"/>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January 31, 2024</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113,026</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2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104,888</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2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January 31, 2023</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117,748</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108,267</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11,411</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three months ended January 31, 2024 and 2023, intercompany sales and cost of sales of $0.4 million and $0.3 million between Grown products and Prepared products were eliminated,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688340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9</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10</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 FROM CONTINUING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EPS FROM CONTINUING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adjusted net income (loss) from continuing operations and adjusted diluted EPS from continuing operations, each a non-GAAP measure, and reconciles them to net income (loss) from continuing operations., and Diluted EPS from continuing operations, which are the most directly comparable GAAP measures. See “Non-GAAP Financial Measures” earlier in this release.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 attributable to Calavo Growers, Inc.</w:t>
            </w:r>
          </w:p>
        </w:tc>
        <w:tc>
          <w:tcPr>
            <w:tcW w:w="1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income recognized from unconsolidated entities (a)</w:t>
            </w: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Restructure costs - consulting, management recruiting and severance (b)</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 (c)</w:t>
            </w: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related to FCPA Mexico investigation (d)</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 of adjustments (e)</w:t>
            </w: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(839)</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net loss from continuing operations</w:t>
            </w:r>
          </w:p>
        </w:tc>
        <w:tc>
          <w:tcPr>
            <w:tcW w:w="11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continuing operations per share:</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 from continuing operations (GAAP)</w:t>
            </w:r>
          </w:p>
        </w:tc>
        <w:tc>
          <w:tcPr>
            <w:tcW w:w="1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Adjusted net loss from continuing operations per diluted share</w:t>
            </w:r>
          </w:p>
        </w:tc>
        <w:tc>
          <w:tcPr>
            <w:tcW w:w="116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60" w:type="dxa"/>
            <w:vAlign w:val="bottom"/>
            <w:tcBorders>
              <w:bottom w:val="single" w:sz="8" w:color="CCEEFF"/>
            </w:tcBorders>
            <w:vMerge w:val="continue"/>
          </w:tcPr>
          <w:p>
            <w:pPr>
              <w:spacing w:after="0"/>
              <w:rPr>
                <w:sz w:val="21"/>
                <w:szCs w:val="21"/>
                <w:color w:val="auto"/>
              </w:rPr>
            </w:pPr>
          </w:p>
        </w:tc>
        <w:tc>
          <w:tcPr>
            <w:tcW w:w="1160" w:type="dxa"/>
            <w:vAlign w:val="bottom"/>
            <w:tcBorders>
              <w:bottom w:val="single" w:sz="8" w:color="CCEEFF"/>
            </w:tcBorders>
            <w:vMerge w:val="continue"/>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Borders>
              <w:bottom w:val="single" w:sz="8" w:color="CCEEFF"/>
            </w:tcBorders>
            <w:vMerge w:val="continue"/>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15684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4" w:lineRule="exact"/>
        <w:rPr>
          <w:sz w:val="20"/>
          <w:szCs w:val="20"/>
          <w:color w:val="auto"/>
        </w:rPr>
      </w:pPr>
    </w:p>
    <w:p>
      <w:pPr>
        <w:ind w:left="340" w:right="36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January 31, 2024 and 2023, we realized income of less than $0.1 million and income of $0.2 million from Agricola Don Memo.</w:t>
      </w:r>
    </w:p>
    <w:p>
      <w:pPr>
        <w:spacing w:after="0" w:line="161"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January 31, 2024, we incurred $0.4 million in severance and other costs and $0.1 million in stock-based compensation related to the departure of certain member of management. For the three months ended January 31, 2023, we recorded $0.2 million of expenses related to an enterprise-wide strategic business restructuring to improve the profitability of the organization and efficiency of our operations.</w:t>
      </w:r>
    </w:p>
    <w:p>
      <w:pPr>
        <w:spacing w:after="0" w:line="179"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January 31, 2024 and 2023, we incurred $0.2 million and $0.6 million of professional fees related to the Mexican tax matters, respectively. For the three months ended January 31, 2024 and 2023, we recognized a reserve of $0.2 million and $1.4 million related to the collectability of IVA receivables.</w:t>
      </w:r>
    </w:p>
    <w:p>
      <w:pPr>
        <w:spacing w:after="0" w:line="175"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January 31, 2024, we incurred $2.4 million of professional fee expenses related to the investigation in connection with the Foreign Corrupt Practices Act (FCPA).</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impact of non-GAAP adjustments are based on effective year-to-date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10</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10</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EBITDA FROM CONTINUING OPERATIONS AND ADJUSTED EBITDA FROM CONTINUING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presents EBITDA from continuing operations and adjusted EBITDA from continuing operations, each a non-GAAP measure, and reconciles them to net income (loss) from continuing operations, which is the most directly comparable GAAP measure. See “Non-GAAP Financial Measures” earlier in this release.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 attributable to Calavo Growers, Inc.</w:t>
            </w:r>
          </w:p>
        </w:tc>
        <w:tc>
          <w:tcPr>
            <w:tcW w:w="10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from continuing operations</w:t>
            </w:r>
          </w:p>
        </w:tc>
        <w:tc>
          <w:tcPr>
            <w:tcW w:w="10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4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income recognized from unconsolidated entities (a)</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Restructure costs - consulting and management recruiting and severance (b)</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related to Mexican tax matters (c)</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related to FCPA Mexico investigation (d)</w:t>
            </w:r>
          </w:p>
        </w:tc>
        <w:tc>
          <w:tcPr>
            <w:tcW w:w="1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10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prior page for footnote 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65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2024-03-11T15:33:24Z</dcterms:created>
  <dcterms:modified xsi:type="dcterms:W3CDTF">2024-03-11T15:33:24Z</dcterms:modified>
</cp:coreProperties>
</file>