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v05851e8vk.htm"/>
        <w:bookmarkStart w:id="1" w:name="ksv05851e8vk"/>
        <w:bookmarkEnd w:id="0"/>
        <w:bookmarkEnd w:id="1"/>
        <w:r>
          <w:rPr>
            <w:rStyle w:val="InternetLink"/>
          </w:rPr>
          <w:t>Table of Contents</w:t>
        </w:r>
      </w:hyperlink>
    </w:p>
    <w:p>
      <w:pPr>
        <w:pStyle w:val="TextBody"/>
        <w:spacing w:before="0" w:after="0"/>
        <w:rPr>
          <w:bdr w:val="single" w:sz="16" w:space="1" w:color="000000"/>
        </w:rPr>
      </w:pPr>
      <w:r>
        <w:rPr>
          <w:bdr w:val="single" w:sz="16" w:space="1" w:color="000000"/>
        </w:rPr>
        <w:t> </w:t>
      </w:r>
    </w:p>
    <w:p>
      <w:pPr>
        <w:pStyle w:val="TextBody"/>
        <w:rPr>
          <w:bdr w:val="single" w:sz="8" w:space="1" w:color="000000"/>
        </w:rPr>
      </w:pPr>
      <w:r>
        <w:rPr>
          <w:bdr w:val="single" w:sz="8" w:space="1" w:color="000000"/>
        </w:rPr>
        <w:t> </w:t>
      </w:r>
    </w:p>
    <w:p>
      <w:pPr>
        <w:pStyle w:val="TextBody"/>
        <w:spacing w:before="0" w:after="0"/>
        <w:jc w:val="center"/>
        <w:rPr>
          <w:rFonts w:ascii="Times New Roman;Times;serif" w:hAnsi="Times New Roman;Times;serif"/>
          <w:sz w:val="23"/>
        </w:rPr>
      </w:pPr>
      <w:r>
        <w:rPr>
          <w:rFonts w:ascii="Times New Roman;Times;serif" w:hAnsi="Times New Roman;Times;serif"/>
          <w:b/>
          <w:sz w:val="23"/>
        </w:rPr>
        <w:t>UNITED STATES</w:t>
        <w:br/>
        <w:t>SECURITIES AND EXCHANGE COMMISSION</w:t>
      </w:r>
      <w:r>
        <w:rPr>
          <w:rFonts w:ascii="Times New Roman;Times;serif" w:hAnsi="Times New Roman;Times;serif"/>
          <w:sz w:val="23"/>
        </w:rPr>
        <w:t xml:space="preserve"> </w:t>
      </w:r>
    </w:p>
    <w:p>
      <w:pPr>
        <w:pStyle w:val="TextBody"/>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jc w:val="center"/>
        <w:rPr>
          <w:rFonts w:ascii="Times New Roman;Times;serif" w:hAnsi="Times New Roman;Times;serif"/>
          <w:sz w:val="30"/>
        </w:rPr>
      </w:pPr>
      <w:r>
        <w:rPr>
          <w:rFonts w:ascii="Times New Roman;Times;serif" w:hAnsi="Times New Roman;Times;serif"/>
          <w:b/>
          <w:sz w:val="30"/>
        </w:rPr>
        <w:t>FORM 8-K</w:t>
      </w:r>
      <w:r>
        <w:rPr>
          <w:rFonts w:ascii="Times New Roman;Times;serif" w:hAnsi="Times New Roman;Times;serif"/>
          <w:sz w:val="30"/>
        </w:rPr>
        <w:t xml:space="preserve"> </w:t>
      </w:r>
    </w:p>
    <w:p>
      <w:pPr>
        <w:pStyle w:val="TextBody"/>
        <w:jc w:val="center"/>
        <w:rPr>
          <w:rFonts w:ascii="Times New Roman;Times;serif" w:hAnsi="Times New Roman;Times;serif"/>
          <w:sz w:val="20"/>
        </w:rPr>
      </w:pPr>
      <w:r>
        <w:rPr>
          <w:rFonts w:ascii="Times New Roman;Times;serif" w:hAnsi="Times New Roman;Times;serif"/>
          <w:b/>
          <w:sz w:val="20"/>
        </w:rPr>
        <w:t>CURRENT REPORT PURSUANT</w:t>
        <w:br/>
        <w:t>TO SECTION 13 OR 15(d) OF THE</w:t>
        <w:br/>
        <w:t>SECURITIES EXCHANGE ACT OF 1934</w:t>
      </w:r>
      <w:r>
        <w:rPr>
          <w:rFonts w:ascii="Times New Roman;Times;serif" w:hAnsi="Times New Roman;Times;serif"/>
          <w:sz w:val="20"/>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Date of report: </w:t>
      </w:r>
      <w:r>
        <w:rPr>
          <w:rFonts w:ascii="Times New Roman;Times;serif" w:hAnsi="Times New Roman;Times;serif"/>
          <w:b/>
          <w:sz w:val="17"/>
        </w:rPr>
        <w:t>February 15, 2005</w:t>
      </w:r>
      <w:r>
        <w:rPr>
          <w:rFonts w:ascii="Times New Roman;Times;serif" w:hAnsi="Times New Roman;Times;serif"/>
          <w:sz w:val="17"/>
        </w:rPr>
        <w:br/>
        <w:t xml:space="preserve">Date of earliest event reported: </w:t>
      </w:r>
      <w:r>
        <w:rPr>
          <w:rFonts w:ascii="Times New Roman;Times;serif" w:hAnsi="Times New Roman;Times;serif"/>
          <w:b/>
          <w:sz w:val="17"/>
        </w:rPr>
        <w:t>February 11, 2005</w:t>
      </w:r>
      <w:r>
        <w:rPr>
          <w:rFonts w:ascii="Times New Roman;Times;serif" w:hAnsi="Times New Roman;Times;serif"/>
          <w:sz w:val="17"/>
        </w:rPr>
        <w:t xml:space="preserve"> </w:t>
      </w:r>
    </w:p>
    <w:p>
      <w:pPr>
        <w:pStyle w:val="TextBody"/>
        <w:spacing w:before="0" w:after="0"/>
        <w:jc w:val="center"/>
        <w:rPr>
          <w:rFonts w:ascii="Times New Roman;Times;serif" w:hAnsi="Times New Roman;Times;serif"/>
          <w:sz w:val="40"/>
        </w:rPr>
      </w:pPr>
      <w:r>
        <w:rPr>
          <w:rFonts w:ascii="Times New Roman;Times;serif" w:hAnsi="Times New Roman;Times;serif"/>
          <w:b/>
          <w:sz w:val="40"/>
        </w:rPr>
        <w:t>CALAVO GROWERS, INC.</w:t>
      </w:r>
      <w:r>
        <w:rPr>
          <w:rFonts w:ascii="Times New Roman;Times;serif" w:hAnsi="Times New Roman;Times;serif"/>
          <w:sz w:val="40"/>
        </w:rPr>
        <w:t xml:space="preserve"> </w:t>
      </w:r>
    </w:p>
    <w:p>
      <w:pPr>
        <w:pStyle w:val="TextBody"/>
        <w:spacing w:before="0" w:after="0"/>
        <w:jc w:val="center"/>
        <w:rPr>
          <w:rFonts w:ascii="Times New Roman;Times;serif" w:hAnsi="Times New Roman;Times;serif"/>
          <w:sz w:val="17"/>
        </w:rPr>
      </w:pPr>
      <w:r>
        <w:rPr>
          <w:rFonts w:ascii="Times New Roman;Times;serif" w:hAnsi="Times New Roman;Times;serif"/>
          <w:sz w:val="17"/>
        </w:rPr>
        <w:t>(Exact Name of Registrant as Specified in Charter)</w:t>
      </w:r>
    </w:p>
    <w:tbl>
      <w:tblPr>
        <w:tblW w:w="5000" w:type="pct"/>
        <w:jc w:val="center"/>
        <w:tblInd w:w="0" w:type="dxa"/>
        <w:tblCellMar>
          <w:top w:w="0" w:type="dxa"/>
          <w:left w:w="0" w:type="dxa"/>
          <w:bottom w:w="0" w:type="dxa"/>
          <w:right w:w="0" w:type="dxa"/>
        </w:tblCellMar>
      </w:tblPr>
      <w:tblGrid>
        <w:gridCol w:w="3062"/>
        <w:gridCol w:w="509"/>
        <w:gridCol w:w="3062"/>
        <w:gridCol w:w="509"/>
        <w:gridCol w:w="3063"/>
      </w:tblGrid>
      <w:tr>
        <w:trPr/>
        <w:tc>
          <w:tcPr>
            <w:tcW w:w="3062"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3062"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3063" w:type="dxa"/>
            <w:tcBorders/>
            <w:shd w:fill="auto" w:val="clear"/>
            <w:vAlign w:val="bottom"/>
          </w:tcPr>
          <w:p>
            <w:pPr>
              <w:pStyle w:val="TableContents"/>
              <w:spacing w:before="0" w:after="283"/>
              <w:rPr/>
            </w:pPr>
            <w:r>
              <w:rPr/>
              <w:t> </w:t>
            </w:r>
          </w:p>
        </w:tc>
      </w:tr>
      <w:tr>
        <w:trPr/>
        <w:tc>
          <w:tcPr>
            <w:tcW w:w="3062" w:type="dxa"/>
            <w:tcBorders/>
            <w:shd w:fill="auto" w:val="clear"/>
          </w:tcPr>
          <w:p>
            <w:pPr>
              <w:pStyle w:val="TableContents"/>
              <w:spacing w:before="0" w:after="0"/>
              <w:jc w:val="center"/>
              <w:rPr>
                <w:b/>
              </w:rPr>
            </w:pPr>
            <w:r>
              <w:rPr>
                <w:b/>
              </w:rPr>
              <w:t>California</w:t>
            </w:r>
          </w:p>
          <w:p>
            <w:pPr>
              <w:pStyle w:val="HorizontalLine"/>
              <w:pBdr>
                <w:bottom w:val="single" w:sz="6" w:space="0" w:color="000000"/>
              </w:pBdr>
              <w:spacing w:before="0" w:after="283"/>
              <w:rPr/>
            </w:pPr>
            <w:r>
              <w:rPr/>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0"/>
              <w:jc w:val="center"/>
              <w:rPr>
                <w:b/>
              </w:rPr>
            </w:pPr>
            <w:r>
              <w:rPr>
                <w:b/>
              </w:rPr>
              <w:t>000-33385</w:t>
            </w:r>
          </w:p>
          <w:p>
            <w:pPr>
              <w:pStyle w:val="HorizontalLine"/>
              <w:pBdr>
                <w:bottom w:val="single" w:sz="6" w:space="0" w:color="000000"/>
              </w:pBdr>
              <w:spacing w:before="0" w:after="283"/>
              <w:rPr/>
            </w:pPr>
            <w:r>
              <w:rPr/>
            </w:r>
          </w:p>
        </w:tc>
        <w:tc>
          <w:tcPr>
            <w:tcW w:w="509" w:type="dxa"/>
            <w:tcBorders/>
            <w:shd w:fill="auto" w:val="clear"/>
            <w:vAlign w:val="bottom"/>
          </w:tcPr>
          <w:p>
            <w:pPr>
              <w:pStyle w:val="TableContents"/>
              <w:spacing w:before="0" w:after="283"/>
              <w:rPr/>
            </w:pPr>
            <w:r>
              <w:rPr/>
              <w:t> </w:t>
            </w:r>
          </w:p>
        </w:tc>
        <w:tc>
          <w:tcPr>
            <w:tcW w:w="3063" w:type="dxa"/>
            <w:tcBorders/>
            <w:shd w:fill="auto" w:val="clear"/>
          </w:tcPr>
          <w:p>
            <w:pPr>
              <w:pStyle w:val="TableContents"/>
              <w:spacing w:before="0" w:after="0"/>
              <w:jc w:val="center"/>
              <w:rPr>
                <w:b/>
              </w:rPr>
            </w:pPr>
            <w:r>
              <w:rPr>
                <w:b/>
              </w:rPr>
              <w:t>33-0945304</w:t>
            </w:r>
          </w:p>
          <w:p>
            <w:pPr>
              <w:pStyle w:val="HorizontalLine"/>
              <w:pBdr>
                <w:bottom w:val="single" w:sz="6" w:space="0" w:color="000000"/>
              </w:pBdr>
              <w:spacing w:before="0" w:after="283"/>
              <w:rPr/>
            </w:pPr>
            <w:r>
              <w:rPr/>
            </w:r>
          </w:p>
        </w:tc>
      </w:tr>
      <w:tr>
        <w:trPr/>
        <w:tc>
          <w:tcPr>
            <w:tcW w:w="3062" w:type="dxa"/>
            <w:tcBorders/>
            <w:shd w:fill="auto" w:val="clear"/>
          </w:tcPr>
          <w:p>
            <w:pPr>
              <w:pStyle w:val="TableContents"/>
              <w:spacing w:before="0" w:after="283"/>
              <w:jc w:val="center"/>
              <w:rPr/>
            </w:pPr>
            <w:r>
              <w:rPr/>
              <w:t xml:space="preserve">(State or Other Jurisdiction of Incorporation) </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t xml:space="preserve">(Commission File Number) </w:t>
            </w:r>
          </w:p>
        </w:tc>
        <w:tc>
          <w:tcPr>
            <w:tcW w:w="509" w:type="dxa"/>
            <w:tcBorders/>
            <w:shd w:fill="auto" w:val="clear"/>
            <w:vAlign w:val="bottom"/>
          </w:tcPr>
          <w:p>
            <w:pPr>
              <w:pStyle w:val="TableContents"/>
              <w:spacing w:before="0" w:after="283"/>
              <w:rPr/>
            </w:pPr>
            <w:r>
              <w:rPr/>
              <w:t> </w:t>
            </w:r>
          </w:p>
        </w:tc>
        <w:tc>
          <w:tcPr>
            <w:tcW w:w="3063" w:type="dxa"/>
            <w:tcBorders/>
            <w:shd w:fill="auto" w:val="clear"/>
          </w:tcPr>
          <w:p>
            <w:pPr>
              <w:pStyle w:val="TableContents"/>
              <w:spacing w:before="0" w:after="283"/>
              <w:jc w:val="center"/>
              <w:rPr/>
            </w:pPr>
            <w:r>
              <w:rPr/>
              <w:t>(IRS Employer Identification No.)</w:t>
            </w:r>
          </w:p>
        </w:tc>
      </w:tr>
    </w:tbl>
    <w:p>
      <w:pPr>
        <w:pStyle w:val="TextBody"/>
        <w:jc w:val="center"/>
        <w:rPr>
          <w:rFonts w:ascii="Times New Roman;Times;serif" w:hAnsi="Times New Roman;Times;serif"/>
          <w:sz w:val="17"/>
        </w:rPr>
      </w:pPr>
      <w:r>
        <w:rPr>
          <w:rFonts w:ascii="Times New Roman;Times;serif" w:hAnsi="Times New Roman;Times;serif"/>
          <w:b/>
          <w:sz w:val="17"/>
        </w:rPr>
        <w:t>2530 Red Hill Avenue, Santa Ana, California 92705</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(Address of Principal Executive Offices) (Zip Code) </w:t>
      </w:r>
    </w:p>
    <w:p>
      <w:pPr>
        <w:pStyle w:val="TextBody"/>
        <w:jc w:val="center"/>
        <w:rPr>
          <w:rFonts w:ascii="Times New Roman;Times;serif" w:hAnsi="Times New Roman;Times;serif"/>
          <w:sz w:val="17"/>
        </w:rPr>
      </w:pPr>
      <w:r>
        <w:rPr>
          <w:rFonts w:ascii="Times New Roman;Times;serif" w:hAnsi="Times New Roman;Times;serif"/>
          <w:sz w:val="17"/>
        </w:rPr>
        <w:t xml:space="preserve">Registrants telephone number, including area code: </w:t>
      </w:r>
      <w:r>
        <w:rPr>
          <w:rFonts w:ascii="Times New Roman;Times;serif" w:hAnsi="Times New Roman;Times;serif"/>
          <w:b/>
          <w:sz w:val="17"/>
        </w:rPr>
        <w:t>(949) 223-1111</w:t>
      </w:r>
      <w:r>
        <w:rPr>
          <w:rFonts w:ascii="Times New Roman;Times;serif" w:hAnsi="Times New Roman;Times;serif"/>
          <w:sz w:val="17"/>
        </w:rPr>
        <w:t xml:space="preserve"> </w:t>
      </w:r>
    </w:p>
    <w:p>
      <w:pPr>
        <w:pStyle w:val="TextBody"/>
        <w:jc w:val="left"/>
        <w:rPr/>
      </w:pPr>
      <w:r>
        <w:rPr/>
        <w:t>     </w:t>
      </w:r>
      <w:r>
        <w:rPr>
          <w:rFonts w:ascii="Times New Roman;Times;serif" w:hAnsi="Times New Roman;Times;serif"/>
          <w:sz w:val="17"/>
        </w:rPr>
        <w:t xml:space="preserve">Check the appropriate box below if the Form 8-K filing is intended to simultaneously satisfy the filing obligation of the registrant under any of the following provisions: </w:t>
      </w:r>
    </w:p>
    <w:tbl>
      <w:tblPr>
        <w:tblW w:w="5000" w:type="pct"/>
        <w:jc w:val="left"/>
        <w:tblInd w:w="0" w:type="dxa"/>
        <w:tblCellMar>
          <w:top w:w="0" w:type="dxa"/>
          <w:left w:w="0" w:type="dxa"/>
          <w:bottom w:w="0" w:type="dxa"/>
          <w:right w:w="0" w:type="dxa"/>
        </w:tblCellMar>
      </w:tblPr>
      <w:tblGrid>
        <w:gridCol w:w="295"/>
        <w:gridCol w:w="9885"/>
        <w:gridCol w:w="25"/>
      </w:tblGrid>
      <w:tr>
        <w:trPr/>
        <w:tc>
          <w:tcPr>
            <w:tcW w:w="295" w:type="dxa"/>
            <w:tcBorders/>
            <w:shd w:fill="auto" w:val="clear"/>
          </w:tcPr>
          <w:p>
            <w:pPr>
              <w:pStyle w:val="TableContents"/>
              <w:spacing w:before="0" w:after="283"/>
              <w:jc w:val="left"/>
              <w:rPr/>
            </w:pPr>
            <w:r>
              <w:rPr>
                <w:rFonts w:ascii="Wingdings" w:hAnsi="Wingdings"/>
              </w:rPr>
              <w:t>o</w:t>
            </w:r>
            <w:r>
              <w:rPr/>
              <w:t>  </w:t>
            </w:r>
          </w:p>
        </w:tc>
        <w:tc>
          <w:tcPr>
            <w:tcW w:w="9885" w:type="dxa"/>
            <w:tcBorders/>
            <w:shd w:fill="auto" w:val="clear"/>
          </w:tcPr>
          <w:p>
            <w:pPr>
              <w:pStyle w:val="TableContents"/>
              <w:spacing w:before="0" w:after="283"/>
              <w:rPr/>
            </w:pPr>
            <w:r>
              <w:rPr/>
              <w:t>Written communications pursuant to Rule 425 under the Securities Act (17 CFR 230.425)</w:t>
            </w:r>
          </w:p>
        </w:tc>
        <w:tc>
          <w:tcPr>
            <w:tcW w:w="25" w:type="dxa"/>
            <w:tcBorders/>
            <w:shd w:fill="auto" w:val="clear"/>
          </w:tcPr>
          <w:p>
            <w:pPr>
              <w:pStyle w:val="TableContents"/>
              <w:spacing w:before="0" w:after="283"/>
              <w:rPr>
                <w:sz w:val="4"/>
                <w:szCs w:val="4"/>
              </w:rPr>
            </w:pPr>
            <w:r>
              <w:rPr>
                <w:sz w:val="4"/>
                <w:szCs w:val="4"/>
              </w:rPr>
            </w:r>
          </w:p>
        </w:tc>
      </w:tr>
      <w:tr>
        <w:trPr/>
        <w:tc>
          <w:tcPr>
            <w:tcW w:w="10205" w:type="dxa"/>
            <w:gridSpan w:val="3"/>
            <w:tcBorders/>
            <w:shd w:fill="auto" w:val="clear"/>
            <w:vAlign w:val="center"/>
          </w:tcPr>
          <w:p>
            <w:pPr>
              <w:pStyle w:val="TableContents"/>
              <w:spacing w:before="0" w:after="283"/>
              <w:rPr/>
            </w:pPr>
            <w:r>
              <w:rPr/>
              <w:t> </w:t>
            </w:r>
          </w:p>
        </w:tc>
      </w:tr>
      <w:tr>
        <w:trPr/>
        <w:tc>
          <w:tcPr>
            <w:tcW w:w="295" w:type="dxa"/>
            <w:tcBorders/>
            <w:shd w:fill="auto" w:val="clear"/>
          </w:tcPr>
          <w:p>
            <w:pPr>
              <w:pStyle w:val="TableContents"/>
              <w:spacing w:before="0" w:after="283"/>
              <w:jc w:val="left"/>
              <w:rPr/>
            </w:pPr>
            <w:r>
              <w:rPr>
                <w:rFonts w:ascii="Wingdings" w:hAnsi="Wingdings"/>
              </w:rPr>
              <w:t>o</w:t>
            </w:r>
            <w:r>
              <w:rPr/>
              <w:t>  </w:t>
            </w:r>
          </w:p>
        </w:tc>
        <w:tc>
          <w:tcPr>
            <w:tcW w:w="9885" w:type="dxa"/>
            <w:tcBorders/>
            <w:shd w:fill="auto" w:val="clear"/>
          </w:tcPr>
          <w:p>
            <w:pPr>
              <w:pStyle w:val="TableContents"/>
              <w:spacing w:before="0" w:after="283"/>
              <w:rPr/>
            </w:pPr>
            <w:r>
              <w:rPr/>
              <w:t>Soliciting material pursuant to Rule 14a-12 under the Exchange Act (17 CFR 240.14a-12)</w:t>
            </w:r>
          </w:p>
        </w:tc>
        <w:tc>
          <w:tcPr>
            <w:tcW w:w="25" w:type="dxa"/>
            <w:tcBorders/>
            <w:shd w:fill="auto" w:val="clear"/>
          </w:tcPr>
          <w:p>
            <w:pPr>
              <w:pStyle w:val="TableContents"/>
              <w:spacing w:before="0" w:after="283"/>
              <w:rPr>
                <w:sz w:val="4"/>
                <w:szCs w:val="4"/>
              </w:rPr>
            </w:pPr>
            <w:r>
              <w:rPr>
                <w:sz w:val="4"/>
                <w:szCs w:val="4"/>
              </w:rPr>
            </w:r>
          </w:p>
        </w:tc>
      </w:tr>
      <w:tr>
        <w:trPr/>
        <w:tc>
          <w:tcPr>
            <w:tcW w:w="10205" w:type="dxa"/>
            <w:gridSpan w:val="3"/>
            <w:tcBorders/>
            <w:shd w:fill="auto" w:val="clear"/>
            <w:vAlign w:val="center"/>
          </w:tcPr>
          <w:p>
            <w:pPr>
              <w:pStyle w:val="TableContents"/>
              <w:spacing w:before="0" w:after="283"/>
              <w:rPr/>
            </w:pPr>
            <w:r>
              <w:rPr/>
              <w:t> </w:t>
            </w:r>
          </w:p>
        </w:tc>
      </w:tr>
      <w:tr>
        <w:trPr/>
        <w:tc>
          <w:tcPr>
            <w:tcW w:w="295" w:type="dxa"/>
            <w:tcBorders/>
            <w:shd w:fill="auto" w:val="clear"/>
          </w:tcPr>
          <w:p>
            <w:pPr>
              <w:pStyle w:val="TableContents"/>
              <w:spacing w:before="0" w:after="283"/>
              <w:jc w:val="left"/>
              <w:rPr/>
            </w:pPr>
            <w:r>
              <w:rPr>
                <w:rFonts w:ascii="Wingdings" w:hAnsi="Wingdings"/>
              </w:rPr>
              <w:t>o</w:t>
            </w:r>
            <w:r>
              <w:rPr/>
              <w:t>  </w:t>
            </w:r>
          </w:p>
        </w:tc>
        <w:tc>
          <w:tcPr>
            <w:tcW w:w="9885" w:type="dxa"/>
            <w:tcBorders/>
            <w:shd w:fill="auto" w:val="clear"/>
          </w:tcPr>
          <w:p>
            <w:pPr>
              <w:pStyle w:val="TableContents"/>
              <w:spacing w:before="0" w:after="283"/>
              <w:rPr/>
            </w:pPr>
            <w:r>
              <w:rPr/>
              <w:t>Pre-commencement communications pursuant to Rule 14d-2(b) under the Exchange Act (17 CFR 240.14d-2(b))</w:t>
            </w:r>
          </w:p>
        </w:tc>
        <w:tc>
          <w:tcPr>
            <w:tcW w:w="25" w:type="dxa"/>
            <w:tcBorders/>
            <w:shd w:fill="auto" w:val="clear"/>
          </w:tcPr>
          <w:p>
            <w:pPr>
              <w:pStyle w:val="TableContents"/>
              <w:spacing w:before="0" w:after="283"/>
              <w:rPr>
                <w:sz w:val="4"/>
                <w:szCs w:val="4"/>
              </w:rPr>
            </w:pPr>
            <w:r>
              <w:rPr>
                <w:sz w:val="4"/>
                <w:szCs w:val="4"/>
              </w:rPr>
            </w:r>
          </w:p>
        </w:tc>
      </w:tr>
      <w:tr>
        <w:trPr/>
        <w:tc>
          <w:tcPr>
            <w:tcW w:w="10205" w:type="dxa"/>
            <w:gridSpan w:val="3"/>
            <w:tcBorders/>
            <w:shd w:fill="auto" w:val="clear"/>
            <w:vAlign w:val="center"/>
          </w:tcPr>
          <w:p>
            <w:pPr>
              <w:pStyle w:val="TableContents"/>
              <w:spacing w:before="0" w:after="283"/>
              <w:rPr/>
            </w:pPr>
            <w:r>
              <w:rPr/>
              <w:t> </w:t>
            </w:r>
          </w:p>
        </w:tc>
      </w:tr>
      <w:tr>
        <w:trPr/>
        <w:tc>
          <w:tcPr>
            <w:tcW w:w="295" w:type="dxa"/>
            <w:tcBorders/>
            <w:shd w:fill="auto" w:val="clear"/>
          </w:tcPr>
          <w:p>
            <w:pPr>
              <w:pStyle w:val="TableContents"/>
              <w:spacing w:before="0" w:after="283"/>
              <w:jc w:val="left"/>
              <w:rPr/>
            </w:pPr>
            <w:r>
              <w:rPr>
                <w:rFonts w:ascii="Wingdings" w:hAnsi="Wingdings"/>
              </w:rPr>
              <w:t>o</w:t>
            </w:r>
            <w:r>
              <w:rPr/>
              <w:t>  </w:t>
            </w:r>
          </w:p>
        </w:tc>
        <w:tc>
          <w:tcPr>
            <w:tcW w:w="9885" w:type="dxa"/>
            <w:tcBorders/>
            <w:shd w:fill="auto" w:val="clear"/>
          </w:tcPr>
          <w:p>
            <w:pPr>
              <w:pStyle w:val="TableContents"/>
              <w:spacing w:before="0" w:after="283"/>
              <w:rPr/>
            </w:pPr>
            <w:r>
              <w:rPr/>
              <w:t>Pre-commencement communications pursuant to Rule 13e-4(c) under the Exchange Act (17 CFR 240.13e-4(c))</w:t>
            </w:r>
          </w:p>
        </w:tc>
        <w:tc>
          <w:tcPr>
            <w:tcW w:w="25" w:type="dxa"/>
            <w:tcBorders/>
            <w:shd w:fill="auto" w:val="clear"/>
          </w:tcPr>
          <w:p>
            <w:pPr>
              <w:pStyle w:val="TableContents"/>
              <w:spacing w:before="0" w:after="283"/>
              <w:rPr>
                <w:sz w:val="4"/>
                <w:szCs w:val="4"/>
              </w:rPr>
            </w:pPr>
            <w:r>
              <w:rPr>
                <w:sz w:val="4"/>
                <w:szCs w:val="4"/>
              </w:rPr>
            </w:r>
          </w:p>
        </w:tc>
      </w:tr>
    </w:tbl>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p>
    <w:p>
      <w:pPr>
        <w:pStyle w:val="TextBody"/>
        <w:jc w:val="center"/>
        <w:rPr>
          <w:rFonts w:ascii="Times New Roman;Times;serif" w:hAnsi="Times New Roman;Times;serif"/>
          <w:b/>
          <w:u w:val="single"/>
        </w:rPr>
      </w:pPr>
      <w:bookmarkStart w:id="2" w:name="toc"/>
      <w:bookmarkEnd w:id="2"/>
      <w:r>
        <w:rPr>
          <w:rFonts w:ascii="Times New Roman;Times;serif" w:hAnsi="Times New Roman;Times;serif"/>
          <w:b/>
          <w:u w:val="single"/>
        </w:rPr>
        <w:t>TABLE OF CONTENTS</w:t>
      </w:r>
    </w:p>
    <w:tbl>
      <w:tblPr>
        <w:tblW w:w="4500" w:type="pct"/>
        <w:jc w:val="center"/>
        <w:tblInd w:w="0" w:type="dxa"/>
        <w:tblCellMar>
          <w:top w:w="0" w:type="dxa"/>
          <w:left w:w="0" w:type="dxa"/>
          <w:bottom w:w="0" w:type="dxa"/>
          <w:right w:w="0" w:type="dxa"/>
        </w:tblCellMar>
      </w:tblPr>
      <w:tblGrid>
        <w:gridCol w:w="583"/>
        <w:gridCol w:w="312"/>
        <w:gridCol w:w="312"/>
        <w:gridCol w:w="312"/>
        <w:gridCol w:w="312"/>
        <w:gridCol w:w="312"/>
        <w:gridCol w:w="312"/>
        <w:gridCol w:w="312"/>
        <w:gridCol w:w="6417"/>
      </w:tblGrid>
      <w:tr>
        <w:trPr/>
        <w:tc>
          <w:tcPr>
            <w:tcW w:w="583"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6417" w:type="dxa"/>
            <w:tcBorders/>
            <w:shd w:fill="auto" w:val="clear"/>
            <w:vAlign w:val="center"/>
          </w:tcPr>
          <w:p>
            <w:pPr>
              <w:pStyle w:val="TableContents"/>
              <w:spacing w:before="0" w:after="283"/>
              <w:rPr>
                <w:sz w:val="4"/>
                <w:szCs w:val="4"/>
              </w:rPr>
            </w:pPr>
            <w:r>
              <w:rPr>
                <w:sz w:val="4"/>
                <w:szCs w:val="4"/>
              </w:rPr>
            </w:r>
          </w:p>
        </w:tc>
      </w:tr>
      <w:tr>
        <w:trPr/>
        <w:tc>
          <w:tcPr>
            <w:tcW w:w="9184" w:type="dxa"/>
            <w:gridSpan w:val="9"/>
            <w:tcBorders/>
            <w:shd w:fill="auto" w:val="clear"/>
            <w:vAlign w:val="center"/>
          </w:tcPr>
          <w:p>
            <w:pPr>
              <w:pStyle w:val="TableContents"/>
              <w:spacing w:before="0" w:after="283"/>
              <w:rPr/>
            </w:pPr>
            <w:hyperlink w:anchor="000">
              <w:r>
                <w:rPr>
                  <w:rStyle w:val="InternetLink"/>
                </w:rPr>
                <w:t>Item 3.01. Notice of delisting or failure to satisfy a continued listing rule or standard; transfer of listing.</w:t>
              </w:r>
            </w:hyperlink>
          </w:p>
        </w:tc>
      </w:tr>
      <w:tr>
        <w:trPr/>
        <w:tc>
          <w:tcPr>
            <w:tcW w:w="9184" w:type="dxa"/>
            <w:gridSpan w:val="9"/>
            <w:tcBorders/>
            <w:shd w:fill="auto" w:val="clear"/>
            <w:vAlign w:val="center"/>
          </w:tcPr>
          <w:p>
            <w:pPr>
              <w:pStyle w:val="TableContents"/>
              <w:spacing w:before="0" w:after="283"/>
              <w:rPr/>
            </w:pPr>
            <w:hyperlink w:anchor="001">
              <w:r>
                <w:rPr>
                  <w:rStyle w:val="InternetLink"/>
                </w:rPr>
                <w:t>SIGNATURE</w:t>
              </w:r>
            </w:hyperlink>
          </w:p>
        </w:tc>
      </w:tr>
    </w:tbl>
    <w:p>
      <w:pPr>
        <w:pStyle w:val="HorizontalLine"/>
        <w:pBdr>
          <w:bottom w:val="single" w:sz="20" w:space="0" w:color="808080"/>
        </w:pBdr>
        <w:rPr/>
      </w:pPr>
      <w:r>
        <w:rPr/>
      </w:r>
      <w:r>
        <w:br w:type="page"/>
      </w:r>
    </w:p>
    <w:p>
      <w:pPr>
        <w:pStyle w:val="Heading5"/>
        <w:jc w:val="left"/>
        <w:rPr/>
      </w:pPr>
      <w:hyperlink w:anchor="toc">
        <w:r>
          <w:rPr>
            <w:rStyle w:val="InternetLink"/>
            <w:rFonts w:ascii="Times New Roman;Times;serif" w:hAnsi="Times New Roman;Times;serif"/>
          </w:rPr>
          <w:t>Table of Contents</w:t>
        </w:r>
      </w:hyperlink>
    </w:p>
    <w:p>
      <w:pPr>
        <w:pStyle w:val="TextBody"/>
        <w:jc w:val="left"/>
        <w:rPr/>
      </w:pPr>
      <w:bookmarkStart w:id="3" w:name="000"/>
      <w:bookmarkEnd w:id="3"/>
      <w:r>
        <w:rPr/>
        <w:t>     </w:t>
      </w:r>
      <w:r>
        <w:rPr>
          <w:rFonts w:ascii="Times New Roman;Times;serif" w:hAnsi="Times New Roman;Times;serif"/>
          <w:b/>
          <w:sz w:val="17"/>
        </w:rPr>
        <w:t>Item 3.01. Notice of delisting or failure to satisfy a continued listing rule or standard; transfer of listing.</w:t>
      </w:r>
      <w:r>
        <w:rPr>
          <w:rFonts w:ascii="Times New Roman;Times;serif" w:hAnsi="Times New Roman;Times;serif"/>
          <w:sz w:val="17"/>
        </w:rPr>
        <w:t xml:space="preserve"> </w:t>
      </w:r>
    </w:p>
    <w:tbl>
      <w:tblPr>
        <w:tblW w:w="5000" w:type="pct"/>
        <w:jc w:val="left"/>
        <w:tblInd w:w="0" w:type="dxa"/>
        <w:tblCellMar>
          <w:top w:w="0" w:type="dxa"/>
          <w:left w:w="0" w:type="dxa"/>
          <w:bottom w:w="0" w:type="dxa"/>
          <w:right w:w="0" w:type="dxa"/>
        </w:tblCellMar>
      </w:tblPr>
      <w:tblGrid>
        <w:gridCol w:w="514"/>
        <w:gridCol w:w="410"/>
        <w:gridCol w:w="9257"/>
        <w:gridCol w:w="24"/>
      </w:tblGrid>
      <w:tr>
        <w:trPr/>
        <w:tc>
          <w:tcPr>
            <w:tcW w:w="514" w:type="dxa"/>
            <w:tcBorders/>
            <w:shd w:fill="auto" w:val="clear"/>
          </w:tcPr>
          <w:p>
            <w:pPr>
              <w:pStyle w:val="TableContents"/>
              <w:spacing w:before="0" w:after="283"/>
              <w:rPr/>
            </w:pPr>
            <w:r>
              <w:rPr/>
              <w:t> </w:t>
            </w:r>
          </w:p>
        </w:tc>
        <w:tc>
          <w:tcPr>
            <w:tcW w:w="410" w:type="dxa"/>
            <w:tcBorders/>
            <w:shd w:fill="auto" w:val="clear"/>
          </w:tcPr>
          <w:p>
            <w:pPr>
              <w:pStyle w:val="TableContents"/>
              <w:spacing w:before="0" w:after="283"/>
              <w:jc w:val="left"/>
              <w:rPr/>
            </w:pPr>
            <w:r>
              <w:rPr/>
              <w:t>(a)  </w:t>
            </w:r>
          </w:p>
        </w:tc>
        <w:tc>
          <w:tcPr>
            <w:tcW w:w="9257" w:type="dxa"/>
            <w:tcBorders/>
            <w:shd w:fill="auto" w:val="clear"/>
          </w:tcPr>
          <w:p>
            <w:pPr>
              <w:pStyle w:val="TableContents"/>
              <w:spacing w:before="0" w:after="283"/>
              <w:rPr/>
            </w:pPr>
            <w:r>
              <w:rPr/>
              <w:t>Calavo Growers, Inc. (Calavo) has received a letter from the Listing Qualifications staff of the Nasdaq Stock Market (the Staff), dated February 11, 2005, stating that Calavo does not meet the independent director requirement for continued listing on The Nasdaq Stock Market under Marketplace Rule 4350(c)(1). The cited rule requires that a majority of the board of directors of a listed company must be comprised of independent directors as defined in Marketplace Rule 4200(a)(15).</w:t>
            </w:r>
          </w:p>
        </w:tc>
        <w:tc>
          <w:tcPr>
            <w:tcW w:w="24" w:type="dxa"/>
            <w:tcBorders/>
            <w:shd w:fill="auto" w:val="clear"/>
          </w:tcPr>
          <w:p>
            <w:pPr>
              <w:pStyle w:val="TableContents"/>
              <w:spacing w:before="0" w:after="283"/>
              <w:rPr>
                <w:sz w:val="4"/>
                <w:szCs w:val="4"/>
              </w:rPr>
            </w:pPr>
            <w:r>
              <w:rPr>
                <w:sz w:val="4"/>
                <w:szCs w:val="4"/>
              </w:rPr>
            </w:r>
          </w:p>
        </w:tc>
      </w:tr>
      <w:tr>
        <w:trPr/>
        <w:tc>
          <w:tcPr>
            <w:tcW w:w="10205" w:type="dxa"/>
            <w:gridSpan w:val="4"/>
            <w:tcBorders/>
            <w:shd w:fill="auto" w:val="clear"/>
            <w:vAlign w:val="center"/>
          </w:tcPr>
          <w:p>
            <w:pPr>
              <w:pStyle w:val="TableContents"/>
              <w:spacing w:before="0" w:after="283"/>
              <w:rPr/>
            </w:pPr>
            <w:r>
              <w:rPr/>
              <w:t> </w:t>
            </w:r>
          </w:p>
        </w:tc>
      </w:tr>
      <w:tr>
        <w:trPr/>
        <w:tc>
          <w:tcPr>
            <w:tcW w:w="514" w:type="dxa"/>
            <w:tcBorders/>
            <w:shd w:fill="auto" w:val="clear"/>
          </w:tcPr>
          <w:p>
            <w:pPr>
              <w:pStyle w:val="TableContents"/>
              <w:spacing w:before="0" w:after="283"/>
              <w:rPr/>
            </w:pPr>
            <w:r>
              <w:rPr/>
              <w:t> </w:t>
            </w:r>
          </w:p>
        </w:tc>
        <w:tc>
          <w:tcPr>
            <w:tcW w:w="410" w:type="dxa"/>
            <w:tcBorders/>
            <w:shd w:fill="auto" w:val="clear"/>
          </w:tcPr>
          <w:p>
            <w:pPr>
              <w:pStyle w:val="TableContents"/>
              <w:spacing w:before="0" w:after="283"/>
              <w:jc w:val="left"/>
              <w:rPr/>
            </w:pPr>
            <w:r>
              <w:rPr/>
              <w:t>   </w:t>
            </w:r>
          </w:p>
        </w:tc>
        <w:tc>
          <w:tcPr>
            <w:tcW w:w="9257" w:type="dxa"/>
            <w:tcBorders/>
            <w:shd w:fill="auto" w:val="clear"/>
          </w:tcPr>
          <w:p>
            <w:pPr>
              <w:pStyle w:val="TableContents"/>
              <w:spacing w:before="0" w:after="283"/>
              <w:rPr/>
            </w:pPr>
            <w:r>
              <w:rPr/>
              <w:t>Calavos non-compliance with Rule 4350(c)(1) resulted from the Staffs determination in its February 11 letter that a majority of Calavos ten directors are not independent as defined in Marketplace Rule 4200(a)(15). Before its receipt of the February 11 letter from the Staff, Calavos Board of Directors believed that nine of its ten directors were independent within the meaning of Rule 4200(a)(15). As a result of the Staffs letter, the Board of Directors now believes that only five of its ten members are independent.</w:t>
            </w:r>
          </w:p>
        </w:tc>
        <w:tc>
          <w:tcPr>
            <w:tcW w:w="24" w:type="dxa"/>
            <w:tcBorders/>
            <w:shd w:fill="auto" w:val="clear"/>
          </w:tcPr>
          <w:p>
            <w:pPr>
              <w:pStyle w:val="TableContents"/>
              <w:spacing w:before="0" w:after="283"/>
              <w:rPr>
                <w:sz w:val="4"/>
                <w:szCs w:val="4"/>
              </w:rPr>
            </w:pPr>
            <w:r>
              <w:rPr>
                <w:sz w:val="4"/>
                <w:szCs w:val="4"/>
              </w:rPr>
            </w:r>
          </w:p>
        </w:tc>
      </w:tr>
      <w:tr>
        <w:trPr/>
        <w:tc>
          <w:tcPr>
            <w:tcW w:w="10205" w:type="dxa"/>
            <w:gridSpan w:val="4"/>
            <w:tcBorders/>
            <w:shd w:fill="auto" w:val="clear"/>
            <w:vAlign w:val="center"/>
          </w:tcPr>
          <w:p>
            <w:pPr>
              <w:pStyle w:val="TableContents"/>
              <w:spacing w:before="0" w:after="283"/>
              <w:rPr/>
            </w:pPr>
            <w:r>
              <w:rPr/>
              <w:t> </w:t>
            </w:r>
          </w:p>
        </w:tc>
      </w:tr>
      <w:tr>
        <w:trPr/>
        <w:tc>
          <w:tcPr>
            <w:tcW w:w="514" w:type="dxa"/>
            <w:tcBorders/>
            <w:shd w:fill="auto" w:val="clear"/>
          </w:tcPr>
          <w:p>
            <w:pPr>
              <w:pStyle w:val="TableContents"/>
              <w:spacing w:before="0" w:after="283"/>
              <w:rPr/>
            </w:pPr>
            <w:r>
              <w:rPr/>
              <w:t> </w:t>
            </w:r>
          </w:p>
        </w:tc>
        <w:tc>
          <w:tcPr>
            <w:tcW w:w="410" w:type="dxa"/>
            <w:tcBorders/>
            <w:shd w:fill="auto" w:val="clear"/>
          </w:tcPr>
          <w:p>
            <w:pPr>
              <w:pStyle w:val="TableContents"/>
              <w:spacing w:before="0" w:after="283"/>
              <w:jc w:val="left"/>
              <w:rPr/>
            </w:pPr>
            <w:r>
              <w:rPr/>
              <w:t>   </w:t>
            </w:r>
          </w:p>
        </w:tc>
        <w:tc>
          <w:tcPr>
            <w:tcW w:w="9257" w:type="dxa"/>
            <w:tcBorders/>
            <w:shd w:fill="auto" w:val="clear"/>
          </w:tcPr>
          <w:p>
            <w:pPr>
              <w:pStyle w:val="TableContents"/>
              <w:spacing w:before="0" w:after="283"/>
              <w:rPr/>
            </w:pPr>
            <w:r>
              <w:rPr/>
              <w:t>The Staffs letter to Calavo indicated that Calavos eligibility for continued listing on the Nasdaq Stock Market is being reviewed and requested that Calavo provide to the Staff, on or before February 28, 2005, a specific plan and timetable to achieve compliance with Marketplace Rule 4350(c)(1).</w:t>
            </w:r>
          </w:p>
        </w:tc>
        <w:tc>
          <w:tcPr>
            <w:tcW w:w="24" w:type="dxa"/>
            <w:tcBorders/>
            <w:shd w:fill="auto" w:val="clear"/>
          </w:tcPr>
          <w:p>
            <w:pPr>
              <w:pStyle w:val="TableContents"/>
              <w:spacing w:before="0" w:after="283"/>
              <w:rPr>
                <w:sz w:val="4"/>
                <w:szCs w:val="4"/>
              </w:rPr>
            </w:pPr>
            <w:r>
              <w:rPr>
                <w:sz w:val="4"/>
                <w:szCs w:val="4"/>
              </w:rPr>
            </w:r>
          </w:p>
        </w:tc>
      </w:tr>
      <w:tr>
        <w:trPr/>
        <w:tc>
          <w:tcPr>
            <w:tcW w:w="10205" w:type="dxa"/>
            <w:gridSpan w:val="4"/>
            <w:tcBorders/>
            <w:shd w:fill="auto" w:val="clear"/>
            <w:vAlign w:val="center"/>
          </w:tcPr>
          <w:p>
            <w:pPr>
              <w:pStyle w:val="TableContents"/>
              <w:spacing w:before="0" w:after="283"/>
              <w:rPr/>
            </w:pPr>
            <w:r>
              <w:rPr/>
              <w:t> </w:t>
            </w:r>
          </w:p>
        </w:tc>
      </w:tr>
      <w:tr>
        <w:trPr/>
        <w:tc>
          <w:tcPr>
            <w:tcW w:w="514" w:type="dxa"/>
            <w:tcBorders/>
            <w:shd w:fill="auto" w:val="clear"/>
          </w:tcPr>
          <w:p>
            <w:pPr>
              <w:pStyle w:val="TableContents"/>
              <w:spacing w:before="0" w:after="283"/>
              <w:rPr/>
            </w:pPr>
            <w:r>
              <w:rPr/>
              <w:t> </w:t>
            </w:r>
          </w:p>
        </w:tc>
        <w:tc>
          <w:tcPr>
            <w:tcW w:w="410" w:type="dxa"/>
            <w:tcBorders/>
            <w:shd w:fill="auto" w:val="clear"/>
          </w:tcPr>
          <w:p>
            <w:pPr>
              <w:pStyle w:val="TableContents"/>
              <w:spacing w:before="0" w:after="283"/>
              <w:jc w:val="left"/>
              <w:rPr/>
            </w:pPr>
            <w:r>
              <w:rPr/>
              <w:t>   </w:t>
            </w:r>
          </w:p>
        </w:tc>
        <w:tc>
          <w:tcPr>
            <w:tcW w:w="9257" w:type="dxa"/>
            <w:tcBorders/>
            <w:shd w:fill="auto" w:val="clear"/>
          </w:tcPr>
          <w:p>
            <w:pPr>
              <w:pStyle w:val="TableContents"/>
              <w:spacing w:before="0" w:after="283"/>
              <w:rPr/>
            </w:pPr>
            <w:r>
              <w:rPr/>
              <w:t>Calavo intends to submit to the Staff a specific plan and timetable to achieve compliance with Marketplace Rule 4350(c)(1). Subject to obtaining concurrence from the Staff, Calavos plan and timetable will be to appoint an independent, 11th director within 30 days after the annual meeting of shareholders to be held on March 21, 2005. Because Calavo anticipates mailing its proxy statement to shareholders by February 22, 2005, Calavo does not believe that sufficient time exists to identify and name a new independent director nominee in its proxy statement.</w:t>
            </w:r>
          </w:p>
        </w:tc>
        <w:tc>
          <w:tcPr>
            <w:tcW w:w="24" w:type="dxa"/>
            <w:tcBorders/>
            <w:shd w:fill="auto" w:val="clear"/>
          </w:tcPr>
          <w:p>
            <w:pPr>
              <w:pStyle w:val="TableContents"/>
              <w:spacing w:before="0" w:after="283"/>
              <w:rPr>
                <w:sz w:val="4"/>
                <w:szCs w:val="4"/>
              </w:rPr>
            </w:pPr>
            <w:r>
              <w:rPr>
                <w:sz w:val="4"/>
                <w:szCs w:val="4"/>
              </w:rPr>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hyperlink w:anchor="toc">
        <w:r>
          <w:rPr>
            <w:rStyle w:val="InternetLink"/>
          </w:rPr>
          <w:t>Table of Contents</w:t>
        </w:r>
      </w:hyperlink>
    </w:p>
    <w:p>
      <w:pPr>
        <w:pStyle w:val="TextBody"/>
        <w:jc w:val="center"/>
        <w:rPr>
          <w:rFonts w:ascii="Times New Roman;Times;serif" w:hAnsi="Times New Roman;Times;serif"/>
          <w:sz w:val="17"/>
        </w:rPr>
      </w:pPr>
      <w:bookmarkStart w:id="4" w:name="001"/>
      <w:bookmarkEnd w:id="4"/>
      <w:r>
        <w:rPr>
          <w:rFonts w:ascii="Times New Roman;Times;serif" w:hAnsi="Times New Roman;Times;serif"/>
          <w:b/>
          <w:sz w:val="17"/>
        </w:rPr>
        <w:t>SIGNATURE</w:t>
      </w:r>
      <w:r>
        <w:rPr>
          <w:rFonts w:ascii="Times New Roman;Times;serif" w:hAnsi="Times New Roman;Times;serif"/>
          <w:sz w:val="17"/>
        </w:rPr>
        <w:t xml:space="preserve"> </w:t>
      </w:r>
    </w:p>
    <w:p>
      <w:pPr>
        <w:pStyle w:val="TextBody"/>
        <w:spacing w:before="0" w:after="0"/>
        <w:jc w:val="left"/>
        <w:rPr/>
      </w:pPr>
      <w:r>
        <w:rPr/>
        <w:t>     </w:t>
      </w:r>
      <w:r>
        <w:rPr>
          <w:rFonts w:ascii="Times New Roman;Times;serif" w:hAnsi="Times New Roman;Times;serif"/>
          <w:sz w:val="17"/>
        </w:rPr>
        <w:t xml:space="preserve">Pursuant to the requirements of the Securities Exchange Act of 1934, the Registrant has duly caused this report to be signed on its behalf by the undersigned hereunto duly authorized. </w:t>
      </w:r>
    </w:p>
    <w:tbl>
      <w:tblPr>
        <w:tblW w:w="5000" w:type="pct"/>
        <w:jc w:val="left"/>
        <w:tblInd w:w="0" w:type="dxa"/>
        <w:tblCellMar>
          <w:top w:w="0" w:type="dxa"/>
          <w:left w:w="0" w:type="dxa"/>
          <w:bottom w:w="0" w:type="dxa"/>
          <w:right w:w="0" w:type="dxa"/>
        </w:tblCellMar>
      </w:tblPr>
      <w:tblGrid>
        <w:gridCol w:w="4748"/>
        <w:gridCol w:w="673"/>
        <w:gridCol w:w="798"/>
        <w:gridCol w:w="2799"/>
        <w:gridCol w:w="1187"/>
      </w:tblGrid>
      <w:tr>
        <w:trPr/>
        <w:tc>
          <w:tcPr>
            <w:tcW w:w="4748" w:type="dxa"/>
            <w:tcBorders/>
            <w:shd w:fill="auto" w:val="clear"/>
            <w:vAlign w:val="center"/>
          </w:tcPr>
          <w:p>
            <w:pPr>
              <w:pStyle w:val="TableContents"/>
              <w:spacing w:before="0" w:after="283"/>
              <w:rPr/>
            </w:pPr>
            <w:r>
              <w:rPr/>
              <w:t> </w:t>
            </w:r>
          </w:p>
        </w:tc>
        <w:tc>
          <w:tcPr>
            <w:tcW w:w="673" w:type="dxa"/>
            <w:tcBorders/>
            <w:shd w:fill="auto" w:val="clear"/>
            <w:vAlign w:val="center"/>
          </w:tcPr>
          <w:p>
            <w:pPr>
              <w:pStyle w:val="TableContents"/>
              <w:spacing w:before="0" w:after="283"/>
              <w:rPr/>
            </w:pPr>
            <w:r>
              <w:rPr/>
              <w:t> </w:t>
            </w:r>
          </w:p>
        </w:tc>
        <w:tc>
          <w:tcPr>
            <w:tcW w:w="798" w:type="dxa"/>
            <w:tcBorders/>
            <w:shd w:fill="auto" w:val="clear"/>
            <w:vAlign w:val="center"/>
          </w:tcPr>
          <w:p>
            <w:pPr>
              <w:pStyle w:val="TableContents"/>
              <w:spacing w:before="0" w:after="283"/>
              <w:rPr/>
            </w:pPr>
            <w:r>
              <w:rPr/>
              <w:t> </w:t>
            </w:r>
          </w:p>
        </w:tc>
        <w:tc>
          <w:tcPr>
            <w:tcW w:w="2799" w:type="dxa"/>
            <w:tcBorders/>
            <w:shd w:fill="auto" w:val="clear"/>
            <w:vAlign w:val="center"/>
          </w:tcPr>
          <w:p>
            <w:pPr>
              <w:pStyle w:val="TableContents"/>
              <w:spacing w:before="0" w:after="283"/>
              <w:rPr/>
            </w:pPr>
            <w:r>
              <w:rPr/>
              <w:t> </w:t>
            </w:r>
          </w:p>
        </w:tc>
        <w:tc>
          <w:tcPr>
            <w:tcW w:w="1187" w:type="dxa"/>
            <w:tcBorders/>
            <w:shd w:fill="auto" w:val="clear"/>
            <w:vAlign w:val="center"/>
          </w:tcPr>
          <w:p>
            <w:pPr>
              <w:pStyle w:val="TableContents"/>
              <w:spacing w:before="0" w:after="283"/>
              <w:rPr/>
            </w:pPr>
            <w:r>
              <w:rPr/>
              <w:t> </w:t>
            </w:r>
          </w:p>
        </w:tc>
      </w:tr>
      <w:tr>
        <w:trPr/>
        <w:tc>
          <w:tcPr>
            <w:tcW w:w="4748" w:type="dxa"/>
            <w:tcBorders/>
            <w:shd w:fill="auto" w:val="clear"/>
          </w:tcPr>
          <w:p>
            <w:pPr>
              <w:pStyle w:val="TableContents"/>
              <w:spacing w:before="0" w:after="283"/>
              <w:jc w:val="left"/>
              <w:rPr/>
            </w:pPr>
            <w:r>
              <w:rPr/>
              <w:t> </w:t>
            </w:r>
          </w:p>
        </w:tc>
        <w:tc>
          <w:tcPr>
            <w:tcW w:w="4270" w:type="dxa"/>
            <w:gridSpan w:val="3"/>
            <w:tcBorders/>
            <w:shd w:fill="auto" w:val="clear"/>
            <w:vAlign w:val="center"/>
          </w:tcPr>
          <w:p>
            <w:pPr>
              <w:pStyle w:val="TableContents"/>
              <w:spacing w:before="0" w:after="283"/>
              <w:jc w:val="left"/>
              <w:rPr/>
            </w:pPr>
            <w:r>
              <w:rPr/>
              <w:t>Calavo Growers, Inc.</w:t>
            </w:r>
          </w:p>
        </w:tc>
        <w:tc>
          <w:tcPr>
            <w:tcW w:w="1187" w:type="dxa"/>
            <w:tcBorders/>
            <w:shd w:fill="auto" w:val="clear"/>
            <w:vAlign w:val="center"/>
          </w:tcPr>
          <w:p>
            <w:pPr>
              <w:pStyle w:val="TableContents"/>
              <w:spacing w:before="0" w:after="283"/>
              <w:rPr/>
            </w:pPr>
            <w:r>
              <w:rPr/>
              <w:t> </w:t>
            </w:r>
          </w:p>
        </w:tc>
      </w:tr>
      <w:tr>
        <w:trPr/>
        <w:tc>
          <w:tcPr>
            <w:tcW w:w="4748" w:type="dxa"/>
            <w:tcBorders/>
            <w:shd w:fill="auto" w:val="clear"/>
          </w:tcPr>
          <w:p>
            <w:pPr>
              <w:pStyle w:val="TableContents"/>
              <w:spacing w:before="0" w:after="283"/>
              <w:jc w:val="left"/>
              <w:rPr/>
            </w:pPr>
            <w:r>
              <w:rPr/>
              <w:t>February 15, 2005</w:t>
            </w:r>
          </w:p>
        </w:tc>
        <w:tc>
          <w:tcPr>
            <w:tcW w:w="4270" w:type="dxa"/>
            <w:gridSpan w:val="3"/>
            <w:tcBorders/>
            <w:shd w:fill="auto" w:val="clear"/>
            <w:vAlign w:val="center"/>
          </w:tcPr>
          <w:p>
            <w:pPr>
              <w:pStyle w:val="TableContents"/>
              <w:spacing w:before="0" w:after="283"/>
              <w:jc w:val="left"/>
              <w:rPr/>
            </w:pPr>
            <w:r>
              <w:rPr/>
              <w:t> </w:t>
            </w:r>
          </w:p>
        </w:tc>
        <w:tc>
          <w:tcPr>
            <w:tcW w:w="1187" w:type="dxa"/>
            <w:tcBorders/>
            <w:shd w:fill="auto" w:val="clear"/>
            <w:vAlign w:val="center"/>
          </w:tcPr>
          <w:p>
            <w:pPr>
              <w:pStyle w:val="TableContents"/>
              <w:spacing w:before="0" w:after="283"/>
              <w:rPr/>
            </w:pPr>
            <w:r>
              <w:rPr/>
              <w:t> </w:t>
            </w:r>
          </w:p>
        </w:tc>
      </w:tr>
      <w:tr>
        <w:trPr/>
        <w:tc>
          <w:tcPr>
            <w:tcW w:w="4748" w:type="dxa"/>
            <w:tcBorders/>
            <w:shd w:fill="auto" w:val="clear"/>
            <w:vAlign w:val="center"/>
          </w:tcPr>
          <w:p>
            <w:pPr>
              <w:pStyle w:val="TableContents"/>
              <w:spacing w:before="0" w:after="283"/>
              <w:jc w:val="left"/>
              <w:rPr/>
            </w:pPr>
            <w:r>
              <w:rPr/>
              <w:t> </w:t>
            </w:r>
          </w:p>
        </w:tc>
        <w:tc>
          <w:tcPr>
            <w:tcW w:w="673" w:type="dxa"/>
            <w:tcBorders/>
            <w:shd w:fill="auto" w:val="clear"/>
          </w:tcPr>
          <w:p>
            <w:pPr>
              <w:pStyle w:val="TableContents"/>
              <w:spacing w:before="0" w:after="283"/>
              <w:rPr/>
            </w:pPr>
            <w:r>
              <w:rPr/>
              <w:t>By:  </w:t>
            </w:r>
          </w:p>
        </w:tc>
        <w:tc>
          <w:tcPr>
            <w:tcW w:w="3597" w:type="dxa"/>
            <w:gridSpan w:val="2"/>
            <w:tcBorders>
              <w:bottom w:val="single" w:sz="2" w:space="0" w:color="000000"/>
            </w:tcBorders>
            <w:shd w:fill="auto" w:val="clear"/>
            <w:tcMar>
              <w:bottom w:w="28" w:type="dxa"/>
            </w:tcMar>
            <w:vAlign w:val="center"/>
          </w:tcPr>
          <w:p>
            <w:pPr>
              <w:pStyle w:val="TableContents"/>
              <w:spacing w:before="0" w:after="283"/>
              <w:jc w:val="left"/>
              <w:rPr/>
            </w:pPr>
            <w:r>
              <w:rPr/>
              <w:t>/s/ Lecil E. Cole  </w:t>
            </w:r>
          </w:p>
        </w:tc>
        <w:tc>
          <w:tcPr>
            <w:tcW w:w="1187" w:type="dxa"/>
            <w:tcBorders/>
            <w:shd w:fill="auto" w:val="clear"/>
            <w:vAlign w:val="center"/>
          </w:tcPr>
          <w:p>
            <w:pPr>
              <w:pStyle w:val="TableContents"/>
              <w:spacing w:before="0" w:after="283"/>
              <w:rPr/>
            </w:pPr>
            <w:r>
              <w:rPr/>
              <w:t> </w:t>
            </w:r>
          </w:p>
        </w:tc>
      </w:tr>
      <w:tr>
        <w:trPr/>
        <w:tc>
          <w:tcPr>
            <w:tcW w:w="4748" w:type="dxa"/>
            <w:tcBorders/>
            <w:shd w:fill="auto" w:val="clear"/>
            <w:vAlign w:val="center"/>
          </w:tcPr>
          <w:p>
            <w:pPr>
              <w:pStyle w:val="TableContents"/>
              <w:spacing w:before="0" w:after="283"/>
              <w:jc w:val="left"/>
              <w:rPr/>
            </w:pPr>
            <w:r>
              <w:rPr/>
              <w:t> </w:t>
            </w:r>
          </w:p>
        </w:tc>
        <w:tc>
          <w:tcPr>
            <w:tcW w:w="673" w:type="dxa"/>
            <w:tcBorders/>
            <w:shd w:fill="auto" w:val="clear"/>
            <w:vAlign w:val="center"/>
          </w:tcPr>
          <w:p>
            <w:pPr>
              <w:pStyle w:val="TableContents"/>
              <w:spacing w:before="0" w:after="283"/>
              <w:rPr/>
            </w:pPr>
            <w:r>
              <w:rPr/>
              <w:t> </w:t>
            </w:r>
          </w:p>
        </w:tc>
        <w:tc>
          <w:tcPr>
            <w:tcW w:w="3597" w:type="dxa"/>
            <w:gridSpan w:val="2"/>
            <w:tcBorders/>
            <w:shd w:fill="auto" w:val="clear"/>
            <w:vAlign w:val="center"/>
          </w:tcPr>
          <w:p>
            <w:pPr>
              <w:pStyle w:val="TableContents"/>
              <w:spacing w:before="0" w:after="283"/>
              <w:jc w:val="left"/>
              <w:rPr/>
            </w:pPr>
            <w:r>
              <w:rPr/>
              <w:t>Lecil E. Cole </w:t>
            </w:r>
          </w:p>
        </w:tc>
        <w:tc>
          <w:tcPr>
            <w:tcW w:w="1187" w:type="dxa"/>
            <w:tcBorders/>
            <w:shd w:fill="auto" w:val="clear"/>
            <w:vAlign w:val="center"/>
          </w:tcPr>
          <w:p>
            <w:pPr>
              <w:pStyle w:val="TableContents"/>
              <w:spacing w:before="0" w:after="283"/>
              <w:rPr/>
            </w:pPr>
            <w:r>
              <w:rPr/>
              <w:t> </w:t>
            </w:r>
          </w:p>
        </w:tc>
      </w:tr>
      <w:tr>
        <w:trPr/>
        <w:tc>
          <w:tcPr>
            <w:tcW w:w="4748" w:type="dxa"/>
            <w:tcBorders/>
            <w:shd w:fill="auto" w:val="clear"/>
            <w:vAlign w:val="center"/>
          </w:tcPr>
          <w:p>
            <w:pPr>
              <w:pStyle w:val="TableContents"/>
              <w:spacing w:before="0" w:after="283"/>
              <w:jc w:val="left"/>
              <w:rPr/>
            </w:pPr>
            <w:r>
              <w:rPr/>
              <w:t> </w:t>
            </w:r>
          </w:p>
        </w:tc>
        <w:tc>
          <w:tcPr>
            <w:tcW w:w="673" w:type="dxa"/>
            <w:tcBorders/>
            <w:shd w:fill="auto" w:val="clear"/>
            <w:vAlign w:val="center"/>
          </w:tcPr>
          <w:p>
            <w:pPr>
              <w:pStyle w:val="TableContents"/>
              <w:spacing w:before="0" w:after="283"/>
              <w:rPr/>
            </w:pPr>
            <w:r>
              <w:rPr/>
              <w:t> </w:t>
            </w:r>
          </w:p>
        </w:tc>
        <w:tc>
          <w:tcPr>
            <w:tcW w:w="3597" w:type="dxa"/>
            <w:gridSpan w:val="2"/>
            <w:tcBorders/>
            <w:shd w:fill="auto" w:val="clear"/>
            <w:vAlign w:val="center"/>
          </w:tcPr>
          <w:p>
            <w:pPr>
              <w:pStyle w:val="TableContents"/>
              <w:spacing w:before="0" w:after="283"/>
              <w:jc w:val="left"/>
              <w:rPr/>
            </w:pPr>
            <w:r>
              <w:rPr/>
              <w:t>Chairman of the Board of Directors, Chief Executive Officer and President (Principal Executive Officer) </w:t>
            </w:r>
          </w:p>
        </w:tc>
        <w:tc>
          <w:tcPr>
            <w:tcW w:w="1187"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0" w:after="0"/>
        <w:jc w:val="center"/>
        <w:rPr>
          <w:rFonts w:ascii="Times New Roman;Times;serif" w:hAnsi="Times New Roman;Times;serif"/>
          <w:sz w:val="17"/>
        </w:rPr>
      </w:pPr>
      <w:r>
        <w:rPr>
          <w:rFonts w:ascii="Times New Roman;Times;serif" w:hAnsi="Times New Roman;Times;serif"/>
          <w:sz w:val="17"/>
        </w:rPr>
        <w:t xml:space="preserve">2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599</Words>
  <CharactersWithSpaces>3799</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e8vk</dc:title>
</cp:coreProperties>
</file>