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26,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California</w:t>
            </w:r>
          </w:p>
        </w:tc>
        <w:tc>
          <w:tcPr>
            <w:tcW w:w="2920" w:type="dxa"/>
            <w:vAlign w:val="bottom"/>
          </w:tcPr>
          <w:p>
            <w:pPr>
              <w:jc w:val="right"/>
              <w:ind w:right="999"/>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33-0945304</w:t>
            </w:r>
          </w:p>
        </w:tc>
      </w:tr>
      <w:tr>
        <w:trPr>
          <w:trHeight w:val="123"/>
        </w:trPr>
        <w:tc>
          <w:tcPr>
            <w:tcW w:w="2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 or Other</w:t>
            </w:r>
          </w:p>
        </w:tc>
        <w:tc>
          <w:tcPr>
            <w:tcW w:w="180" w:type="dxa"/>
            <w:vAlign w:val="bottom"/>
          </w:tcPr>
          <w:p>
            <w:pPr>
              <w:spacing w:after="0"/>
              <w:rPr>
                <w:sz w:val="10"/>
                <w:szCs w:val="10"/>
                <w:color w:val="auto"/>
              </w:rPr>
            </w:pPr>
          </w:p>
        </w:tc>
        <w:tc>
          <w:tcPr>
            <w:tcW w:w="2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180" w:type="dxa"/>
            <w:vAlign w:val="bottom"/>
          </w:tcPr>
          <w:p>
            <w:pPr>
              <w:spacing w:after="0"/>
              <w:rPr>
                <w:sz w:val="10"/>
                <w:szCs w:val="10"/>
                <w:color w:val="auto"/>
              </w:rPr>
            </w:pPr>
          </w:p>
        </w:tc>
        <w:tc>
          <w:tcPr>
            <w:tcW w:w="2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31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Jurisdiction of Incorporation)</w:t>
            </w: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60" w:hanging="24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rFonts w:ascii="MS PGothic" w:cs="MS PGothic" w:eastAsia="MS PGothic" w:hAnsi="MS PGothic"/>
          <w:sz w:val="16"/>
          <w:szCs w:val="16"/>
          <w:color w:val="auto"/>
        </w:rPr>
      </w:pPr>
    </w:p>
    <w:p>
      <w:pPr>
        <w:ind w:left="2640"/>
        <w:spacing w:after="0"/>
        <w:rPr>
          <w:rFonts w:ascii="MS PGothic" w:cs="MS PGothic" w:eastAsia="MS PGothic" w:hAnsi="MS PGothic"/>
          <w:sz w:val="16"/>
          <w:szCs w:val="16"/>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60" w:type="dxa"/>
        <w:tblCellMar>
          <w:top w:w="0" w:type="dxa"/>
          <w:left w:w="0" w:type="dxa"/>
          <w:bottom w:w="0" w:type="dxa"/>
          <w:right w:w="0" w:type="dxa"/>
        </w:tblCellMar>
      </w:tblPr>
      <w:tr>
        <w:trPr>
          <w:trHeight w:val="206"/>
        </w:trPr>
        <w:tc>
          <w:tcPr>
            <w:tcW w:w="31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Title of each class</w:t>
            </w:r>
          </w:p>
        </w:tc>
        <w:tc>
          <w:tcPr>
            <w:tcW w:w="27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Trading Symbol(s)</w:t>
            </w:r>
          </w:p>
        </w:tc>
        <w:tc>
          <w:tcPr>
            <w:tcW w:w="306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00"/>
        </w:trPr>
        <w:tc>
          <w:tcPr>
            <w:tcW w:w="2980" w:type="dxa"/>
            <w:vAlign w:val="bottom"/>
          </w:tcPr>
          <w:p>
            <w:pPr>
              <w:jc w:val="center"/>
              <w:spacing w:after="0"/>
              <w:rPr>
                <w:sz w:val="20"/>
                <w:szCs w:val="20"/>
                <w:color w:val="auto"/>
              </w:rPr>
            </w:pPr>
            <w:r>
              <w:rPr>
                <w:rFonts w:ascii="Arial" w:cs="Arial" w:eastAsia="Arial" w:hAnsi="Arial"/>
                <w:sz w:val="16"/>
                <w:szCs w:val="16"/>
                <w:color w:val="auto"/>
                <w:w w:val="91"/>
              </w:rPr>
              <w:t>Common Stock</w:t>
            </w: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CVGW</w:t>
            </w:r>
          </w:p>
        </w:tc>
        <w:tc>
          <w:tcPr>
            <w:tcW w:w="120" w:type="dxa"/>
            <w:vAlign w:val="bottom"/>
          </w:tcPr>
          <w:p>
            <w:pPr>
              <w:spacing w:after="0"/>
              <w:rPr>
                <w:sz w:val="17"/>
                <w:szCs w:val="17"/>
                <w:color w:val="auto"/>
              </w:rPr>
            </w:pPr>
          </w:p>
        </w:tc>
        <w:tc>
          <w:tcPr>
            <w:tcW w:w="306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60" w:right="159"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691515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116840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151130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Calavo Growers, Inc. is hereby furnishing the following information under Regulation FD.</w:t>
      </w:r>
    </w:p>
    <w:p>
      <w:pPr>
        <w:spacing w:after="0" w:line="198"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On October 26, 2020, Calavo Growers, Inc. issued a press release, a copy of which is attached hereto as Exhibit 99.1 and incorporated by reference herein, announcing that its board of directors has declared an annual dividend of $1.15 per share of common stock, payable December 4, 2020, to shareholders of record on November 13, 2020.</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80" w:hanging="32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October 26, 2020 of the Registrant.</w:t>
        </w:r>
      </w:hyperlink>
    </w:p>
    <w:p>
      <w:pPr>
        <w:spacing w:after="0" w:line="21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(embedded with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26, 2020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238125</wp:posOffset>
            </wp:positionV>
            <wp:extent cx="184277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000" w:right="900"/>
        <w:spacing w:after="0" w:line="288" w:lineRule="auto"/>
        <w:rPr>
          <w:sz w:val="20"/>
          <w:szCs w:val="20"/>
          <w:color w:val="auto"/>
        </w:rPr>
      </w:pPr>
      <w:r>
        <w:rPr>
          <w:rFonts w:ascii="Arial" w:cs="Arial" w:eastAsia="Arial" w:hAnsi="Arial"/>
          <w:sz w:val="25"/>
          <w:szCs w:val="25"/>
          <w:b w:val="1"/>
          <w:bCs w:val="1"/>
          <w:color w:val="auto"/>
        </w:rPr>
        <w:t>Calavo Growers, Inc. Increases Annual Dividend to $1.15 Per Share, or 4.5% over Prior Year</w:t>
      </w:r>
    </w:p>
    <w:p>
      <w:pPr>
        <w:spacing w:after="0" w:line="228"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SANTA PAULA, Calif. October 26, 2020—Calavo Growers, Inc. (“Calavo”) (“Company”) (Nasdaq-GS: CVGW), a global avocado-industry leader and provider of value-added fresh food, today announced that its board of directors has declared an annual cash dividend on its common stock of $ 1.15 per share. The dividend will be paid on December 4, 2020 to Calavo Growers’ shareholders of record as of the close of business on November 13, 2020.</w:t>
      </w:r>
    </w:p>
    <w:p>
      <w:pPr>
        <w:spacing w:after="0" w:line="131" w:lineRule="exact"/>
        <w:rPr>
          <w:sz w:val="20"/>
          <w:szCs w:val="20"/>
          <w:color w:val="auto"/>
        </w:rPr>
      </w:pPr>
    </w:p>
    <w:p>
      <w:pPr>
        <w:ind w:right="480"/>
        <w:spacing w:after="0" w:line="232" w:lineRule="auto"/>
        <w:rPr>
          <w:sz w:val="20"/>
          <w:szCs w:val="20"/>
          <w:color w:val="auto"/>
        </w:rPr>
      </w:pPr>
      <w:r>
        <w:rPr>
          <w:rFonts w:ascii="Arial" w:cs="Arial" w:eastAsia="Arial" w:hAnsi="Arial"/>
          <w:sz w:val="20"/>
          <w:szCs w:val="20"/>
          <w:color w:val="auto"/>
        </w:rPr>
        <w:t>“We are pleased to announce our ninth consecutive annual dividend increase,” said James E. Gibson, Chief Executive Officer of Calavo. "The 4.5% increase reflects our board’s confidence in the long-term growth prospects of the business despite a challenging year as a result of COVID-19.”</w:t>
      </w:r>
    </w:p>
    <w:p>
      <w:pPr>
        <w:spacing w:after="0" w:line="130" w:lineRule="exact"/>
        <w:rPr>
          <w:sz w:val="20"/>
          <w:szCs w:val="20"/>
          <w:color w:val="auto"/>
        </w:rPr>
      </w:pPr>
    </w:p>
    <w:p>
      <w:pPr>
        <w:ind w:right="440"/>
        <w:spacing w:after="0" w:line="236" w:lineRule="auto"/>
        <w:rPr>
          <w:sz w:val="20"/>
          <w:szCs w:val="20"/>
          <w:color w:val="auto"/>
        </w:rPr>
      </w:pPr>
      <w:r>
        <w:rPr>
          <w:rFonts w:ascii="Arial" w:cs="Arial" w:eastAsia="Arial" w:hAnsi="Arial"/>
          <w:sz w:val="20"/>
          <w:szCs w:val="20"/>
          <w:color w:val="auto"/>
        </w:rPr>
        <w:t>Calavo has paid an annual cash dividend every year since the company began trading publicly in 2002, over which time the dividend has increased 475 percent.</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159"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Contact: Financial Profiles, Inc.</w:t>
      </w:r>
    </w:p>
    <w:p>
      <w:pPr>
        <w:spacing w:after="0" w:line="225" w:lineRule="auto"/>
        <w:rPr>
          <w:sz w:val="20"/>
          <w:szCs w:val="20"/>
          <w:color w:val="auto"/>
        </w:rPr>
      </w:pPr>
      <w:r>
        <w:rPr>
          <w:rFonts w:ascii="Arial" w:cs="Arial" w:eastAsia="Arial" w:hAnsi="Arial"/>
          <w:sz w:val="20"/>
          <w:szCs w:val="20"/>
          <w:color w:val="auto"/>
        </w:rPr>
        <w:t>Lisa Mueller, Senior Vice President</w:t>
      </w:r>
    </w:p>
    <w:p>
      <w:pPr>
        <w:ind w:right="7860" w:firstLine="8"/>
        <w:spacing w:after="0" w:line="257"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622-8231 calavo@finprofiles.com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0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3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2020-10-26T15:34:32Z</dcterms:created>
  <dcterms:modified xsi:type="dcterms:W3CDTF">2020-10-26T15:34:32Z</dcterms:modified>
</cp:coreProperties>
</file>