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23527e10vq.htm"/>
        <w:bookmarkStart w:id="1" w:name="ksv23527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120" w:after="283"/>
        <w:jc w:val="center"/>
        <w:rPr>
          <w:bdr w:val="single" w:sz="2" w:space="1" w:color="000000"/>
        </w:rPr>
      </w:pPr>
      <w:r>
        <w:rPr>
          <w:bdr w:val="single" w:sz="2" w:space="1" w:color="000000"/>
        </w:rPr>
        <w:t> </w:t>
      </w:r>
    </w:p>
    <w:p>
      <w:pPr>
        <w:pStyle w:val="TextBody"/>
        <w:spacing w:before="20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July 31, 2006 </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000-33385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33-0945304</w:t>
            </w:r>
          </w:p>
        </w:tc>
      </w:tr>
      <w:tr>
        <w:trPr/>
        <w:tc>
          <w:tcPr>
            <w:tcW w:w="4844" w:type="dxa"/>
            <w:tcBorders/>
            <w:shd w:fill="auto" w:val="clear"/>
          </w:tcPr>
          <w:p>
            <w:pPr>
              <w:pStyle w:val="TableContents"/>
              <w:spacing w:before="0" w:after="283"/>
              <w:jc w:val="center"/>
              <w:rPr/>
            </w:pPr>
            <w:r>
              <w:rP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Yes ☑   No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or a non-accelerated filer. See definition of accelerated filer and large accelerated filer in Rule 12b-2 of the Exchange Act. (Check one):</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w:t>
      </w:r>
      <w:r>
        <w:rPr>
          <w:rFonts w:ascii="Wingdings" w:hAnsi="Wingdings"/>
          <w:sz w:val="17"/>
        </w:rPr>
        <w:t>o</w:t>
      </w:r>
      <w:r>
        <w:rPr>
          <w:rFonts w:ascii="Times New Roman;Times;serif" w:hAnsi="Times New Roman;Times;serif"/>
          <w:sz w:val="17"/>
        </w:rPr>
        <w:t xml:space="preserve">      Accelerated filer ☑      Non-accelerated filer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No ☑</w:t>
      </w:r>
    </w:p>
    <w:p>
      <w:pPr>
        <w:pStyle w:val="TextBody"/>
        <w:spacing w:before="120" w:after="283"/>
        <w:jc w:val="left"/>
        <w:rPr>
          <w:rFonts w:ascii="Times New Roman;Times;serif" w:hAnsi="Times New Roman;Times;serif"/>
          <w:sz w:val="17"/>
        </w:rPr>
      </w:pPr>
      <w:r>
        <w:rPr>
          <w:rFonts w:ascii="Times New Roman;Times;serif" w:hAnsi="Times New Roman;Times;serif"/>
          <w:sz w:val="17"/>
        </w:rPr>
        <w:t>Registrants number of shares of common stock outstanding as of July 31, 2006 was 14,291,833</w:t>
      </w:r>
    </w:p>
    <w:p>
      <w:pPr>
        <w:pStyle w:val="TextBody"/>
        <w:spacing w:before="320" w:after="283"/>
        <w:jc w:val="center"/>
        <w:rPr>
          <w:bdr w:val="single" w:sz="2" w:space="1" w:color="000000"/>
        </w:rPr>
      </w:pPr>
      <w:r>
        <w:rPr>
          <w:bdr w:val="single" w:sz="2" w:space="1" w:color="000000"/>
        </w:rPr>
        <w:t>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Times New Roman;Times;serif" w:hAnsi="Times New Roman;Times;serif"/>
          <w:i/>
          <w:sz w:val="17"/>
        </w:rPr>
        <w:t>Risk Factors</w:t>
      </w:r>
      <w:r>
        <w:rPr>
          <w:rFonts w:ascii="Times New Roman;Times;serif" w:hAnsi="Times New Roman;Times;serif"/>
          <w:sz w:val="17"/>
        </w:rPr>
        <w:t xml:space="preserve">, in our Annual Report on Form 10-K for the fiscal year ended October 31, 2005,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591"/>
        <w:gridCol w:w="463"/>
        <w:gridCol w:w="334"/>
        <w:gridCol w:w="457"/>
        <w:gridCol w:w="334"/>
        <w:gridCol w:w="26"/>
      </w:tblGrid>
      <w:tr>
        <w:trPr/>
        <w:tc>
          <w:tcPr>
            <w:tcW w:w="859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25" w:type="dxa"/>
            <w:gridSpan w:val="3"/>
            <w:tcBorders/>
            <w:shd w:fill="auto" w:val="clear"/>
            <w:vAlign w:val="bottom"/>
          </w:tcPr>
          <w:p>
            <w:pPr>
              <w:pStyle w:val="TableContents"/>
              <w:spacing w:before="0" w:after="283"/>
              <w:jc w:val="center"/>
              <w:rPr/>
            </w:pPr>
            <w:r>
              <w:rPr/>
              <w:t>PAGE</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02">
              <w:r>
                <w:rPr>
                  <w:rStyle w:val="InternetLink"/>
                </w:rPr>
                <w:t>Item 1. Financial Statements (unaudited):</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450" w:right="0" w:hanging="225"/>
              <w:rPr/>
            </w:pPr>
            <w:hyperlink w:anchor="103">
              <w:r>
                <w:rPr>
                  <w:rStyle w:val="InternetLink"/>
                </w:rPr>
                <w:t>Consolidated Condensed Balance Sheets  July 31, 2006 and October 31, 2005</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4</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450" w:right="0" w:hanging="225"/>
              <w:rPr/>
            </w:pPr>
            <w:hyperlink w:anchor="104">
              <w:r>
                <w:rPr>
                  <w:rStyle w:val="InternetLink"/>
                </w:rPr>
                <w:t>Consolidated Condensed Statements of Income  Three Months and Nine Months Ended July 31, 2006 and 2005</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5</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450" w:right="0" w:hanging="225"/>
              <w:rPr/>
            </w:pPr>
            <w:hyperlink w:anchor="105">
              <w:r>
                <w:rPr>
                  <w:rStyle w:val="InternetLink"/>
                </w:rPr>
                <w:t>Consolidated Condensed Statements of Comprehensive Income  Three Months and Nine Months Ended July 31, 2006 and 2005</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6</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450" w:right="0" w:hanging="225"/>
              <w:rPr/>
            </w:pPr>
            <w:hyperlink w:anchor="106">
              <w:r>
                <w:rPr>
                  <w:rStyle w:val="InternetLink"/>
                </w:rPr>
                <w:t>Consolidated Condensed Statements of Cash Flows  Nine Months Ended July 31, 2006 and 2005</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7</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450" w:right="0" w:hanging="225"/>
              <w:rPr/>
            </w:pPr>
            <w:hyperlink w:anchor="107">
              <w:r>
                <w:rPr>
                  <w:rStyle w:val="InternetLink"/>
                </w:rPr>
                <w:t>Notes to Consolidated Condensed Financial Statements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8</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08">
              <w:r>
                <w:rPr>
                  <w:rStyle w:val="InternetLink"/>
                </w:rPr>
                <w:t>Item 2. Managements Discussion and Analysis of Financial Condition and Results of Operations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18</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09">
              <w:r>
                <w:rPr>
                  <w:rStyle w:val="InternetLink"/>
                </w:rPr>
                <w:t>Item 3. Quantitative and Qualitative Disclosures About Market Risk</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26</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10">
              <w:r>
                <w:rPr>
                  <w:rStyle w:val="InternetLink"/>
                </w:rPr>
                <w:t>Item 4. Controls and Procedures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27</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11">
              <w:r>
                <w:rPr>
                  <w:rStyle w:val="InternetLink"/>
                  <w:b/>
                </w:rPr>
                <w:t>PART II. OTHER INFORMATION</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12">
              <w:r>
                <w:rPr>
                  <w:rStyle w:val="InternetLink"/>
                </w:rPr>
                <w:t>Item 1. Legal Proceedings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28</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13">
              <w:r>
                <w:rPr>
                  <w:rStyle w:val="InternetLink"/>
                </w:rPr>
                <w:t>Item 6. Exhibits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29</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591" w:type="dxa"/>
            <w:tcBorders/>
            <w:shd w:fill="auto" w:val="clear"/>
            <w:vAlign w:val="bottom"/>
          </w:tcPr>
          <w:p>
            <w:pPr>
              <w:pStyle w:val="TableContents"/>
              <w:spacing w:before="0" w:after="0"/>
              <w:ind w:left="225" w:right="0" w:hanging="225"/>
              <w:rPr/>
            </w:pPr>
            <w:hyperlink w:anchor="114">
              <w:r>
                <w:rPr>
                  <w:rStyle w:val="InternetLink"/>
                </w:rPr>
                <w:t>Signatures</w:t>
              </w:r>
            </w:hyperlink>
          </w:p>
        </w:tc>
        <w:tc>
          <w:tcPr>
            <w:tcW w:w="46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30</w:t>
            </w:r>
          </w:p>
        </w:tc>
        <w:tc>
          <w:tcPr>
            <w:tcW w:w="334"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v23527exv10w17.htm">
              <w:r>
                <w:rPr>
                  <w:rStyle w:val="InternetLink"/>
                  <w:sz w:val="20"/>
                </w:rPr>
                <w:t>EXHIBIT 10.17</w:t>
              </w:r>
            </w:hyperlink>
          </w:p>
        </w:tc>
      </w:tr>
      <w:tr>
        <w:trPr/>
        <w:tc>
          <w:tcPr>
            <w:tcW w:w="10205" w:type="dxa"/>
            <w:gridSpan w:val="6"/>
            <w:tcBorders/>
            <w:shd w:fill="auto" w:val="clear"/>
            <w:vAlign w:val="center"/>
          </w:tcPr>
          <w:p>
            <w:pPr>
              <w:pStyle w:val="TableContents"/>
              <w:spacing w:before="0" w:after="283"/>
              <w:rPr/>
            </w:pPr>
            <w:r>
              <w:rPr/>
              <w:t> </w:t>
            </w:r>
            <w:hyperlink w:anchor="v23527exv31w1.htm">
              <w:r>
                <w:rPr>
                  <w:rStyle w:val="InternetLink"/>
                  <w:sz w:val="20"/>
                </w:rPr>
                <w:t>EXHIBIT 31.1</w:t>
              </w:r>
            </w:hyperlink>
          </w:p>
        </w:tc>
      </w:tr>
      <w:tr>
        <w:trPr/>
        <w:tc>
          <w:tcPr>
            <w:tcW w:w="10205" w:type="dxa"/>
            <w:gridSpan w:val="6"/>
            <w:tcBorders/>
            <w:shd w:fill="auto" w:val="clear"/>
            <w:vAlign w:val="center"/>
          </w:tcPr>
          <w:p>
            <w:pPr>
              <w:pStyle w:val="TableContents"/>
              <w:spacing w:before="0" w:after="283"/>
              <w:rPr/>
            </w:pPr>
            <w:r>
              <w:rPr/>
              <w:t> </w:t>
            </w:r>
            <w:hyperlink w:anchor="v23527exv31w2.htm">
              <w:r>
                <w:rPr>
                  <w:rStyle w:val="InternetLink"/>
                  <w:sz w:val="20"/>
                </w:rPr>
                <w:t>EXHIBIT 31.2</w:t>
              </w:r>
            </w:hyperlink>
          </w:p>
        </w:tc>
      </w:tr>
      <w:tr>
        <w:trPr/>
        <w:tc>
          <w:tcPr>
            <w:tcW w:w="10205" w:type="dxa"/>
            <w:gridSpan w:val="6"/>
            <w:tcBorders/>
            <w:shd w:fill="auto" w:val="clear"/>
            <w:vAlign w:val="center"/>
          </w:tcPr>
          <w:p>
            <w:pPr>
              <w:pStyle w:val="TableContents"/>
              <w:spacing w:before="0" w:after="283"/>
              <w:rPr/>
            </w:pPr>
            <w:r>
              <w:rPr/>
              <w:t> </w:t>
            </w:r>
            <w:hyperlink w:anchor="v23527exv32.htm">
              <w:r>
                <w:rPr>
                  <w:rStyle w:val="InternetLink"/>
                  <w:sz w:val="20"/>
                </w:rPr>
                <w:t>EXHIBIT 32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6790"/>
        <w:gridCol w:w="431"/>
        <w:gridCol w:w="165"/>
        <w:gridCol w:w="890"/>
        <w:gridCol w:w="137"/>
        <w:gridCol w:w="431"/>
        <w:gridCol w:w="189"/>
        <w:gridCol w:w="1030"/>
        <w:gridCol w:w="142"/>
      </w:tblGrid>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July 31,</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b/>
              </w:rPr>
            </w:pPr>
            <w:r>
              <w:rPr>
                <w:b/>
              </w:rPr>
              <w:t>Assets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Cash and cash equivalents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107</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1,133</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Accounts receivable, net of allowances of $2,327 (2006) and $2,688 (2005)</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30,749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19,253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Inventories, net</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10,743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10,096</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Prepaid expenses and other 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5,113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5,879</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Advances to suppliers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161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1,141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Income tax receivable</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893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Deferred income taxes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2,651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2,651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Total 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49,524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41,046</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Property, plant, and equipment, net</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18,651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16,897</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Investment in Limoneira</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35,954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45,634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Goodwill</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3,591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3,591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Other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2,335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1,314</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 </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110,055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108,482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b/>
              </w:rPr>
            </w:pPr>
            <w:r>
              <w:rPr>
                <w:b/>
              </w:rPr>
              <w:t>Liabilities and shareholders equity</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Payable to growers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12,540</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1,753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Trade accounts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3,203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1,892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Accrued expenses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12,046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12,482</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Income tax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823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Short-term borrowings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1,753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1,424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Dividend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4,564</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Current portion of long-term obligations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1,308</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1,313</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Total 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31,673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23,428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Long-term liabilities: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Long-term obligations, less current portion</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10,412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11,719</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Deferred income taxes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4,750</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8,589</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Total long-term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15,162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20,308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Commitments and contingencies Shareholders equity:</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Common stock, $0.001 par value; 100,000 shares authorized; 14,292 (2006) and 14,362 (2005) issued and outstanding</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14</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14</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Additional paid-in capital</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36,899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37,240</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Notes receivable from shareholders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(2,430</w:t>
            </w:r>
          </w:p>
        </w:tc>
        <w:tc>
          <w:tcPr>
            <w:tcW w:w="137"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(2,636</w:t>
            </w:r>
          </w:p>
        </w:tc>
        <w:tc>
          <w:tcPr>
            <w:tcW w:w="142" w:type="dxa"/>
            <w:tcBorders/>
            <w:shd w:fill="CCEEFF" w:val="clear"/>
            <w:vAlign w:val="bottom"/>
          </w:tcPr>
          <w:p>
            <w:pPr>
              <w:pStyle w:val="TableContents"/>
              <w:spacing w:before="0" w:after="283"/>
              <w:rPr/>
            </w:pPr>
            <w:r>
              <w:rPr/>
              <w:t>)</w:t>
            </w:r>
          </w:p>
        </w:tc>
      </w:tr>
      <w:tr>
        <w:trPr/>
        <w:tc>
          <w:tcPr>
            <w:tcW w:w="6790" w:type="dxa"/>
            <w:tcBorders/>
            <w:shd w:fill="auto" w:val="clear"/>
            <w:vAlign w:val="bottom"/>
          </w:tcPr>
          <w:p>
            <w:pPr>
              <w:pStyle w:val="TableContents"/>
              <w:spacing w:before="0" w:after="0"/>
              <w:ind w:left="450" w:right="0" w:hanging="225"/>
              <w:rPr/>
            </w:pPr>
            <w:r>
              <w:rPr/>
              <w:t>Accumulated other comprehensive income</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7,545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13,386</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Retained earnings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21,192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16,742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Total shareholders equity</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63,220</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64,746</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 </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110,055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108,482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INCOME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4294"/>
        <w:gridCol w:w="385"/>
        <w:gridCol w:w="165"/>
        <w:gridCol w:w="816"/>
        <w:gridCol w:w="134"/>
        <w:gridCol w:w="391"/>
        <w:gridCol w:w="165"/>
        <w:gridCol w:w="817"/>
        <w:gridCol w:w="104"/>
        <w:gridCol w:w="385"/>
        <w:gridCol w:w="150"/>
        <w:gridCol w:w="813"/>
        <w:gridCol w:w="124"/>
        <w:gridCol w:w="385"/>
        <w:gridCol w:w="150"/>
        <w:gridCol w:w="814"/>
        <w:gridCol w:w="113"/>
      </w:tblGrid>
      <w:tr>
        <w:trPr/>
        <w:tc>
          <w:tcPr>
            <w:tcW w:w="429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488"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436" w:type="dxa"/>
            <w:gridSpan w:val="6"/>
            <w:tcBorders/>
            <w:shd w:fill="auto" w:val="clear"/>
            <w:vAlign w:val="bottom"/>
          </w:tcPr>
          <w:p>
            <w:pPr>
              <w:pStyle w:val="TableContents"/>
              <w:spacing w:before="0" w:after="283"/>
              <w:jc w:val="center"/>
              <w:rPr>
                <w:b/>
              </w:rPr>
            </w:pPr>
            <w:r>
              <w:rPr>
                <w:b/>
              </w:rPr>
              <w:t>Nine months ended</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48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43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3" w:type="dxa"/>
            <w:tcBorders/>
            <w:shd w:fill="auto" w:val="clear"/>
            <w:vAlign w:val="bottom"/>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Net sales</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78,954</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88,699</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197,030</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196,576</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Cost of sales</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68,738</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79,505</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174,743</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179,075</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Gross margin</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10,216</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9,194</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22,287</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17,501</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Selling, general and administrative</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5,284</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4,825</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14,791</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13,645</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Operating income</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4,932</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4,369</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7,496</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3,856</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Other income (expense), net</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(136</w:t>
            </w:r>
          </w:p>
        </w:tc>
        <w:tc>
          <w:tcPr>
            <w:tcW w:w="134" w:type="dxa"/>
            <w:tcBorders/>
            <w:shd w:fill="auto" w:val="clear"/>
            <w:vAlign w:val="bottom"/>
          </w:tcPr>
          <w:p>
            <w:pPr>
              <w:pStyle w:val="TableContents"/>
              <w:spacing w:before="0" w:after="283"/>
              <w:rPr/>
            </w:pPr>
            <w:r>
              <w:rPr/>
              <w:t>)</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153</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(201</w:t>
            </w:r>
          </w:p>
        </w:tc>
        <w:tc>
          <w:tcPr>
            <w:tcW w:w="124" w:type="dxa"/>
            <w:tcBorders/>
            <w:shd w:fill="auto" w:val="clear"/>
            <w:vAlign w:val="bottom"/>
          </w:tcPr>
          <w:p>
            <w:pPr>
              <w:pStyle w:val="TableContents"/>
              <w:spacing w:before="0" w:after="283"/>
              <w:rPr/>
            </w:pPr>
            <w:r>
              <w:rPr/>
              <w:t>)</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2,144</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Income before provision for income taxes</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4,796</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4,522</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7,295</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6,000</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Provision for income taxes</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1,870</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1,603</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2,845</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2,161</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Net income</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2,926</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2,919</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4,450</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3,839</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Net income per share:</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Basic</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0.20</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0.21</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0.31</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0.28</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Diluted</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0.20</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0.21</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3" w:type="dxa"/>
            <w:tcBorders/>
            <w:shd w:fill="auto" w:val="clear"/>
            <w:vAlign w:val="bottom"/>
          </w:tcPr>
          <w:p>
            <w:pPr>
              <w:pStyle w:val="TableContents"/>
              <w:spacing w:before="0" w:after="283"/>
              <w:jc w:val="right"/>
              <w:rPr/>
            </w:pPr>
            <w:r>
              <w:rPr/>
              <w:t>0.31</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0.28</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Number of shares used in per share computation:</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bottom"/>
          </w:tcPr>
          <w:p>
            <w:pPr>
              <w:pStyle w:val="TableContents"/>
              <w:spacing w:before="0" w:after="0"/>
              <w:ind w:left="225" w:right="0" w:hanging="225"/>
              <w:rPr/>
            </w:pPr>
            <w:r>
              <w:rPr/>
              <w:t>Basic</w:t>
            </w:r>
          </w:p>
        </w:tc>
        <w:tc>
          <w:tcPr>
            <w:tcW w:w="38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14,292</w:t>
            </w:r>
          </w:p>
        </w:tc>
        <w:tc>
          <w:tcPr>
            <w:tcW w:w="134"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14,171</w:t>
            </w:r>
          </w:p>
        </w:tc>
        <w:tc>
          <w:tcPr>
            <w:tcW w:w="10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14,308</w:t>
            </w:r>
          </w:p>
        </w:tc>
        <w:tc>
          <w:tcPr>
            <w:tcW w:w="12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13,729</w:t>
            </w:r>
          </w:p>
        </w:tc>
        <w:tc>
          <w:tcPr>
            <w:tcW w:w="113" w:type="dxa"/>
            <w:tcBorders/>
            <w:shd w:fill="auto"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294" w:type="dxa"/>
            <w:tcBorders/>
            <w:shd w:fill="CCEEFF" w:val="clear"/>
            <w:vAlign w:val="bottom"/>
          </w:tcPr>
          <w:p>
            <w:pPr>
              <w:pStyle w:val="TableContents"/>
              <w:spacing w:before="0" w:after="0"/>
              <w:ind w:left="225" w:right="0" w:hanging="225"/>
              <w:rPr/>
            </w:pPr>
            <w:r>
              <w:rPr/>
              <w:t>Diluted</w:t>
            </w:r>
          </w:p>
        </w:tc>
        <w:tc>
          <w:tcPr>
            <w:tcW w:w="38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14,351</w:t>
            </w:r>
          </w:p>
        </w:tc>
        <w:tc>
          <w:tcPr>
            <w:tcW w:w="134"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14,237</w:t>
            </w:r>
          </w:p>
        </w:tc>
        <w:tc>
          <w:tcPr>
            <w:tcW w:w="10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14,365</w:t>
            </w:r>
          </w:p>
        </w:tc>
        <w:tc>
          <w:tcPr>
            <w:tcW w:w="124"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13,796</w:t>
            </w:r>
          </w:p>
        </w:tc>
        <w:tc>
          <w:tcPr>
            <w:tcW w:w="113" w:type="dxa"/>
            <w:tcBorders/>
            <w:shd w:fill="CCEEFF" w:val="clear"/>
            <w:vAlign w:val="bottom"/>
          </w:tcPr>
          <w:p>
            <w:pPr>
              <w:pStyle w:val="TableContents"/>
              <w:spacing w:before="0" w:after="283"/>
              <w:rPr/>
            </w:pPr>
            <w:r>
              <w:rPr/>
              <w:t> </w:t>
            </w:r>
          </w:p>
        </w:tc>
      </w:tr>
      <w:tr>
        <w:trPr/>
        <w:tc>
          <w:tcPr>
            <w:tcW w:w="4294" w:type="dxa"/>
            <w:tcBorders/>
            <w:shd w:fill="auto" w:val="clear"/>
            <w:vAlign w:val="center"/>
          </w:tcPr>
          <w:p>
            <w:pPr>
              <w:pStyle w:val="TableContents"/>
              <w:spacing w:before="0" w:after="0"/>
              <w:ind w:left="225" w:right="0" w:hanging="225"/>
              <w:rPr/>
            </w:pPr>
            <w:r>
              <w:rPr/>
              <w:t> </w:t>
            </w:r>
          </w:p>
        </w:tc>
        <w:tc>
          <w:tcPr>
            <w:tcW w:w="385"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COMPREHENSIVE INCOME (LOSS)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w:t>
      </w:r>
    </w:p>
    <w:tbl>
      <w:tblPr>
        <w:tblW w:w="5000" w:type="pct"/>
        <w:jc w:val="center"/>
        <w:tblInd w:w="0" w:type="dxa"/>
        <w:tblCellMar>
          <w:top w:w="0" w:type="dxa"/>
          <w:left w:w="0" w:type="dxa"/>
          <w:bottom w:w="0" w:type="dxa"/>
          <w:right w:w="0" w:type="dxa"/>
        </w:tblCellMar>
      </w:tblPr>
      <w:tblGrid>
        <w:gridCol w:w="4315"/>
        <w:gridCol w:w="368"/>
        <w:gridCol w:w="169"/>
        <w:gridCol w:w="803"/>
        <w:gridCol w:w="136"/>
        <w:gridCol w:w="375"/>
        <w:gridCol w:w="169"/>
        <w:gridCol w:w="837"/>
        <w:gridCol w:w="124"/>
        <w:gridCol w:w="368"/>
        <w:gridCol w:w="163"/>
        <w:gridCol w:w="772"/>
        <w:gridCol w:w="131"/>
        <w:gridCol w:w="373"/>
        <w:gridCol w:w="163"/>
        <w:gridCol w:w="806"/>
        <w:gridCol w:w="133"/>
      </w:tblGrid>
      <w:tr>
        <w:trPr/>
        <w:tc>
          <w:tcPr>
            <w:tcW w:w="43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89" w:type="dxa"/>
            <w:gridSpan w:val="6"/>
            <w:tcBorders/>
            <w:shd w:fill="auto" w:val="clear"/>
            <w:vAlign w:val="bottom"/>
          </w:tcPr>
          <w:p>
            <w:pPr>
              <w:pStyle w:val="TableContents"/>
              <w:spacing w:before="0" w:after="283"/>
              <w:jc w:val="center"/>
              <w:rPr>
                <w:b/>
              </w:rPr>
            </w:pPr>
            <w:r>
              <w:rPr>
                <w:b/>
              </w:rPr>
              <w:t>Three months ended</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0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w:t>
            </w:r>
          </w:p>
        </w:tc>
        <w:tc>
          <w:tcPr>
            <w:tcW w:w="133" w:type="dxa"/>
            <w:tcBorders/>
            <w:shd w:fill="auto" w:val="clear"/>
            <w:vAlign w:val="bottom"/>
          </w:tcPr>
          <w:p>
            <w:pPr>
              <w:pStyle w:val="TableContents"/>
              <w:spacing w:before="0" w:after="283"/>
              <w:rPr/>
            </w:pPr>
            <w:r>
              <w:rPr/>
              <w:t> </w:t>
            </w:r>
          </w:p>
        </w:tc>
      </w:tr>
      <w:tr>
        <w:trPr/>
        <w:tc>
          <w:tcPr>
            <w:tcW w:w="43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8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0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33" w:type="dxa"/>
            <w:tcBorders/>
            <w:shd w:fill="auto" w:val="clear"/>
            <w:vAlign w:val="bottom"/>
          </w:tcPr>
          <w:p>
            <w:pPr>
              <w:pStyle w:val="TableContents"/>
              <w:spacing w:before="0" w:after="283"/>
              <w:rPr/>
            </w:pPr>
            <w:r>
              <w:rPr/>
              <w:t> </w:t>
            </w:r>
          </w:p>
        </w:tc>
      </w:tr>
      <w:tr>
        <w:trPr/>
        <w:tc>
          <w:tcPr>
            <w:tcW w:w="43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9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6"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3" w:type="dxa"/>
            <w:tcBorders/>
            <w:shd w:fill="auto" w:val="clear"/>
            <w:vAlign w:val="bottom"/>
          </w:tcPr>
          <w:p>
            <w:pPr>
              <w:pStyle w:val="TableContents"/>
              <w:spacing w:before="0" w:after="283"/>
              <w:rPr/>
            </w:pPr>
            <w:r>
              <w:rPr/>
              <w:t> </w:t>
            </w:r>
          </w:p>
        </w:tc>
      </w:tr>
      <w:tr>
        <w:trPr/>
        <w:tc>
          <w:tcPr>
            <w:tcW w:w="4315" w:type="dxa"/>
            <w:tcBorders/>
            <w:shd w:fill="CCEEFF" w:val="clear"/>
            <w:vAlign w:val="bottom"/>
          </w:tcPr>
          <w:p>
            <w:pPr>
              <w:pStyle w:val="TableContents"/>
              <w:spacing w:before="0" w:after="0"/>
              <w:ind w:left="225" w:right="0" w:hanging="225"/>
              <w:rPr/>
            </w:pPr>
            <w:r>
              <w:rPr/>
              <w:t>Net income</w:t>
            </w:r>
          </w:p>
        </w:tc>
        <w:tc>
          <w:tcPr>
            <w:tcW w:w="36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2,926</w:t>
            </w:r>
          </w:p>
        </w:tc>
        <w:tc>
          <w:tcPr>
            <w:tcW w:w="136"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2,919</w:t>
            </w:r>
          </w:p>
        </w:tc>
        <w:tc>
          <w:tcPr>
            <w:tcW w:w="12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4,450</w:t>
            </w:r>
          </w:p>
        </w:tc>
        <w:tc>
          <w:tcPr>
            <w:tcW w:w="13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3,839</w:t>
            </w:r>
          </w:p>
        </w:tc>
        <w:tc>
          <w:tcPr>
            <w:tcW w:w="133" w:type="dxa"/>
            <w:tcBorders/>
            <w:shd w:fill="CCEEFF" w:val="clear"/>
            <w:vAlign w:val="bottom"/>
          </w:tcPr>
          <w:p>
            <w:pPr>
              <w:pStyle w:val="TableContents"/>
              <w:spacing w:before="0" w:after="283"/>
              <w:rPr/>
            </w:pPr>
            <w:r>
              <w:rPr/>
              <w:t> </w:t>
            </w:r>
          </w:p>
        </w:tc>
      </w:tr>
      <w:tr>
        <w:trPr/>
        <w:tc>
          <w:tcPr>
            <w:tcW w:w="4315" w:type="dxa"/>
            <w:tcBorders/>
            <w:shd w:fill="auto" w:val="clear"/>
            <w:vAlign w:val="center"/>
          </w:tcPr>
          <w:p>
            <w:pPr>
              <w:pStyle w:val="TableContents"/>
              <w:spacing w:before="0" w:after="0"/>
              <w:ind w:left="225" w:right="0" w:hanging="225"/>
              <w:rPr/>
            </w:pPr>
            <w:r>
              <w:rPr/>
              <w:t> </w:t>
            </w:r>
          </w:p>
        </w:tc>
        <w:tc>
          <w:tcPr>
            <w:tcW w:w="368" w:type="dxa"/>
            <w:tcBorders/>
            <w:shd w:fill="auto" w:val="clear"/>
            <w:vAlign w:val="center"/>
          </w:tcPr>
          <w:p>
            <w:pPr>
              <w:pStyle w:val="TableContents"/>
              <w:spacing w:before="0" w:after="283"/>
              <w:rPr/>
            </w:pPr>
            <w:r>
              <w:rPr/>
              <w:t> </w:t>
            </w:r>
          </w:p>
        </w:tc>
        <w:tc>
          <w:tcPr>
            <w:tcW w:w="9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15" w:type="dxa"/>
            <w:tcBorders/>
            <w:shd w:fill="auto" w:val="clear"/>
            <w:vAlign w:val="bottom"/>
          </w:tcPr>
          <w:p>
            <w:pPr>
              <w:pStyle w:val="TableContents"/>
              <w:spacing w:before="0" w:after="0"/>
              <w:ind w:left="225" w:right="0" w:hanging="225"/>
              <w:rPr/>
            </w:pPr>
            <w:r>
              <w:rPr/>
              <w:t>Other comprehensive income (loss), before tax:</w:t>
            </w:r>
          </w:p>
        </w:tc>
        <w:tc>
          <w:tcPr>
            <w:tcW w:w="36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15" w:type="dxa"/>
            <w:tcBorders/>
            <w:shd w:fill="CCEEFF" w:val="clear"/>
            <w:vAlign w:val="bottom"/>
          </w:tcPr>
          <w:p>
            <w:pPr>
              <w:pStyle w:val="TableContents"/>
              <w:spacing w:before="0" w:after="0"/>
              <w:ind w:left="450" w:right="0" w:hanging="225"/>
              <w:rPr/>
            </w:pPr>
            <w:r>
              <w:rPr/>
              <w:t>Unrealized holding gains (losses) arising during period</w:t>
            </w:r>
          </w:p>
        </w:tc>
        <w:tc>
          <w:tcPr>
            <w:tcW w:w="36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(5,531</w:t>
            </w:r>
          </w:p>
        </w:tc>
        <w:tc>
          <w:tcPr>
            <w:tcW w:w="136" w:type="dxa"/>
            <w:tcBorders/>
            <w:shd w:fill="CCEEFF" w:val="clear"/>
            <w:vAlign w:val="bottom"/>
          </w:tcPr>
          <w:p>
            <w:pPr>
              <w:pStyle w:val="TableContents"/>
              <w:spacing w:before="0" w:after="283"/>
              <w:rPr/>
            </w:pPr>
            <w:r>
              <w:rPr/>
              <w:t>)</w:t>
            </w:r>
          </w:p>
        </w:tc>
        <w:tc>
          <w:tcPr>
            <w:tcW w:w="37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17,517</w:t>
            </w:r>
          </w:p>
        </w:tc>
        <w:tc>
          <w:tcPr>
            <w:tcW w:w="12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(9,680</w:t>
            </w:r>
          </w:p>
        </w:tc>
        <w:tc>
          <w:tcPr>
            <w:tcW w:w="131"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17,517</w:t>
            </w:r>
          </w:p>
        </w:tc>
        <w:tc>
          <w:tcPr>
            <w:tcW w:w="133" w:type="dxa"/>
            <w:tcBorders/>
            <w:shd w:fill="CCEEFF" w:val="clear"/>
            <w:vAlign w:val="bottom"/>
          </w:tcPr>
          <w:p>
            <w:pPr>
              <w:pStyle w:val="TableContents"/>
              <w:spacing w:before="0" w:after="283"/>
              <w:rPr/>
            </w:pPr>
            <w:r>
              <w:rPr/>
              <w:t> </w:t>
            </w:r>
          </w:p>
        </w:tc>
      </w:tr>
      <w:tr>
        <w:trPr/>
        <w:tc>
          <w:tcPr>
            <w:tcW w:w="4315" w:type="dxa"/>
            <w:tcBorders/>
            <w:shd w:fill="auto" w:val="clear"/>
            <w:vAlign w:val="bottom"/>
          </w:tcPr>
          <w:p>
            <w:pPr>
              <w:pStyle w:val="TableContents"/>
              <w:spacing w:before="0" w:after="0"/>
              <w:ind w:left="450" w:right="0" w:hanging="225"/>
              <w:rPr/>
            </w:pPr>
            <w:r>
              <w:rPr/>
              <w:t>Income tax (expense) benefit related to items of other comprehensive income (loss)</w:t>
            </w:r>
          </w:p>
        </w:tc>
        <w:tc>
          <w:tcPr>
            <w:tcW w:w="36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2,194</w:t>
            </w:r>
          </w:p>
        </w:tc>
        <w:tc>
          <w:tcPr>
            <w:tcW w:w="136"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(6,919</w:t>
            </w:r>
          </w:p>
        </w:tc>
        <w:tc>
          <w:tcPr>
            <w:tcW w:w="124" w:type="dxa"/>
            <w:tcBorders/>
            <w:shd w:fill="auto" w:val="clear"/>
            <w:vAlign w:val="bottom"/>
          </w:tcPr>
          <w:p>
            <w:pPr>
              <w:pStyle w:val="TableContents"/>
              <w:spacing w:before="0" w:after="283"/>
              <w:rPr/>
            </w:pPr>
            <w:r>
              <w:rPr/>
              <w:t>)</w:t>
            </w:r>
          </w:p>
        </w:tc>
        <w:tc>
          <w:tcPr>
            <w:tcW w:w="36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3,839</w:t>
            </w:r>
          </w:p>
        </w:tc>
        <w:tc>
          <w:tcPr>
            <w:tcW w:w="13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(6,919</w:t>
            </w:r>
          </w:p>
        </w:tc>
        <w:tc>
          <w:tcPr>
            <w:tcW w:w="133" w:type="dxa"/>
            <w:tcBorders/>
            <w:shd w:fill="auto" w:val="clear"/>
            <w:vAlign w:val="bottom"/>
          </w:tcPr>
          <w:p>
            <w:pPr>
              <w:pStyle w:val="TableContents"/>
              <w:spacing w:before="0" w:after="283"/>
              <w:rPr/>
            </w:pPr>
            <w:r>
              <w:rPr/>
              <w:t>)</w:t>
            </w:r>
          </w:p>
        </w:tc>
      </w:tr>
      <w:tr>
        <w:trPr/>
        <w:tc>
          <w:tcPr>
            <w:tcW w:w="4315" w:type="dxa"/>
            <w:tcBorders/>
            <w:shd w:fill="auto" w:val="clear"/>
            <w:vAlign w:val="center"/>
          </w:tcPr>
          <w:p>
            <w:pPr>
              <w:pStyle w:val="TableContents"/>
              <w:spacing w:before="0" w:after="0"/>
              <w:ind w:left="225" w:right="0" w:hanging="225"/>
              <w:rPr/>
            </w:pPr>
            <w:r>
              <w:rPr/>
              <w:t> </w:t>
            </w:r>
          </w:p>
        </w:tc>
        <w:tc>
          <w:tcPr>
            <w:tcW w:w="368" w:type="dxa"/>
            <w:tcBorders/>
            <w:shd w:fill="auto" w:val="clear"/>
            <w:vAlign w:val="center"/>
          </w:tcPr>
          <w:p>
            <w:pPr>
              <w:pStyle w:val="TableContents"/>
              <w:spacing w:before="0" w:after="283"/>
              <w:rPr/>
            </w:pPr>
            <w:r>
              <w:rPr/>
              <w:t> </w:t>
            </w:r>
          </w:p>
        </w:tc>
        <w:tc>
          <w:tcPr>
            <w:tcW w:w="9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15" w:type="dxa"/>
            <w:tcBorders/>
            <w:shd w:fill="CCEEFF" w:val="clear"/>
            <w:vAlign w:val="bottom"/>
          </w:tcPr>
          <w:p>
            <w:pPr>
              <w:pStyle w:val="TableContents"/>
              <w:spacing w:before="0" w:after="0"/>
              <w:ind w:left="225" w:right="0" w:hanging="225"/>
              <w:rPr/>
            </w:pPr>
            <w:r>
              <w:rPr/>
              <w:t>Other comprehensive income (loss), net of tax</w:t>
            </w:r>
          </w:p>
        </w:tc>
        <w:tc>
          <w:tcPr>
            <w:tcW w:w="36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(3,337</w:t>
            </w:r>
          </w:p>
        </w:tc>
        <w:tc>
          <w:tcPr>
            <w:tcW w:w="136" w:type="dxa"/>
            <w:tcBorders/>
            <w:shd w:fill="CCEEFF" w:val="clear"/>
            <w:vAlign w:val="bottom"/>
          </w:tcPr>
          <w:p>
            <w:pPr>
              <w:pStyle w:val="TableContents"/>
              <w:spacing w:before="0" w:after="283"/>
              <w:rPr/>
            </w:pPr>
            <w:r>
              <w:rPr/>
              <w:t>)</w:t>
            </w:r>
          </w:p>
        </w:tc>
        <w:tc>
          <w:tcPr>
            <w:tcW w:w="37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10,598</w:t>
            </w:r>
          </w:p>
        </w:tc>
        <w:tc>
          <w:tcPr>
            <w:tcW w:w="12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(5,841</w:t>
            </w:r>
          </w:p>
        </w:tc>
        <w:tc>
          <w:tcPr>
            <w:tcW w:w="131"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10,598</w:t>
            </w:r>
          </w:p>
        </w:tc>
        <w:tc>
          <w:tcPr>
            <w:tcW w:w="133" w:type="dxa"/>
            <w:tcBorders/>
            <w:shd w:fill="CCEEFF" w:val="clear"/>
            <w:vAlign w:val="bottom"/>
          </w:tcPr>
          <w:p>
            <w:pPr>
              <w:pStyle w:val="TableContents"/>
              <w:spacing w:before="0" w:after="283"/>
              <w:rPr/>
            </w:pPr>
            <w:r>
              <w:rPr/>
              <w:t> </w:t>
            </w:r>
          </w:p>
        </w:tc>
      </w:tr>
      <w:tr>
        <w:trPr/>
        <w:tc>
          <w:tcPr>
            <w:tcW w:w="4315" w:type="dxa"/>
            <w:tcBorders/>
            <w:shd w:fill="auto" w:val="clear"/>
            <w:vAlign w:val="center"/>
          </w:tcPr>
          <w:p>
            <w:pPr>
              <w:pStyle w:val="TableContents"/>
              <w:spacing w:before="0" w:after="0"/>
              <w:ind w:left="225" w:right="0" w:hanging="225"/>
              <w:rPr/>
            </w:pPr>
            <w:r>
              <w:rPr/>
              <w:t> </w:t>
            </w:r>
          </w:p>
        </w:tc>
        <w:tc>
          <w:tcPr>
            <w:tcW w:w="368" w:type="dxa"/>
            <w:tcBorders/>
            <w:shd w:fill="auto" w:val="clear"/>
            <w:vAlign w:val="center"/>
          </w:tcPr>
          <w:p>
            <w:pPr>
              <w:pStyle w:val="TableContents"/>
              <w:spacing w:before="0" w:after="283"/>
              <w:rPr/>
            </w:pPr>
            <w:r>
              <w:rPr/>
              <w:t> </w:t>
            </w:r>
          </w:p>
        </w:tc>
        <w:tc>
          <w:tcPr>
            <w:tcW w:w="9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15" w:type="dxa"/>
            <w:tcBorders/>
            <w:shd w:fill="auto" w:val="clear"/>
            <w:vAlign w:val="bottom"/>
          </w:tcPr>
          <w:p>
            <w:pPr>
              <w:pStyle w:val="TableContents"/>
              <w:spacing w:before="0" w:after="0"/>
              <w:ind w:left="225" w:right="0" w:hanging="225"/>
              <w:rPr/>
            </w:pPr>
            <w:r>
              <w:rPr/>
              <w:t>Comprehensive income (loss)</w:t>
            </w:r>
          </w:p>
        </w:tc>
        <w:tc>
          <w:tcPr>
            <w:tcW w:w="36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03" w:type="dxa"/>
            <w:tcBorders/>
            <w:shd w:fill="auto" w:val="clear"/>
            <w:vAlign w:val="bottom"/>
          </w:tcPr>
          <w:p>
            <w:pPr>
              <w:pStyle w:val="TableContents"/>
              <w:spacing w:before="0" w:after="283"/>
              <w:jc w:val="right"/>
              <w:rPr/>
            </w:pPr>
            <w:r>
              <w:rPr/>
              <w:t>(411</w:t>
            </w:r>
          </w:p>
        </w:tc>
        <w:tc>
          <w:tcPr>
            <w:tcW w:w="136"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13,517</w:t>
            </w:r>
          </w:p>
        </w:tc>
        <w:tc>
          <w:tcPr>
            <w:tcW w:w="12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(1,391</w:t>
            </w:r>
          </w:p>
        </w:tc>
        <w:tc>
          <w:tcPr>
            <w:tcW w:w="131"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6" w:type="dxa"/>
            <w:tcBorders/>
            <w:shd w:fill="auto" w:val="clear"/>
            <w:vAlign w:val="bottom"/>
          </w:tcPr>
          <w:p>
            <w:pPr>
              <w:pStyle w:val="TableContents"/>
              <w:spacing w:before="0" w:after="283"/>
              <w:jc w:val="right"/>
              <w:rPr/>
            </w:pPr>
            <w:r>
              <w:rPr/>
              <w:t>14,437</w:t>
            </w:r>
          </w:p>
        </w:tc>
        <w:tc>
          <w:tcPr>
            <w:tcW w:w="133" w:type="dxa"/>
            <w:tcBorders/>
            <w:shd w:fill="auto" w:val="clear"/>
            <w:vAlign w:val="bottom"/>
          </w:tcPr>
          <w:p>
            <w:pPr>
              <w:pStyle w:val="TableContents"/>
              <w:spacing w:before="0" w:after="283"/>
              <w:rPr/>
            </w:pPr>
            <w:r>
              <w:rPr/>
              <w:t> </w:t>
            </w:r>
          </w:p>
        </w:tc>
      </w:tr>
      <w:tr>
        <w:trPr/>
        <w:tc>
          <w:tcPr>
            <w:tcW w:w="4315" w:type="dxa"/>
            <w:tcBorders/>
            <w:shd w:fill="auto" w:val="clear"/>
            <w:vAlign w:val="center"/>
          </w:tcPr>
          <w:p>
            <w:pPr>
              <w:pStyle w:val="TableContents"/>
              <w:spacing w:before="0" w:after="0"/>
              <w:ind w:left="225" w:right="0" w:hanging="225"/>
              <w:rPr/>
            </w:pPr>
            <w:r>
              <w:rPr/>
              <w:t> </w:t>
            </w:r>
          </w:p>
        </w:tc>
        <w:tc>
          <w:tcPr>
            <w:tcW w:w="368" w:type="dxa"/>
            <w:tcBorders/>
            <w:shd w:fill="auto" w:val="clear"/>
            <w:vAlign w:val="center"/>
          </w:tcPr>
          <w:p>
            <w:pPr>
              <w:pStyle w:val="TableContents"/>
              <w:spacing w:before="0" w:after="283"/>
              <w:rPr/>
            </w:pPr>
            <w:r>
              <w:rPr/>
              <w:t> </w:t>
            </w:r>
          </w:p>
        </w:tc>
        <w:tc>
          <w:tcPr>
            <w:tcW w:w="9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CONSOLIDATED CONDENSED STATEMENTS OF CASH FLOWS (UNAUDITED)</w:t>
        <w:br/>
        <w:t>(in thousands)</w:t>
      </w:r>
    </w:p>
    <w:tbl>
      <w:tblPr>
        <w:tblW w:w="5000" w:type="pct"/>
        <w:jc w:val="center"/>
        <w:tblInd w:w="0" w:type="dxa"/>
        <w:tblCellMar>
          <w:top w:w="0" w:type="dxa"/>
          <w:left w:w="0" w:type="dxa"/>
          <w:bottom w:w="0" w:type="dxa"/>
          <w:right w:w="0" w:type="dxa"/>
        </w:tblCellMar>
      </w:tblPr>
      <w:tblGrid>
        <w:gridCol w:w="6393"/>
        <w:gridCol w:w="408"/>
        <w:gridCol w:w="212"/>
        <w:gridCol w:w="1120"/>
        <w:gridCol w:w="167"/>
        <w:gridCol w:w="426"/>
        <w:gridCol w:w="212"/>
        <w:gridCol w:w="1123"/>
        <w:gridCol w:w="144"/>
      </w:tblGrid>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26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3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3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Cash Flows from Operating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Net income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4,450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3,839</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450" w:right="0" w:hanging="225"/>
              <w:rPr/>
            </w:pPr>
            <w:r>
              <w:rPr/>
              <w:t>Depreciation and amortization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1,554</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2,223</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450" w:right="0" w:hanging="225"/>
              <w:rPr/>
            </w:pPr>
            <w:r>
              <w:rPr/>
              <w:t>Gain on sale of building</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(1,725</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450" w:right="0" w:hanging="225"/>
              <w:rPr/>
            </w:pPr>
            <w:r>
              <w:rPr/>
              <w:t>Stock based compensation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549</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38</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450" w:right="0" w:hanging="225"/>
              <w:rPr/>
            </w:pPr>
            <w:r>
              <w:rPr/>
              <w:t>Provision for losses on accounts receivable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44</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400</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Effect on cash of changes in operating assets and liabilities: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Accounts receivable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(11,540</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(12,964</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675" w:right="0" w:hanging="225"/>
              <w:rPr/>
            </w:pPr>
            <w:r>
              <w:rPr/>
              <w:t>Inventories, net</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(647</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(4,118</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675" w:right="0" w:hanging="225"/>
              <w:rPr/>
            </w:pPr>
            <w:r>
              <w:rPr/>
              <w:t>Prepaid expenses and other assets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(344</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643</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Advances to suppliers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980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12</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Income taxes receivable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953</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803</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Payable to growers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10,787</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12,241</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Trade accounts payable and accrued expenses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349</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2,382</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Income taxes payable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823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200</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Net cash provided by operating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7,958</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3,974</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b/>
              </w:rPr>
            </w:pPr>
            <w:r>
              <w:rPr>
                <w:b/>
              </w:rPr>
              <w:t>Cash Flows from Investing Activities: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Purchase of Limoneira stock</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(13,450</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225" w:right="0" w:hanging="225"/>
              <w:rPr/>
            </w:pPr>
            <w:r>
              <w:rPr/>
              <w:t>Proceeds received from sale of building</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3,383</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Acquisitions of and deposits on property, plant, and equipment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(2,693</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(1,436</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900" w:right="0" w:hanging="225"/>
              <w:rPr/>
            </w:pPr>
            <w:r>
              <w:rPr/>
              <w:t>Net cash used in investing activities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(2,693</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(11,503</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b/>
              </w:rPr>
            </w:pPr>
            <w:r>
              <w:rPr>
                <w:b/>
              </w:rPr>
              <w:t>Cash Flows from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Payment of dividend to shareholders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(4,564</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(4,052</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pPr>
            <w:r>
              <w:rPr/>
              <w:t>Proceeds from (payments on) short-term borrowings, net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329</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(1,133</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225" w:right="0" w:hanging="225"/>
              <w:rPr/>
            </w:pPr>
            <w:r>
              <w:rPr/>
              <w:t>Proceeds from issuance of long-term debt</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13,000</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Exercise of stock options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250</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60</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Retirement of common stock</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(1,200</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Collection on notes receivable from shareholders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206</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225</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Payments on long-term obligations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(1,312</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(21</w:t>
            </w:r>
          </w:p>
        </w:tc>
        <w:tc>
          <w:tcPr>
            <w:tcW w:w="144" w:type="dxa"/>
            <w:tcBorders/>
            <w:shd w:fill="auto" w:val="clear"/>
            <w:vAlign w:val="bottom"/>
          </w:tcPr>
          <w:p>
            <w:pPr>
              <w:pStyle w:val="TableContents"/>
              <w:spacing w:before="0" w:after="283"/>
              <w:rPr/>
            </w:pPr>
            <w:r>
              <w:rPr/>
              <w:t>)</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Net cash provided by (used in)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(6,291</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8,079</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Net increase (decrease) in cash and cash equivalents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(1,026</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550</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Cash and cash equivalents, beginning of period</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1,133</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636</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Cash and cash equivalents, end of period</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107</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1,186</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Supplemental Information -</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450" w:right="0" w:hanging="225"/>
              <w:rPr/>
            </w:pPr>
            <w:r>
              <w:rPr/>
              <w:t>Cash paid during the period for:</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Interest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0" w:type="dxa"/>
            <w:tcBorders/>
            <w:shd w:fill="CCEEFF" w:val="clear"/>
            <w:vAlign w:val="bottom"/>
          </w:tcPr>
          <w:p>
            <w:pPr>
              <w:pStyle w:val="TableContents"/>
              <w:spacing w:before="0" w:after="283"/>
              <w:jc w:val="right"/>
              <w:rPr/>
            </w:pPr>
            <w:r>
              <w:rPr/>
              <w:t>804</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179</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Income taxes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1,032</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863</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Noncash Investing and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Tax benefit related to stock option exercise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60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23</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Construction in progress included in trade accounts payable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0" w:type="dxa"/>
            <w:tcBorders/>
            <w:shd w:fill="CCEEFF" w:val="clear"/>
            <w:vAlign w:val="bottom"/>
          </w:tcPr>
          <w:p>
            <w:pPr>
              <w:pStyle w:val="TableContents"/>
              <w:spacing w:before="0" w:after="283"/>
              <w:jc w:val="right"/>
              <w:rPr/>
            </w:pPr>
            <w:r>
              <w:rPr/>
              <w:t>526</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Issuance of our common stock in Limoneira transaction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10,000</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Unrealized holding gains (losses)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0" w:type="dxa"/>
            <w:tcBorders/>
            <w:shd w:fill="CCEEFF" w:val="clear"/>
            <w:vAlign w:val="bottom"/>
          </w:tcPr>
          <w:p>
            <w:pPr>
              <w:pStyle w:val="TableContents"/>
              <w:spacing w:before="0" w:after="283"/>
              <w:jc w:val="right"/>
              <w:rPr/>
            </w:pPr>
            <w:r>
              <w:rPr/>
              <w:t>(9,680</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17,517</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9" w:name="107"/>
      <w:bookmarkEnd w:id="9"/>
      <w:r>
        <w:rPr>
          <w:rFonts w:ascii="Times New Roman;Times;serif" w:hAnsi="Times New Roman;Times;serif"/>
          <w:b/>
          <w:sz w:val="17"/>
        </w:rPr>
        <w:t>NOTES TO CONSOLIDATED CONDENSED FINANCIAL STATEMENTS (UNAUDITED)</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During the second quarter of fiscal 2006, we combined our California avocados and international avocados and perishable food products reporting segments. As a result, we now report our operations in two different business segments: (1) fresh products and (2) processed products. See footnote 2 for further explanation. </w:t>
      </w:r>
    </w:p>
    <w:p>
      <w:pPr>
        <w:pStyle w:val="TextBody"/>
        <w:spacing w:before="120" w:after="283"/>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2005.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2005, the Financial Accounting Standards Board (FASB) issued FASB Staff Position (FSP) FAS 115-1/124-1, </w:t>
      </w:r>
      <w:r>
        <w:rPr>
          <w:rFonts w:ascii="Times New Roman;Times;serif" w:hAnsi="Times New Roman;Times;serif"/>
          <w:i/>
          <w:sz w:val="17"/>
        </w:rPr>
        <w:t>The Meaning of Other-Than-Temporary Impairment and Its Application to Certain Investments</w:t>
      </w:r>
      <w:r>
        <w:rPr>
          <w:rFonts w:ascii="Times New Roman;Times;serif" w:hAnsi="Times New Roman;Times;serif"/>
          <w:sz w:val="17"/>
        </w:rPr>
        <w:t xml:space="preserve">. This FSP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SFAS No. 115, </w:t>
      </w:r>
      <w:r>
        <w:rPr>
          <w:rFonts w:ascii="Times New Roman;Times;serif" w:hAnsi="Times New Roman;Times;serif"/>
          <w:i/>
          <w:sz w:val="17"/>
        </w:rPr>
        <w:t>Accounting for Certain Investments in Debt and Equity Securities</w:t>
      </w:r>
      <w:r>
        <w:rPr>
          <w:rFonts w:ascii="Times New Roman;Times;serif" w:hAnsi="Times New Roman;Times;serif"/>
          <w:sz w:val="17"/>
        </w:rPr>
        <w:t xml:space="preserve">, SFAS No. 124, </w:t>
      </w:r>
      <w:r>
        <w:rPr>
          <w:rFonts w:ascii="Times New Roman;Times;serif" w:hAnsi="Times New Roman;Times;serif"/>
          <w:i/>
          <w:sz w:val="17"/>
        </w:rPr>
        <w:t>Accounting for Certain Investments Held by Not-for-Profit Organizations</w:t>
      </w:r>
      <w:r>
        <w:rPr>
          <w:rFonts w:ascii="Times New Roman;Times;serif" w:hAnsi="Times New Roman;Times;serif"/>
          <w:sz w:val="17"/>
        </w:rPr>
        <w:t xml:space="preserve">, and Accounting Principles Board (APB) Opinion No. 18, </w:t>
      </w:r>
      <w:r>
        <w:rPr>
          <w:rFonts w:ascii="Times New Roman;Times;serif" w:hAnsi="Times New Roman;Times;serif"/>
          <w:i/>
          <w:sz w:val="17"/>
        </w:rPr>
        <w:t>The Equity Method of Accounting for Investments in Common Stock</w:t>
      </w:r>
      <w:r>
        <w:rPr>
          <w:rFonts w:ascii="Times New Roman;Times;serif" w:hAnsi="Times New Roman;Times;serif"/>
          <w:sz w:val="17"/>
        </w:rPr>
        <w:t xml:space="preserve">. This FSP is effective for reporting periods beginning after December 15, 2005. The adoption of this FSP did not have a material impact on its financial position or results of operations. </w:t>
      </w:r>
    </w:p>
    <w:p>
      <w:pPr>
        <w:pStyle w:val="TextBody"/>
        <w:spacing w:before="120" w:after="283"/>
        <w:jc w:val="left"/>
        <w:rPr/>
      </w:pPr>
      <w:r>
        <w:rPr/>
        <w:t>     </w:t>
      </w:r>
      <w:r>
        <w:rPr>
          <w:rFonts w:ascii="Times New Roman;Times;serif" w:hAnsi="Times New Roman;Times;serif"/>
          <w:sz w:val="17"/>
        </w:rPr>
        <w:t xml:space="preserve">In May 2005, the FASB issued Statement of Financial Accounting Standard (SFAS) 154, </w:t>
      </w:r>
      <w:r>
        <w:rPr>
          <w:rFonts w:ascii="Times New Roman;Times;serif" w:hAnsi="Times New Roman;Times;serif"/>
          <w:i/>
          <w:sz w:val="17"/>
        </w:rPr>
        <w:t>Accounting changes and Error Corrections</w:t>
      </w:r>
      <w:r>
        <w:rPr>
          <w:rFonts w:ascii="Times New Roman;Times;serif" w:hAnsi="Times New Roman;Times;serif"/>
          <w:sz w:val="17"/>
        </w:rPr>
        <w:t xml:space="preserve">, which replaces APB Opinion No. 20, </w:t>
      </w:r>
      <w:r>
        <w:rPr>
          <w:rFonts w:ascii="Times New Roman;Times;serif" w:hAnsi="Times New Roman;Times;serif"/>
          <w:i/>
          <w:sz w:val="17"/>
        </w:rPr>
        <w:t>Accounting Changes</w:t>
      </w:r>
      <w:r>
        <w:rPr>
          <w:rFonts w:ascii="Times New Roman;Times;serif" w:hAnsi="Times New Roman;Times;serif"/>
          <w:sz w:val="17"/>
        </w:rPr>
        <w:t xml:space="preserve">, and SFAS No. 3, </w:t>
      </w:r>
      <w:r>
        <w:rPr>
          <w:rFonts w:ascii="Times New Roman;Times;serif" w:hAnsi="Times New Roman;Times;serif"/>
          <w:i/>
          <w:sz w:val="17"/>
        </w:rPr>
        <w:t>Reporting Accounting Changes in Interim Financial Statements</w:t>
      </w:r>
      <w:r>
        <w:rPr>
          <w:rFonts w:ascii="Times New Roman;Times;serif" w:hAnsi="Times New Roman;Times;serif"/>
          <w:sz w:val="17"/>
        </w:rPr>
        <w:t xml:space="preserve">. SFAS No. 154 applies to all voluntary changes in accounting principles and requires retrospective application (a term defined by the statement) to prior periods financial statements, unless it is impracticable to determine the effect of a change. It also applies to changes required by an accounting pronouncement that does not include specific transition provisions. SFAS No. 154 is effective for accounting changes and corrections of errors made in fiscal years beginning after December 15, 2005. We will adopt SFAS No. 154 as of the beginning of fiscal 2007 and do not expect that the adoption of SFAS No. 154 will have a material impact on our financial condition of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2006, the FASB issued SFAS No. 155, </w:t>
      </w:r>
      <w:r>
        <w:rPr>
          <w:rFonts w:ascii="Times New Roman;Times;serif" w:hAnsi="Times New Roman;Times;serif"/>
          <w:i/>
          <w:sz w:val="17"/>
        </w:rPr>
        <w:t>Accounting for Certain Hybrid Financial Instruments-an amendment of FASB Statements No. 133 and 140</w:t>
      </w:r>
      <w:r>
        <w:rPr>
          <w:rFonts w:ascii="Times New Roman;Times;serif" w:hAnsi="Times New Roman;Times;serif"/>
          <w:sz w:val="17"/>
        </w:rPr>
        <w:t xml:space="preserve">. SFAS No. 155 permits fair value remeasurement for any hybrid financial instrument that contains an embedded derivative that otherwise would require bifurcation, clarifies which interest-only strips and principal-only strips are not subject to the requirements of SFAS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will adopt SFAS No. 155 on November 1, 2006 and do not expect that the adoption will have a material impact on our financial position or results of operations. </w:t>
      </w:r>
    </w:p>
    <w:p>
      <w:pPr>
        <w:pStyle w:val="TextBody"/>
        <w:spacing w:before="120" w:after="283"/>
        <w:jc w:val="left"/>
        <w:rPr/>
      </w:pPr>
      <w:r>
        <w:rPr/>
        <w:t>     </w:t>
      </w:r>
      <w:r>
        <w:rPr>
          <w:rFonts w:ascii="Times New Roman;Times;serif" w:hAnsi="Times New Roman;Times;serif"/>
          <w:sz w:val="17"/>
        </w:rPr>
        <w:t xml:space="preserve">In July 2006, the FASB issued Interpretation No. 48, </w:t>
      </w:r>
      <w:r>
        <w:rPr>
          <w:rFonts w:ascii="Times New Roman;Times;serif" w:hAnsi="Times New Roman;Times;serif"/>
          <w:i/>
          <w:sz w:val="17"/>
        </w:rPr>
        <w:t xml:space="preserve">Accounting for Uncertainty in Income Taxes  an interpretation of FASB Statement No. 109 </w:t>
      </w:r>
      <w:r>
        <w:rPr>
          <w:rFonts w:ascii="Times New Roman;Times;serif" w:hAnsi="Times New Roman;Times;serif"/>
          <w:sz w:val="17"/>
        </w:rPr>
        <w:t xml:space="preserve">(FIN 48). This interpretation clarifies the application of SFAS No. 109, </w:t>
      </w:r>
      <w:r>
        <w:rPr>
          <w:rFonts w:ascii="Times New Roman;Times;serif" w:hAnsi="Times New Roman;Times;serif"/>
          <w:i/>
          <w:sz w:val="17"/>
        </w:rPr>
        <w:t>Accounting for Income Taxes</w:t>
      </w:r>
      <w:r>
        <w:rPr>
          <w:rFonts w:ascii="Times New Roman;Times;serif" w:hAnsi="Times New Roman;Times;serif"/>
          <w:sz w:val="17"/>
        </w:rPr>
        <w:t xml:space="preserve">, by defining a criterion than an individual tax position must meet for any part of the benefit of that position to be recognized in an enterprises financial statements and also provides guidance on measurement, derecognition, classification, interest and penalties, accounting in interim periods, disclosure and transition. FIN 48 is effective for fiscal years beginning after December 15, 2006, but earlier adoption is permitted. We will adopt FIN 48 no later than November 1, 2007. We are currently assessing the impact the adoption of FIN 48 will have on our financial position and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FASB issued SFAS No. 123(R), </w:t>
      </w:r>
      <w:r>
        <w:rPr>
          <w:rFonts w:ascii="Times New Roman;Times;serif" w:hAnsi="Times New Roman;Times;serif"/>
          <w:i/>
          <w:sz w:val="17"/>
        </w:rPr>
        <w:t>Share-Based Payment</w:t>
      </w:r>
      <w:r>
        <w:rPr>
          <w:rFonts w:ascii="Times New Roman;Times;serif" w:hAnsi="Times New Roman;Times;serif"/>
          <w:sz w:val="17"/>
        </w:rPr>
        <w:t xml:space="preserve">. This pronouncement amends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and supersedes APB Opinion No. 25, </w:t>
      </w:r>
      <w:r>
        <w:rPr>
          <w:rFonts w:ascii="Times New Roman;Times;serif" w:hAnsi="Times New Roman;Times;serif"/>
          <w:i/>
          <w:sz w:val="17"/>
        </w:rPr>
        <w:t>Accounting for Stock Issued to Employees</w:t>
      </w:r>
      <w:r>
        <w:rPr>
          <w:rFonts w:ascii="Times New Roman;Times;serif" w:hAnsi="Times New Roman;Times;serif"/>
          <w:sz w:val="17"/>
        </w:rPr>
        <w:t xml:space="preserve">. SFAS No. 123(R) requires that companies account for awards of equity instruments 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 </w:t>
      </w:r>
    </w:p>
    <w:p>
      <w:pPr>
        <w:pStyle w:val="TextBody"/>
        <w:spacing w:before="120" w:after="283"/>
        <w:jc w:val="left"/>
        <w:rPr/>
      </w:pPr>
      <w:r>
        <w:rPr/>
        <w:t>     </w:t>
      </w:r>
      <w:r>
        <w:rPr>
          <w:rFonts w:ascii="Times New Roman;Times;serif" w:hAnsi="Times New Roman;Times;serif"/>
          <w:sz w:val="17"/>
        </w:rPr>
        <w:t xml:space="preserve">Prior to the adoption of SFAS No. 123(R), we accounted for employee stock-based compensation using the intrinsic value method in accordance with APB Opinion No. 25, as permitted by SFAS No. 123 and SFAS No. 148, </w:t>
      </w:r>
      <w:r>
        <w:rPr>
          <w:rFonts w:ascii="Times New Roman;Times;serif" w:hAnsi="Times New Roman;Times;serif"/>
          <w:i/>
          <w:sz w:val="17"/>
        </w:rPr>
        <w:t>Accounting for Stock-Based Compensation  Transition and Disclosure</w:t>
      </w:r>
      <w:r>
        <w:rPr>
          <w:rFonts w:ascii="Times New Roman;Times;serif" w:hAnsi="Times New Roman;Times;serif"/>
          <w:sz w:val="17"/>
        </w:rPr>
        <w:t xml:space="preserve">.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 </w:t>
      </w:r>
    </w:p>
    <w:p>
      <w:pPr>
        <w:pStyle w:val="TextBody"/>
        <w:spacing w:before="120" w:after="283"/>
        <w:jc w:val="left"/>
        <w:rPr/>
      </w:pPr>
      <w:r>
        <w:rPr/>
        <w:t>     </w:t>
      </w:r>
      <w:r>
        <w:rPr>
          <w:rFonts w:ascii="Times New Roman;Times;serif" w:hAnsi="Times New Roman;Times;serif"/>
          <w:sz w:val="17"/>
        </w:rPr>
        <w:t xml:space="preserve">During the three and nine month periods ended July 31, 2005, we recognized $13,000 and $38,000 of compensation expense with respect to stock option awards pursuant to APB 25, which was charged to the consolidated statement of operations. For the three and nine months ended July 31, 2005, had stock-based compensation been accounted for based on the estimated grant date fair values, as defined by SFAS No. 123, the Companys net income and net income per share would have been the following pro forma amounts (in thousands, except per share amounts):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61"/>
        <w:gridCol w:w="316"/>
        <w:gridCol w:w="424"/>
        <w:gridCol w:w="1752"/>
        <w:gridCol w:w="136"/>
        <w:gridCol w:w="316"/>
        <w:gridCol w:w="401"/>
        <w:gridCol w:w="1657"/>
        <w:gridCol w:w="142"/>
      </w:tblGrid>
      <w:tr>
        <w:trPr/>
        <w:tc>
          <w:tcPr>
            <w:tcW w:w="506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75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176" w:type="dxa"/>
            <w:gridSpan w:val="2"/>
            <w:tcBorders/>
            <w:shd w:fill="auto" w:val="clear"/>
            <w:vAlign w:val="bottom"/>
          </w:tcPr>
          <w:p>
            <w:pPr>
              <w:pStyle w:val="TableContents"/>
              <w:spacing w:before="0" w:after="283"/>
              <w:jc w:val="center"/>
              <w:rPr>
                <w:b/>
              </w:rPr>
            </w:pPr>
            <w:r>
              <w:rPr>
                <w:b/>
              </w:rPr>
              <w:t>Three months ended</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58" w:type="dxa"/>
            <w:gridSpan w:val="2"/>
            <w:tcBorders/>
            <w:shd w:fill="auto" w:val="clear"/>
            <w:vAlign w:val="bottom"/>
          </w:tcPr>
          <w:p>
            <w:pPr>
              <w:pStyle w:val="TableContents"/>
              <w:spacing w:before="0" w:after="283"/>
              <w:jc w:val="center"/>
              <w:rPr>
                <w:b/>
              </w:rPr>
            </w:pPr>
            <w:r>
              <w:rPr>
                <w:b/>
              </w:rPr>
              <w:t>Nine months ended</w:t>
            </w:r>
          </w:p>
        </w:tc>
        <w:tc>
          <w:tcPr>
            <w:tcW w:w="142"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1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July 31, 2005</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July 31, 2005</w:t>
            </w:r>
          </w:p>
        </w:tc>
        <w:tc>
          <w:tcPr>
            <w:tcW w:w="142" w:type="dxa"/>
            <w:tcBorders/>
            <w:shd w:fill="auto" w:val="clear"/>
            <w:vAlign w:val="bottom"/>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Net Income:</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75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0"/>
              <w:ind w:left="225" w:right="0" w:hanging="225"/>
              <w:rPr/>
            </w:pPr>
            <w:r>
              <w:rPr/>
              <w:t>As reported</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left"/>
              <w:rPr/>
            </w:pPr>
            <w:r>
              <w:rPr/>
              <w:t>$</w:t>
            </w:r>
          </w:p>
        </w:tc>
        <w:tc>
          <w:tcPr>
            <w:tcW w:w="1752" w:type="dxa"/>
            <w:tcBorders/>
            <w:shd w:fill="auto" w:val="clear"/>
            <w:vAlign w:val="bottom"/>
          </w:tcPr>
          <w:p>
            <w:pPr>
              <w:pStyle w:val="TableContents"/>
              <w:spacing w:before="0" w:after="283"/>
              <w:jc w:val="right"/>
              <w:rPr/>
            </w:pPr>
            <w:r>
              <w:rPr/>
              <w:t>2,919</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657" w:type="dxa"/>
            <w:tcBorders/>
            <w:shd w:fill="auto" w:val="clear"/>
            <w:vAlign w:val="bottom"/>
          </w:tcPr>
          <w:p>
            <w:pPr>
              <w:pStyle w:val="TableContents"/>
              <w:spacing w:before="0" w:after="283"/>
              <w:jc w:val="right"/>
              <w:rPr/>
            </w:pPr>
            <w:r>
              <w:rPr/>
              <w:t>3,839</w:t>
            </w:r>
          </w:p>
        </w:tc>
        <w:tc>
          <w:tcPr>
            <w:tcW w:w="142" w:type="dxa"/>
            <w:tcBorders/>
            <w:shd w:fill="auto" w:val="clear"/>
            <w:vAlign w:val="bottom"/>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752" w:type="dxa"/>
            <w:tcBorders/>
            <w:shd w:fill="CCEEFF" w:val="clear"/>
            <w:vAlign w:val="bottom"/>
          </w:tcPr>
          <w:p>
            <w:pPr>
              <w:pStyle w:val="TableContents"/>
              <w:spacing w:before="0" w:after="283"/>
              <w:jc w:val="right"/>
              <w:rPr/>
            </w:pPr>
            <w:r>
              <w:rPr/>
              <w:t>8</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pPr>
            <w:r>
              <w:rPr/>
              <w:t>24</w:t>
            </w:r>
          </w:p>
        </w:tc>
        <w:tc>
          <w:tcPr>
            <w:tcW w:w="142"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0"/>
              <w:ind w:left="225" w:right="0" w:hanging="225"/>
              <w:rPr/>
            </w:pPr>
            <w:r>
              <w:rPr/>
              <w:t>Deduct: Total stock based compensation expense determined under fair value based method for all awards, net of tax effects</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left"/>
              <w:rPr/>
            </w:pPr>
            <w:r>
              <w:rPr/>
              <w:t> </w:t>
            </w:r>
          </w:p>
        </w:tc>
        <w:tc>
          <w:tcPr>
            <w:tcW w:w="1752" w:type="dxa"/>
            <w:tcBorders/>
            <w:shd w:fill="auto" w:val="clear"/>
            <w:vAlign w:val="bottom"/>
          </w:tcPr>
          <w:p>
            <w:pPr>
              <w:pStyle w:val="TableContents"/>
              <w:spacing w:before="0" w:after="283"/>
              <w:jc w:val="right"/>
              <w:rPr/>
            </w:pPr>
            <w:r>
              <w:rPr/>
              <w:t>(8</w:t>
            </w:r>
          </w:p>
        </w:tc>
        <w:tc>
          <w:tcPr>
            <w:tcW w:w="136"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 </w:t>
            </w:r>
          </w:p>
        </w:tc>
        <w:tc>
          <w:tcPr>
            <w:tcW w:w="1657" w:type="dxa"/>
            <w:tcBorders/>
            <w:shd w:fill="auto" w:val="clear"/>
            <w:vAlign w:val="bottom"/>
          </w:tcPr>
          <w:p>
            <w:pPr>
              <w:pStyle w:val="TableContents"/>
              <w:spacing w:before="0" w:after="283"/>
              <w:jc w:val="right"/>
              <w:rPr/>
            </w:pPr>
            <w:r>
              <w:rPr/>
              <w:t>(24</w:t>
            </w:r>
          </w:p>
        </w:tc>
        <w:tc>
          <w:tcPr>
            <w:tcW w:w="142" w:type="dxa"/>
            <w:tcBorders/>
            <w:shd w:fill="auto" w:val="clear"/>
            <w:vAlign w:val="bottom"/>
          </w:tcPr>
          <w:p>
            <w:pPr>
              <w:pStyle w:val="TableContents"/>
              <w:spacing w:before="0" w:after="283"/>
              <w:rPr/>
            </w:pPr>
            <w:r>
              <w:rPr/>
              <w:t>)</w:t>
            </w:r>
          </w:p>
        </w:tc>
      </w:tr>
      <w:tr>
        <w:trPr/>
        <w:tc>
          <w:tcPr>
            <w:tcW w:w="5061" w:type="dxa"/>
            <w:tcBorders/>
            <w:shd w:fill="auto" w:val="clear"/>
            <w:vAlign w:val="center"/>
          </w:tcPr>
          <w:p>
            <w:pPr>
              <w:pStyle w:val="TableContents"/>
              <w:spacing w:before="0" w:after="0"/>
              <w:ind w:left="225" w:right="0" w:hanging="225"/>
              <w:rPr/>
            </w:pPr>
            <w:r>
              <w:rPr/>
              <w:t> </w:t>
            </w:r>
          </w:p>
        </w:tc>
        <w:tc>
          <w:tcPr>
            <w:tcW w:w="316" w:type="dxa"/>
            <w:tcBorders/>
            <w:shd w:fill="auto" w:val="clear"/>
            <w:vAlign w:val="center"/>
          </w:tcPr>
          <w:p>
            <w:pPr>
              <w:pStyle w:val="TableContents"/>
              <w:spacing w:before="0" w:after="283"/>
              <w:rPr/>
            </w:pPr>
            <w:r>
              <w:rPr/>
              <w:t> </w:t>
            </w:r>
          </w:p>
        </w:tc>
        <w:tc>
          <w:tcPr>
            <w:tcW w:w="21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2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Pro forma</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jc w:val="left"/>
              <w:rPr/>
            </w:pPr>
            <w:r>
              <w:rPr/>
              <w:t>$</w:t>
            </w:r>
          </w:p>
        </w:tc>
        <w:tc>
          <w:tcPr>
            <w:tcW w:w="1752" w:type="dxa"/>
            <w:tcBorders/>
            <w:shd w:fill="CCEEFF" w:val="clear"/>
            <w:vAlign w:val="bottom"/>
          </w:tcPr>
          <w:p>
            <w:pPr>
              <w:pStyle w:val="TableContents"/>
              <w:spacing w:before="0" w:after="283"/>
              <w:jc w:val="right"/>
              <w:rPr/>
            </w:pPr>
            <w:r>
              <w:rPr/>
              <w:t>2,919</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657" w:type="dxa"/>
            <w:tcBorders/>
            <w:shd w:fill="CCEEFF" w:val="clear"/>
            <w:vAlign w:val="bottom"/>
          </w:tcPr>
          <w:p>
            <w:pPr>
              <w:pStyle w:val="TableContents"/>
              <w:spacing w:before="0" w:after="283"/>
              <w:jc w:val="right"/>
              <w:rPr/>
            </w:pPr>
            <w:r>
              <w:rPr/>
              <w:t>3,839</w:t>
            </w:r>
          </w:p>
        </w:tc>
        <w:tc>
          <w:tcPr>
            <w:tcW w:w="142" w:type="dxa"/>
            <w:tcBorders/>
            <w:shd w:fill="CCEEFF" w:val="clear"/>
            <w:vAlign w:val="bottom"/>
          </w:tcPr>
          <w:p>
            <w:pPr>
              <w:pStyle w:val="TableContents"/>
              <w:spacing w:before="0" w:after="283"/>
              <w:rPr/>
            </w:pPr>
            <w:r>
              <w:rPr/>
              <w:t> </w:t>
            </w:r>
          </w:p>
        </w:tc>
      </w:tr>
      <w:tr>
        <w:trPr/>
        <w:tc>
          <w:tcPr>
            <w:tcW w:w="5061" w:type="dxa"/>
            <w:tcBorders/>
            <w:shd w:fill="auto" w:val="clear"/>
            <w:vAlign w:val="center"/>
          </w:tcPr>
          <w:p>
            <w:pPr>
              <w:pStyle w:val="TableContents"/>
              <w:spacing w:before="0" w:after="0"/>
              <w:ind w:left="225" w:right="0" w:hanging="225"/>
              <w:rPr/>
            </w:pPr>
            <w:r>
              <w:rPr/>
              <w:t> </w:t>
            </w:r>
          </w:p>
        </w:tc>
        <w:tc>
          <w:tcPr>
            <w:tcW w:w="316" w:type="dxa"/>
            <w:tcBorders/>
            <w:shd w:fill="auto" w:val="clear"/>
            <w:vAlign w:val="center"/>
          </w:tcPr>
          <w:p>
            <w:pPr>
              <w:pStyle w:val="TableContents"/>
              <w:spacing w:before="0" w:after="283"/>
              <w:rPr/>
            </w:pPr>
            <w:r>
              <w:rPr/>
              <w:t> </w:t>
            </w:r>
          </w:p>
        </w:tc>
        <w:tc>
          <w:tcPr>
            <w:tcW w:w="21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2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061" w:type="dxa"/>
            <w:tcBorders/>
            <w:shd w:fill="auto" w:val="clear"/>
            <w:vAlign w:val="bottom"/>
          </w:tcPr>
          <w:p>
            <w:pPr>
              <w:pStyle w:val="TableContents"/>
              <w:spacing w:before="0" w:after="0"/>
              <w:ind w:left="225" w:right="0" w:hanging="225"/>
              <w:rPr/>
            </w:pPr>
            <w:r>
              <w:rPr/>
              <w:t>Net income per share, as reported:</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75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Basic</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jc w:val="left"/>
              <w:rPr/>
            </w:pPr>
            <w:r>
              <w:rPr/>
              <w:t>$</w:t>
            </w:r>
          </w:p>
        </w:tc>
        <w:tc>
          <w:tcPr>
            <w:tcW w:w="1752" w:type="dxa"/>
            <w:tcBorders/>
            <w:shd w:fill="CCEEFF" w:val="clear"/>
            <w:vAlign w:val="bottom"/>
          </w:tcPr>
          <w:p>
            <w:pPr>
              <w:pStyle w:val="TableContents"/>
              <w:spacing w:before="0" w:after="283"/>
              <w:jc w:val="right"/>
              <w:rPr/>
            </w:pPr>
            <w:r>
              <w:rPr/>
              <w:t>0.21</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657" w:type="dxa"/>
            <w:tcBorders/>
            <w:shd w:fill="CCEEFF" w:val="clear"/>
            <w:vAlign w:val="bottom"/>
          </w:tcPr>
          <w:p>
            <w:pPr>
              <w:pStyle w:val="TableContents"/>
              <w:spacing w:before="0" w:after="283"/>
              <w:jc w:val="right"/>
              <w:rPr/>
            </w:pPr>
            <w:r>
              <w:rPr/>
              <w:t>0.28</w:t>
            </w:r>
          </w:p>
        </w:tc>
        <w:tc>
          <w:tcPr>
            <w:tcW w:w="142"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0"/>
              <w:ind w:left="225" w:right="0" w:hanging="225"/>
              <w:rPr/>
            </w:pPr>
            <w:r>
              <w:rPr/>
              <w:t>Diluted</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left"/>
              <w:rPr/>
            </w:pPr>
            <w:r>
              <w:rPr/>
              <w:t>$</w:t>
            </w:r>
          </w:p>
        </w:tc>
        <w:tc>
          <w:tcPr>
            <w:tcW w:w="1752" w:type="dxa"/>
            <w:tcBorders/>
            <w:shd w:fill="auto" w:val="clear"/>
            <w:vAlign w:val="bottom"/>
          </w:tcPr>
          <w:p>
            <w:pPr>
              <w:pStyle w:val="TableContents"/>
              <w:spacing w:before="0" w:after="283"/>
              <w:jc w:val="right"/>
              <w:rPr/>
            </w:pPr>
            <w:r>
              <w:rPr/>
              <w:t>0.21</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657" w:type="dxa"/>
            <w:tcBorders/>
            <w:shd w:fill="auto" w:val="clear"/>
            <w:vAlign w:val="bottom"/>
          </w:tcPr>
          <w:p>
            <w:pPr>
              <w:pStyle w:val="TableContents"/>
              <w:spacing w:before="0" w:after="283"/>
              <w:jc w:val="right"/>
              <w:rPr/>
            </w:pPr>
            <w:r>
              <w:rPr/>
              <w:t>0.28</w:t>
            </w:r>
          </w:p>
        </w:tc>
        <w:tc>
          <w:tcPr>
            <w:tcW w:w="142" w:type="dxa"/>
            <w:tcBorders/>
            <w:shd w:fill="auto" w:val="clear"/>
            <w:vAlign w:val="bottom"/>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Net income per share, pro forma:</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75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0"/>
              <w:ind w:left="225" w:right="0" w:hanging="225"/>
              <w:rPr/>
            </w:pPr>
            <w:r>
              <w:rPr/>
              <w:t>Basic</w:t>
            </w:r>
          </w:p>
        </w:tc>
        <w:tc>
          <w:tcPr>
            <w:tcW w:w="316"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jc w:val="left"/>
              <w:rPr/>
            </w:pPr>
            <w:r>
              <w:rPr/>
              <w:t>$</w:t>
            </w:r>
          </w:p>
        </w:tc>
        <w:tc>
          <w:tcPr>
            <w:tcW w:w="1752" w:type="dxa"/>
            <w:tcBorders/>
            <w:shd w:fill="auto" w:val="clear"/>
            <w:vAlign w:val="bottom"/>
          </w:tcPr>
          <w:p>
            <w:pPr>
              <w:pStyle w:val="TableContents"/>
              <w:spacing w:before="0" w:after="283"/>
              <w:jc w:val="right"/>
              <w:rPr/>
            </w:pPr>
            <w:r>
              <w:rPr/>
              <w:t>0.21</w:t>
            </w:r>
          </w:p>
        </w:tc>
        <w:tc>
          <w:tcPr>
            <w:tcW w:w="13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657" w:type="dxa"/>
            <w:tcBorders/>
            <w:shd w:fill="auto" w:val="clear"/>
            <w:vAlign w:val="bottom"/>
          </w:tcPr>
          <w:p>
            <w:pPr>
              <w:pStyle w:val="TableContents"/>
              <w:spacing w:before="0" w:after="283"/>
              <w:jc w:val="right"/>
              <w:rPr/>
            </w:pPr>
            <w:r>
              <w:rPr/>
              <w:t>0.28</w:t>
            </w:r>
          </w:p>
        </w:tc>
        <w:tc>
          <w:tcPr>
            <w:tcW w:w="142" w:type="dxa"/>
            <w:tcBorders/>
            <w:shd w:fill="auto" w:val="clear"/>
            <w:vAlign w:val="bottom"/>
          </w:tcPr>
          <w:p>
            <w:pPr>
              <w:pStyle w:val="TableContents"/>
              <w:spacing w:before="0" w:after="283"/>
              <w:rPr/>
            </w:pPr>
            <w:r>
              <w:rPr/>
              <w:t> </w:t>
            </w:r>
          </w:p>
        </w:tc>
      </w:tr>
      <w:tr>
        <w:trPr/>
        <w:tc>
          <w:tcPr>
            <w:tcW w:w="5061" w:type="dxa"/>
            <w:tcBorders/>
            <w:shd w:fill="CCEEFF" w:val="clear"/>
            <w:vAlign w:val="bottom"/>
          </w:tcPr>
          <w:p>
            <w:pPr>
              <w:pStyle w:val="TableContents"/>
              <w:spacing w:before="0" w:after="0"/>
              <w:ind w:left="225" w:right="0" w:hanging="225"/>
              <w:rPr/>
            </w:pPr>
            <w:r>
              <w:rPr/>
              <w:t>Diluted</w:t>
            </w:r>
          </w:p>
        </w:tc>
        <w:tc>
          <w:tcPr>
            <w:tcW w:w="316"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jc w:val="left"/>
              <w:rPr/>
            </w:pPr>
            <w:r>
              <w:rPr/>
              <w:t>$</w:t>
            </w:r>
          </w:p>
        </w:tc>
        <w:tc>
          <w:tcPr>
            <w:tcW w:w="1752" w:type="dxa"/>
            <w:tcBorders/>
            <w:shd w:fill="CCEEFF" w:val="clear"/>
            <w:vAlign w:val="bottom"/>
          </w:tcPr>
          <w:p>
            <w:pPr>
              <w:pStyle w:val="TableContents"/>
              <w:spacing w:before="0" w:after="283"/>
              <w:jc w:val="right"/>
              <w:rPr/>
            </w:pPr>
            <w:r>
              <w:rPr/>
              <w:t>0.21</w:t>
            </w:r>
          </w:p>
        </w:tc>
        <w:tc>
          <w:tcPr>
            <w:tcW w:w="13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657" w:type="dxa"/>
            <w:tcBorders/>
            <w:shd w:fill="CCEEFF" w:val="clear"/>
            <w:vAlign w:val="bottom"/>
          </w:tcPr>
          <w:p>
            <w:pPr>
              <w:pStyle w:val="TableContents"/>
              <w:spacing w:before="0" w:after="283"/>
              <w:jc w:val="right"/>
              <w:rPr/>
            </w:pPr>
            <w:r>
              <w:rPr/>
              <w:t>0.28</w:t>
            </w:r>
          </w:p>
        </w:tc>
        <w:tc>
          <w:tcPr>
            <w:tcW w:w="142"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however, these stock option agreements were modified to shorten the option terms, as defined. Such modifications were contemplated primarily as a result of Section 409A of the tax code and did not result in a significant change in fair value. </w:t>
      </w:r>
    </w:p>
    <w:p>
      <w:pPr>
        <w:pStyle w:val="TextBody"/>
        <w:spacing w:before="120" w:after="283"/>
        <w:jc w:val="left"/>
        <w:rPr/>
      </w:pPr>
      <w:r>
        <w:rPr/>
        <w:t>     </w:t>
      </w:r>
      <w:r>
        <w:rPr>
          <w:rFonts w:ascii="Times New Roman;Times;serif" w:hAnsi="Times New Roman;Times;serif"/>
          <w:sz w:val="17"/>
        </w:rPr>
        <w:t xml:space="preserve">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 </w:t>
      </w:r>
    </w:p>
    <w:p>
      <w:pPr>
        <w:pStyle w:val="TextBody"/>
        <w:spacing w:before="120" w:after="283"/>
        <w:jc w:val="left"/>
        <w:rPr/>
      </w:pPr>
      <w:r>
        <w:rPr/>
        <w:t>     </w:t>
      </w:r>
      <w:r>
        <w:rPr>
          <w:rFonts w:ascii="Times New Roman;Times;serif" w:hAnsi="Times New Roman;Times;serif"/>
          <w:sz w:val="17"/>
        </w:rPr>
        <w:t xml:space="preserve">In April 2006, the price of our common stock reached $11/per share. Therefore, all 400,000 options related to our stock option grant that took place in August 2005 vested in August 2006 (for those persons still employed). The achievement of this market condition resulted in a decrease in the initial, estimated derived service period. As a result, we recorded total stock-based compensation expense related to this stock option grant of $312,000 and $507,000 during the three and nine month periods ended July 31, 2006. The final compensation expense charge was $104,000 for the month of August 2006 related to this stock option grant. During the three and nine months ended July 31, 2006, we recognized total stock-based compensation expense of $323,000 and $549,000 for stock options in our consolidated statement of operations. </w:t>
      </w:r>
    </w:p>
    <w:p>
      <w:pPr>
        <w:pStyle w:val="TextBody"/>
        <w:spacing w:before="120" w:after="283"/>
        <w:jc w:val="left"/>
        <w:rPr/>
      </w:pPr>
      <w:r>
        <w:rPr/>
        <w:t>     </w:t>
      </w:r>
      <w:r>
        <w:rPr>
          <w:rFonts w:ascii="Times New Roman;Times;serif" w:hAnsi="Times New Roman;Times;serif"/>
          <w:sz w:val="17"/>
        </w:rPr>
        <w:t xml:space="preserve">The value of each option award is estimated using the Black-Scholes-Merton or lattice-based option valuation models, which primarily consider the following assumptions: (1) expected volatility, (2) expected dividends, (3) expected term and (4) risk-free rate. Such models also consider the intrinsic value in the estimation of fair value of the option award.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 </w:t>
      </w:r>
    </w:p>
    <w:p>
      <w:pPr>
        <w:pStyle w:val="TextBody"/>
        <w:spacing w:before="120" w:after="283"/>
        <w:jc w:val="left"/>
        <w:rPr/>
      </w:pPr>
      <w:r>
        <w:rPr/>
        <w:t>     </w:t>
      </w:r>
      <w:r>
        <w:rPr>
          <w:rFonts w:ascii="Times New Roman;Times;serif" w:hAnsi="Times New Roman;Times;serif"/>
          <w:sz w:val="17"/>
        </w:rPr>
        <w:t xml:space="preserve">There were no options granted during the three and nine months periods ended July 31, 2006 and July 31, 2005.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Black-Scholes-Merton and binomial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second quarter of fiscal 2006, we examined our California avocados and international avocados and perishable food products reporting segments. We concluded that these two reporting segments have similar economic characteristics, production processes, customers and distribution methods. Therefore, in accordance with the aggregation criteria of FASB Statement No. 131, </w:t>
      </w:r>
      <w:r>
        <w:rPr>
          <w:rFonts w:ascii="Times New Roman;Times;serif" w:hAnsi="Times New Roman;Times;serif"/>
          <w:i/>
          <w:sz w:val="17"/>
        </w:rPr>
        <w:t>Disclosures about Segments of an Enterprise and Related Information</w:t>
      </w:r>
      <w:r>
        <w:rPr>
          <w:rFonts w:ascii="Times New Roman;Times;serif" w:hAnsi="Times New Roman;Times;serif"/>
          <w:sz w:val="17"/>
        </w:rPr>
        <w:t xml:space="preserve">, we combined these two operating segments into one reportable segment, fresh products. As a result, we now report our operations in two different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and other income, net are no longer charged directly, nor allocated to, a specific product line. These items are now evaluated by our president only in aggregate. We do not allocate assets, or specifically identify them to, our operating segments. Prior period amounts have been reclassified to conform to the current period presentation. </w:t>
      </w:r>
    </w:p>
    <w:tbl>
      <w:tblPr>
        <w:tblW w:w="5000" w:type="pct"/>
        <w:jc w:val="center"/>
        <w:tblInd w:w="0" w:type="dxa"/>
        <w:tblCellMar>
          <w:top w:w="0" w:type="dxa"/>
          <w:left w:w="0" w:type="dxa"/>
          <w:bottom w:w="0" w:type="dxa"/>
          <w:right w:w="0" w:type="dxa"/>
        </w:tblCellMar>
      </w:tblPr>
      <w:tblGrid>
        <w:gridCol w:w="3620"/>
        <w:gridCol w:w="350"/>
        <w:gridCol w:w="166"/>
        <w:gridCol w:w="907"/>
        <w:gridCol w:w="106"/>
        <w:gridCol w:w="350"/>
        <w:gridCol w:w="192"/>
        <w:gridCol w:w="945"/>
        <w:gridCol w:w="106"/>
        <w:gridCol w:w="350"/>
        <w:gridCol w:w="228"/>
        <w:gridCol w:w="1213"/>
        <w:gridCol w:w="132"/>
        <w:gridCol w:w="350"/>
        <w:gridCol w:w="166"/>
        <w:gridCol w:w="907"/>
        <w:gridCol w:w="117"/>
      </w:tblGrid>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118" w:type="dxa"/>
            <w:gridSpan w:val="14"/>
            <w:tcBorders/>
            <w:shd w:fill="auto" w:val="clear"/>
            <w:vAlign w:val="bottom"/>
          </w:tcPr>
          <w:p>
            <w:pPr>
              <w:pStyle w:val="TableContents"/>
              <w:spacing w:before="0" w:after="283"/>
              <w:jc w:val="center"/>
              <w:rPr>
                <w:b/>
              </w:rPr>
            </w:pPr>
            <w:r>
              <w:rPr>
                <w:b/>
              </w:rPr>
              <w:t>(All amounts are presented in thousands)</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Nine months ended July 31, 2006</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Net sales</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177,035</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31,916</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13" w:type="dxa"/>
            <w:tcBorders/>
            <w:shd w:fill="auto" w:val="clear"/>
            <w:vAlign w:val="bottom"/>
          </w:tcPr>
          <w:p>
            <w:pPr>
              <w:pStyle w:val="TableContents"/>
              <w:spacing w:before="0" w:after="283"/>
              <w:jc w:val="right"/>
              <w:rPr/>
            </w:pPr>
            <w:r>
              <w:rPr/>
              <w:t>(11,921</w:t>
            </w:r>
          </w:p>
        </w:tc>
        <w:tc>
          <w:tcPr>
            <w:tcW w:w="132"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197,030</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Cost of sales</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162,527</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24,137</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13" w:type="dxa"/>
            <w:tcBorders/>
            <w:shd w:fill="CCEEFF" w:val="clear"/>
            <w:vAlign w:val="bottom"/>
          </w:tcPr>
          <w:p>
            <w:pPr>
              <w:pStyle w:val="TableContents"/>
              <w:spacing w:before="0" w:after="283"/>
              <w:jc w:val="right"/>
              <w:rPr/>
            </w:pPr>
            <w:r>
              <w:rPr/>
              <w:t>(11,921</w:t>
            </w:r>
          </w:p>
        </w:tc>
        <w:tc>
          <w:tcPr>
            <w:tcW w:w="132"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174,743</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Gross margin</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14,508</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7,779</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22,287</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20"/>
        <w:gridCol w:w="350"/>
        <w:gridCol w:w="166"/>
        <w:gridCol w:w="907"/>
        <w:gridCol w:w="106"/>
        <w:gridCol w:w="350"/>
        <w:gridCol w:w="192"/>
        <w:gridCol w:w="945"/>
        <w:gridCol w:w="106"/>
        <w:gridCol w:w="350"/>
        <w:gridCol w:w="228"/>
        <w:gridCol w:w="1213"/>
        <w:gridCol w:w="132"/>
        <w:gridCol w:w="350"/>
        <w:gridCol w:w="166"/>
        <w:gridCol w:w="907"/>
        <w:gridCol w:w="117"/>
      </w:tblGrid>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118" w:type="dxa"/>
            <w:gridSpan w:val="14"/>
            <w:tcBorders/>
            <w:shd w:fill="auto" w:val="clear"/>
            <w:vAlign w:val="bottom"/>
          </w:tcPr>
          <w:p>
            <w:pPr>
              <w:pStyle w:val="TableContents"/>
              <w:spacing w:before="0" w:after="283"/>
              <w:jc w:val="center"/>
              <w:rPr>
                <w:b/>
              </w:rPr>
            </w:pPr>
            <w:r>
              <w:rPr>
                <w:b/>
              </w:rPr>
              <w:t>(All amounts are presented in thousands)</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Nine months ended July 31, 2005</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Net sales</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187,321</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25,645</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13" w:type="dxa"/>
            <w:tcBorders/>
            <w:shd w:fill="auto" w:val="clear"/>
            <w:vAlign w:val="bottom"/>
          </w:tcPr>
          <w:p>
            <w:pPr>
              <w:pStyle w:val="TableContents"/>
              <w:spacing w:before="0" w:after="283"/>
              <w:jc w:val="right"/>
              <w:rPr/>
            </w:pPr>
            <w:r>
              <w:rPr/>
              <w:t>(16,390</w:t>
            </w:r>
          </w:p>
        </w:tc>
        <w:tc>
          <w:tcPr>
            <w:tcW w:w="132"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196,576</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Cost of sales</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173,147</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22,418</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13" w:type="dxa"/>
            <w:tcBorders/>
            <w:shd w:fill="CCEEFF" w:val="clear"/>
            <w:vAlign w:val="bottom"/>
          </w:tcPr>
          <w:p>
            <w:pPr>
              <w:pStyle w:val="TableContents"/>
              <w:spacing w:before="0" w:after="283"/>
              <w:jc w:val="right"/>
              <w:rPr/>
            </w:pPr>
            <w:r>
              <w:rPr/>
              <w:t>(16,390</w:t>
            </w:r>
          </w:p>
        </w:tc>
        <w:tc>
          <w:tcPr>
            <w:tcW w:w="132"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179,075</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Gross margin</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14,174</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3,327</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17,501</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3"/>
        <w:gridCol w:w="351"/>
        <w:gridCol w:w="183"/>
        <w:gridCol w:w="903"/>
        <w:gridCol w:w="107"/>
        <w:gridCol w:w="351"/>
        <w:gridCol w:w="195"/>
        <w:gridCol w:w="960"/>
        <w:gridCol w:w="107"/>
        <w:gridCol w:w="351"/>
        <w:gridCol w:w="259"/>
        <w:gridCol w:w="1207"/>
        <w:gridCol w:w="134"/>
        <w:gridCol w:w="351"/>
        <w:gridCol w:w="168"/>
        <w:gridCol w:w="829"/>
        <w:gridCol w:w="116"/>
      </w:tblGrid>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b/>
              </w:rPr>
            </w:pPr>
            <w:r>
              <w:rPr>
                <w:b/>
              </w:rPr>
              <w:t>Fresh</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jc w:val="center"/>
              <w:rPr>
                <w:b/>
              </w:rPr>
            </w:pPr>
            <w:r>
              <w:rPr>
                <w:b/>
              </w:rPr>
              <w:t>Processed</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Inter-segment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105" w:type="dxa"/>
            <w:gridSpan w:val="14"/>
            <w:tcBorders/>
            <w:shd w:fill="auto" w:val="clear"/>
            <w:vAlign w:val="bottom"/>
          </w:tcPr>
          <w:p>
            <w:pPr>
              <w:pStyle w:val="TableContents"/>
              <w:spacing w:before="0" w:after="283"/>
              <w:jc w:val="center"/>
              <w:rPr>
                <w:b/>
              </w:rPr>
            </w:pPr>
            <w:r>
              <w:rPr>
                <w:b/>
              </w:rPr>
              <w:t>(All amounts are presented in thousands)</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b/>
              </w:rPr>
            </w:pPr>
            <w:r>
              <w:rPr>
                <w:b/>
              </w:rPr>
              <w:t>Three months ended July 31, 2006</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Net sales</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70,071</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11,924</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207" w:type="dxa"/>
            <w:tcBorders/>
            <w:shd w:fill="auto" w:val="clear"/>
            <w:vAlign w:val="bottom"/>
          </w:tcPr>
          <w:p>
            <w:pPr>
              <w:pStyle w:val="TableContents"/>
              <w:spacing w:before="0" w:after="283"/>
              <w:jc w:val="right"/>
              <w:rPr/>
            </w:pPr>
            <w:r>
              <w:rPr/>
              <w:t>(3,041</w:t>
            </w:r>
          </w:p>
        </w:tc>
        <w:tc>
          <w:tcPr>
            <w:tcW w:w="134"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78,954</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Cost of sales</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62,744</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9,035</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pPr>
            <w:r>
              <w:rPr/>
              <w:t>(3,041</w:t>
            </w:r>
          </w:p>
        </w:tc>
        <w:tc>
          <w:tcPr>
            <w:tcW w:w="134"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68,738</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Gross margin</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7,327</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2,889</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10,216</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3"/>
        <w:gridCol w:w="351"/>
        <w:gridCol w:w="183"/>
        <w:gridCol w:w="903"/>
        <w:gridCol w:w="107"/>
        <w:gridCol w:w="351"/>
        <w:gridCol w:w="195"/>
        <w:gridCol w:w="960"/>
        <w:gridCol w:w="107"/>
        <w:gridCol w:w="351"/>
        <w:gridCol w:w="259"/>
        <w:gridCol w:w="1207"/>
        <w:gridCol w:w="134"/>
        <w:gridCol w:w="351"/>
        <w:gridCol w:w="168"/>
        <w:gridCol w:w="829"/>
        <w:gridCol w:w="116"/>
      </w:tblGrid>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b/>
              </w:rPr>
            </w:pPr>
            <w:r>
              <w:rPr>
                <w:b/>
              </w:rPr>
              <w:t>Fresh</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jc w:val="center"/>
              <w:rPr>
                <w:b/>
              </w:rPr>
            </w:pPr>
            <w:r>
              <w:rPr>
                <w:b/>
              </w:rPr>
              <w:t>Processed</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Inter-segment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105" w:type="dxa"/>
            <w:gridSpan w:val="14"/>
            <w:tcBorders/>
            <w:shd w:fill="auto" w:val="clear"/>
            <w:vAlign w:val="bottom"/>
          </w:tcPr>
          <w:p>
            <w:pPr>
              <w:pStyle w:val="TableContents"/>
              <w:spacing w:before="0" w:after="283"/>
              <w:jc w:val="center"/>
              <w:rPr>
                <w:b/>
              </w:rPr>
            </w:pPr>
            <w:r>
              <w:rPr>
                <w:b/>
              </w:rPr>
              <w:t>(All amounts are presented in thousands)</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b/>
              </w:rPr>
            </w:pPr>
            <w:r>
              <w:rPr>
                <w:b/>
              </w:rPr>
              <w:t>Three months ended July 31, 2005</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Net sales</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84,738</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10,188</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207" w:type="dxa"/>
            <w:tcBorders/>
            <w:shd w:fill="auto" w:val="clear"/>
            <w:vAlign w:val="bottom"/>
          </w:tcPr>
          <w:p>
            <w:pPr>
              <w:pStyle w:val="TableContents"/>
              <w:spacing w:before="0" w:after="283"/>
              <w:jc w:val="right"/>
              <w:rPr/>
            </w:pPr>
            <w:r>
              <w:rPr/>
              <w:t>(6,227</w:t>
            </w:r>
          </w:p>
        </w:tc>
        <w:tc>
          <w:tcPr>
            <w:tcW w:w="134"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88,699</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Cost of sales</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76,833</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8,899</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pPr>
            <w:r>
              <w:rPr/>
              <w:t>(6,227</w:t>
            </w:r>
          </w:p>
        </w:tc>
        <w:tc>
          <w:tcPr>
            <w:tcW w:w="134"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79,505</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Gross margin</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7,905</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1,289</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9,194</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5000" w:type="pct"/>
        <w:jc w:val="center"/>
        <w:tblInd w:w="0" w:type="dxa"/>
        <w:tblCellMar>
          <w:top w:w="0" w:type="dxa"/>
          <w:left w:w="0" w:type="dxa"/>
          <w:bottom w:w="0" w:type="dxa"/>
          <w:right w:w="0" w:type="dxa"/>
        </w:tblCellMar>
      </w:tblPr>
      <w:tblGrid>
        <w:gridCol w:w="1842"/>
        <w:gridCol w:w="217"/>
        <w:gridCol w:w="161"/>
        <w:gridCol w:w="900"/>
        <w:gridCol w:w="120"/>
        <w:gridCol w:w="223"/>
        <w:gridCol w:w="175"/>
        <w:gridCol w:w="861"/>
        <w:gridCol w:w="120"/>
        <w:gridCol w:w="223"/>
        <w:gridCol w:w="161"/>
        <w:gridCol w:w="902"/>
        <w:gridCol w:w="111"/>
        <w:gridCol w:w="217"/>
        <w:gridCol w:w="161"/>
        <w:gridCol w:w="900"/>
        <w:gridCol w:w="120"/>
        <w:gridCol w:w="223"/>
        <w:gridCol w:w="175"/>
        <w:gridCol w:w="861"/>
        <w:gridCol w:w="120"/>
        <w:gridCol w:w="223"/>
        <w:gridCol w:w="160"/>
        <w:gridCol w:w="903"/>
        <w:gridCol w:w="126"/>
      </w:tblGrid>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84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2006</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84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2005</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shd w:fill="auto" w:val="clear"/>
            <w:vAlign w:val="bottom"/>
          </w:tcPr>
          <w:p>
            <w:pPr>
              <w:pStyle w:val="TableContents"/>
              <w:spacing w:before="0" w:after="283"/>
              <w:jc w:val="center"/>
              <w:rPr>
                <w:b/>
              </w:rPr>
            </w:pPr>
            <w:r>
              <w:rPr>
                <w:b/>
              </w:rPr>
              <w:t>Fresh</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b/>
              </w:rPr>
            </w:pPr>
            <w:r>
              <w:rPr>
                <w:b/>
              </w:rPr>
              <w:t>Processed</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shd w:fill="auto" w:val="clear"/>
            <w:vAlign w:val="bottom"/>
          </w:tcPr>
          <w:p>
            <w:pPr>
              <w:pStyle w:val="TableContents"/>
              <w:spacing w:before="0" w:after="283"/>
              <w:jc w:val="center"/>
              <w:rPr>
                <w:b/>
              </w:rPr>
            </w:pPr>
            <w:r>
              <w:rPr>
                <w:b/>
              </w:rPr>
              <w:t>Fresh</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b/>
              </w:rPr>
            </w:pPr>
            <w:r>
              <w:rPr>
                <w:b/>
              </w:rPr>
              <w:t>Processed</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Third-party sales: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California avocados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96,429</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2" w:type="dxa"/>
            <w:tcBorders/>
            <w:shd w:fill="auto" w:val="clear"/>
            <w:vAlign w:val="bottom"/>
          </w:tcPr>
          <w:p>
            <w:pPr>
              <w:pStyle w:val="TableContents"/>
              <w:spacing w:before="0" w:after="283"/>
              <w:jc w:val="right"/>
              <w:rPr/>
            </w:pPr>
            <w:r>
              <w:rPr/>
              <w:t>96,429</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84,775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84,775</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Imported avocados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39,919</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39,919</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56,072</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56,072</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Papayas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3,705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3,705</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5,040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5,040</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Specialties and Tropicals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7,315</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7,315</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11,580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11,580</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Processed  food service</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24,923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24,923</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20,527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20,527</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Processed  retail and club</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7,840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7,840</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4,856</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4,856</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fruit and product sales to third-parties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147,368</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32,763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180,131</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157,467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25,383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182,850</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Freight and other charges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22,306</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464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22,770</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18,423</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134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18,557</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third-party sales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169,674</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33,227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202,901</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175,890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25,517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201,407</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Less sales incentives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(49</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(5,822</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2" w:type="dxa"/>
            <w:tcBorders/>
            <w:shd w:fill="CCEEFF" w:val="clear"/>
            <w:vAlign w:val="bottom"/>
          </w:tcPr>
          <w:p>
            <w:pPr>
              <w:pStyle w:val="TableContents"/>
              <w:spacing w:before="0" w:after="283"/>
              <w:jc w:val="right"/>
              <w:rPr/>
            </w:pPr>
            <w:r>
              <w:rPr/>
              <w:t>(5,871</w:t>
            </w:r>
          </w:p>
        </w:tc>
        <w:tc>
          <w:tcPr>
            <w:tcW w:w="111" w:type="dxa"/>
            <w:tcBorders/>
            <w:shd w:fill="CCEEFF" w:val="clear"/>
            <w:vAlign w:val="bottom"/>
          </w:tcPr>
          <w:p>
            <w:pPr>
              <w:pStyle w:val="TableContents"/>
              <w:spacing w:before="0" w:after="283"/>
              <w:rPr/>
            </w:pPr>
            <w:r>
              <w:rPr/>
              <w:t>)</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(83</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(4,748</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(4,831</w:t>
            </w:r>
          </w:p>
        </w:tc>
        <w:tc>
          <w:tcPr>
            <w:tcW w:w="126" w:type="dxa"/>
            <w:tcBorders/>
            <w:shd w:fill="CCEEFF" w:val="clear"/>
            <w:vAlign w:val="bottom"/>
          </w:tcPr>
          <w:p>
            <w:pPr>
              <w:pStyle w:val="TableContents"/>
              <w:spacing w:before="0" w:after="283"/>
              <w:rPr/>
            </w:pPr>
            <w:r>
              <w:rPr/>
              <w:t>)</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net sales to third-parties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169,625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27,405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197,030</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175,807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20,769</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196,576</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Intercompany sales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7,410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4,511</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11,921</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11,514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4,876</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16,390</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Net sales before eliminations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177,035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31,916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208,951</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187,321</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25,645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212,966</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90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Intercompany sales eliminations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2" w:type="dxa"/>
            <w:tcBorders/>
            <w:shd w:fill="CCEEFF" w:val="clear"/>
            <w:vAlign w:val="bottom"/>
          </w:tcPr>
          <w:p>
            <w:pPr>
              <w:pStyle w:val="TableContents"/>
              <w:spacing w:before="0" w:after="283"/>
              <w:jc w:val="right"/>
              <w:rPr/>
            </w:pPr>
            <w:r>
              <w:rPr/>
              <w:t>(11,921</w:t>
            </w:r>
          </w:p>
        </w:tc>
        <w:tc>
          <w:tcPr>
            <w:tcW w:w="111" w:type="dxa"/>
            <w:tcBorders/>
            <w:shd w:fill="CCEEFF" w:val="clear"/>
            <w:vAlign w:val="bottom"/>
          </w:tcPr>
          <w:p>
            <w:pPr>
              <w:pStyle w:val="TableContents"/>
              <w:spacing w:before="0" w:after="283"/>
              <w:rPr/>
            </w:pPr>
            <w:r>
              <w:rPr/>
              <w:t>)</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(16,390</w:t>
            </w:r>
          </w:p>
        </w:tc>
        <w:tc>
          <w:tcPr>
            <w:tcW w:w="126" w:type="dxa"/>
            <w:tcBorders/>
            <w:shd w:fill="CCEEFF" w:val="clear"/>
            <w:vAlign w:val="bottom"/>
          </w:tcPr>
          <w:p>
            <w:pPr>
              <w:pStyle w:val="TableContents"/>
              <w:spacing w:before="0" w:after="283"/>
              <w:rPr/>
            </w:pPr>
            <w:r>
              <w:rPr/>
              <w:t>)</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Consolidated net sales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2" w:type="dxa"/>
            <w:tcBorders/>
            <w:shd w:fill="auto" w:val="clear"/>
            <w:vAlign w:val="bottom"/>
          </w:tcPr>
          <w:p>
            <w:pPr>
              <w:pStyle w:val="TableContents"/>
              <w:spacing w:before="0" w:after="283"/>
              <w:jc w:val="right"/>
              <w:rPr/>
            </w:pPr>
            <w:r>
              <w:rPr/>
              <w:t>197,030</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196,576</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828"/>
        <w:gridCol w:w="215"/>
        <w:gridCol w:w="177"/>
        <w:gridCol w:w="868"/>
        <w:gridCol w:w="130"/>
        <w:gridCol w:w="228"/>
        <w:gridCol w:w="177"/>
        <w:gridCol w:w="868"/>
        <w:gridCol w:w="130"/>
        <w:gridCol w:w="228"/>
        <w:gridCol w:w="177"/>
        <w:gridCol w:w="873"/>
        <w:gridCol w:w="110"/>
        <w:gridCol w:w="214"/>
        <w:gridCol w:w="177"/>
        <w:gridCol w:w="868"/>
        <w:gridCol w:w="130"/>
        <w:gridCol w:w="228"/>
        <w:gridCol w:w="177"/>
        <w:gridCol w:w="868"/>
        <w:gridCol w:w="130"/>
        <w:gridCol w:w="228"/>
        <w:gridCol w:w="177"/>
        <w:gridCol w:w="873"/>
        <w:gridCol w:w="126"/>
      </w:tblGrid>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8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2006</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2005</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Fresh</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Processed</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Fresh</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Processed</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Third-party sales: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California avocados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51,722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51,722</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54,700</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54,700</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Imported avocados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4,919</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4,919</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14,036</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14,036</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Papayas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1,114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1,114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1,617</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1,617</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Specialties and Tropicals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2,273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2,273</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3,096</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3,096</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Processed  food service</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9,224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9,224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7,773</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7,773</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Processed  retail and club</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3,163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3,163</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2,116</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2,116</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fruit and product sales to third-parties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60,028</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12,387</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72,415</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73,449</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9,889</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83,338</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Freight and other charges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8,633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178</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8,811</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6,887</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116</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7,003</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third-party sales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68,661</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12,565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81,226</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80,336</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10,005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90,341</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Less sales incentives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(9</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(2,263</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(2,272</w:t>
            </w:r>
          </w:p>
        </w:tc>
        <w:tc>
          <w:tcPr>
            <w:tcW w:w="110"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(42</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(1,600</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(1,642</w:t>
            </w:r>
          </w:p>
        </w:tc>
        <w:tc>
          <w:tcPr>
            <w:tcW w:w="126" w:type="dxa"/>
            <w:tcBorders/>
            <w:shd w:fill="CCEEFF" w:val="clear"/>
            <w:vAlign w:val="bottom"/>
          </w:tcPr>
          <w:p>
            <w:pPr>
              <w:pStyle w:val="TableContents"/>
              <w:spacing w:before="0" w:after="283"/>
              <w:rPr/>
            </w:pPr>
            <w:r>
              <w:rPr/>
              <w:t>)</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net sales to third-parties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68,652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10,302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78,954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80,294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8,405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88,699</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Intercompany sales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1,419</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1,622</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3,041</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4,444</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1,783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6,227</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Net sales before eliminations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70,071</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11,924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81,995</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84,738</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10,188</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94,926</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Intercompany sales eliminations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(3,041</w:t>
            </w:r>
          </w:p>
        </w:tc>
        <w:tc>
          <w:tcPr>
            <w:tcW w:w="110"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(6,227</w:t>
            </w:r>
          </w:p>
        </w:tc>
        <w:tc>
          <w:tcPr>
            <w:tcW w:w="126" w:type="dxa"/>
            <w:tcBorders/>
            <w:shd w:fill="CCEEFF" w:val="clear"/>
            <w:vAlign w:val="bottom"/>
          </w:tcPr>
          <w:p>
            <w:pPr>
              <w:pStyle w:val="TableContents"/>
              <w:spacing w:before="0" w:after="283"/>
              <w:rPr/>
            </w:pPr>
            <w:r>
              <w:rPr/>
              <w:t>)</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Consolidated net sales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78,954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88,699</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851"/>
        <w:gridCol w:w="453"/>
        <w:gridCol w:w="166"/>
        <w:gridCol w:w="822"/>
        <w:gridCol w:w="119"/>
        <w:gridCol w:w="453"/>
        <w:gridCol w:w="205"/>
        <w:gridCol w:w="1012"/>
        <w:gridCol w:w="124"/>
      </w:tblGrid>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b/>
              </w:rPr>
            </w:pPr>
            <w:r>
              <w:rPr>
                <w:b/>
              </w:rPr>
              <w:t>July 31,</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jc w:val="center"/>
              <w:rPr>
                <w:b/>
              </w:rPr>
            </w:pPr>
            <w:r>
              <w:rPr>
                <w:b/>
              </w:rPr>
              <w:t>October 31,</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Fresh fruit</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5,298</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3,525</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Packing supplies and ingredients</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2,406</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2,015</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Finished processed foods</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3,039</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4,556</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10,743</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10,096</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and nine month periods ended July 31, 2006 and 2005, we were not required to, and did not, record any provisions to reduce our inventories to the lower of cost or market.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$3,705,000, and $5,040,000 for the nine months ended July 31, 2006 and 2005, resulting in gross margins of approximately $311,000 and $424,000. Sales of papayas procured from the related entity amounted to approximately $1,114,000, and $1,617,000 for the three months ended July 31, 2006 and 2005, resulting in gross margins of approximately $108,000 and $175,000. Included in accrued liabilities are approximately $301,000 and $79,000 at July 31, 2006 and October 31, 2005 due to this entity.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nine months ended July 31, 2006 and 2005, the aggregate amount of avocados procured from entities owned or controlled by members of our Board of Directors was $12.4 million and $6.3 million. During the three months ended July 31, 2006 and 2005, the aggregate amount of avocados procured from entities owned or controlled by members of our Board of Directors was $6.2 million and $4.2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Included in other assets in the accompanying consolidated condensed financial statements are the following intangible assets: customer-related intangibles of $590,000 (accumulated amortization of $295,000 at July 31, 2006), brand name intangibles of $275,000 and other identified intangibles totaling $2,000 (accumulated amortization of $2,000 at July 31, 2006). The customer-related intangibles are being amortized over five years. The other identified intangibles are fully amortized as of July 31, 2006. The intangible asset related to the brand name currently has an indefinite remaining useful life and, as a result, is not currently subject to amortization. We anticipate recording amortization expense of approximately $29,000 for the remainder of fiscal 2006 and approximately $118,000 per annum for fiscal 2007 through fiscal 2008, with the remaining amortization expense of approximately $30,000 recorded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Stock-Based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2001, our Board of Directors approved two stock-based compensation plans.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Directors Stock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anticipate terminating this plan during the fourth quarter of fiscal 2006. Outstanding options would not be impacted by such termination. </w:t>
      </w:r>
    </w:p>
    <w:p>
      <w:pPr>
        <w:pStyle w:val="TextBody"/>
        <w:spacing w:before="120" w:after="283"/>
        <w:jc w:val="left"/>
        <w:rPr/>
      </w:pPr>
      <w:r>
        <w:rPr/>
        <w:t>     </w:t>
      </w:r>
      <w:r>
        <w:rPr>
          <w:rFonts w:ascii="Times New Roman;Times;serif" w:hAnsi="Times New Roman;Times;serif"/>
          <w:sz w:val="17"/>
        </w:rPr>
        <w:t xml:space="preserve">In January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July 31, 2006 and October 31, 2005.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 three months ended July 31, 2006 and 2005, we recognized approximately $13,000 of compensation expense with respect to these stock option awards. During the nine months ended July 31, 2006 and 2005, we recognized approximately $38,000 of compensation expense with respect to these stock option awards.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per share amounts): </w:t>
      </w:r>
    </w:p>
    <w:tbl>
      <w:tblPr>
        <w:tblW w:w="5000" w:type="pct"/>
        <w:jc w:val="center"/>
        <w:tblInd w:w="0" w:type="dxa"/>
        <w:tblCellMar>
          <w:top w:w="0" w:type="dxa"/>
          <w:left w:w="0" w:type="dxa"/>
          <w:bottom w:w="0" w:type="dxa"/>
          <w:right w:w="0" w:type="dxa"/>
        </w:tblCellMar>
      </w:tblPr>
      <w:tblGrid>
        <w:gridCol w:w="3487"/>
        <w:gridCol w:w="259"/>
        <w:gridCol w:w="274"/>
        <w:gridCol w:w="1689"/>
        <w:gridCol w:w="127"/>
        <w:gridCol w:w="259"/>
        <w:gridCol w:w="465"/>
        <w:gridCol w:w="1540"/>
        <w:gridCol w:w="95"/>
        <w:gridCol w:w="259"/>
        <w:gridCol w:w="418"/>
        <w:gridCol w:w="1230"/>
        <w:gridCol w:w="103"/>
      </w:tblGrid>
      <w:tr>
        <w:trPr/>
        <w:tc>
          <w:tcPr>
            <w:tcW w:w="348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6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48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6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05" w:type="dxa"/>
            <w:gridSpan w:val="2"/>
            <w:tcBorders/>
            <w:shd w:fill="auto" w:val="clear"/>
            <w:vAlign w:val="bottom"/>
          </w:tcPr>
          <w:p>
            <w:pPr>
              <w:pStyle w:val="TableContents"/>
              <w:spacing w:before="0" w:after="283"/>
              <w:jc w:val="center"/>
              <w:rPr>
                <w:b/>
              </w:rPr>
            </w:pPr>
            <w:r>
              <w:rPr>
                <w:b/>
              </w:rPr>
              <w:t>Weighted-Average</w:t>
            </w:r>
          </w:p>
        </w:tc>
        <w:tc>
          <w:tcPr>
            <w:tcW w:w="9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648" w:type="dxa"/>
            <w:gridSpan w:val="2"/>
            <w:tcBorders/>
            <w:shd w:fill="auto" w:val="clear"/>
            <w:vAlign w:val="bottom"/>
          </w:tcPr>
          <w:p>
            <w:pPr>
              <w:pStyle w:val="TableContents"/>
              <w:spacing w:before="0" w:after="283"/>
              <w:jc w:val="center"/>
              <w:rPr>
                <w:b/>
              </w:rPr>
            </w:pPr>
            <w:r>
              <w:rPr>
                <w:b/>
              </w:rPr>
              <w:t>Aggregate</w:t>
            </w:r>
          </w:p>
        </w:tc>
        <w:tc>
          <w:tcPr>
            <w:tcW w:w="103" w:type="dxa"/>
            <w:tcBorders/>
            <w:shd w:fill="auto" w:val="clear"/>
            <w:vAlign w:val="bottom"/>
          </w:tcPr>
          <w:p>
            <w:pPr>
              <w:pStyle w:val="TableContents"/>
              <w:spacing w:before="0" w:after="283"/>
              <w:rPr/>
            </w:pPr>
            <w:r>
              <w:rPr/>
              <w:t> </w:t>
            </w:r>
          </w:p>
        </w:tc>
      </w:tr>
      <w:tr>
        <w:trPr/>
        <w:tc>
          <w:tcPr>
            <w:tcW w:w="348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9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12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9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6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c>
          <w:tcPr>
            <w:tcW w:w="103" w:type="dxa"/>
            <w:tcBorders/>
            <w:shd w:fill="auto" w:val="clear"/>
            <w:vAlign w:val="bottom"/>
          </w:tcPr>
          <w:p>
            <w:pPr>
              <w:pStyle w:val="TableContents"/>
              <w:spacing w:before="0" w:after="283"/>
              <w:rPr/>
            </w:pPr>
            <w:r>
              <w:rPr/>
              <w:t> </w:t>
            </w:r>
          </w:p>
        </w:tc>
      </w:tr>
      <w:tr>
        <w:trPr/>
        <w:tc>
          <w:tcPr>
            <w:tcW w:w="3487" w:type="dxa"/>
            <w:tcBorders/>
            <w:shd w:fill="CCEEFF" w:val="clear"/>
            <w:vAlign w:val="bottom"/>
          </w:tcPr>
          <w:p>
            <w:pPr>
              <w:pStyle w:val="TableContents"/>
              <w:spacing w:before="0" w:after="0"/>
              <w:ind w:left="225" w:right="0" w:hanging="225"/>
              <w:rPr/>
            </w:pPr>
            <w:r>
              <w:rPr/>
              <w:t>Outstanding at October 31, 2005</w:t>
            </w:r>
          </w:p>
        </w:tc>
        <w:tc>
          <w:tcPr>
            <w:tcW w:w="25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689" w:type="dxa"/>
            <w:tcBorders/>
            <w:shd w:fill="CCEEFF" w:val="clear"/>
            <w:vAlign w:val="bottom"/>
          </w:tcPr>
          <w:p>
            <w:pPr>
              <w:pStyle w:val="TableContents"/>
              <w:spacing w:before="0" w:after="283"/>
              <w:jc w:val="right"/>
              <w:rPr/>
            </w:pPr>
            <w:r>
              <w:rPr/>
              <w:t>100</w:t>
            </w:r>
          </w:p>
        </w:tc>
        <w:tc>
          <w:tcPr>
            <w:tcW w:w="12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jc w:val="left"/>
              <w:rPr/>
            </w:pPr>
            <w:r>
              <w:rPr/>
              <w:t>$</w:t>
            </w:r>
          </w:p>
        </w:tc>
        <w:tc>
          <w:tcPr>
            <w:tcW w:w="1540" w:type="dxa"/>
            <w:tcBorders/>
            <w:shd w:fill="CCEEFF" w:val="clear"/>
            <w:vAlign w:val="bottom"/>
          </w:tcPr>
          <w:p>
            <w:pPr>
              <w:pStyle w:val="TableContents"/>
              <w:spacing w:before="0" w:after="283"/>
              <w:jc w:val="right"/>
              <w:rPr/>
            </w:pPr>
            <w:r>
              <w:rPr/>
              <w:t>6.00</w:t>
            </w:r>
          </w:p>
        </w:tc>
        <w:tc>
          <w:tcPr>
            <w:tcW w:w="9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3487" w:type="dxa"/>
            <w:tcBorders/>
            <w:shd w:fill="auto" w:val="clear"/>
            <w:vAlign w:val="bottom"/>
          </w:tcPr>
          <w:p>
            <w:pPr>
              <w:pStyle w:val="TableContents"/>
              <w:spacing w:before="0" w:after="0"/>
              <w:ind w:left="225" w:right="0" w:hanging="225"/>
              <w:rPr/>
            </w:pPr>
            <w:r>
              <w:rPr/>
              <w:t>Exercised</w:t>
            </w:r>
          </w:p>
        </w:tc>
        <w:tc>
          <w:tcPr>
            <w:tcW w:w="25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left"/>
              <w:rPr/>
            </w:pPr>
            <w:r>
              <w:rPr/>
              <w:t> </w:t>
            </w:r>
          </w:p>
        </w:tc>
        <w:tc>
          <w:tcPr>
            <w:tcW w:w="1689" w:type="dxa"/>
            <w:tcBorders/>
            <w:shd w:fill="auto" w:val="clear"/>
            <w:vAlign w:val="bottom"/>
          </w:tcPr>
          <w:p>
            <w:pPr>
              <w:pStyle w:val="TableContents"/>
              <w:spacing w:before="0" w:after="283"/>
              <w:jc w:val="right"/>
              <w:rPr/>
            </w:pPr>
            <w:r>
              <w:rPr/>
              <w:t>(50</w:t>
            </w:r>
          </w:p>
        </w:tc>
        <w:tc>
          <w:tcPr>
            <w:tcW w:w="127"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left"/>
              <w:rPr/>
            </w:pPr>
            <w:r>
              <w:rPr/>
              <w:t>$</w:t>
            </w:r>
          </w:p>
        </w:tc>
        <w:tc>
          <w:tcPr>
            <w:tcW w:w="1540" w:type="dxa"/>
            <w:tcBorders/>
            <w:shd w:fill="auto" w:val="clear"/>
            <w:vAlign w:val="bottom"/>
          </w:tcPr>
          <w:p>
            <w:pPr>
              <w:pStyle w:val="TableContents"/>
              <w:spacing w:before="0" w:after="283"/>
              <w:jc w:val="right"/>
              <w:rPr/>
            </w:pPr>
            <w:r>
              <w:rPr/>
              <w:t>5.00</w:t>
            </w:r>
          </w:p>
        </w:tc>
        <w:tc>
          <w:tcPr>
            <w:tcW w:w="9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487"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123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r>
      <w:tr>
        <w:trPr/>
        <w:tc>
          <w:tcPr>
            <w:tcW w:w="3487" w:type="dxa"/>
            <w:tcBorders/>
            <w:shd w:fill="CCEEFF" w:val="clear"/>
            <w:vAlign w:val="bottom"/>
          </w:tcPr>
          <w:p>
            <w:pPr>
              <w:pStyle w:val="TableContents"/>
              <w:spacing w:before="0" w:after="0"/>
              <w:ind w:left="225" w:right="0" w:hanging="225"/>
              <w:rPr/>
            </w:pPr>
            <w:r>
              <w:rPr/>
              <w:t>Outstanding at July 31, 2006</w:t>
            </w:r>
          </w:p>
        </w:tc>
        <w:tc>
          <w:tcPr>
            <w:tcW w:w="25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689" w:type="dxa"/>
            <w:tcBorders/>
            <w:shd w:fill="CCEEFF" w:val="clear"/>
            <w:vAlign w:val="bottom"/>
          </w:tcPr>
          <w:p>
            <w:pPr>
              <w:pStyle w:val="TableContents"/>
              <w:spacing w:before="0" w:after="283"/>
              <w:jc w:val="right"/>
              <w:rPr/>
            </w:pPr>
            <w:r>
              <w:rPr/>
              <w:t>50</w:t>
            </w:r>
          </w:p>
        </w:tc>
        <w:tc>
          <w:tcPr>
            <w:tcW w:w="127"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jc w:val="left"/>
              <w:rPr/>
            </w:pPr>
            <w:r>
              <w:rPr/>
              <w:t>$</w:t>
            </w:r>
          </w:p>
        </w:tc>
        <w:tc>
          <w:tcPr>
            <w:tcW w:w="1540" w:type="dxa"/>
            <w:tcBorders/>
            <w:shd w:fill="CCEEFF" w:val="clear"/>
            <w:vAlign w:val="bottom"/>
          </w:tcPr>
          <w:p>
            <w:pPr>
              <w:pStyle w:val="TableContents"/>
              <w:spacing w:before="0" w:after="283"/>
              <w:jc w:val="right"/>
              <w:rPr/>
            </w:pPr>
            <w:r>
              <w:rPr/>
              <w:t>7.00</w:t>
            </w:r>
          </w:p>
        </w:tc>
        <w:tc>
          <w:tcPr>
            <w:tcW w:w="9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147</w:t>
            </w:r>
          </w:p>
        </w:tc>
        <w:tc>
          <w:tcPr>
            <w:tcW w:w="103" w:type="dxa"/>
            <w:tcBorders/>
            <w:shd w:fill="CCEEFF" w:val="clear"/>
            <w:vAlign w:val="bottom"/>
          </w:tcPr>
          <w:p>
            <w:pPr>
              <w:pStyle w:val="TableContents"/>
              <w:spacing w:before="0" w:after="283"/>
              <w:rPr/>
            </w:pPr>
            <w:r>
              <w:rPr/>
              <w:t> </w:t>
            </w:r>
          </w:p>
        </w:tc>
      </w:tr>
      <w:tr>
        <w:trPr/>
        <w:tc>
          <w:tcPr>
            <w:tcW w:w="3487"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6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r>
        <w:trPr/>
        <w:tc>
          <w:tcPr>
            <w:tcW w:w="3487" w:type="dxa"/>
            <w:tcBorders/>
            <w:shd w:fill="auto" w:val="clear"/>
            <w:vAlign w:val="bottom"/>
          </w:tcPr>
          <w:p>
            <w:pPr>
              <w:pStyle w:val="TableContents"/>
              <w:spacing w:before="0" w:after="0"/>
              <w:ind w:left="225" w:right="0" w:hanging="225"/>
              <w:rPr/>
            </w:pPr>
            <w:r>
              <w:rPr/>
              <w:t>Exercisable at July 31, 2006</w:t>
            </w:r>
          </w:p>
        </w:tc>
        <w:tc>
          <w:tcPr>
            <w:tcW w:w="25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689" w:type="dxa"/>
            <w:tcBorders/>
            <w:shd w:fill="auto" w:val="clear"/>
            <w:vAlign w:val="bottom"/>
          </w:tcPr>
          <w:p>
            <w:pPr>
              <w:pStyle w:val="TableContents"/>
              <w:spacing w:before="0" w:after="283"/>
              <w:jc w:val="right"/>
              <w:rPr/>
            </w:pPr>
            <w:r>
              <w:rPr/>
              <w:t>34</w:t>
            </w:r>
          </w:p>
        </w:tc>
        <w:tc>
          <w:tcPr>
            <w:tcW w:w="127"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left"/>
              <w:rPr/>
            </w:pPr>
            <w:r>
              <w:rPr/>
              <w:t>$</w:t>
            </w:r>
          </w:p>
        </w:tc>
        <w:tc>
          <w:tcPr>
            <w:tcW w:w="1540" w:type="dxa"/>
            <w:tcBorders/>
            <w:shd w:fill="auto" w:val="clear"/>
            <w:vAlign w:val="bottom"/>
          </w:tcPr>
          <w:p>
            <w:pPr>
              <w:pStyle w:val="TableContents"/>
              <w:spacing w:before="0" w:after="283"/>
              <w:jc w:val="right"/>
              <w:rPr/>
            </w:pPr>
            <w:r>
              <w:rPr/>
              <w:t>7.00</w:t>
            </w:r>
          </w:p>
        </w:tc>
        <w:tc>
          <w:tcPr>
            <w:tcW w:w="9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jc w:val="left"/>
              <w:rPr/>
            </w:pPr>
            <w:r>
              <w:rPr/>
              <w:t>$</w:t>
            </w:r>
          </w:p>
        </w:tc>
        <w:tc>
          <w:tcPr>
            <w:tcW w:w="1230" w:type="dxa"/>
            <w:tcBorders/>
            <w:shd w:fill="auto" w:val="clear"/>
            <w:vAlign w:val="bottom"/>
          </w:tcPr>
          <w:p>
            <w:pPr>
              <w:pStyle w:val="TableContents"/>
              <w:spacing w:before="0" w:after="283"/>
              <w:jc w:val="right"/>
              <w:rPr/>
            </w:pPr>
            <w:r>
              <w:rPr/>
              <w:t>100</w:t>
            </w:r>
          </w:p>
        </w:tc>
        <w:tc>
          <w:tcPr>
            <w:tcW w:w="103" w:type="dxa"/>
            <w:tcBorders/>
            <w:shd w:fill="auto" w:val="clear"/>
            <w:vAlign w:val="bottom"/>
          </w:tcPr>
          <w:p>
            <w:pPr>
              <w:pStyle w:val="TableContents"/>
              <w:spacing w:before="0" w:after="283"/>
              <w:rPr/>
            </w:pPr>
            <w:r>
              <w:rPr/>
              <w:t> </w:t>
            </w:r>
          </w:p>
        </w:tc>
      </w:tr>
      <w:tr>
        <w:trPr/>
        <w:tc>
          <w:tcPr>
            <w:tcW w:w="3487"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6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2.39 years and the total intrinsic value of options exercised during the nine months ended July 31, 2006 was $0.1 million. At July 31, 2006, the total unrecognized compensation cost related to such unvested stock options awards was approximately $21,000, which is expected to be recognized over the remaining period of five months. The total fair value of shares vested during the nine months ended July 31, 2006 was approximately $50,000.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Employee Stock Purchase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In March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These awards expired in April 2002, with 84 participating employees electing to purchase approximately 279,000 shares. </w:t>
      </w:r>
    </w:p>
    <w:p>
      <w:pPr>
        <w:pStyle w:val="TextBody"/>
        <w:spacing w:before="120" w:after="283"/>
        <w:jc w:val="left"/>
        <w:rPr/>
      </w:pPr>
      <w:r>
        <w:rPr/>
        <w:t>     </w:t>
      </w:r>
      <w:r>
        <w:rPr>
          <w:rFonts w:ascii="Times New Roman;Times;serif" w:hAnsi="Times New Roman;Times;serif"/>
          <w:sz w:val="17"/>
        </w:rPr>
        <w:t xml:space="preserve">The purchase price was paid by delivery of full-recourse promissory notes with a face value of $1,352,000 and by cash payments of approximately $600,000. These notes and the related security agreements provide, among other things, that each employee pledge as collateral the shares acquired. The notes, which bear interest at 7% per annum, provide for annual interest and principal payments for a period of two to four years. As of July 31, 2006, all outstanding note balances have been paid in full.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2005 Stock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 </w:t>
      </w:r>
    </w:p>
    <w:tbl>
      <w:tblPr>
        <w:tblW w:w="5000" w:type="pct"/>
        <w:jc w:val="left"/>
        <w:tblInd w:w="0" w:type="dxa"/>
        <w:tblCellMar>
          <w:top w:w="0" w:type="dxa"/>
          <w:left w:w="0" w:type="dxa"/>
          <w:bottom w:w="0" w:type="dxa"/>
          <w:right w:w="0" w:type="dxa"/>
        </w:tblCellMar>
      </w:tblPr>
      <w:tblGrid>
        <w:gridCol w:w="208"/>
        <w:gridCol w:w="126"/>
        <w:gridCol w:w="9871"/>
      </w:tblGrid>
      <w:tr>
        <w:trPr/>
        <w:tc>
          <w:tcPr>
            <w:tcW w:w="208"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Incentive stock options that are intended to satisfy the requirements of Section 422 of the Internal Revenue Code of 1986, as amended, and the regulations thereunder;</w:t>
            </w:r>
          </w:p>
        </w:tc>
      </w:tr>
      <w:tr>
        <w:trPr/>
        <w:tc>
          <w:tcPr>
            <w:tcW w:w="208" w:type="dxa"/>
            <w:tcBorders/>
            <w:shd w:fill="auto" w:val="clear"/>
            <w:vAlign w:val="center"/>
          </w:tcPr>
          <w:p>
            <w:pPr>
              <w:pStyle w:val="TableContents"/>
              <w:spacing w:before="0" w:after="283"/>
              <w:rPr/>
            </w:pPr>
            <w:r>
              <w:rPr/>
              <w:t> </w:t>
            </w:r>
          </w:p>
        </w:tc>
        <w:tc>
          <w:tcPr>
            <w:tcW w:w="9997" w:type="dxa"/>
            <w:gridSpan w:val="2"/>
            <w:tcBorders/>
            <w:shd w:fill="auto" w:val="clear"/>
          </w:tcPr>
          <w:p>
            <w:pPr>
              <w:pStyle w:val="TableContents"/>
              <w:spacing w:before="0" w:after="283"/>
              <w:rPr>
                <w:sz w:val="4"/>
                <w:szCs w:val="4"/>
              </w:rPr>
            </w:pPr>
            <w:r>
              <w:rPr>
                <w:sz w:val="4"/>
                <w:szCs w:val="4"/>
              </w:rPr>
            </w:r>
          </w:p>
        </w:tc>
      </w:tr>
      <w:tr>
        <w:trPr/>
        <w:tc>
          <w:tcPr>
            <w:tcW w:w="208"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Non-qualified stock options that are not intended to be incentive stock options; and</w:t>
            </w:r>
          </w:p>
        </w:tc>
      </w:tr>
    </w:tbl>
    <w:tbl>
      <w:tblPr>
        <w:tblW w:w="5000" w:type="pct"/>
        <w:jc w:val="left"/>
        <w:tblInd w:w="0" w:type="dxa"/>
        <w:tblCellMar>
          <w:top w:w="0" w:type="dxa"/>
          <w:left w:w="0" w:type="dxa"/>
          <w:bottom w:w="0" w:type="dxa"/>
          <w:right w:w="0" w:type="dxa"/>
        </w:tblCellMar>
      </w:tblPr>
      <w:tblGrid>
        <w:gridCol w:w="205"/>
        <w:gridCol w:w="128"/>
        <w:gridCol w:w="9872"/>
      </w:tblGrid>
      <w:tr>
        <w:trPr/>
        <w:tc>
          <w:tcPr>
            <w:tcW w:w="205" w:type="dxa"/>
            <w:tcBorders/>
            <w:shd w:fill="auto" w:val="clear"/>
          </w:tcPr>
          <w:p>
            <w:pPr>
              <w:pStyle w:val="TableContents"/>
              <w:spacing w:before="0" w:after="283"/>
              <w:jc w:val="left"/>
              <w:rPr>
                <w:b/>
              </w:rPr>
            </w:pPr>
            <w:r>
              <w:rPr>
                <w:b/>
              </w:rPr>
              <w:t></w:t>
            </w:r>
          </w:p>
        </w:tc>
        <w:tc>
          <w:tcPr>
            <w:tcW w:w="128" w:type="dxa"/>
            <w:tcBorders/>
            <w:shd w:fill="auto" w:val="clear"/>
          </w:tcPr>
          <w:p>
            <w:pPr>
              <w:pStyle w:val="TableContents"/>
              <w:spacing w:before="0" w:after="283"/>
              <w:rPr/>
            </w:pPr>
            <w:r>
              <w:rPr/>
              <w:t> </w:t>
            </w:r>
          </w:p>
        </w:tc>
        <w:tc>
          <w:tcPr>
            <w:tcW w:w="9872" w:type="dxa"/>
            <w:tcBorders/>
            <w:shd w:fill="auto" w:val="clear"/>
          </w:tcPr>
          <w:p>
            <w:pPr>
              <w:pStyle w:val="TableContents"/>
              <w:spacing w:before="0" w:after="283"/>
              <w:rPr/>
            </w:pPr>
            <w:r>
              <w:rPr/>
              <w:t>Shares of common stock that are subject to specified restrictions</w:t>
            </w:r>
          </w:p>
        </w:tc>
      </w:tr>
    </w:tbl>
    <w:p>
      <w:pPr>
        <w:pStyle w:val="TextBody"/>
        <w:spacing w:before="120" w:after="283"/>
        <w:jc w:val="left"/>
        <w:rPr/>
      </w:pPr>
      <w:r>
        <w:rPr/>
        <w:t>     </w:t>
      </w:r>
      <w:r>
        <w:rPr>
          <w:rFonts w:ascii="Times New Roman;Times;serif" w:hAnsi="Times New Roman;Times;serif"/>
          <w:sz w:val="17"/>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jc w:val="left"/>
        <w:rPr/>
      </w:pPr>
      <w:r>
        <w:rPr/>
        <w:t>     </w:t>
      </w:r>
      <w:r>
        <w:rPr>
          <w:rFonts w:ascii="Times New Roman;Times;serif" w:hAnsi="Times New Roman;Times;serif"/>
          <w:sz w:val="17"/>
        </w:rPr>
        <w:t xml:space="preserve">In August 2005, our Board of Directors approved the issuance of options to acquire a total of 400,000 shares of our common stock to various employees of the Company. As discussed in footnote 1, these options vested in August 2006. See footnote 1 for further explanation. These options have an exercise price of $9.10 per share and a term of 5 years from the grant date. The market price of our common stock at the grant date was $9.10. During the nine months ended July 31, 2006, 9,000 options have been forfeited, and the total intrinsic value of options outstanding was $0.3 million.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Joint Venture in Maui Fresh International, LLC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third quarter of fiscal 2006, we entered into a joint venture agreement with San Rafael Distributing (SRD) for the purpose of the wholesale marketing, sale and distribution of fresh produce from the existing location of SRD at the Los Angeles Wholesale Produce Market (Terminal Market), located in Los Angeles, California. Such joint venture operates under the name of Maui Fresh International, LLC (Maui Fresh) and commenced operations in August 2006. SRD and Calavo each have an equal one-half ownership interest in Maui Fresh, but SRD shall have overall management responsibility for the operations of Maui Fresh at the Terminal Market. Therefore, pursuant to APB 18 and EITF 03-16, we believe that our level of economic influence is that of significant. As such, we will use the equity method to account for our investment. </w:t>
      </w:r>
    </w:p>
    <w:p>
      <w:pPr>
        <w:pStyle w:val="TextBody"/>
        <w:spacing w:before="120" w:after="283"/>
        <w:jc w:val="left"/>
        <w:rPr/>
      </w:pPr>
      <w:r>
        <w:rPr/>
        <w:t>     </w:t>
      </w:r>
      <w:r>
        <w:rPr>
          <w:rFonts w:ascii="Times New Roman;Times;serif" w:hAnsi="Times New Roman;Times;serif"/>
          <w:sz w:val="17"/>
        </w:rPr>
        <w:t xml:space="preserve">Contributions of Calavo to Maui Fresh included the following: (1) the licensing of certain trademarks to Maui Fresh, (2) the transfer and assignment of its existing customer accounts at the Terminal Market to Maui Fresh, (3) to provide sufficient staffing, as defined, and (4) to deposit the sum of approximately $0.2 million to provide for the initial working capital for Maui Fresh. </w:t>
      </w:r>
    </w:p>
    <w:p>
      <w:pPr>
        <w:pStyle w:val="TextBody"/>
        <w:spacing w:before="120" w:after="283"/>
        <w:jc w:val="left"/>
        <w:rPr/>
      </w:pPr>
      <w:r>
        <w:rPr/>
        <w:t>     </w:t>
      </w:r>
      <w:r>
        <w:rPr>
          <w:rFonts w:ascii="Times New Roman;Times;serif" w:hAnsi="Times New Roman;Times;serif"/>
          <w:sz w:val="17"/>
        </w:rPr>
        <w:t xml:space="preserve">Contributions of SRD to Maui Fresh included the following: (1) to transfer all property owned by SRD and located on the Terminal Market premises to Maui Fresh, (2) transfer all existing customer accounts at the Terminal Market to Maui Fresh, (3) SRD has overall management responsibility for the operations of Maui Fresh at the Terminal Market, and (4) to provide certain staffing, as defined. </w:t>
      </w:r>
    </w:p>
    <w:p>
      <w:pPr>
        <w:pStyle w:val="TextBody"/>
        <w:spacing w:before="120" w:after="283"/>
        <w:jc w:val="left"/>
        <w:rPr/>
      </w:pPr>
      <w:r>
        <w:rPr/>
        <w:t>     </w:t>
      </w:r>
      <w:r>
        <w:rPr>
          <w:rFonts w:ascii="Times New Roman;Times;serif" w:hAnsi="Times New Roman;Times;serif"/>
          <w:sz w:val="17"/>
        </w:rPr>
        <w:t xml:space="preserve">Commencing on the first anniversary of this agreement and continuing thereafter during the term of the agreement, Calavo shall have the unconditional right, but not the obligation, to purchase the one-half interest in Maui Fresh owned by SRD at a purchase price to be determined pursuant to the agreement. The term of the agreement is for five years, which may be extended, or terminated early, as defined.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8.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In January 2005, we paid a $0.30 per share dividend in the aggregate amount of $4,052,000 to shareholders of record on November 15, 2004.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Grower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Grower Development Program, whereby funds can be advanced to growers in exchange for their commitment to deliver a minimum volume of avocados on an annual basis, which generally extends over a multi-year period (i.e. 10 years), we advanced approximately $1.2 million during the nine months of fiscal 2006. We expect to advance an additional $2.0 million, via debt restructuring, in October 2006. Advances are not repaid and are amortized to cost of goods sold over the term of the related agreement. Amortization related to the advances described above are not expected to commence until October 2006.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July 31, 2006. We pledged our processed products building located in Uruapan, Michoacan, Mexico as collateral to the Hacienda in regards to this assessment.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Management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2006 Management Incentive Plan Program (the MIP Program), we recorded approximately $0.5 million of compensation expense during the nine months ended July 31, 2006. Amounts accrued pursuant to our MIP Program are not expected to be paid until fiscal 2007.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Operating Lease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2006, we entered into an operating lease agreement with Columbia New Jersey Commodore Industrial, LLC to rent approximately 30,000 square feet of building space in Swedesboro, New Jersey. This lease enables us to not only invest in our ProRipeVIPTM avocado ripening program, but also expand our refrigeration and storage capabilities. The lease has a term of approximately 15 years and includes scheduled rent increases. Pursuant to FTB 85-3, our straight-line rent expense for such lease will approximate $13,000 per month for the duration of such lease.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108"/>
      <w:bookmarkEnd w:id="10"/>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2005 of Calavo Growers, Inc. (we, Calavo, or the Company). Certain prior year amounts have been reclassified to conform with the current period presentation.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In January 2005, we paid a $0.30 per share dividend in the aggregate amount of $4,052,000 to shareholders of record on November 15, 2004.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Grower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Grower Development Program, whereby funds can be advanced to growers in exchange for their commitment to deliver a minimum volume of avocados on an annual basis, which generally extends over a multi-year period (i.e. 10 years), we advanced approximately $1.2 million during the nine months of fiscal 2006. We expect to advance an additional $2.0 million, via debt restructuring, in October 2006. Advances are not repaid and are amortized to cost of goods sold over the term of the related agreement. Amortization related to the advances described above are not expected to commence until October 2006.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July 31, 2006. We pledged our processed products building located in Uruapan, Michoacan, Mexico as collateral to the Hacienda in regards to this assessment.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Management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2006 Management Incentive Plan Program (the MIP Program), we recorded approximately $0.5 million of compensation expense during the nine months ended July 31, 2006. Amounts accrued pursuant to our MIP Program are not expected to be paid until fiscal 2007.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Operating Lease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2006, we entered into an operating lease agreement with Columbia New Jersey Commodore Industrial, LLC to rent approximately 30,000 square feet of building space in Swedesboro, New Jersey. This lease enables us to not only invest in our ProRipeVIPTM avocado ripening program, but also expand our refrigeration and storage capabilities. The lease has a term of approximately 15 years and includes scheduled rent increases. Pursuant to FTB 85-3, our straight-line rent expense for such lease will approximate $13,000 per month for the duration of such lease.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Joint Venture in Maui Fresh International, LLC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third quarter of fiscal 2006, we entered into a joint venture agreement with San Rafael Distributing (SRD) for the purpose of the wholesale marketing, sale and distribution of fresh produce from the existing location of SRD at the Los Angeles Wholesale Produce Market (Terminal Market), located in Los Angeles, California. Such joint venture operates under the name of Maui Fresh International, LLC (Maui Fresh) and commenced operations in August 2006. SRD and Calavo each have an equal one-half ownership interest in Maui Fresh, but SRD shall have overall management responsibility for the operations of Maui Fresh at the Terminal Market. Therefore, pursuant to APB 18 and EITF 03-16, we believe that our level of economic influence is that of significant. As such, we will use the equity method to account for our investment. </w:t>
      </w:r>
    </w:p>
    <w:p>
      <w:pPr>
        <w:pStyle w:val="TextBody"/>
        <w:spacing w:before="120" w:after="283"/>
        <w:jc w:val="left"/>
        <w:rPr/>
      </w:pPr>
      <w:r>
        <w:rPr/>
        <w:t>     </w:t>
      </w:r>
      <w:r>
        <w:rPr>
          <w:rFonts w:ascii="Times New Roman;Times;serif" w:hAnsi="Times New Roman;Times;serif"/>
          <w:sz w:val="17"/>
        </w:rPr>
        <w:t xml:space="preserve">Contributions of Calavo to Maui Fresh included the following: (1) the licensing of certain trademarks to Maui Fresh, (2) the transfer and assignment of its existing customer accounts at the Terminal Market to Maui Fresh, (3) to provide sufficient staffing, as defined, and (4) to deposit the sum of approximately $0.2 million to provide for the initial working capital for Maui Fresh. </w:t>
      </w:r>
    </w:p>
    <w:p>
      <w:pPr>
        <w:pStyle w:val="TextBody"/>
        <w:spacing w:before="120" w:after="283"/>
        <w:jc w:val="left"/>
        <w:rPr/>
      </w:pPr>
      <w:r>
        <w:rPr/>
        <w:t>     </w:t>
      </w:r>
      <w:r>
        <w:rPr>
          <w:rFonts w:ascii="Times New Roman;Times;serif" w:hAnsi="Times New Roman;Times;serif"/>
          <w:sz w:val="17"/>
        </w:rPr>
        <w:t xml:space="preserve">Contributions of SRD to Maui Fresh included the following: (1) to transfer all property owned by SRD and located on the Terminal Market premises to Maui Fresh, (2) transfer all existing customer accounts at the Terminal Market to Maui Fresh, (3) SRD has overall management responsibility for the operations of Maui Fresh at the Terminal Market, and (4) to provide certain staffing, as defined. </w:t>
      </w:r>
    </w:p>
    <w:p>
      <w:pPr>
        <w:pStyle w:val="TextBody"/>
        <w:spacing w:before="120" w:after="283"/>
        <w:jc w:val="left"/>
        <w:rPr/>
      </w:pPr>
      <w:r>
        <w:rPr/>
        <w:t>     </w:t>
      </w:r>
      <w:r>
        <w:rPr>
          <w:rFonts w:ascii="Times New Roman;Times;serif" w:hAnsi="Times New Roman;Times;serif"/>
          <w:sz w:val="17"/>
        </w:rPr>
        <w:t xml:space="preserve">Commencing on the first anniversary of this agreement and continuing thereafter during the term of the agreement, Calavo shall have the unconditional right, but not the obligation, to purchase the one-half interest in Maui Fresh owned by SRD at a purchase price to be determined pursuant to the agreement. The term of the agreement is for five years, which may be extended, or terminated early, as defined.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for each of the three and nine month periods ended July 31, 2006 and 2005: </w:t>
      </w:r>
    </w:p>
    <w:tbl>
      <w:tblPr>
        <w:tblW w:w="5000" w:type="pct"/>
        <w:jc w:val="center"/>
        <w:tblInd w:w="0" w:type="dxa"/>
        <w:tblCellMar>
          <w:top w:w="0" w:type="dxa"/>
          <w:left w:w="0" w:type="dxa"/>
          <w:bottom w:w="0" w:type="dxa"/>
          <w:right w:w="0" w:type="dxa"/>
        </w:tblCellMar>
      </w:tblPr>
      <w:tblGrid>
        <w:gridCol w:w="2002"/>
        <w:gridCol w:w="172"/>
        <w:gridCol w:w="158"/>
        <w:gridCol w:w="774"/>
        <w:gridCol w:w="231"/>
        <w:gridCol w:w="174"/>
        <w:gridCol w:w="100"/>
        <w:gridCol w:w="791"/>
        <w:gridCol w:w="303"/>
        <w:gridCol w:w="174"/>
        <w:gridCol w:w="158"/>
        <w:gridCol w:w="778"/>
        <w:gridCol w:w="221"/>
        <w:gridCol w:w="172"/>
        <w:gridCol w:w="152"/>
        <w:gridCol w:w="855"/>
        <w:gridCol w:w="221"/>
        <w:gridCol w:w="172"/>
        <w:gridCol w:w="112"/>
        <w:gridCol w:w="779"/>
        <w:gridCol w:w="291"/>
        <w:gridCol w:w="172"/>
        <w:gridCol w:w="152"/>
        <w:gridCol w:w="855"/>
        <w:gridCol w:w="236"/>
      </w:tblGrid>
      <w:tr>
        <w:trPr/>
        <w:tc>
          <w:tcPr>
            <w:tcW w:w="200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r>
      <w:tr>
        <w:trPr/>
        <w:tc>
          <w:tcPr>
            <w:tcW w:w="200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64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76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6" w:type="dxa"/>
            <w:tcBorders/>
            <w:shd w:fill="auto" w:val="clear"/>
            <w:vAlign w:val="bottom"/>
          </w:tcPr>
          <w:p>
            <w:pPr>
              <w:pStyle w:val="TableContents"/>
              <w:spacing w:before="0" w:after="283"/>
              <w:rPr/>
            </w:pPr>
            <w:r>
              <w:rPr/>
              <w:t> </w:t>
            </w:r>
          </w:p>
        </w:tc>
      </w:tr>
      <w:tr>
        <w:trPr/>
        <w:tc>
          <w:tcPr>
            <w:tcW w:w="2002"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72" w:type="dxa"/>
            <w:tcBorders/>
            <w:shd w:fill="auto" w:val="clear"/>
            <w:vAlign w:val="bottom"/>
          </w:tcPr>
          <w:p>
            <w:pPr>
              <w:pStyle w:val="TableContents"/>
              <w:spacing w:before="0" w:after="283"/>
              <w:rPr/>
            </w:pPr>
            <w:r>
              <w:rPr/>
              <w:t> </w:t>
            </w:r>
          </w:p>
        </w:tc>
        <w:tc>
          <w:tcPr>
            <w:tcW w:w="9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0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6" w:type="dxa"/>
            <w:tcBorders/>
            <w:shd w:fill="auto" w:val="clear"/>
            <w:vAlign w:val="bottom"/>
          </w:tcPr>
          <w:p>
            <w:pPr>
              <w:pStyle w:val="TableContents"/>
              <w:spacing w:before="0" w:after="283"/>
              <w:rPr/>
            </w:pPr>
            <w:r>
              <w:rPr/>
              <w:t> </w:t>
            </w:r>
          </w:p>
        </w:tc>
      </w:tr>
      <w:tr>
        <w:trPr/>
        <w:tc>
          <w:tcPr>
            <w:tcW w:w="2002" w:type="dxa"/>
            <w:tcBorders/>
            <w:shd w:fill="CCEEFF" w:val="clear"/>
            <w:vAlign w:val="bottom"/>
          </w:tcPr>
          <w:p>
            <w:pPr>
              <w:pStyle w:val="TableContents"/>
              <w:spacing w:before="0" w:after="0"/>
              <w:ind w:left="225" w:right="0" w:hanging="225"/>
              <w:rPr/>
            </w:pPr>
            <w:r>
              <w:rPr/>
              <w:t>Net sales to third-parties:</w:t>
            </w:r>
          </w:p>
        </w:tc>
        <w:tc>
          <w:tcPr>
            <w:tcW w:w="1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r>
      <w:tr>
        <w:trPr/>
        <w:tc>
          <w:tcPr>
            <w:tcW w:w="2002" w:type="dxa"/>
            <w:tcBorders/>
            <w:shd w:fill="auto" w:val="clear"/>
            <w:vAlign w:val="bottom"/>
          </w:tcPr>
          <w:p>
            <w:pPr>
              <w:pStyle w:val="TableContents"/>
              <w:spacing w:before="0" w:after="0"/>
              <w:ind w:left="450" w:right="0" w:hanging="225"/>
              <w:rPr/>
            </w:pPr>
            <w:r>
              <w:rPr/>
              <w:t>Fresh products</w:t>
            </w:r>
          </w:p>
        </w:tc>
        <w:tc>
          <w:tcPr>
            <w:tcW w:w="1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68,652</w:t>
            </w:r>
          </w:p>
        </w:tc>
        <w:tc>
          <w:tcPr>
            <w:tcW w:w="2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(14.5</w:t>
            </w:r>
          </w:p>
        </w:tc>
        <w:tc>
          <w:tcPr>
            <w:tcW w:w="303"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8" w:type="dxa"/>
            <w:tcBorders/>
            <w:shd w:fill="auto" w:val="clear"/>
            <w:vAlign w:val="bottom"/>
          </w:tcPr>
          <w:p>
            <w:pPr>
              <w:pStyle w:val="TableContents"/>
              <w:spacing w:before="0" w:after="283"/>
              <w:jc w:val="right"/>
              <w:rPr/>
            </w:pPr>
            <w:r>
              <w:rPr/>
              <w:t>80,294</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169,625</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9" w:type="dxa"/>
            <w:tcBorders/>
            <w:shd w:fill="auto" w:val="clear"/>
            <w:vAlign w:val="bottom"/>
          </w:tcPr>
          <w:p>
            <w:pPr>
              <w:pStyle w:val="TableContents"/>
              <w:spacing w:before="0" w:after="283"/>
              <w:jc w:val="right"/>
              <w:rPr/>
            </w:pPr>
            <w:r>
              <w:rPr/>
              <w:t>(3.5</w:t>
            </w:r>
          </w:p>
        </w:tc>
        <w:tc>
          <w:tcPr>
            <w:tcW w:w="29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175,807</w:t>
            </w:r>
          </w:p>
        </w:tc>
        <w:tc>
          <w:tcPr>
            <w:tcW w:w="236" w:type="dxa"/>
            <w:tcBorders/>
            <w:shd w:fill="auto" w:val="clear"/>
            <w:vAlign w:val="bottom"/>
          </w:tcPr>
          <w:p>
            <w:pPr>
              <w:pStyle w:val="TableContents"/>
              <w:spacing w:before="0" w:after="283"/>
              <w:rPr/>
            </w:pPr>
            <w:r>
              <w:rPr/>
              <w:t> </w:t>
            </w:r>
          </w:p>
        </w:tc>
      </w:tr>
      <w:tr>
        <w:trPr/>
        <w:tc>
          <w:tcPr>
            <w:tcW w:w="2002" w:type="dxa"/>
            <w:tcBorders/>
            <w:shd w:fill="CCEEFF" w:val="clear"/>
            <w:vAlign w:val="bottom"/>
          </w:tcPr>
          <w:p>
            <w:pPr>
              <w:pStyle w:val="TableContents"/>
              <w:spacing w:before="0" w:after="0"/>
              <w:ind w:left="450" w:right="0" w:hanging="225"/>
              <w:rPr/>
            </w:pPr>
            <w:r>
              <w:rPr/>
              <w:t>Processed products</w:t>
            </w:r>
          </w:p>
        </w:tc>
        <w:tc>
          <w:tcPr>
            <w:tcW w:w="1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10,302</w:t>
            </w:r>
          </w:p>
        </w:tc>
        <w:tc>
          <w:tcPr>
            <w:tcW w:w="2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22.6</w:t>
            </w:r>
          </w:p>
        </w:tc>
        <w:tc>
          <w:tcPr>
            <w:tcW w:w="303"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pPr>
            <w:r>
              <w:rPr/>
              <w:t>8,405</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27,405</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283"/>
              <w:jc w:val="right"/>
              <w:rPr/>
            </w:pPr>
            <w:r>
              <w:rPr/>
              <w:t>32.0</w:t>
            </w:r>
          </w:p>
        </w:tc>
        <w:tc>
          <w:tcPr>
            <w:tcW w:w="291"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20,769</w:t>
            </w:r>
          </w:p>
        </w:tc>
        <w:tc>
          <w:tcPr>
            <w:tcW w:w="236" w:type="dxa"/>
            <w:tcBorders/>
            <w:shd w:fill="CCEEFF" w:val="clear"/>
            <w:vAlign w:val="bottom"/>
          </w:tcPr>
          <w:p>
            <w:pPr>
              <w:pStyle w:val="TableContents"/>
              <w:spacing w:before="0" w:after="283"/>
              <w:rPr/>
            </w:pPr>
            <w:r>
              <w:rPr/>
              <w:t> </w:t>
            </w:r>
          </w:p>
        </w:tc>
      </w:tr>
      <w:tr>
        <w:trPr/>
        <w:tc>
          <w:tcPr>
            <w:tcW w:w="2002"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002" w:type="dxa"/>
            <w:tcBorders/>
            <w:shd w:fill="auto" w:val="clear"/>
            <w:vAlign w:val="bottom"/>
          </w:tcPr>
          <w:p>
            <w:pPr>
              <w:pStyle w:val="TableContents"/>
              <w:spacing w:before="0" w:after="0"/>
              <w:ind w:left="675" w:right="0" w:hanging="225"/>
              <w:rPr/>
            </w:pPr>
            <w:r>
              <w:rPr/>
              <w:t>Total net sales</w:t>
            </w:r>
          </w:p>
        </w:tc>
        <w:tc>
          <w:tcPr>
            <w:tcW w:w="1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78,954</w:t>
            </w:r>
          </w:p>
        </w:tc>
        <w:tc>
          <w:tcPr>
            <w:tcW w:w="2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(11.0</w:t>
            </w:r>
          </w:p>
        </w:tc>
        <w:tc>
          <w:tcPr>
            <w:tcW w:w="303"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8" w:type="dxa"/>
            <w:tcBorders/>
            <w:shd w:fill="auto" w:val="clear"/>
            <w:vAlign w:val="bottom"/>
          </w:tcPr>
          <w:p>
            <w:pPr>
              <w:pStyle w:val="TableContents"/>
              <w:spacing w:before="0" w:after="283"/>
              <w:jc w:val="right"/>
              <w:rPr/>
            </w:pPr>
            <w:r>
              <w:rPr/>
              <w:t>88,699</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197,030</w:t>
            </w:r>
          </w:p>
        </w:tc>
        <w:tc>
          <w:tcPr>
            <w:tcW w:w="22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9" w:type="dxa"/>
            <w:tcBorders/>
            <w:shd w:fill="auto" w:val="clear"/>
            <w:vAlign w:val="bottom"/>
          </w:tcPr>
          <w:p>
            <w:pPr>
              <w:pStyle w:val="TableContents"/>
              <w:spacing w:before="0" w:after="283"/>
              <w:jc w:val="right"/>
              <w:rPr/>
            </w:pPr>
            <w:r>
              <w:rPr/>
              <w:t>0.2</w:t>
            </w:r>
          </w:p>
        </w:tc>
        <w:tc>
          <w:tcPr>
            <w:tcW w:w="29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5" w:type="dxa"/>
            <w:tcBorders/>
            <w:shd w:fill="auto" w:val="clear"/>
            <w:vAlign w:val="bottom"/>
          </w:tcPr>
          <w:p>
            <w:pPr>
              <w:pStyle w:val="TableContents"/>
              <w:spacing w:before="0" w:after="283"/>
              <w:jc w:val="right"/>
              <w:rPr/>
            </w:pPr>
            <w:r>
              <w:rPr/>
              <w:t>196,576</w:t>
            </w:r>
          </w:p>
        </w:tc>
        <w:tc>
          <w:tcPr>
            <w:tcW w:w="236" w:type="dxa"/>
            <w:tcBorders/>
            <w:shd w:fill="auto" w:val="clear"/>
            <w:vAlign w:val="bottom"/>
          </w:tcPr>
          <w:p>
            <w:pPr>
              <w:pStyle w:val="TableContents"/>
              <w:spacing w:before="0" w:after="283"/>
              <w:rPr/>
            </w:pPr>
            <w:r>
              <w:rPr/>
              <w:t> </w:t>
            </w:r>
          </w:p>
        </w:tc>
      </w:tr>
      <w:tr>
        <w:trPr/>
        <w:tc>
          <w:tcPr>
            <w:tcW w:w="2002"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002" w:type="dxa"/>
            <w:tcBorders/>
            <w:shd w:fill="CCEEFF" w:val="clear"/>
            <w:vAlign w:val="bottom"/>
          </w:tcPr>
          <w:p>
            <w:pPr>
              <w:pStyle w:val="TableContents"/>
              <w:spacing w:before="0" w:after="0"/>
              <w:ind w:left="225" w:right="0" w:hanging="225"/>
              <w:rPr/>
            </w:pPr>
            <w:r>
              <w:rPr/>
              <w:t>As a percentage of net sales:</w:t>
            </w:r>
          </w:p>
        </w:tc>
        <w:tc>
          <w:tcPr>
            <w:tcW w:w="1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r>
      <w:tr>
        <w:trPr/>
        <w:tc>
          <w:tcPr>
            <w:tcW w:w="2002" w:type="dxa"/>
            <w:tcBorders/>
            <w:shd w:fill="auto" w:val="clear"/>
            <w:vAlign w:val="bottom"/>
          </w:tcPr>
          <w:p>
            <w:pPr>
              <w:pStyle w:val="TableContents"/>
              <w:spacing w:before="0" w:after="0"/>
              <w:ind w:left="450" w:right="0" w:hanging="225"/>
              <w:rPr/>
            </w:pPr>
            <w:r>
              <w:rPr/>
              <w:t>Fresh products</w:t>
            </w:r>
          </w:p>
        </w:tc>
        <w:tc>
          <w:tcPr>
            <w:tcW w:w="1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87.0</w:t>
            </w:r>
          </w:p>
        </w:tc>
        <w:tc>
          <w:tcPr>
            <w:tcW w:w="23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8" w:type="dxa"/>
            <w:tcBorders/>
            <w:shd w:fill="auto" w:val="clear"/>
            <w:vAlign w:val="bottom"/>
          </w:tcPr>
          <w:p>
            <w:pPr>
              <w:pStyle w:val="TableContents"/>
              <w:spacing w:before="0" w:after="283"/>
              <w:jc w:val="right"/>
              <w:rPr/>
            </w:pPr>
            <w:r>
              <w:rPr/>
              <w:t>90.5</w:t>
            </w:r>
          </w:p>
        </w:tc>
        <w:tc>
          <w:tcPr>
            <w:tcW w:w="22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283"/>
              <w:jc w:val="right"/>
              <w:rPr/>
            </w:pPr>
            <w:r>
              <w:rPr/>
              <w:t>86.1</w:t>
            </w:r>
          </w:p>
        </w:tc>
        <w:tc>
          <w:tcPr>
            <w:tcW w:w="22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283"/>
              <w:jc w:val="right"/>
              <w:rPr/>
            </w:pPr>
            <w:r>
              <w:rPr/>
              <w:t>89.4</w:t>
            </w:r>
          </w:p>
        </w:tc>
        <w:tc>
          <w:tcPr>
            <w:tcW w:w="236" w:type="dxa"/>
            <w:tcBorders/>
            <w:shd w:fill="auto" w:val="clear"/>
            <w:vAlign w:val="bottom"/>
          </w:tcPr>
          <w:p>
            <w:pPr>
              <w:pStyle w:val="TableContents"/>
              <w:spacing w:before="0" w:after="283"/>
              <w:rPr/>
            </w:pPr>
            <w:r>
              <w:rPr/>
              <w:t>%</w:t>
            </w:r>
          </w:p>
        </w:tc>
      </w:tr>
      <w:tr>
        <w:trPr/>
        <w:tc>
          <w:tcPr>
            <w:tcW w:w="2002" w:type="dxa"/>
            <w:tcBorders/>
            <w:shd w:fill="CCEEFF" w:val="clear"/>
            <w:vAlign w:val="bottom"/>
          </w:tcPr>
          <w:p>
            <w:pPr>
              <w:pStyle w:val="TableContents"/>
              <w:spacing w:before="0" w:after="0"/>
              <w:ind w:left="450" w:right="0" w:hanging="225"/>
              <w:rPr/>
            </w:pPr>
            <w:r>
              <w:rPr/>
              <w:t>Processed products</w:t>
            </w:r>
          </w:p>
        </w:tc>
        <w:tc>
          <w:tcPr>
            <w:tcW w:w="1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13.0</w:t>
            </w:r>
          </w:p>
        </w:tc>
        <w:tc>
          <w:tcPr>
            <w:tcW w:w="23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78" w:type="dxa"/>
            <w:tcBorders/>
            <w:shd w:fill="CCEEFF" w:val="clear"/>
            <w:vAlign w:val="bottom"/>
          </w:tcPr>
          <w:p>
            <w:pPr>
              <w:pStyle w:val="TableContents"/>
              <w:spacing w:before="0" w:after="283"/>
              <w:jc w:val="right"/>
              <w:rPr/>
            </w:pPr>
            <w:r>
              <w:rPr/>
              <w:t>9.5</w:t>
            </w:r>
          </w:p>
        </w:tc>
        <w:tc>
          <w:tcPr>
            <w:tcW w:w="221"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283"/>
              <w:jc w:val="right"/>
              <w:rPr/>
            </w:pPr>
            <w:r>
              <w:rPr/>
              <w:t>13.9</w:t>
            </w:r>
          </w:p>
        </w:tc>
        <w:tc>
          <w:tcPr>
            <w:tcW w:w="221"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283"/>
              <w:jc w:val="right"/>
              <w:rPr/>
            </w:pPr>
            <w:r>
              <w:rPr/>
              <w:t>10.6</w:t>
            </w:r>
          </w:p>
        </w:tc>
        <w:tc>
          <w:tcPr>
            <w:tcW w:w="236" w:type="dxa"/>
            <w:tcBorders/>
            <w:shd w:fill="CCEEFF" w:val="clear"/>
            <w:vAlign w:val="bottom"/>
          </w:tcPr>
          <w:p>
            <w:pPr>
              <w:pStyle w:val="TableContents"/>
              <w:spacing w:before="0" w:after="283"/>
              <w:rPr/>
            </w:pPr>
            <w:r>
              <w:rPr/>
              <w:t>%</w:t>
            </w:r>
          </w:p>
        </w:tc>
      </w:tr>
      <w:tr>
        <w:trPr/>
        <w:tc>
          <w:tcPr>
            <w:tcW w:w="2002"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002" w:type="dxa"/>
            <w:tcBorders/>
            <w:shd w:fill="auto" w:val="clear"/>
            <w:vAlign w:val="bottom"/>
          </w:tcPr>
          <w:p>
            <w:pPr>
              <w:pStyle w:val="TableContents"/>
              <w:spacing w:before="0" w:after="0"/>
              <w:ind w:left="225" w:right="0" w:hanging="225"/>
              <w:rPr/>
            </w:pPr>
            <w:r>
              <w:rPr/>
              <w:t> </w:t>
            </w:r>
          </w:p>
        </w:tc>
        <w:tc>
          <w:tcPr>
            <w:tcW w:w="1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100.0</w:t>
            </w:r>
          </w:p>
        </w:tc>
        <w:tc>
          <w:tcPr>
            <w:tcW w:w="23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8" w:type="dxa"/>
            <w:tcBorders/>
            <w:shd w:fill="auto" w:val="clear"/>
            <w:vAlign w:val="bottom"/>
          </w:tcPr>
          <w:p>
            <w:pPr>
              <w:pStyle w:val="TableContents"/>
              <w:spacing w:before="0" w:after="283"/>
              <w:jc w:val="right"/>
              <w:rPr/>
            </w:pPr>
            <w:r>
              <w:rPr/>
              <w:t>100.0</w:t>
            </w:r>
          </w:p>
        </w:tc>
        <w:tc>
          <w:tcPr>
            <w:tcW w:w="22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283"/>
              <w:jc w:val="right"/>
              <w:rPr/>
            </w:pPr>
            <w:r>
              <w:rPr/>
              <w:t>100.0</w:t>
            </w:r>
          </w:p>
        </w:tc>
        <w:tc>
          <w:tcPr>
            <w:tcW w:w="221"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283"/>
              <w:jc w:val="right"/>
              <w:rPr/>
            </w:pPr>
            <w:r>
              <w:rPr/>
              <w:t>100.0</w:t>
            </w:r>
          </w:p>
        </w:tc>
        <w:tc>
          <w:tcPr>
            <w:tcW w:w="236" w:type="dxa"/>
            <w:tcBorders/>
            <w:shd w:fill="auto" w:val="clear"/>
            <w:vAlign w:val="bottom"/>
          </w:tcPr>
          <w:p>
            <w:pPr>
              <w:pStyle w:val="TableContents"/>
              <w:spacing w:before="0" w:after="283"/>
              <w:rPr/>
            </w:pPr>
            <w:r>
              <w:rPr/>
              <w:t>%</w:t>
            </w:r>
          </w:p>
        </w:tc>
      </w:tr>
      <w:tr>
        <w:trPr/>
        <w:tc>
          <w:tcPr>
            <w:tcW w:w="2002"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third quarter of fiscal 2006, compared to fiscal 2005, decreased by $9.7 million, or 11.0%; whereas net sales for the nine months ended July 31, 2006, compared to fiscal 2005, increased by $0.5 million, or 0.2%. The decrease in fresh product sales during the third quarter of fiscal 2006 was primarily related to decreased sales in Mexican sourced avocados. The decrease in fresh product sales during the nine months ended July 31, 2006 was primarily driven by decreased sales related to Chilean, The Dominican Republic, and Mexican sourced avocados, partially offset by increased sales related to avocados sourced from California. While the procurement of fresh avocados related to our fresh products segment is very seasonal, our processed products business is generally not subject to a seasonal effect. For the related three and nine month period, the increase in net sales to third parties delivered by our processed products business was due primarily to an increase in total pounds of product sold. </w:t>
      </w:r>
    </w:p>
    <w:p>
      <w:pPr>
        <w:pStyle w:val="TextBody"/>
        <w:spacing w:before="120" w:after="283"/>
        <w:jc w:val="left"/>
        <w:rPr/>
      </w:pPr>
      <w:r>
        <w:rPr/>
        <w:t>     </w:t>
      </w:r>
      <w:r>
        <w:rPr>
          <w:rFonts w:ascii="Times New Roman;Times;serif" w:hAnsi="Times New Roman;Times;serif"/>
          <w:sz w:val="17"/>
        </w:rPr>
        <w:t xml:space="preserve">Net sales to third parties by segment exclude value-added services billed by our Uruapan packinghouse, Uruapan processing plant and Mexicali processing plant to the parent company. All intercompany sales are eliminated in our consolidated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Fresh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decreased by approximately $11.6 million, or 14.5%, for the third quarter of fiscal 2006, when compared to the same period for fiscal 2005. This decrease is primarily related to a decrease in sales of Mexican grown avocados in the U.S., Japanese, and/or European marketplace, as well as a decrease in papaya sales in the U.S marketplace. The volume of Mexican fruit sold decreased by approximately 9.2 million pounds, or 61.5%, when compared to the same prior year period. This decrease was primarily in the U.S. marketplace and was primarily related to the large California avocado crop discussed below. There was no significant difference in the average selling price, on a per carton basis, of Mexican avocados sold when compared to the same prior year period. The volume of papaya fruit sold decreased by approximately 0.8 million pounds, or 116.2%, when compared to the same prior year period. This decrease was primarily related to adverse weather conditions negatively affecting the current years papaya crop. Such decrease, however, was partially offset by an increase in average selling prices of papayas, on a per carton basis, which increased approximately 40.2% when compared to the same prior year period. We attribute some of this increase in average selling prices to significantly fewer pounds sold in the U.S. marketplace. </w:t>
      </w:r>
    </w:p>
    <w:p>
      <w:pPr>
        <w:pStyle w:val="TextBody"/>
        <w:spacing w:before="120" w:after="283"/>
        <w:jc w:val="left"/>
        <w:rPr/>
      </w:pPr>
      <w:r>
        <w:rPr/>
        <w:t>     </w:t>
      </w:r>
      <w:r>
        <w:rPr>
          <w:rFonts w:ascii="Times New Roman;Times;serif" w:hAnsi="Times New Roman;Times;serif"/>
          <w:sz w:val="17"/>
        </w:rPr>
        <w:t xml:space="preserve">The decreased sales related to Mexican sourced fruit discussed above for the third quarter of fiscal 2006, when compared to the same period for fiscal 2005, was partially offset by an increase in sales related to avocados sourced from California. California avocados sales reflect a reduction in average selling prices, partially offset by a 60.4% increase in pounds of avocados sold, when compared to the same prior year period. The increase in pounds is consistent with the expected increase in the overall harvest of the California avocado crop for the 2005/2006 season. Our market share of California avocados remained fairly stable at 34.4% in the third quarter of fiscal 2006, when compared to a 35.2% market share for the same prior year period. Average selling prices, on a per carton basis, for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California avocados for the third quarter of fiscal 2006 were 42.1% lower when compared to the same prior year period. We attribute some of this decrease in average selling prices to significantly more pounds sold in the U.S. marketplace, as well as a 6.1% increase in the sale of grade two Hass avocados when compared to the same prior year period. Grade two Hass avocados generally sell for significantly less than grade one Hass avocados. </w:t>
      </w:r>
    </w:p>
    <w:p>
      <w:pPr>
        <w:pStyle w:val="TextBody"/>
        <w:spacing w:before="120" w:after="283"/>
        <w:jc w:val="left"/>
        <w:rPr/>
      </w:pPr>
      <w:r>
        <w:rPr/>
        <w:t>     </w:t>
      </w:r>
      <w:r>
        <w:rPr>
          <w:rFonts w:ascii="Times New Roman;Times;serif" w:hAnsi="Times New Roman;Times;serif"/>
          <w:sz w:val="17"/>
        </w:rPr>
        <w:t xml:space="preserve">Net sales decreased by approximately $6.2 million, or 3.5%, for the nine months ended July 31, 2006, when compared to the same period for fiscal 2005. This decrease is primarily related to a decrease in sales of Mexican and Chilean grown avocados in the U.S., Japanese, and/or European marketplace. The volume of Mexican fruit sold decreased by approximately 7.5 million pounds, or 14.4%, when compared to the same prior year period. This decrease was primarily in the U.S. marketplace and was primarily related to the large California avocado crop discussed below. The volume of Chilean fruit sold decreased by approximately 10.4 million pounds, or 59.9%, when compared to the same prior year period. This decrease is primarily related to the size of the Chilean avocado crop, as well as the timing of the delivery to the United States. There was no significant difference in the average selling price, on a per carton basis, of Mexican avocados sold when compared to the same prior year period. </w:t>
      </w:r>
    </w:p>
    <w:p>
      <w:pPr>
        <w:pStyle w:val="TextBody"/>
        <w:spacing w:before="120" w:after="283"/>
        <w:jc w:val="left"/>
        <w:rPr/>
      </w:pPr>
      <w:r>
        <w:rPr/>
        <w:t>     </w:t>
      </w:r>
      <w:r>
        <w:rPr>
          <w:rFonts w:ascii="Times New Roman;Times;serif" w:hAnsi="Times New Roman;Times;serif"/>
          <w:sz w:val="17"/>
        </w:rPr>
        <w:t xml:space="preserve">The decreased sales related to non-California sourced fruit discussed above for the nine months ended July 31, 2006, when compared to the same period for fiscal 2005, was partially offset by an increase in sales related to avocados sourced from California. California avocados sales reflect a 53.9% increase in pounds of avocados sold, partially offset by lower average selling prices, when compared to the same prior year period. The increase in pounds is consistent with the expected increase in the overall harvest of the California avocado crop for the 2005/2006 season. Our market share of California avocados increased to 34.4% for the first nine months of fiscal 2006, when compared to a 33.0% market share for the same prior year period. Average selling prices, on a per carton basis, for California avocados for the first nine months of fiscal 2006 were 26.8% lower when compared to the same prior year period. We attribute some of this decrease in average selling prices to significantly more pounds sold in the U.S. marketplace, as well as a 7.5% increase in the sale of grade two Hass avocados when compared to the same prior year period. </w:t>
      </w:r>
    </w:p>
    <w:p>
      <w:pPr>
        <w:pStyle w:val="TextBody"/>
        <w:spacing w:before="120" w:after="283"/>
        <w:jc w:val="left"/>
        <w:rPr/>
      </w:pPr>
      <w:r>
        <w:rPr/>
        <w:t>     </w:t>
      </w:r>
      <w:r>
        <w:rPr>
          <w:rFonts w:ascii="Times New Roman;Times;serif" w:hAnsi="Times New Roman;Times;serif"/>
          <w:sz w:val="17"/>
        </w:rPr>
        <w:t xml:space="preserve">We anticipate that California avocado sales will experience a seasonal decrease during the fourth fiscal quarter of 2006, as compared to the third fiscal quarter of 2006. We anticipate that net sales related to non-California sourced fruit will gradually increase during the fourth fiscal quarter of 2006, as compared to the third fiscal quarter of 2006. This is consistent with the cyclical nature of the availability of foreign sourced avocados in the U.S. marketplace, as well as the seasonal nature of the California avocado crop.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July 31, 2006, when compared to the same period for fiscal 2005, sales to third-party customers increased by approximately $1.9 million, or 22.6%. This increase is primarily related to a 25.6% increase in total pounds sold. Our average net selling prices remained fairly consistent during the second quarter ended July 31, 2006 when compared to the same prior year period. </w:t>
      </w:r>
    </w:p>
    <w:p>
      <w:pPr>
        <w:pStyle w:val="TextBody"/>
        <w:spacing w:before="120" w:after="283"/>
        <w:jc w:val="left"/>
        <w:rPr/>
      </w:pPr>
      <w:r>
        <w:rPr/>
        <w:t>     </w:t>
      </w:r>
      <w:r>
        <w:rPr>
          <w:rFonts w:ascii="Times New Roman;Times;serif" w:hAnsi="Times New Roman;Times;serif"/>
          <w:sz w:val="17"/>
        </w:rPr>
        <w:t xml:space="preserve">For the first nine months of fiscal 2006, when compared to the same period for fiscal 2005, sales to third-party customers increased by approximately $6.6 million, or 32.0%. This increase is primarily related to a 33.8% increase in total pounds sold, as our ultra high pressure products have experienced widespread acceptance in both the retail and foodservice sectors. Our average net selling prices remained fairly consistent during the first nine months ended July 31, 2006 when compared to the same prior year period. </w:t>
      </w:r>
    </w:p>
    <w:p>
      <w:pPr>
        <w:pStyle w:val="TextBody"/>
        <w:spacing w:before="120" w:after="283"/>
        <w:jc w:val="left"/>
        <w:rPr/>
      </w:pPr>
      <w:r>
        <w:rPr/>
        <w:t>     </w:t>
      </w:r>
      <w:r>
        <w:rPr>
          <w:rFonts w:ascii="Times New Roman;Times;serif" w:hAnsi="Times New Roman;Times;serif"/>
          <w:sz w:val="17"/>
        </w:rPr>
        <w:t xml:space="preserve">Our ultra high pressure products continue to experience solid demand. During the third quarter ended July 31, 2006, sales of high pressure product totaled approximately $4.1 million, as compared to $2.6 million for the same prior year period. We believe that the introduction of these fresh guacamole products will, in the long-term, successfully address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 and nine month periods ended July 31, 2006 and 2005: </w:t>
      </w:r>
    </w:p>
    <w:tbl>
      <w:tblPr>
        <w:tblW w:w="5000" w:type="pct"/>
        <w:jc w:val="center"/>
        <w:tblInd w:w="0" w:type="dxa"/>
        <w:tblCellMar>
          <w:top w:w="0" w:type="dxa"/>
          <w:left w:w="0" w:type="dxa"/>
          <w:bottom w:w="0" w:type="dxa"/>
          <w:right w:w="0" w:type="dxa"/>
        </w:tblCellMar>
      </w:tblPr>
      <w:tblGrid>
        <w:gridCol w:w="2103"/>
        <w:gridCol w:w="192"/>
        <w:gridCol w:w="164"/>
        <w:gridCol w:w="804"/>
        <w:gridCol w:w="238"/>
        <w:gridCol w:w="196"/>
        <w:gridCol w:w="98"/>
        <w:gridCol w:w="810"/>
        <w:gridCol w:w="312"/>
        <w:gridCol w:w="196"/>
        <w:gridCol w:w="164"/>
        <w:gridCol w:w="691"/>
        <w:gridCol w:w="223"/>
        <w:gridCol w:w="191"/>
        <w:gridCol w:w="156"/>
        <w:gridCol w:w="764"/>
        <w:gridCol w:w="225"/>
        <w:gridCol w:w="192"/>
        <w:gridCol w:w="98"/>
        <w:gridCol w:w="810"/>
        <w:gridCol w:w="225"/>
        <w:gridCol w:w="191"/>
        <w:gridCol w:w="156"/>
        <w:gridCol w:w="769"/>
        <w:gridCol w:w="237"/>
      </w:tblGrid>
      <w:tr>
        <w:trPr/>
        <w:tc>
          <w:tcPr>
            <w:tcW w:w="210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r>
      <w:tr>
        <w:trPr/>
        <w:tc>
          <w:tcPr>
            <w:tcW w:w="210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67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358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7" w:type="dxa"/>
            <w:tcBorders/>
            <w:shd w:fill="auto" w:val="clear"/>
            <w:vAlign w:val="bottom"/>
          </w:tcPr>
          <w:p>
            <w:pPr>
              <w:pStyle w:val="TableContents"/>
              <w:spacing w:before="0" w:after="283"/>
              <w:rPr/>
            </w:pPr>
            <w:r>
              <w:rPr/>
              <w:t> </w:t>
            </w:r>
          </w:p>
        </w:tc>
      </w:tr>
      <w:tr>
        <w:trPr/>
        <w:tc>
          <w:tcPr>
            <w:tcW w:w="2103"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92" w:type="dxa"/>
            <w:tcBorders/>
            <w:shd w:fill="auto" w:val="clear"/>
            <w:vAlign w:val="bottom"/>
          </w:tcPr>
          <w:p>
            <w:pPr>
              <w:pStyle w:val="TableContents"/>
              <w:spacing w:before="0" w:after="283"/>
              <w:rPr/>
            </w:pPr>
            <w:r>
              <w:rPr/>
              <w:t> </w:t>
            </w:r>
          </w:p>
        </w:tc>
        <w:tc>
          <w:tcPr>
            <w:tcW w:w="9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3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2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7" w:type="dxa"/>
            <w:tcBorders/>
            <w:shd w:fill="auto" w:val="clear"/>
            <w:vAlign w:val="bottom"/>
          </w:tcPr>
          <w:p>
            <w:pPr>
              <w:pStyle w:val="TableContents"/>
              <w:spacing w:before="0" w:after="283"/>
              <w:rPr/>
            </w:pPr>
            <w:r>
              <w:rPr/>
              <w:t> </w:t>
            </w:r>
          </w:p>
        </w:tc>
      </w:tr>
      <w:tr>
        <w:trPr/>
        <w:tc>
          <w:tcPr>
            <w:tcW w:w="2103" w:type="dxa"/>
            <w:tcBorders/>
            <w:shd w:fill="CCEEFF" w:val="clear"/>
            <w:vAlign w:val="bottom"/>
          </w:tcPr>
          <w:p>
            <w:pPr>
              <w:pStyle w:val="TableContents"/>
              <w:spacing w:before="0" w:after="0"/>
              <w:ind w:left="225" w:right="0" w:hanging="225"/>
              <w:rPr/>
            </w:pPr>
            <w:r>
              <w:rPr/>
              <w:t>Gross margins:</w:t>
            </w:r>
          </w:p>
        </w:tc>
        <w:tc>
          <w:tcPr>
            <w:tcW w:w="19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r>
      <w:tr>
        <w:trPr/>
        <w:tc>
          <w:tcPr>
            <w:tcW w:w="2103" w:type="dxa"/>
            <w:tcBorders/>
            <w:shd w:fill="auto" w:val="clear"/>
            <w:vAlign w:val="bottom"/>
          </w:tcPr>
          <w:p>
            <w:pPr>
              <w:pStyle w:val="TableContents"/>
              <w:spacing w:before="0" w:after="0"/>
              <w:ind w:left="450" w:right="0" w:hanging="225"/>
              <w:rPr/>
            </w:pPr>
            <w:r>
              <w:rPr/>
              <w:t>Fresh products</w:t>
            </w:r>
          </w:p>
        </w:tc>
        <w:tc>
          <w:tcPr>
            <w:tcW w:w="19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7,327</w:t>
            </w:r>
          </w:p>
        </w:tc>
        <w:tc>
          <w:tcPr>
            <w:tcW w:w="23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(7.3</w:t>
            </w:r>
          </w:p>
        </w:tc>
        <w:tc>
          <w:tcPr>
            <w:tcW w:w="312"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691" w:type="dxa"/>
            <w:tcBorders/>
            <w:shd w:fill="auto" w:val="clear"/>
            <w:vAlign w:val="bottom"/>
          </w:tcPr>
          <w:p>
            <w:pPr>
              <w:pStyle w:val="TableContents"/>
              <w:spacing w:before="0" w:after="283"/>
              <w:jc w:val="right"/>
              <w:rPr/>
            </w:pPr>
            <w:r>
              <w:rPr/>
              <w:t>7,905</w:t>
            </w:r>
          </w:p>
        </w:tc>
        <w:tc>
          <w:tcPr>
            <w:tcW w:w="2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4" w:type="dxa"/>
            <w:tcBorders/>
            <w:shd w:fill="auto" w:val="clear"/>
            <w:vAlign w:val="bottom"/>
          </w:tcPr>
          <w:p>
            <w:pPr>
              <w:pStyle w:val="TableContents"/>
              <w:spacing w:before="0" w:after="283"/>
              <w:jc w:val="right"/>
              <w:rPr/>
            </w:pPr>
            <w:r>
              <w:rPr/>
              <w:t>14,508</w:t>
            </w:r>
          </w:p>
        </w:tc>
        <w:tc>
          <w:tcPr>
            <w:tcW w:w="2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2.4</w:t>
            </w:r>
          </w:p>
        </w:tc>
        <w:tc>
          <w:tcPr>
            <w:tcW w:w="225" w:type="dxa"/>
            <w:tcBorders/>
            <w:shd w:fill="auto" w:val="clear"/>
            <w:vAlign w:val="bottom"/>
          </w:tcPr>
          <w:p>
            <w:pPr>
              <w:pStyle w:val="TableContents"/>
              <w:spacing w:before="0" w:after="283"/>
              <w:rPr/>
            </w:pPr>
            <w:r>
              <w:rPr/>
              <w:t>%</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9" w:type="dxa"/>
            <w:tcBorders/>
            <w:shd w:fill="auto" w:val="clear"/>
            <w:vAlign w:val="bottom"/>
          </w:tcPr>
          <w:p>
            <w:pPr>
              <w:pStyle w:val="TableContents"/>
              <w:spacing w:before="0" w:after="283"/>
              <w:jc w:val="right"/>
              <w:rPr/>
            </w:pPr>
            <w:r>
              <w:rPr/>
              <w:t>14,174</w:t>
            </w:r>
          </w:p>
        </w:tc>
        <w:tc>
          <w:tcPr>
            <w:tcW w:w="237" w:type="dxa"/>
            <w:tcBorders/>
            <w:shd w:fill="auto" w:val="clear"/>
            <w:vAlign w:val="bottom"/>
          </w:tcPr>
          <w:p>
            <w:pPr>
              <w:pStyle w:val="TableContents"/>
              <w:spacing w:before="0" w:after="283"/>
              <w:rPr/>
            </w:pPr>
            <w:r>
              <w:rPr/>
              <w:t> </w:t>
            </w:r>
          </w:p>
        </w:tc>
      </w:tr>
      <w:tr>
        <w:trPr/>
        <w:tc>
          <w:tcPr>
            <w:tcW w:w="2103" w:type="dxa"/>
            <w:tcBorders/>
            <w:shd w:fill="CCEEFF" w:val="clear"/>
            <w:vAlign w:val="bottom"/>
          </w:tcPr>
          <w:p>
            <w:pPr>
              <w:pStyle w:val="TableContents"/>
              <w:spacing w:before="0" w:after="0"/>
              <w:ind w:left="450" w:right="0" w:hanging="225"/>
              <w:rPr/>
            </w:pPr>
            <w:r>
              <w:rPr/>
              <w:t>Processed products</w:t>
            </w:r>
          </w:p>
        </w:tc>
        <w:tc>
          <w:tcPr>
            <w:tcW w:w="19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2,889</w:t>
            </w:r>
          </w:p>
        </w:tc>
        <w:tc>
          <w:tcPr>
            <w:tcW w:w="23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10" w:type="dxa"/>
            <w:tcBorders/>
            <w:shd w:fill="CCEEFF" w:val="clear"/>
            <w:vAlign w:val="bottom"/>
          </w:tcPr>
          <w:p>
            <w:pPr>
              <w:pStyle w:val="TableContents"/>
              <w:spacing w:before="0" w:after="283"/>
              <w:jc w:val="right"/>
              <w:rPr/>
            </w:pPr>
            <w:r>
              <w:rPr/>
              <w:t>124.1</w:t>
            </w:r>
          </w:p>
        </w:tc>
        <w:tc>
          <w:tcPr>
            <w:tcW w:w="312"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1,289</w:t>
            </w:r>
          </w:p>
        </w:tc>
        <w:tc>
          <w:tcPr>
            <w:tcW w:w="2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7,779</w:t>
            </w:r>
          </w:p>
        </w:tc>
        <w:tc>
          <w:tcPr>
            <w:tcW w:w="2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10" w:type="dxa"/>
            <w:tcBorders/>
            <w:shd w:fill="CCEEFF" w:val="clear"/>
            <w:vAlign w:val="bottom"/>
          </w:tcPr>
          <w:p>
            <w:pPr>
              <w:pStyle w:val="TableContents"/>
              <w:spacing w:before="0" w:after="283"/>
              <w:jc w:val="right"/>
              <w:rPr/>
            </w:pPr>
            <w:r>
              <w:rPr/>
              <w:t>133.8</w:t>
            </w:r>
          </w:p>
        </w:tc>
        <w:tc>
          <w:tcPr>
            <w:tcW w:w="225" w:type="dxa"/>
            <w:tcBorders/>
            <w:shd w:fill="CCEEFF" w:val="clear"/>
            <w:vAlign w:val="bottom"/>
          </w:tcPr>
          <w:p>
            <w:pPr>
              <w:pStyle w:val="TableContents"/>
              <w:spacing w:before="0" w:after="283"/>
              <w:rPr/>
            </w:pPr>
            <w:r>
              <w:rPr/>
              <w:t>%</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3,327</w:t>
            </w:r>
          </w:p>
        </w:tc>
        <w:tc>
          <w:tcPr>
            <w:tcW w:w="237" w:type="dxa"/>
            <w:tcBorders/>
            <w:shd w:fill="CCEEFF" w:val="clear"/>
            <w:vAlign w:val="bottom"/>
          </w:tcPr>
          <w:p>
            <w:pPr>
              <w:pStyle w:val="TableContents"/>
              <w:spacing w:before="0" w:after="283"/>
              <w:rPr/>
            </w:pPr>
            <w:r>
              <w:rPr/>
              <w:t> </w:t>
            </w:r>
          </w:p>
        </w:tc>
      </w:tr>
      <w:tr>
        <w:trPr/>
        <w:tc>
          <w:tcPr>
            <w:tcW w:w="210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9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r>
      <w:tr>
        <w:trPr/>
        <w:tc>
          <w:tcPr>
            <w:tcW w:w="2103" w:type="dxa"/>
            <w:tcBorders/>
            <w:shd w:fill="auto" w:val="clear"/>
            <w:vAlign w:val="bottom"/>
          </w:tcPr>
          <w:p>
            <w:pPr>
              <w:pStyle w:val="TableContents"/>
              <w:spacing w:before="0" w:after="0"/>
              <w:ind w:left="675" w:right="0" w:hanging="225"/>
              <w:rPr/>
            </w:pPr>
            <w:r>
              <w:rPr/>
              <w:t>Total gross margins</w:t>
            </w:r>
          </w:p>
        </w:tc>
        <w:tc>
          <w:tcPr>
            <w:tcW w:w="19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10,216</w:t>
            </w:r>
          </w:p>
        </w:tc>
        <w:tc>
          <w:tcPr>
            <w:tcW w:w="23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11.1</w:t>
            </w:r>
          </w:p>
        </w:tc>
        <w:tc>
          <w:tcPr>
            <w:tcW w:w="312"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691" w:type="dxa"/>
            <w:tcBorders/>
            <w:shd w:fill="auto" w:val="clear"/>
            <w:vAlign w:val="bottom"/>
          </w:tcPr>
          <w:p>
            <w:pPr>
              <w:pStyle w:val="TableContents"/>
              <w:spacing w:before="0" w:after="283"/>
              <w:jc w:val="right"/>
              <w:rPr/>
            </w:pPr>
            <w:r>
              <w:rPr/>
              <w:t>9,194</w:t>
            </w:r>
          </w:p>
        </w:tc>
        <w:tc>
          <w:tcPr>
            <w:tcW w:w="22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4" w:type="dxa"/>
            <w:tcBorders/>
            <w:shd w:fill="auto" w:val="clear"/>
            <w:vAlign w:val="bottom"/>
          </w:tcPr>
          <w:p>
            <w:pPr>
              <w:pStyle w:val="TableContents"/>
              <w:spacing w:before="0" w:after="283"/>
              <w:jc w:val="right"/>
              <w:rPr/>
            </w:pPr>
            <w:r>
              <w:rPr/>
              <w:t>22,287</w:t>
            </w:r>
          </w:p>
        </w:tc>
        <w:tc>
          <w:tcPr>
            <w:tcW w:w="2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27.3</w:t>
            </w:r>
          </w:p>
        </w:tc>
        <w:tc>
          <w:tcPr>
            <w:tcW w:w="225" w:type="dxa"/>
            <w:tcBorders/>
            <w:shd w:fill="auto" w:val="clear"/>
            <w:vAlign w:val="bottom"/>
          </w:tcPr>
          <w:p>
            <w:pPr>
              <w:pStyle w:val="TableContents"/>
              <w:spacing w:before="0" w:after="283"/>
              <w:rPr/>
            </w:pPr>
            <w:r>
              <w:rPr/>
              <w:t>%</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9" w:type="dxa"/>
            <w:tcBorders/>
            <w:shd w:fill="auto" w:val="clear"/>
            <w:vAlign w:val="bottom"/>
          </w:tcPr>
          <w:p>
            <w:pPr>
              <w:pStyle w:val="TableContents"/>
              <w:spacing w:before="0" w:after="283"/>
              <w:jc w:val="right"/>
              <w:rPr/>
            </w:pPr>
            <w:r>
              <w:rPr/>
              <w:t>17,501</w:t>
            </w:r>
          </w:p>
        </w:tc>
        <w:tc>
          <w:tcPr>
            <w:tcW w:w="237" w:type="dxa"/>
            <w:tcBorders/>
            <w:shd w:fill="auto" w:val="clear"/>
            <w:vAlign w:val="bottom"/>
          </w:tcPr>
          <w:p>
            <w:pPr>
              <w:pStyle w:val="TableContents"/>
              <w:spacing w:before="0" w:after="283"/>
              <w:rPr/>
            </w:pPr>
            <w:r>
              <w:rPr/>
              <w:t> </w:t>
            </w:r>
          </w:p>
        </w:tc>
      </w:tr>
      <w:tr>
        <w:trPr/>
        <w:tc>
          <w:tcPr>
            <w:tcW w:w="2103" w:type="dxa"/>
            <w:tcBorders/>
            <w:shd w:fill="auto" w:val="clear"/>
            <w:vAlign w:val="center"/>
          </w:tcPr>
          <w:p>
            <w:pPr>
              <w:pStyle w:val="TableContents"/>
              <w:spacing w:before="0" w:after="0"/>
              <w:ind w:left="225" w:right="0" w:hanging="225"/>
              <w:rPr/>
            </w:pPr>
            <w:r>
              <w:rPr/>
              <w:t> </w:t>
            </w:r>
          </w:p>
        </w:tc>
        <w:tc>
          <w:tcPr>
            <w:tcW w:w="192" w:type="dxa"/>
            <w:tcBorders/>
            <w:shd w:fill="auto" w:val="clear"/>
            <w:vAlign w:val="center"/>
          </w:tcPr>
          <w:p>
            <w:pPr>
              <w:pStyle w:val="TableContents"/>
              <w:spacing w:before="0" w:after="283"/>
              <w:rPr/>
            </w:pPr>
            <w:r>
              <w:rPr/>
              <w:t> </w:t>
            </w:r>
          </w:p>
        </w:tc>
        <w:tc>
          <w:tcPr>
            <w:tcW w:w="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9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r>
      <w:tr>
        <w:trPr/>
        <w:tc>
          <w:tcPr>
            <w:tcW w:w="2103" w:type="dxa"/>
            <w:tcBorders/>
            <w:shd w:fill="CCEEFF" w:val="clear"/>
            <w:vAlign w:val="bottom"/>
          </w:tcPr>
          <w:p>
            <w:pPr>
              <w:pStyle w:val="TableContents"/>
              <w:spacing w:before="0" w:after="0"/>
              <w:ind w:left="225" w:right="0" w:hanging="225"/>
              <w:rPr/>
            </w:pPr>
            <w:r>
              <w:rPr/>
              <w:t>Gross profit percentages:</w:t>
            </w:r>
          </w:p>
        </w:tc>
        <w:tc>
          <w:tcPr>
            <w:tcW w:w="19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r>
      <w:tr>
        <w:trPr/>
        <w:tc>
          <w:tcPr>
            <w:tcW w:w="2103" w:type="dxa"/>
            <w:tcBorders/>
            <w:shd w:fill="auto" w:val="clear"/>
            <w:vAlign w:val="bottom"/>
          </w:tcPr>
          <w:p>
            <w:pPr>
              <w:pStyle w:val="TableContents"/>
              <w:spacing w:before="0" w:after="0"/>
              <w:ind w:left="450" w:right="0" w:hanging="225"/>
              <w:rPr/>
            </w:pPr>
            <w:r>
              <w:rPr/>
              <w:t>Fresh products</w:t>
            </w:r>
          </w:p>
        </w:tc>
        <w:tc>
          <w:tcPr>
            <w:tcW w:w="19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10.7</w:t>
            </w:r>
          </w:p>
        </w:tc>
        <w:tc>
          <w:tcPr>
            <w:tcW w:w="238"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691" w:type="dxa"/>
            <w:tcBorders/>
            <w:shd w:fill="auto" w:val="clear"/>
            <w:vAlign w:val="bottom"/>
          </w:tcPr>
          <w:p>
            <w:pPr>
              <w:pStyle w:val="TableContents"/>
              <w:spacing w:before="0" w:after="283"/>
              <w:jc w:val="right"/>
              <w:rPr/>
            </w:pPr>
            <w:r>
              <w:rPr/>
              <w:t>9.8</w:t>
            </w:r>
          </w:p>
        </w:tc>
        <w:tc>
          <w:tcPr>
            <w:tcW w:w="223" w:type="dxa"/>
            <w:tcBorders/>
            <w:shd w:fill="auto" w:val="clear"/>
            <w:vAlign w:val="bottom"/>
          </w:tcPr>
          <w:p>
            <w:pPr>
              <w:pStyle w:val="TableContents"/>
              <w:spacing w:before="0" w:after="283"/>
              <w:rPr/>
            </w:pPr>
            <w:r>
              <w:rPr/>
              <w:t>%</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8.6</w:t>
            </w:r>
          </w:p>
        </w:tc>
        <w:tc>
          <w:tcPr>
            <w:tcW w:w="225"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8.1</w:t>
            </w:r>
          </w:p>
        </w:tc>
        <w:tc>
          <w:tcPr>
            <w:tcW w:w="237" w:type="dxa"/>
            <w:tcBorders/>
            <w:shd w:fill="auto" w:val="clear"/>
            <w:vAlign w:val="bottom"/>
          </w:tcPr>
          <w:p>
            <w:pPr>
              <w:pStyle w:val="TableContents"/>
              <w:spacing w:before="0" w:after="283"/>
              <w:rPr/>
            </w:pPr>
            <w:r>
              <w:rPr/>
              <w:t>%</w:t>
            </w:r>
          </w:p>
        </w:tc>
      </w:tr>
      <w:tr>
        <w:trPr/>
        <w:tc>
          <w:tcPr>
            <w:tcW w:w="2103" w:type="dxa"/>
            <w:tcBorders/>
            <w:shd w:fill="CCEEFF" w:val="clear"/>
            <w:vAlign w:val="bottom"/>
          </w:tcPr>
          <w:p>
            <w:pPr>
              <w:pStyle w:val="TableContents"/>
              <w:spacing w:before="0" w:after="0"/>
              <w:ind w:left="450" w:right="0" w:hanging="225"/>
              <w:rPr/>
            </w:pPr>
            <w:r>
              <w:rPr/>
              <w:t>Processed products</w:t>
            </w:r>
          </w:p>
        </w:tc>
        <w:tc>
          <w:tcPr>
            <w:tcW w:w="19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28.0</w:t>
            </w:r>
          </w:p>
        </w:tc>
        <w:tc>
          <w:tcPr>
            <w:tcW w:w="238"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91" w:type="dxa"/>
            <w:tcBorders/>
            <w:shd w:fill="CCEEFF" w:val="clear"/>
            <w:vAlign w:val="bottom"/>
          </w:tcPr>
          <w:p>
            <w:pPr>
              <w:pStyle w:val="TableContents"/>
              <w:spacing w:before="0" w:after="283"/>
              <w:jc w:val="right"/>
              <w:rPr/>
            </w:pPr>
            <w:r>
              <w:rPr/>
              <w:t>15.3</w:t>
            </w:r>
          </w:p>
        </w:tc>
        <w:tc>
          <w:tcPr>
            <w:tcW w:w="223" w:type="dxa"/>
            <w:tcBorders/>
            <w:shd w:fill="CCEEFF" w:val="clear"/>
            <w:vAlign w:val="bottom"/>
          </w:tcPr>
          <w:p>
            <w:pPr>
              <w:pStyle w:val="TableContents"/>
              <w:spacing w:before="0" w:after="283"/>
              <w:rPr/>
            </w:pPr>
            <w:r>
              <w:rPr/>
              <w:t>%</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4" w:type="dxa"/>
            <w:tcBorders/>
            <w:shd w:fill="CCEEFF" w:val="clear"/>
            <w:vAlign w:val="bottom"/>
          </w:tcPr>
          <w:p>
            <w:pPr>
              <w:pStyle w:val="TableContents"/>
              <w:spacing w:before="0" w:after="283"/>
              <w:jc w:val="right"/>
              <w:rPr/>
            </w:pPr>
            <w:r>
              <w:rPr/>
              <w:t>28.4</w:t>
            </w:r>
          </w:p>
        </w:tc>
        <w:tc>
          <w:tcPr>
            <w:tcW w:w="225" w:type="dxa"/>
            <w:tcBorders/>
            <w:shd w:fill="CCEEFF" w:val="clear"/>
            <w:vAlign w:val="bottom"/>
          </w:tcPr>
          <w:p>
            <w:pPr>
              <w:pStyle w:val="TableContents"/>
              <w:spacing w:before="0" w:after="283"/>
              <w:rPr/>
            </w:pPr>
            <w:r>
              <w:rPr/>
              <w:t>%</w:t>
            </w:r>
          </w:p>
        </w:tc>
        <w:tc>
          <w:tcPr>
            <w:tcW w:w="192"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283"/>
              <w:jc w:val="right"/>
              <w:rPr/>
            </w:pPr>
            <w:r>
              <w:rPr/>
              <w:t>16.0</w:t>
            </w:r>
          </w:p>
        </w:tc>
        <w:tc>
          <w:tcPr>
            <w:tcW w:w="237" w:type="dxa"/>
            <w:tcBorders/>
            <w:shd w:fill="CCEEFF" w:val="clear"/>
            <w:vAlign w:val="bottom"/>
          </w:tcPr>
          <w:p>
            <w:pPr>
              <w:pStyle w:val="TableContents"/>
              <w:spacing w:before="0" w:after="283"/>
              <w:rPr/>
            </w:pPr>
            <w:r>
              <w:rPr/>
              <w:t>%</w:t>
            </w:r>
          </w:p>
        </w:tc>
      </w:tr>
      <w:tr>
        <w:trPr/>
        <w:tc>
          <w:tcPr>
            <w:tcW w:w="2103" w:type="dxa"/>
            <w:tcBorders/>
            <w:shd w:fill="auto" w:val="clear"/>
            <w:vAlign w:val="bottom"/>
          </w:tcPr>
          <w:p>
            <w:pPr>
              <w:pStyle w:val="TableContents"/>
              <w:spacing w:before="0" w:after="0"/>
              <w:ind w:left="450" w:right="0" w:hanging="225"/>
              <w:rPr/>
            </w:pPr>
            <w:r>
              <w:rPr/>
              <w:t>Consolidated</w:t>
            </w:r>
          </w:p>
        </w:tc>
        <w:tc>
          <w:tcPr>
            <w:tcW w:w="19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12.9</w:t>
            </w:r>
          </w:p>
        </w:tc>
        <w:tc>
          <w:tcPr>
            <w:tcW w:w="238"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691" w:type="dxa"/>
            <w:tcBorders/>
            <w:shd w:fill="auto" w:val="clear"/>
            <w:vAlign w:val="bottom"/>
          </w:tcPr>
          <w:p>
            <w:pPr>
              <w:pStyle w:val="TableContents"/>
              <w:spacing w:before="0" w:after="283"/>
              <w:jc w:val="right"/>
              <w:rPr/>
            </w:pPr>
            <w:r>
              <w:rPr/>
              <w:t>10.4</w:t>
            </w:r>
          </w:p>
        </w:tc>
        <w:tc>
          <w:tcPr>
            <w:tcW w:w="223" w:type="dxa"/>
            <w:tcBorders/>
            <w:shd w:fill="auto" w:val="clear"/>
            <w:vAlign w:val="bottom"/>
          </w:tcPr>
          <w:p>
            <w:pPr>
              <w:pStyle w:val="TableContents"/>
              <w:spacing w:before="0" w:after="283"/>
              <w:rPr/>
            </w:pPr>
            <w:r>
              <w:rPr/>
              <w:t>%</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pPr>
            <w:r>
              <w:rPr/>
              <w:t>11.3</w:t>
            </w:r>
          </w:p>
        </w:tc>
        <w:tc>
          <w:tcPr>
            <w:tcW w:w="225" w:type="dxa"/>
            <w:tcBorders/>
            <w:shd w:fill="auto" w:val="clear"/>
            <w:vAlign w:val="bottom"/>
          </w:tcPr>
          <w:p>
            <w:pPr>
              <w:pStyle w:val="TableContents"/>
              <w:spacing w:before="0" w:after="283"/>
              <w:rPr/>
            </w:pPr>
            <w:r>
              <w:rPr/>
              <w:t>%</w:t>
            </w:r>
          </w:p>
        </w:tc>
        <w:tc>
          <w:tcPr>
            <w:tcW w:w="192"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8.9</w:t>
            </w:r>
          </w:p>
        </w:tc>
        <w:tc>
          <w:tcPr>
            <w:tcW w:w="237"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margins increased by approximately $1.0 million, or 11.1%, and $4.8 million, or 27.3%, for the third quarter and first nine months of fiscal 2006 when compared to the same periods for fiscal 2005. These increases were primarily attributable to improvements in both our fresh products and/or our processed products segments. </w:t>
      </w:r>
    </w:p>
    <w:p>
      <w:pPr>
        <w:pStyle w:val="TextBody"/>
        <w:spacing w:before="120" w:after="283"/>
        <w:jc w:val="left"/>
        <w:rPr/>
      </w:pPr>
      <w:r>
        <w:rPr/>
        <w:t>     </w:t>
      </w:r>
      <w:r>
        <w:rPr>
          <w:rFonts w:ascii="Times New Roman;Times;serif" w:hAnsi="Times New Roman;Times;serif"/>
          <w:sz w:val="17"/>
        </w:rPr>
        <w:t xml:space="preserve">For the third quarter and first nine months of fiscal 2006, as compared to the same prior year period, gross margin percentage, related to our fresh products segment, increased. Such increases were primarily driven by a significant increase in pounds of California fruit sold. For the third quarter and first nine months of fiscal 2006, we experienced a 60.4% and 53.9% increase in fruit sold. This had the effect of decreasing our per pound production costs, which, as a result, positively impacted gross margins. The resulting higher gross margins for California avocados were partially offset, however, by decreases in Mexican and Chilean sourced fruit and the lower gross margins resulting therefrom. For the first nine months of fiscal 2006, the volume of Chilean fruit decreased 59.9%, and the volume of Mexican fruit decreased 61.5% and 14.4% for the third quarter and nine months of 2006 when compared to the same prior year period. Additionally, we also experienced an increase in Mexican fruit costs. Collectively, these items contributed to a higher per pound cost, which negatively affected gross margins. </w:t>
      </w:r>
    </w:p>
    <w:p>
      <w:pPr>
        <w:pStyle w:val="TextBody"/>
        <w:spacing w:before="120" w:after="283"/>
        <w:jc w:val="left"/>
        <w:rPr/>
      </w:pPr>
      <w:r>
        <w:rPr/>
        <w:t>     </w:t>
      </w:r>
      <w:r>
        <w:rPr>
          <w:rFonts w:ascii="Times New Roman;Times;serif" w:hAnsi="Times New Roman;Times;serif"/>
          <w:sz w:val="17"/>
        </w:rPr>
        <w:t xml:space="preserve">The processed products gross profit percentages for the third quarter and first nine months of fiscal 2006, increased primarily as a result of lower fruit costs and increases in total pounds produced, which had the effect of reducing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181"/>
        <w:gridCol w:w="196"/>
        <w:gridCol w:w="240"/>
        <w:gridCol w:w="655"/>
        <w:gridCol w:w="324"/>
        <w:gridCol w:w="206"/>
        <w:gridCol w:w="162"/>
        <w:gridCol w:w="448"/>
        <w:gridCol w:w="366"/>
        <w:gridCol w:w="206"/>
        <w:gridCol w:w="240"/>
        <w:gridCol w:w="654"/>
        <w:gridCol w:w="328"/>
        <w:gridCol w:w="196"/>
        <w:gridCol w:w="219"/>
        <w:gridCol w:w="693"/>
        <w:gridCol w:w="293"/>
        <w:gridCol w:w="197"/>
        <w:gridCol w:w="162"/>
        <w:gridCol w:w="448"/>
        <w:gridCol w:w="366"/>
        <w:gridCol w:w="197"/>
        <w:gridCol w:w="219"/>
        <w:gridCol w:w="693"/>
        <w:gridCol w:w="316"/>
      </w:tblGrid>
      <w:tr>
        <w:trPr/>
        <w:tc>
          <w:tcPr>
            <w:tcW w:w="2181"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r>
      <w:tr>
        <w:trPr/>
        <w:tc>
          <w:tcPr>
            <w:tcW w:w="2181"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829"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196" w:type="dxa"/>
            <w:tcBorders/>
            <w:shd w:fill="auto" w:val="clear"/>
            <w:vAlign w:val="bottom"/>
          </w:tcPr>
          <w:p>
            <w:pPr>
              <w:pStyle w:val="TableContents"/>
              <w:spacing w:before="0" w:after="283"/>
              <w:rPr/>
            </w:pPr>
            <w:r>
              <w:rPr/>
              <w:t> </w:t>
            </w:r>
          </w:p>
        </w:tc>
        <w:tc>
          <w:tcPr>
            <w:tcW w:w="3803"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181"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96" w:type="dxa"/>
            <w:tcBorders/>
            <w:shd w:fill="auto" w:val="clear"/>
            <w:vAlign w:val="bottom"/>
          </w:tcPr>
          <w:p>
            <w:pPr>
              <w:pStyle w:val="TableContents"/>
              <w:spacing w:before="0" w:after="283"/>
              <w:rPr/>
            </w:pPr>
            <w:r>
              <w:rPr/>
              <w:t> </w:t>
            </w:r>
          </w:p>
        </w:tc>
        <w:tc>
          <w:tcPr>
            <w:tcW w:w="121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06" w:type="dxa"/>
            <w:tcBorders/>
            <w:shd w:fill="auto" w:val="clear"/>
            <w:vAlign w:val="bottom"/>
          </w:tcPr>
          <w:p>
            <w:pPr>
              <w:pStyle w:val="TableContents"/>
              <w:spacing w:before="0" w:after="283"/>
              <w:rPr/>
            </w:pPr>
            <w:r>
              <w:rPr/>
              <w:t> </w:t>
            </w:r>
          </w:p>
        </w:tc>
        <w:tc>
          <w:tcPr>
            <w:tcW w:w="97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06" w:type="dxa"/>
            <w:tcBorders/>
            <w:shd w:fill="auto" w:val="clear"/>
            <w:vAlign w:val="bottom"/>
          </w:tcPr>
          <w:p>
            <w:pPr>
              <w:pStyle w:val="TableContents"/>
              <w:spacing w:before="0" w:after="283"/>
              <w:rPr/>
            </w:pPr>
            <w:r>
              <w:rPr/>
              <w:t> </w:t>
            </w:r>
          </w:p>
        </w:tc>
        <w:tc>
          <w:tcPr>
            <w:tcW w:w="122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96" w:type="dxa"/>
            <w:tcBorders/>
            <w:shd w:fill="auto" w:val="clear"/>
            <w:vAlign w:val="bottom"/>
          </w:tcPr>
          <w:p>
            <w:pPr>
              <w:pStyle w:val="TableContents"/>
              <w:spacing w:before="0" w:after="283"/>
              <w:rPr/>
            </w:pPr>
            <w:r>
              <w:rPr/>
              <w:t> </w:t>
            </w:r>
          </w:p>
        </w:tc>
        <w:tc>
          <w:tcPr>
            <w:tcW w:w="120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97" w:type="dxa"/>
            <w:tcBorders/>
            <w:shd w:fill="auto" w:val="clear"/>
            <w:vAlign w:val="bottom"/>
          </w:tcPr>
          <w:p>
            <w:pPr>
              <w:pStyle w:val="TableContents"/>
              <w:spacing w:before="0" w:after="283"/>
              <w:rPr/>
            </w:pPr>
            <w:r>
              <w:rPr/>
              <w:t> </w:t>
            </w:r>
          </w:p>
        </w:tc>
        <w:tc>
          <w:tcPr>
            <w:tcW w:w="97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97" w:type="dxa"/>
            <w:tcBorders/>
            <w:shd w:fill="auto" w:val="clear"/>
            <w:vAlign w:val="bottom"/>
          </w:tcPr>
          <w:p>
            <w:pPr>
              <w:pStyle w:val="TableContents"/>
              <w:spacing w:before="0" w:after="283"/>
              <w:rPr/>
            </w:pPr>
            <w:r>
              <w:rPr/>
              <w:t> </w:t>
            </w:r>
          </w:p>
        </w:tc>
        <w:tc>
          <w:tcPr>
            <w:tcW w:w="122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181" w:type="dxa"/>
            <w:tcBorders/>
            <w:shd w:fill="auto" w:val="clear"/>
            <w:vAlign w:val="bottom"/>
          </w:tcPr>
          <w:p>
            <w:pPr>
              <w:pStyle w:val="TableContents"/>
              <w:spacing w:before="0" w:after="0"/>
              <w:ind w:left="225" w:right="0" w:hanging="225"/>
              <w:rPr/>
            </w:pPr>
            <w:r>
              <w:rPr/>
              <w:t>Selling, general and administrative</w:t>
            </w:r>
          </w:p>
        </w:tc>
        <w:tc>
          <w:tcPr>
            <w:tcW w:w="19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w:t>
            </w:r>
          </w:p>
        </w:tc>
        <w:tc>
          <w:tcPr>
            <w:tcW w:w="655" w:type="dxa"/>
            <w:tcBorders/>
            <w:shd w:fill="auto" w:val="clear"/>
            <w:vAlign w:val="bottom"/>
          </w:tcPr>
          <w:p>
            <w:pPr>
              <w:pStyle w:val="TableContents"/>
              <w:spacing w:before="0" w:after="283"/>
              <w:jc w:val="right"/>
              <w:rPr/>
            </w:pPr>
            <w:r>
              <w:rPr/>
              <w:t>5,284</w:t>
            </w:r>
          </w:p>
        </w:tc>
        <w:tc>
          <w:tcPr>
            <w:tcW w:w="3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right"/>
              <w:rPr/>
            </w:pPr>
            <w:r>
              <w:rPr/>
              <w:t> </w:t>
            </w:r>
          </w:p>
        </w:tc>
        <w:tc>
          <w:tcPr>
            <w:tcW w:w="448" w:type="dxa"/>
            <w:tcBorders/>
            <w:shd w:fill="auto" w:val="clear"/>
            <w:vAlign w:val="bottom"/>
          </w:tcPr>
          <w:p>
            <w:pPr>
              <w:pStyle w:val="TableContents"/>
              <w:spacing w:before="0" w:after="283"/>
              <w:jc w:val="right"/>
              <w:rPr/>
            </w:pPr>
            <w:r>
              <w:rPr/>
              <w:t>9.5</w:t>
            </w:r>
          </w:p>
        </w:tc>
        <w:tc>
          <w:tcPr>
            <w:tcW w:w="366"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w:t>
            </w:r>
          </w:p>
        </w:tc>
        <w:tc>
          <w:tcPr>
            <w:tcW w:w="654" w:type="dxa"/>
            <w:tcBorders/>
            <w:shd w:fill="auto" w:val="clear"/>
            <w:vAlign w:val="bottom"/>
          </w:tcPr>
          <w:p>
            <w:pPr>
              <w:pStyle w:val="TableContents"/>
              <w:spacing w:before="0" w:after="283"/>
              <w:jc w:val="right"/>
              <w:rPr/>
            </w:pPr>
            <w:r>
              <w:rPr/>
              <w:t>4,825</w:t>
            </w:r>
          </w:p>
        </w:tc>
        <w:tc>
          <w:tcPr>
            <w:tcW w:w="32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14,791</w:t>
            </w:r>
          </w:p>
        </w:tc>
        <w:tc>
          <w:tcPr>
            <w:tcW w:w="29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right"/>
              <w:rPr/>
            </w:pPr>
            <w:r>
              <w:rPr/>
              <w:t> </w:t>
            </w:r>
          </w:p>
        </w:tc>
        <w:tc>
          <w:tcPr>
            <w:tcW w:w="448" w:type="dxa"/>
            <w:tcBorders/>
            <w:shd w:fill="auto" w:val="clear"/>
            <w:vAlign w:val="bottom"/>
          </w:tcPr>
          <w:p>
            <w:pPr>
              <w:pStyle w:val="TableContents"/>
              <w:spacing w:before="0" w:after="283"/>
              <w:jc w:val="right"/>
              <w:rPr/>
            </w:pPr>
            <w:r>
              <w:rPr/>
              <w:t>8.4</w:t>
            </w:r>
          </w:p>
        </w:tc>
        <w:tc>
          <w:tcPr>
            <w:tcW w:w="366"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13,645</w:t>
            </w:r>
          </w:p>
        </w:tc>
        <w:tc>
          <w:tcPr>
            <w:tcW w:w="316" w:type="dxa"/>
            <w:tcBorders/>
            <w:shd w:fill="auto" w:val="clear"/>
            <w:vAlign w:val="bottom"/>
          </w:tcPr>
          <w:p>
            <w:pPr>
              <w:pStyle w:val="TableContents"/>
              <w:spacing w:before="0" w:after="283"/>
              <w:rPr/>
            </w:pPr>
            <w:r>
              <w:rPr/>
              <w:t> </w:t>
            </w:r>
          </w:p>
        </w:tc>
      </w:tr>
      <w:tr>
        <w:trPr/>
        <w:tc>
          <w:tcPr>
            <w:tcW w:w="2181" w:type="dxa"/>
            <w:tcBorders/>
            <w:shd w:fill="auto" w:val="clear"/>
            <w:vAlign w:val="bottom"/>
          </w:tcPr>
          <w:p>
            <w:pPr>
              <w:pStyle w:val="TableContents"/>
              <w:spacing w:before="0" w:after="0"/>
              <w:ind w:left="225" w:right="0" w:hanging="225"/>
              <w:rPr/>
            </w:pPr>
            <w:r>
              <w:rPr/>
              <w:t>Percentage of net sales</w:t>
            </w:r>
          </w:p>
        </w:tc>
        <w:tc>
          <w:tcPr>
            <w:tcW w:w="19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655" w:type="dxa"/>
            <w:tcBorders/>
            <w:shd w:fill="auto" w:val="clear"/>
            <w:vAlign w:val="bottom"/>
          </w:tcPr>
          <w:p>
            <w:pPr>
              <w:pStyle w:val="TableContents"/>
              <w:spacing w:before="0" w:after="283"/>
              <w:jc w:val="right"/>
              <w:rPr/>
            </w:pPr>
            <w:r>
              <w:rPr/>
              <w:t>6.7</w:t>
            </w:r>
          </w:p>
        </w:tc>
        <w:tc>
          <w:tcPr>
            <w:tcW w:w="324" w:type="dxa"/>
            <w:tcBorders/>
            <w:shd w:fill="auto" w:val="clear"/>
            <w:vAlign w:val="bottom"/>
          </w:tcPr>
          <w:p>
            <w:pPr>
              <w:pStyle w:val="TableContents"/>
              <w:spacing w:before="0" w:after="283"/>
              <w:rPr/>
            </w:pPr>
            <w:r>
              <w:rPr/>
              <w:t>%</w:t>
            </w:r>
          </w:p>
        </w:tc>
        <w:tc>
          <w:tcPr>
            <w:tcW w:w="20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654" w:type="dxa"/>
            <w:tcBorders/>
            <w:shd w:fill="auto" w:val="clear"/>
            <w:vAlign w:val="bottom"/>
          </w:tcPr>
          <w:p>
            <w:pPr>
              <w:pStyle w:val="TableContents"/>
              <w:spacing w:before="0" w:after="283"/>
              <w:jc w:val="right"/>
              <w:rPr/>
            </w:pPr>
            <w:r>
              <w:rPr/>
              <w:t>5.4</w:t>
            </w:r>
          </w:p>
        </w:tc>
        <w:tc>
          <w:tcPr>
            <w:tcW w:w="328"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right"/>
              <w:rPr/>
            </w:pPr>
            <w:r>
              <w:rPr/>
              <w:t> </w:t>
            </w:r>
          </w:p>
        </w:tc>
        <w:tc>
          <w:tcPr>
            <w:tcW w:w="693" w:type="dxa"/>
            <w:tcBorders/>
            <w:shd w:fill="auto" w:val="clear"/>
            <w:vAlign w:val="bottom"/>
          </w:tcPr>
          <w:p>
            <w:pPr>
              <w:pStyle w:val="TableContents"/>
              <w:spacing w:before="0" w:after="283"/>
              <w:jc w:val="right"/>
              <w:rPr/>
            </w:pPr>
            <w:r>
              <w:rPr/>
              <w:t>7.5</w:t>
            </w:r>
          </w:p>
        </w:tc>
        <w:tc>
          <w:tcPr>
            <w:tcW w:w="293" w:type="dxa"/>
            <w:tcBorders/>
            <w:shd w:fill="auto" w:val="clear"/>
            <w:vAlign w:val="bottom"/>
          </w:tcPr>
          <w:p>
            <w:pPr>
              <w:pStyle w:val="TableContents"/>
              <w:spacing w:before="0" w:after="283"/>
              <w:rPr/>
            </w:pPr>
            <w:r>
              <w:rPr/>
              <w:t>%</w:t>
            </w:r>
          </w:p>
        </w:tc>
        <w:tc>
          <w:tcPr>
            <w:tcW w:w="19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right"/>
              <w:rPr/>
            </w:pPr>
            <w:r>
              <w:rPr/>
              <w:t> </w:t>
            </w:r>
          </w:p>
        </w:tc>
        <w:tc>
          <w:tcPr>
            <w:tcW w:w="693" w:type="dxa"/>
            <w:tcBorders/>
            <w:shd w:fill="auto" w:val="clear"/>
            <w:vAlign w:val="bottom"/>
          </w:tcPr>
          <w:p>
            <w:pPr>
              <w:pStyle w:val="TableContents"/>
              <w:spacing w:before="0" w:after="283"/>
              <w:jc w:val="right"/>
              <w:rPr/>
            </w:pPr>
            <w:r>
              <w:rPr/>
              <w:t>6.9</w:t>
            </w:r>
          </w:p>
        </w:tc>
        <w:tc>
          <w:tcPr>
            <w:tcW w:w="316"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$0.5 million, or 9.5%, for the three months ended July 31, 2006, when compared to the same period for fiscal 2005. This increase was primarily related to higher corporate costs, including, but not limited to, an increase in employee compensation expenses (totaling approximately $0.3 million) and an increase in stock based compensation (totaling approximately $0.3 million). For the first nine months ended July 31, 2006, when compared to the same prior year period, selling, general and administrative expenses increased by $1.1 million, or 8.4%. This increase was primarily related to higher corporate costs, including, but not limited to, an increase in employee compensation expenses (totaling approximately $0.6 million) and an increase in stock based compensation (totaling approximately $0.5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Income (expense),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253"/>
        <w:gridCol w:w="210"/>
        <w:gridCol w:w="237"/>
        <w:gridCol w:w="506"/>
        <w:gridCol w:w="394"/>
        <w:gridCol w:w="214"/>
        <w:gridCol w:w="153"/>
        <w:gridCol w:w="695"/>
        <w:gridCol w:w="394"/>
        <w:gridCol w:w="214"/>
        <w:gridCol w:w="237"/>
        <w:gridCol w:w="427"/>
        <w:gridCol w:w="321"/>
        <w:gridCol w:w="210"/>
        <w:gridCol w:w="225"/>
        <w:gridCol w:w="466"/>
        <w:gridCol w:w="369"/>
        <w:gridCol w:w="210"/>
        <w:gridCol w:w="149"/>
        <w:gridCol w:w="639"/>
        <w:gridCol w:w="369"/>
        <w:gridCol w:w="210"/>
        <w:gridCol w:w="224"/>
        <w:gridCol w:w="567"/>
        <w:gridCol w:w="312"/>
      </w:tblGrid>
      <w:tr>
        <w:trPr/>
        <w:tc>
          <w:tcPr>
            <w:tcW w:w="225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r>
      <w:tr>
        <w:trPr/>
        <w:tc>
          <w:tcPr>
            <w:tcW w:w="225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792"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10" w:type="dxa"/>
            <w:tcBorders/>
            <w:shd w:fill="auto" w:val="clear"/>
            <w:vAlign w:val="bottom"/>
          </w:tcPr>
          <w:p>
            <w:pPr>
              <w:pStyle w:val="TableContents"/>
              <w:spacing w:before="0" w:after="283"/>
              <w:rPr/>
            </w:pPr>
            <w:r>
              <w:rPr/>
              <w:t> </w:t>
            </w:r>
          </w:p>
        </w:tc>
        <w:tc>
          <w:tcPr>
            <w:tcW w:w="3740"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253"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10" w:type="dxa"/>
            <w:tcBorders/>
            <w:shd w:fill="auto" w:val="clear"/>
            <w:vAlign w:val="bottom"/>
          </w:tcPr>
          <w:p>
            <w:pPr>
              <w:pStyle w:val="TableContents"/>
              <w:spacing w:before="0" w:after="283"/>
              <w:rPr/>
            </w:pPr>
            <w:r>
              <w:rPr/>
              <w:t> </w:t>
            </w:r>
          </w:p>
        </w:tc>
        <w:tc>
          <w:tcPr>
            <w:tcW w:w="113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4" w:type="dxa"/>
            <w:tcBorders/>
            <w:shd w:fill="auto" w:val="clear"/>
            <w:vAlign w:val="bottom"/>
          </w:tcPr>
          <w:p>
            <w:pPr>
              <w:pStyle w:val="TableContents"/>
              <w:spacing w:before="0" w:after="283"/>
              <w:rPr/>
            </w:pPr>
            <w:r>
              <w:rPr/>
              <w:t> </w:t>
            </w:r>
          </w:p>
        </w:tc>
        <w:tc>
          <w:tcPr>
            <w:tcW w:w="124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4" w:type="dxa"/>
            <w:tcBorders/>
            <w:shd w:fill="auto" w:val="clear"/>
            <w:vAlign w:val="bottom"/>
          </w:tcPr>
          <w:p>
            <w:pPr>
              <w:pStyle w:val="TableContents"/>
              <w:spacing w:before="0" w:after="283"/>
              <w:rPr/>
            </w:pPr>
            <w:r>
              <w:rPr/>
              <w:t> </w:t>
            </w:r>
          </w:p>
        </w:tc>
        <w:tc>
          <w:tcPr>
            <w:tcW w:w="98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10" w:type="dxa"/>
            <w:tcBorders/>
            <w:shd w:fill="auto" w:val="clear"/>
            <w:vAlign w:val="bottom"/>
          </w:tcPr>
          <w:p>
            <w:pPr>
              <w:pStyle w:val="TableContents"/>
              <w:spacing w:before="0" w:after="283"/>
              <w:rPr/>
            </w:pPr>
            <w:r>
              <w:rPr/>
              <w:t> </w:t>
            </w:r>
          </w:p>
        </w:tc>
        <w:tc>
          <w:tcPr>
            <w:tcW w:w="106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0" w:type="dxa"/>
            <w:tcBorders/>
            <w:shd w:fill="auto" w:val="clear"/>
            <w:vAlign w:val="bottom"/>
          </w:tcPr>
          <w:p>
            <w:pPr>
              <w:pStyle w:val="TableContents"/>
              <w:spacing w:before="0" w:after="283"/>
              <w:rPr/>
            </w:pPr>
            <w:r>
              <w:rPr/>
              <w:t> </w:t>
            </w:r>
          </w:p>
        </w:tc>
        <w:tc>
          <w:tcPr>
            <w:tcW w:w="115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0" w:type="dxa"/>
            <w:tcBorders/>
            <w:shd w:fill="auto" w:val="clear"/>
            <w:vAlign w:val="bottom"/>
          </w:tcPr>
          <w:p>
            <w:pPr>
              <w:pStyle w:val="TableContents"/>
              <w:spacing w:before="0" w:after="283"/>
              <w:rPr/>
            </w:pPr>
            <w:r>
              <w:rPr/>
              <w:t> </w:t>
            </w:r>
          </w:p>
        </w:tc>
        <w:tc>
          <w:tcPr>
            <w:tcW w:w="110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253" w:type="dxa"/>
            <w:tcBorders/>
            <w:shd w:fill="auto" w:val="clear"/>
            <w:vAlign w:val="bottom"/>
          </w:tcPr>
          <w:p>
            <w:pPr>
              <w:pStyle w:val="TableContents"/>
              <w:spacing w:before="0" w:after="0"/>
              <w:ind w:left="225" w:right="0" w:hanging="225"/>
              <w:rPr/>
            </w:pPr>
            <w:r>
              <w:rPr/>
              <w:t>Other income (expense), net</w:t>
            </w:r>
          </w:p>
        </w:tc>
        <w:tc>
          <w:tcPr>
            <w:tcW w:w="21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w:t>
            </w:r>
          </w:p>
        </w:tc>
        <w:tc>
          <w:tcPr>
            <w:tcW w:w="506" w:type="dxa"/>
            <w:tcBorders/>
            <w:shd w:fill="auto" w:val="clear"/>
            <w:vAlign w:val="bottom"/>
          </w:tcPr>
          <w:p>
            <w:pPr>
              <w:pStyle w:val="TableContents"/>
              <w:spacing w:before="0" w:after="283"/>
              <w:jc w:val="right"/>
              <w:rPr/>
            </w:pPr>
            <w:r>
              <w:rPr/>
              <w:t>(136</w:t>
            </w:r>
          </w:p>
        </w:tc>
        <w:tc>
          <w:tcPr>
            <w:tcW w:w="39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right"/>
              <w:rPr/>
            </w:pPr>
            <w:r>
              <w:rPr/>
              <w:t> </w:t>
            </w:r>
          </w:p>
        </w:tc>
        <w:tc>
          <w:tcPr>
            <w:tcW w:w="695" w:type="dxa"/>
            <w:tcBorders/>
            <w:shd w:fill="auto" w:val="clear"/>
            <w:vAlign w:val="bottom"/>
          </w:tcPr>
          <w:p>
            <w:pPr>
              <w:pStyle w:val="TableContents"/>
              <w:spacing w:before="0" w:after="283"/>
              <w:jc w:val="right"/>
              <w:rPr/>
            </w:pPr>
            <w:r>
              <w:rPr/>
              <w:t>(188.9</w:t>
            </w:r>
          </w:p>
        </w:tc>
        <w:tc>
          <w:tcPr>
            <w:tcW w:w="39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w:t>
            </w:r>
          </w:p>
        </w:tc>
        <w:tc>
          <w:tcPr>
            <w:tcW w:w="427" w:type="dxa"/>
            <w:tcBorders/>
            <w:shd w:fill="auto" w:val="clear"/>
            <w:vAlign w:val="bottom"/>
          </w:tcPr>
          <w:p>
            <w:pPr>
              <w:pStyle w:val="TableContents"/>
              <w:spacing w:before="0" w:after="283"/>
              <w:jc w:val="right"/>
              <w:rPr/>
            </w:pPr>
            <w:r>
              <w:rPr/>
              <w:t>153</w:t>
            </w:r>
          </w:p>
        </w:tc>
        <w:tc>
          <w:tcPr>
            <w:tcW w:w="32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right"/>
              <w:rPr/>
            </w:pPr>
            <w:r>
              <w:rPr/>
              <w:t>$</w:t>
            </w:r>
          </w:p>
        </w:tc>
        <w:tc>
          <w:tcPr>
            <w:tcW w:w="466" w:type="dxa"/>
            <w:tcBorders/>
            <w:shd w:fill="auto" w:val="clear"/>
            <w:vAlign w:val="bottom"/>
          </w:tcPr>
          <w:p>
            <w:pPr>
              <w:pStyle w:val="TableContents"/>
              <w:spacing w:before="0" w:after="283"/>
              <w:jc w:val="right"/>
              <w:rPr/>
            </w:pPr>
            <w:r>
              <w:rPr/>
              <w:t>(201</w:t>
            </w:r>
          </w:p>
        </w:tc>
        <w:tc>
          <w:tcPr>
            <w:tcW w:w="369" w:type="dxa"/>
            <w:tcBorders/>
            <w:shd w:fill="auto" w:val="clear"/>
            <w:vAlign w:val="bottom"/>
          </w:tcPr>
          <w:p>
            <w:pPr>
              <w:pStyle w:val="TableContents"/>
              <w:spacing w:before="0" w:after="283"/>
              <w:rPr/>
            </w:pPr>
            <w:r>
              <w:rPr/>
              <w:t>)</w:t>
            </w:r>
          </w:p>
        </w:tc>
        <w:tc>
          <w:tcPr>
            <w:tcW w:w="2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right"/>
              <w:rPr/>
            </w:pPr>
            <w:r>
              <w:rPr/>
              <w:t> </w:t>
            </w:r>
          </w:p>
        </w:tc>
        <w:tc>
          <w:tcPr>
            <w:tcW w:w="639" w:type="dxa"/>
            <w:tcBorders/>
            <w:shd w:fill="auto" w:val="clear"/>
            <w:vAlign w:val="bottom"/>
          </w:tcPr>
          <w:p>
            <w:pPr>
              <w:pStyle w:val="TableContents"/>
              <w:spacing w:before="0" w:after="283"/>
              <w:jc w:val="right"/>
              <w:rPr/>
            </w:pPr>
            <w:r>
              <w:rPr/>
              <w:t>(109.4</w:t>
            </w:r>
          </w:p>
        </w:tc>
        <w:tc>
          <w:tcPr>
            <w:tcW w:w="369" w:type="dxa"/>
            <w:tcBorders/>
            <w:shd w:fill="auto" w:val="clear"/>
            <w:vAlign w:val="bottom"/>
          </w:tcPr>
          <w:p>
            <w:pPr>
              <w:pStyle w:val="TableContents"/>
              <w:spacing w:before="0" w:after="283"/>
              <w:rPr/>
            </w:pPr>
            <w:r>
              <w:rPr/>
              <w:t>)%</w:t>
            </w:r>
          </w:p>
        </w:tc>
        <w:tc>
          <w:tcPr>
            <w:tcW w:w="21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right"/>
              <w:rPr/>
            </w:pPr>
            <w:r>
              <w:rPr/>
              <w:t>$</w:t>
            </w:r>
          </w:p>
        </w:tc>
        <w:tc>
          <w:tcPr>
            <w:tcW w:w="567" w:type="dxa"/>
            <w:tcBorders/>
            <w:shd w:fill="auto" w:val="clear"/>
            <w:vAlign w:val="bottom"/>
          </w:tcPr>
          <w:p>
            <w:pPr>
              <w:pStyle w:val="TableContents"/>
              <w:spacing w:before="0" w:after="283"/>
              <w:jc w:val="right"/>
              <w:rPr/>
            </w:pPr>
            <w:r>
              <w:rPr/>
              <w:t>2,144</w:t>
            </w:r>
          </w:p>
        </w:tc>
        <w:tc>
          <w:tcPr>
            <w:tcW w:w="312" w:type="dxa"/>
            <w:tcBorders/>
            <w:shd w:fill="auto" w:val="clear"/>
            <w:vAlign w:val="bottom"/>
          </w:tcPr>
          <w:p>
            <w:pPr>
              <w:pStyle w:val="TableContents"/>
              <w:spacing w:before="0" w:after="283"/>
              <w:rPr/>
            </w:pPr>
            <w:r>
              <w:rPr/>
              <w:t> </w:t>
            </w:r>
          </w:p>
        </w:tc>
      </w:tr>
      <w:tr>
        <w:trPr/>
        <w:tc>
          <w:tcPr>
            <w:tcW w:w="2253" w:type="dxa"/>
            <w:tcBorders/>
            <w:shd w:fill="auto" w:val="clear"/>
            <w:vAlign w:val="bottom"/>
          </w:tcPr>
          <w:p>
            <w:pPr>
              <w:pStyle w:val="TableContents"/>
              <w:spacing w:before="0" w:after="0"/>
              <w:ind w:left="225" w:right="0" w:hanging="225"/>
              <w:rPr/>
            </w:pPr>
            <w:r>
              <w:rPr/>
              <w:t>Percentage of net sales</w:t>
            </w:r>
          </w:p>
        </w:tc>
        <w:tc>
          <w:tcPr>
            <w:tcW w:w="21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 </w:t>
            </w:r>
          </w:p>
        </w:tc>
        <w:tc>
          <w:tcPr>
            <w:tcW w:w="506" w:type="dxa"/>
            <w:tcBorders/>
            <w:shd w:fill="auto" w:val="clear"/>
            <w:vAlign w:val="bottom"/>
          </w:tcPr>
          <w:p>
            <w:pPr>
              <w:pStyle w:val="TableContents"/>
              <w:spacing w:before="0" w:after="283"/>
              <w:jc w:val="right"/>
              <w:rPr/>
            </w:pPr>
            <w:r>
              <w:rPr/>
              <w:t>(0.2</w:t>
            </w:r>
          </w:p>
        </w:tc>
        <w:tc>
          <w:tcPr>
            <w:tcW w:w="394" w:type="dxa"/>
            <w:tcBorders/>
            <w:shd w:fill="auto" w:val="clear"/>
            <w:vAlign w:val="bottom"/>
          </w:tcPr>
          <w:p>
            <w:pPr>
              <w:pStyle w:val="TableContents"/>
              <w:spacing w:before="0" w:after="283"/>
              <w:rPr/>
            </w:pPr>
            <w:r>
              <w:rPr/>
              <w:t>)%</w:t>
            </w:r>
          </w:p>
        </w:tc>
        <w:tc>
          <w:tcPr>
            <w:tcW w:w="21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 </w:t>
            </w:r>
          </w:p>
        </w:tc>
        <w:tc>
          <w:tcPr>
            <w:tcW w:w="427" w:type="dxa"/>
            <w:tcBorders/>
            <w:shd w:fill="auto" w:val="clear"/>
            <w:vAlign w:val="bottom"/>
          </w:tcPr>
          <w:p>
            <w:pPr>
              <w:pStyle w:val="TableContents"/>
              <w:spacing w:before="0" w:after="283"/>
              <w:jc w:val="right"/>
              <w:rPr/>
            </w:pPr>
            <w:r>
              <w:rPr/>
              <w:t>0.2</w:t>
            </w:r>
          </w:p>
        </w:tc>
        <w:tc>
          <w:tcPr>
            <w:tcW w:w="321" w:type="dxa"/>
            <w:tcBorders/>
            <w:shd w:fill="auto" w:val="clear"/>
            <w:vAlign w:val="bottom"/>
          </w:tcPr>
          <w:p>
            <w:pPr>
              <w:pStyle w:val="TableContents"/>
              <w:spacing w:before="0" w:after="283"/>
              <w:rPr/>
            </w:pPr>
            <w:r>
              <w:rPr/>
              <w:t>%</w:t>
            </w:r>
          </w:p>
        </w:tc>
        <w:tc>
          <w:tcPr>
            <w:tcW w:w="2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right"/>
              <w:rPr/>
            </w:pPr>
            <w:r>
              <w:rPr/>
              <w:t> </w:t>
            </w:r>
          </w:p>
        </w:tc>
        <w:tc>
          <w:tcPr>
            <w:tcW w:w="466" w:type="dxa"/>
            <w:tcBorders/>
            <w:shd w:fill="auto" w:val="clear"/>
            <w:vAlign w:val="bottom"/>
          </w:tcPr>
          <w:p>
            <w:pPr>
              <w:pStyle w:val="TableContents"/>
              <w:spacing w:before="0" w:after="283"/>
              <w:jc w:val="right"/>
              <w:rPr/>
            </w:pPr>
            <w:r>
              <w:rPr/>
              <w:t>(0.1</w:t>
            </w:r>
          </w:p>
        </w:tc>
        <w:tc>
          <w:tcPr>
            <w:tcW w:w="369" w:type="dxa"/>
            <w:tcBorders/>
            <w:shd w:fill="auto" w:val="clear"/>
            <w:vAlign w:val="bottom"/>
          </w:tcPr>
          <w:p>
            <w:pPr>
              <w:pStyle w:val="TableContents"/>
              <w:spacing w:before="0" w:after="283"/>
              <w:rPr/>
            </w:pPr>
            <w:r>
              <w:rPr/>
              <w:t>)%</w:t>
            </w:r>
          </w:p>
        </w:tc>
        <w:tc>
          <w:tcPr>
            <w:tcW w:w="21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right"/>
              <w:rPr/>
            </w:pPr>
            <w:r>
              <w:rPr/>
              <w:t> </w:t>
            </w:r>
          </w:p>
        </w:tc>
        <w:tc>
          <w:tcPr>
            <w:tcW w:w="567" w:type="dxa"/>
            <w:tcBorders/>
            <w:shd w:fill="auto" w:val="clear"/>
            <w:vAlign w:val="bottom"/>
          </w:tcPr>
          <w:p>
            <w:pPr>
              <w:pStyle w:val="TableContents"/>
              <w:spacing w:before="0" w:after="283"/>
              <w:jc w:val="right"/>
              <w:rPr/>
            </w:pPr>
            <w:r>
              <w:rPr/>
              <w:t>1.1</w:t>
            </w:r>
          </w:p>
        </w:tc>
        <w:tc>
          <w:tcPr>
            <w:tcW w:w="312"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Other income (expense), net, includes interest income and expense generated in connection with our financing and operating activities, as well as certain other transactions that are outside of the course of normal operations. For the three and nine months ended July 31, 2006, other income (expense), net includes dividends from Limoneira totaling $0.2 million and $0.1 million. For the nine months ended July 31, 2005, other income (expense), net, includes the gain on the sale of our corporate facility totaling approximately $1.7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Provision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254"/>
        <w:gridCol w:w="211"/>
        <w:gridCol w:w="241"/>
        <w:gridCol w:w="627"/>
        <w:gridCol w:w="321"/>
        <w:gridCol w:w="216"/>
        <w:gridCol w:w="156"/>
        <w:gridCol w:w="509"/>
        <w:gridCol w:w="327"/>
        <w:gridCol w:w="216"/>
        <w:gridCol w:w="241"/>
        <w:gridCol w:w="627"/>
        <w:gridCol w:w="325"/>
        <w:gridCol w:w="211"/>
        <w:gridCol w:w="233"/>
        <w:gridCol w:w="599"/>
        <w:gridCol w:w="310"/>
        <w:gridCol w:w="213"/>
        <w:gridCol w:w="156"/>
        <w:gridCol w:w="509"/>
        <w:gridCol w:w="328"/>
        <w:gridCol w:w="213"/>
        <w:gridCol w:w="234"/>
        <w:gridCol w:w="598"/>
        <w:gridCol w:w="330"/>
      </w:tblGrid>
      <w:tr>
        <w:trPr/>
        <w:tc>
          <w:tcPr>
            <w:tcW w:w="225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225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80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11" w:type="dxa"/>
            <w:tcBorders/>
            <w:shd w:fill="auto" w:val="clear"/>
            <w:vAlign w:val="bottom"/>
          </w:tcPr>
          <w:p>
            <w:pPr>
              <w:pStyle w:val="TableContents"/>
              <w:spacing w:before="0" w:after="283"/>
              <w:rPr/>
            </w:pPr>
            <w:r>
              <w:rPr/>
              <w:t> </w:t>
            </w:r>
          </w:p>
        </w:tc>
        <w:tc>
          <w:tcPr>
            <w:tcW w:w="3723"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254"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11" w:type="dxa"/>
            <w:tcBorders/>
            <w:shd w:fill="auto" w:val="clear"/>
            <w:vAlign w:val="bottom"/>
          </w:tcPr>
          <w:p>
            <w:pPr>
              <w:pStyle w:val="TableContents"/>
              <w:spacing w:before="0" w:after="283"/>
              <w:rPr/>
            </w:pPr>
            <w:r>
              <w:rPr/>
              <w:t> </w:t>
            </w:r>
          </w:p>
        </w:tc>
        <w:tc>
          <w:tcPr>
            <w:tcW w:w="118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6" w:type="dxa"/>
            <w:tcBorders/>
            <w:shd w:fill="auto" w:val="clear"/>
            <w:vAlign w:val="bottom"/>
          </w:tcPr>
          <w:p>
            <w:pPr>
              <w:pStyle w:val="TableContents"/>
              <w:spacing w:before="0" w:after="283"/>
              <w:rPr/>
            </w:pPr>
            <w:r>
              <w:rPr/>
              <w:t> </w:t>
            </w:r>
          </w:p>
        </w:tc>
        <w:tc>
          <w:tcPr>
            <w:tcW w:w="99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6" w:type="dxa"/>
            <w:tcBorders/>
            <w:shd w:fill="auto" w:val="clear"/>
            <w:vAlign w:val="bottom"/>
          </w:tcPr>
          <w:p>
            <w:pPr>
              <w:pStyle w:val="TableContents"/>
              <w:spacing w:before="0" w:after="283"/>
              <w:rPr/>
            </w:pPr>
            <w:r>
              <w:rPr/>
              <w:t> </w:t>
            </w:r>
          </w:p>
        </w:tc>
        <w:tc>
          <w:tcPr>
            <w:tcW w:w="119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11" w:type="dxa"/>
            <w:tcBorders/>
            <w:shd w:fill="auto" w:val="clear"/>
            <w:vAlign w:val="bottom"/>
          </w:tcPr>
          <w:p>
            <w:pPr>
              <w:pStyle w:val="TableContents"/>
              <w:spacing w:before="0" w:after="283"/>
              <w:rPr/>
            </w:pPr>
            <w:r>
              <w:rPr/>
              <w:t> </w:t>
            </w:r>
          </w:p>
        </w:tc>
        <w:tc>
          <w:tcPr>
            <w:tcW w:w="114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3" w:type="dxa"/>
            <w:tcBorders/>
            <w:shd w:fill="auto" w:val="clear"/>
            <w:vAlign w:val="bottom"/>
          </w:tcPr>
          <w:p>
            <w:pPr>
              <w:pStyle w:val="TableContents"/>
              <w:spacing w:before="0" w:after="283"/>
              <w:rPr/>
            </w:pPr>
            <w:r>
              <w:rPr/>
              <w:t> </w:t>
            </w:r>
          </w:p>
        </w:tc>
        <w:tc>
          <w:tcPr>
            <w:tcW w:w="99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3" w:type="dxa"/>
            <w:tcBorders/>
            <w:shd w:fill="auto" w:val="clear"/>
            <w:vAlign w:val="bottom"/>
          </w:tcPr>
          <w:p>
            <w:pPr>
              <w:pStyle w:val="TableContents"/>
              <w:spacing w:before="0" w:after="283"/>
              <w:rPr/>
            </w:pPr>
            <w:r>
              <w:rPr/>
              <w:t>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254" w:type="dxa"/>
            <w:tcBorders/>
            <w:shd w:fill="auto" w:val="clear"/>
            <w:vAlign w:val="bottom"/>
          </w:tcPr>
          <w:p>
            <w:pPr>
              <w:pStyle w:val="TableContents"/>
              <w:spacing w:before="0" w:after="0"/>
              <w:ind w:left="225" w:right="0" w:hanging="225"/>
              <w:rPr/>
            </w:pPr>
            <w:r>
              <w:rPr/>
              <w:t>Provision for income taxes</w:t>
            </w:r>
          </w:p>
        </w:tc>
        <w:tc>
          <w:tcPr>
            <w:tcW w:w="21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right"/>
              <w:rPr/>
            </w:pPr>
            <w:r>
              <w:rPr/>
              <w:t>$</w:t>
            </w:r>
          </w:p>
        </w:tc>
        <w:tc>
          <w:tcPr>
            <w:tcW w:w="627" w:type="dxa"/>
            <w:tcBorders/>
            <w:shd w:fill="auto" w:val="clear"/>
            <w:vAlign w:val="bottom"/>
          </w:tcPr>
          <w:p>
            <w:pPr>
              <w:pStyle w:val="TableContents"/>
              <w:spacing w:before="0" w:after="283"/>
              <w:jc w:val="right"/>
              <w:rPr/>
            </w:pPr>
            <w:r>
              <w:rPr/>
              <w:t>1,870</w:t>
            </w:r>
          </w:p>
        </w:tc>
        <w:tc>
          <w:tcPr>
            <w:tcW w:w="32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right"/>
              <w:rPr/>
            </w:pPr>
            <w:r>
              <w:rPr/>
              <w:t> </w:t>
            </w:r>
          </w:p>
        </w:tc>
        <w:tc>
          <w:tcPr>
            <w:tcW w:w="509" w:type="dxa"/>
            <w:tcBorders/>
            <w:shd w:fill="auto" w:val="clear"/>
            <w:vAlign w:val="bottom"/>
          </w:tcPr>
          <w:p>
            <w:pPr>
              <w:pStyle w:val="TableContents"/>
              <w:spacing w:before="0" w:after="283"/>
              <w:jc w:val="right"/>
              <w:rPr/>
            </w:pPr>
            <w:r>
              <w:rPr/>
              <w:t>16.7</w:t>
            </w:r>
          </w:p>
        </w:tc>
        <w:tc>
          <w:tcPr>
            <w:tcW w:w="327" w:type="dxa"/>
            <w:tcBorders/>
            <w:shd w:fill="auto" w:val="clear"/>
            <w:vAlign w:val="bottom"/>
          </w:tcPr>
          <w:p>
            <w:pPr>
              <w:pStyle w:val="TableContents"/>
              <w:spacing w:before="0" w:after="283"/>
              <w:rPr/>
            </w:pPr>
            <w:r>
              <w:rPr/>
              <w:t>%</w:t>
            </w:r>
          </w:p>
        </w:tc>
        <w:tc>
          <w:tcPr>
            <w:tcW w:w="2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right"/>
              <w:rPr/>
            </w:pPr>
            <w:r>
              <w:rPr/>
              <w:t>$</w:t>
            </w:r>
          </w:p>
        </w:tc>
        <w:tc>
          <w:tcPr>
            <w:tcW w:w="627" w:type="dxa"/>
            <w:tcBorders/>
            <w:shd w:fill="auto" w:val="clear"/>
            <w:vAlign w:val="bottom"/>
          </w:tcPr>
          <w:p>
            <w:pPr>
              <w:pStyle w:val="TableContents"/>
              <w:spacing w:before="0" w:after="283"/>
              <w:jc w:val="right"/>
              <w:rPr/>
            </w:pPr>
            <w:r>
              <w:rPr/>
              <w:t>1,603</w:t>
            </w:r>
          </w:p>
        </w:tc>
        <w:tc>
          <w:tcPr>
            <w:tcW w:w="3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w:t>
            </w:r>
          </w:p>
        </w:tc>
        <w:tc>
          <w:tcPr>
            <w:tcW w:w="599" w:type="dxa"/>
            <w:tcBorders/>
            <w:shd w:fill="auto" w:val="clear"/>
            <w:vAlign w:val="bottom"/>
          </w:tcPr>
          <w:p>
            <w:pPr>
              <w:pStyle w:val="TableContents"/>
              <w:spacing w:before="0" w:after="283"/>
              <w:jc w:val="right"/>
              <w:rPr/>
            </w:pPr>
            <w:r>
              <w:rPr/>
              <w:t>2,845</w:t>
            </w:r>
          </w:p>
        </w:tc>
        <w:tc>
          <w:tcPr>
            <w:tcW w:w="31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right"/>
              <w:rPr/>
            </w:pPr>
            <w:r>
              <w:rPr/>
              <w:t> </w:t>
            </w:r>
          </w:p>
        </w:tc>
        <w:tc>
          <w:tcPr>
            <w:tcW w:w="509" w:type="dxa"/>
            <w:tcBorders/>
            <w:shd w:fill="auto" w:val="clear"/>
            <w:vAlign w:val="bottom"/>
          </w:tcPr>
          <w:p>
            <w:pPr>
              <w:pStyle w:val="TableContents"/>
              <w:spacing w:before="0" w:after="283"/>
              <w:jc w:val="right"/>
              <w:rPr/>
            </w:pPr>
            <w:r>
              <w:rPr/>
              <w:t>31.7</w:t>
            </w:r>
          </w:p>
        </w:tc>
        <w:tc>
          <w:tcPr>
            <w:tcW w:w="328"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pPr>
            <w:r>
              <w:rPr/>
              <w:t>$</w:t>
            </w:r>
          </w:p>
        </w:tc>
        <w:tc>
          <w:tcPr>
            <w:tcW w:w="598" w:type="dxa"/>
            <w:tcBorders/>
            <w:shd w:fill="auto" w:val="clear"/>
            <w:vAlign w:val="bottom"/>
          </w:tcPr>
          <w:p>
            <w:pPr>
              <w:pStyle w:val="TableContents"/>
              <w:spacing w:before="0" w:after="283"/>
              <w:jc w:val="right"/>
              <w:rPr/>
            </w:pPr>
            <w:r>
              <w:rPr/>
              <w:t>2,161</w:t>
            </w:r>
          </w:p>
        </w:tc>
        <w:tc>
          <w:tcPr>
            <w:tcW w:w="330" w:type="dxa"/>
            <w:tcBorders/>
            <w:shd w:fill="auto" w:val="clear"/>
            <w:vAlign w:val="bottom"/>
          </w:tcPr>
          <w:p>
            <w:pPr>
              <w:pStyle w:val="TableContents"/>
              <w:spacing w:before="0" w:after="283"/>
              <w:rPr/>
            </w:pPr>
            <w:r>
              <w:rPr/>
              <w:t> </w:t>
            </w:r>
          </w:p>
        </w:tc>
      </w:tr>
      <w:tr>
        <w:trPr/>
        <w:tc>
          <w:tcPr>
            <w:tcW w:w="2254" w:type="dxa"/>
            <w:tcBorders/>
            <w:shd w:fill="auto" w:val="clear"/>
            <w:vAlign w:val="bottom"/>
          </w:tcPr>
          <w:p>
            <w:pPr>
              <w:pStyle w:val="TableContents"/>
              <w:spacing w:before="0" w:after="0"/>
              <w:ind w:left="225" w:right="0" w:hanging="225"/>
              <w:rPr/>
            </w:pPr>
            <w:r>
              <w:rPr/>
              <w:t>Percentage of income before provision for income taxes</w:t>
            </w:r>
          </w:p>
        </w:tc>
        <w:tc>
          <w:tcPr>
            <w:tcW w:w="21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right"/>
              <w:rPr/>
            </w:pPr>
            <w:r>
              <w:rPr/>
              <w:t> </w:t>
            </w:r>
          </w:p>
        </w:tc>
        <w:tc>
          <w:tcPr>
            <w:tcW w:w="627" w:type="dxa"/>
            <w:tcBorders/>
            <w:shd w:fill="auto" w:val="clear"/>
            <w:vAlign w:val="bottom"/>
          </w:tcPr>
          <w:p>
            <w:pPr>
              <w:pStyle w:val="TableContents"/>
              <w:spacing w:before="0" w:after="283"/>
              <w:jc w:val="right"/>
              <w:rPr/>
            </w:pPr>
            <w:r>
              <w:rPr/>
              <w:t>39.0</w:t>
            </w:r>
          </w:p>
        </w:tc>
        <w:tc>
          <w:tcPr>
            <w:tcW w:w="321" w:type="dxa"/>
            <w:tcBorders/>
            <w:shd w:fill="auto" w:val="clear"/>
            <w:vAlign w:val="bottom"/>
          </w:tcPr>
          <w:p>
            <w:pPr>
              <w:pStyle w:val="TableContents"/>
              <w:spacing w:before="0" w:after="283"/>
              <w:rPr/>
            </w:pPr>
            <w:r>
              <w:rPr/>
              <w:t>%</w:t>
            </w:r>
          </w:p>
        </w:tc>
        <w:tc>
          <w:tcPr>
            <w:tcW w:w="21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right"/>
              <w:rPr/>
            </w:pPr>
            <w:r>
              <w:rPr/>
              <w:t> </w:t>
            </w:r>
          </w:p>
        </w:tc>
        <w:tc>
          <w:tcPr>
            <w:tcW w:w="627" w:type="dxa"/>
            <w:tcBorders/>
            <w:shd w:fill="auto" w:val="clear"/>
            <w:vAlign w:val="bottom"/>
          </w:tcPr>
          <w:p>
            <w:pPr>
              <w:pStyle w:val="TableContents"/>
              <w:spacing w:before="0" w:after="283"/>
              <w:jc w:val="right"/>
              <w:rPr/>
            </w:pPr>
            <w:r>
              <w:rPr/>
              <w:t>35.4</w:t>
            </w:r>
          </w:p>
        </w:tc>
        <w:tc>
          <w:tcPr>
            <w:tcW w:w="325"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 </w:t>
            </w:r>
          </w:p>
        </w:tc>
        <w:tc>
          <w:tcPr>
            <w:tcW w:w="599" w:type="dxa"/>
            <w:tcBorders/>
            <w:shd w:fill="auto" w:val="clear"/>
            <w:vAlign w:val="bottom"/>
          </w:tcPr>
          <w:p>
            <w:pPr>
              <w:pStyle w:val="TableContents"/>
              <w:spacing w:before="0" w:after="283"/>
              <w:jc w:val="right"/>
              <w:rPr/>
            </w:pPr>
            <w:r>
              <w:rPr/>
              <w:t>39.0</w:t>
            </w:r>
          </w:p>
        </w:tc>
        <w:tc>
          <w:tcPr>
            <w:tcW w:w="310"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pPr>
            <w:r>
              <w:rPr/>
              <w:t> </w:t>
            </w:r>
          </w:p>
        </w:tc>
        <w:tc>
          <w:tcPr>
            <w:tcW w:w="598" w:type="dxa"/>
            <w:tcBorders/>
            <w:shd w:fill="auto" w:val="clear"/>
            <w:vAlign w:val="bottom"/>
          </w:tcPr>
          <w:p>
            <w:pPr>
              <w:pStyle w:val="TableContents"/>
              <w:spacing w:before="0" w:after="283"/>
              <w:jc w:val="right"/>
              <w:rPr/>
            </w:pPr>
            <w:r>
              <w:rPr/>
              <w:t>36.0</w:t>
            </w:r>
          </w:p>
        </w:tc>
        <w:tc>
          <w:tcPr>
            <w:tcW w:w="330"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first nine months of fiscal 2006, our provision for income taxes was $2.8 million, as compared to $2.2 million recorded for the comparable prior year period. We expect our effective tax rate to approximate 39% during fiscal 2006. Such increase from the prior year is primarily related to changes in our foreign tax rate.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provided by operating activities was $8.0 million for the nine months ended July 31, 2006, compared to $4.0 million for the similar period in fiscal 2005. Operating cash flows for the nine months ended July 31, 2006 reflect our net income of $4.5 million, net non-cash charges (depreciation and amortization, stock compensation expense and provision for losses on accounts receivable) of $2.1 million and a net increase in the noncash components of our working capital of approximately $1.4 million. </w:t>
      </w:r>
    </w:p>
    <w:p>
      <w:pPr>
        <w:pStyle w:val="TextBody"/>
        <w:spacing w:before="120" w:after="283"/>
        <w:jc w:val="left"/>
        <w:rPr/>
      </w:pPr>
      <w:r>
        <w:rPr/>
        <w:t>     </w:t>
      </w:r>
      <w:r>
        <w:rPr>
          <w:rFonts w:ascii="Times New Roman;Times;serif" w:hAnsi="Times New Roman;Times;serif"/>
          <w:sz w:val="17"/>
        </w:rPr>
        <w:t xml:space="preserve">These working capital increases include an increase in payable to growers of $10.8 million, a decrease in advances to suppliers of $1.0 million, a decrease in income tax receivable of $1.0 million, an increase in income tax payable of $0.8 million, and an increase in trade accounts payable and accrued expenses of $0.4 million, partially offset by an increase in accounts receivable of $11.5 million, an increase in inventory of $0.7 million, and an increase in prepaid expenses and other current assets of $0.4 million. </w:t>
      </w:r>
    </w:p>
    <w:p>
      <w:pPr>
        <w:pStyle w:val="TextBody"/>
        <w:spacing w:before="120" w:after="283"/>
        <w:jc w:val="left"/>
        <w:rPr/>
      </w:pPr>
      <w:r>
        <w:rPr/>
        <w:t>     </w:t>
      </w:r>
      <w:r>
        <w:rPr>
          <w:rFonts w:ascii="Times New Roman;Times;serif" w:hAnsi="Times New Roman;Times;serif"/>
          <w:sz w:val="17"/>
        </w:rPr>
        <w:t xml:space="preserve">The increase in our accounts receivable balance, as of July 31, 2006, when compared to October 31, 2005, primarily reflects higher sales recorded in the month of July 2006, as compared to October 2005. The increase in payable to our growers primarily reflects an increase in fruit delivered in the month of July 2006, as compared to October 2005. Similar to the increase in payable to growers, the increase in inventory is also primarily related to an increase in fruit delivered in the month of July 2006, as compared to October 2005, but was partially offset by a decrease in finished processed foods, primarily driven by sales exceeding production during such time period. The decrease in income tax receivable and the increase in income tax payable primarily relates to income from operations through the nine months ended July 31, 2006. The decrease in advances to suppliers is primarily related to less outstanding advances to foreign avocado suppliers as of July 31, 2006, as compared to October 31, 2005. </w:t>
      </w:r>
    </w:p>
    <w:p>
      <w:pPr>
        <w:pStyle w:val="TextBody"/>
        <w:spacing w:before="120" w:after="283"/>
        <w:jc w:val="left"/>
        <w:rPr/>
      </w:pPr>
      <w:r>
        <w:rPr/>
        <w:t>     </w:t>
      </w:r>
      <w:r>
        <w:rPr>
          <w:rFonts w:ascii="Times New Roman;Times;serif" w:hAnsi="Times New Roman;Times;serif"/>
          <w:sz w:val="17"/>
        </w:rPr>
        <w:t xml:space="preserve">Cash used in investing activities was $2.7 million for the nine months ended July 31, 2006 and related principally to the purchase of property, plant and equipment items. </w:t>
      </w:r>
    </w:p>
    <w:p>
      <w:pPr>
        <w:pStyle w:val="TextBody"/>
        <w:spacing w:before="120" w:after="283"/>
        <w:jc w:val="left"/>
        <w:rPr/>
      </w:pPr>
      <w:r>
        <w:rPr/>
        <w:t>     </w:t>
      </w:r>
      <w:r>
        <w:rPr>
          <w:rFonts w:ascii="Times New Roman;Times;serif" w:hAnsi="Times New Roman;Times;serif"/>
          <w:sz w:val="17"/>
        </w:rPr>
        <w:t xml:space="preserve">Cash used in financing activities was $6.3 million for the nine months ended July 31, 2006, which related principally to the payment of a $4.6 million dividend, our first payment, totaling $1.3 million, related to our term loan agreement for the purchase of the Limoneira stock, and the retirement of common stock of $1.2 million. Such payments were partially offset, however, by $0.3 million of net borrowings from our lines of credit.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July 31, 2006 and October 31, 2005 totaled $0.1 million and $1.1 million. Our working capital at July 31, 2006 was $17.9 million, compared to $17.6 million at October 31, 2005. Overall working capital remained consistent from October 31, 2005. </w:t>
      </w:r>
    </w:p>
    <w:p>
      <w:pPr>
        <w:pStyle w:val="TextBody"/>
        <w:spacing w:before="120" w:after="283"/>
        <w:jc w:val="left"/>
        <w:rPr/>
      </w:pPr>
      <w:r>
        <w:rPr/>
        <w:t>     </w:t>
      </w:r>
      <w:r>
        <w:rPr>
          <w:rFonts w:ascii="Times New Roman;Times;serif" w:hAnsi="Times New Roman;Times;serif"/>
          <w:sz w:val="17"/>
        </w:rPr>
        <w:t xml:space="preserve">We continue to have success with our ProRipeVIP avocado ripening program. This proprietary program allows us to deliver avocados with desired degrees of ripeness to our customers. In conjunction with such program, we intend to not only invest in additional Aweta AFS (acoustic firmness sensor) technology and equipment, but also expand our refrigeration and storage capabilities. Total estimated capital required related to our current expansion plans totals approximately $2.8 million. We are currently negotiating long-term financing for substantially all of the capital required. No assurances can be provided, however, that such financing will be available at favorable terms, if any at all. </w:t>
      </w:r>
    </w:p>
    <w:p>
      <w:pPr>
        <w:pStyle w:val="TextBody"/>
        <w:spacing w:before="120" w:after="283"/>
        <w:jc w:val="left"/>
        <w:rPr/>
      </w:pPr>
      <w:r>
        <w:rPr/>
        <w:t>     </w:t>
      </w:r>
      <w:r>
        <w:rPr>
          <w:rFonts w:ascii="Times New Roman;Times;serif" w:hAnsi="Times New Roman;Times;serif"/>
          <w:sz w:val="17"/>
        </w:rPr>
        <w:t xml:space="preserve">We believe that cash flows from operations, available credit facilities, and expected long-term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February 2007 and April 2008 and are with separate banks. Under the terms of these agreements, we are advanced funds for working capital purposes. Total credit available under the combined short-term borrowing agreements was $24 million, with a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weighted-average interest rate of 6.3% and 4.8% at July 31, 2006 and October 31, 2005. Under these credit facilities, we had $1.8 million and $1.4 million outstanding as of July 31, 2006 and October 31, 2005. The credit facilities contain various financial covenants with which we were in compliance at July 31, 2006. The most significant financial covenants relate to working capital, tangible net worth (as defined), and Earnings Before Interest, Taxes, Depreciation and Amortization (EBITDA) (as defined) requirements.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summarizes contractual obligations pursuant to which we are required to make cash payments (in thousands): </w:t>
      </w:r>
    </w:p>
    <w:tbl>
      <w:tblPr>
        <w:tblW w:w="5000" w:type="pct"/>
        <w:jc w:val="center"/>
        <w:tblInd w:w="0" w:type="dxa"/>
        <w:tblCellMar>
          <w:top w:w="0" w:type="dxa"/>
          <w:left w:w="0" w:type="dxa"/>
          <w:bottom w:w="0" w:type="dxa"/>
          <w:right w:w="0" w:type="dxa"/>
        </w:tblCellMar>
      </w:tblPr>
      <w:tblGrid>
        <w:gridCol w:w="2856"/>
        <w:gridCol w:w="116"/>
        <w:gridCol w:w="147"/>
        <w:gridCol w:w="717"/>
        <w:gridCol w:w="69"/>
        <w:gridCol w:w="116"/>
        <w:gridCol w:w="290"/>
        <w:gridCol w:w="1414"/>
        <w:gridCol w:w="69"/>
        <w:gridCol w:w="116"/>
        <w:gridCol w:w="193"/>
        <w:gridCol w:w="783"/>
        <w:gridCol w:w="69"/>
        <w:gridCol w:w="116"/>
        <w:gridCol w:w="192"/>
        <w:gridCol w:w="783"/>
        <w:gridCol w:w="69"/>
        <w:gridCol w:w="116"/>
        <w:gridCol w:w="376"/>
        <w:gridCol w:w="1517"/>
        <w:gridCol w:w="81"/>
      </w:tblGrid>
      <w:tr>
        <w:trPr/>
        <w:tc>
          <w:tcPr>
            <w:tcW w:w="285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85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103"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Payments due by period</w:t>
            </w:r>
          </w:p>
        </w:tc>
        <w:tc>
          <w:tcPr>
            <w:tcW w:w="81" w:type="dxa"/>
            <w:tcBorders/>
            <w:shd w:fill="auto" w:val="clear"/>
            <w:vAlign w:val="bottom"/>
          </w:tcPr>
          <w:p>
            <w:pPr>
              <w:pStyle w:val="TableContents"/>
              <w:spacing w:before="0" w:after="283"/>
              <w:rPr/>
            </w:pPr>
            <w:r>
              <w:rPr/>
              <w:t> </w:t>
            </w:r>
          </w:p>
        </w:tc>
      </w:tr>
      <w:tr>
        <w:trPr/>
        <w:tc>
          <w:tcPr>
            <w:tcW w:w="2856" w:type="dxa"/>
            <w:tcBorders>
              <w:bottom w:val="single" w:sz="2" w:space="0" w:color="000000"/>
            </w:tcBorders>
            <w:shd w:fill="auto" w:val="clear"/>
            <w:tcMar>
              <w:bottom w:w="28" w:type="dxa"/>
            </w:tcMar>
            <w:vAlign w:val="bottom"/>
          </w:tcPr>
          <w:p>
            <w:pPr>
              <w:pStyle w:val="TableContents"/>
              <w:spacing w:before="0" w:after="283"/>
              <w:jc w:val="left"/>
              <w:rPr>
                <w:b/>
              </w:rPr>
            </w:pPr>
            <w:r>
              <w:rPr>
                <w:b/>
              </w:rPr>
              <w:t>Contractual Obligations</w:t>
            </w:r>
          </w:p>
        </w:tc>
        <w:tc>
          <w:tcPr>
            <w:tcW w:w="116" w:type="dxa"/>
            <w:tcBorders/>
            <w:shd w:fill="auto" w:val="clear"/>
            <w:vAlign w:val="bottom"/>
          </w:tcPr>
          <w:p>
            <w:pPr>
              <w:pStyle w:val="TableContents"/>
              <w:spacing w:before="0" w:after="283"/>
              <w:rPr/>
            </w:pPr>
            <w:r>
              <w:rPr/>
              <w:t> </w:t>
            </w:r>
          </w:p>
        </w:tc>
        <w:tc>
          <w:tcPr>
            <w:tcW w:w="8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7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Less than 1 year</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1-3 years</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4-5 years</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More than 5 years</w:t>
            </w:r>
          </w:p>
        </w:tc>
        <w:tc>
          <w:tcPr>
            <w:tcW w:w="81" w:type="dxa"/>
            <w:tcBorders/>
            <w:shd w:fill="auto" w:val="clear"/>
            <w:vAlign w:val="bottom"/>
          </w:tcPr>
          <w:p>
            <w:pPr>
              <w:pStyle w:val="TableContents"/>
              <w:spacing w:before="0" w:after="283"/>
              <w:rPr/>
            </w:pPr>
            <w:r>
              <w:rPr/>
              <w:t> </w:t>
            </w:r>
          </w:p>
        </w:tc>
      </w:tr>
      <w:tr>
        <w:trPr/>
        <w:tc>
          <w:tcPr>
            <w:tcW w:w="2856" w:type="dxa"/>
            <w:tcBorders/>
            <w:shd w:fill="CCEEFF" w:val="clear"/>
            <w:vAlign w:val="bottom"/>
          </w:tcPr>
          <w:p>
            <w:pPr>
              <w:pStyle w:val="TableContents"/>
              <w:spacing w:before="0" w:after="0"/>
              <w:ind w:left="225" w:right="0" w:hanging="225"/>
              <w:rPr/>
            </w:pPr>
            <w:r>
              <w:rPr/>
              <w:t>Long-term debt obligations (including interest)</w:t>
            </w:r>
          </w:p>
        </w:tc>
        <w:tc>
          <w:tcPr>
            <w:tcW w:w="11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12,403</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left"/>
              <w:rPr/>
            </w:pPr>
            <w:r>
              <w:rPr/>
              <w:t>$</w:t>
            </w:r>
          </w:p>
        </w:tc>
        <w:tc>
          <w:tcPr>
            <w:tcW w:w="1414" w:type="dxa"/>
            <w:tcBorders/>
            <w:shd w:fill="CCEEFF" w:val="clear"/>
            <w:vAlign w:val="bottom"/>
          </w:tcPr>
          <w:p>
            <w:pPr>
              <w:pStyle w:val="TableContents"/>
              <w:spacing w:before="0" w:after="283"/>
              <w:jc w:val="right"/>
              <w:rPr/>
            </w:pPr>
            <w:r>
              <w:rPr/>
              <w:t>9</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783" w:type="dxa"/>
            <w:tcBorders/>
            <w:shd w:fill="CCEEFF" w:val="clear"/>
            <w:vAlign w:val="bottom"/>
          </w:tcPr>
          <w:p>
            <w:pPr>
              <w:pStyle w:val="TableContents"/>
              <w:spacing w:before="0" w:after="283"/>
              <w:jc w:val="right"/>
              <w:rPr/>
            </w:pPr>
            <w:r>
              <w:rPr/>
              <w:t>4,149</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783" w:type="dxa"/>
            <w:tcBorders/>
            <w:shd w:fill="CCEEFF" w:val="clear"/>
            <w:vAlign w:val="bottom"/>
          </w:tcPr>
          <w:p>
            <w:pPr>
              <w:pStyle w:val="TableContents"/>
              <w:spacing w:before="0" w:after="283"/>
              <w:jc w:val="right"/>
              <w:rPr/>
            </w:pPr>
            <w:r>
              <w:rPr/>
              <w:t>2,748</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jc w:val="left"/>
              <w:rPr/>
            </w:pPr>
            <w:r>
              <w:rPr/>
              <w:t>$</w:t>
            </w:r>
          </w:p>
        </w:tc>
        <w:tc>
          <w:tcPr>
            <w:tcW w:w="1517" w:type="dxa"/>
            <w:tcBorders/>
            <w:shd w:fill="CCEEFF" w:val="clear"/>
            <w:vAlign w:val="bottom"/>
          </w:tcPr>
          <w:p>
            <w:pPr>
              <w:pStyle w:val="TableContents"/>
              <w:spacing w:before="0" w:after="283"/>
              <w:jc w:val="right"/>
              <w:rPr/>
            </w:pPr>
            <w:r>
              <w:rPr/>
              <w:t>5,497</w:t>
            </w:r>
          </w:p>
        </w:tc>
        <w:tc>
          <w:tcPr>
            <w:tcW w:w="81" w:type="dxa"/>
            <w:tcBorders/>
            <w:shd w:fill="CCEEFF" w:val="clear"/>
            <w:vAlign w:val="bottom"/>
          </w:tcPr>
          <w:p>
            <w:pPr>
              <w:pStyle w:val="TableContents"/>
              <w:spacing w:before="0" w:after="283"/>
              <w:rPr/>
            </w:pPr>
            <w:r>
              <w:rPr/>
              <w:t> </w:t>
            </w:r>
          </w:p>
        </w:tc>
      </w:tr>
      <w:tr>
        <w:trPr/>
        <w:tc>
          <w:tcPr>
            <w:tcW w:w="2856" w:type="dxa"/>
            <w:tcBorders/>
            <w:shd w:fill="auto" w:val="clear"/>
            <w:vAlign w:val="bottom"/>
          </w:tcPr>
          <w:p>
            <w:pPr>
              <w:pStyle w:val="TableContents"/>
              <w:spacing w:before="0" w:after="0"/>
              <w:ind w:left="225" w:right="0" w:hanging="225"/>
              <w:rPr/>
            </w:pPr>
            <w:r>
              <w:rPr/>
              <w:t>Payable to growers</w:t>
            </w:r>
          </w:p>
        </w:tc>
        <w:tc>
          <w:tcPr>
            <w:tcW w:w="11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pPr>
            <w:r>
              <w:rPr/>
              <w:t>12,540</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12,540</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r>
      <w:tr>
        <w:trPr/>
        <w:tc>
          <w:tcPr>
            <w:tcW w:w="2856" w:type="dxa"/>
            <w:tcBorders/>
            <w:shd w:fill="CCEEFF" w:val="clear"/>
            <w:vAlign w:val="bottom"/>
          </w:tcPr>
          <w:p>
            <w:pPr>
              <w:pStyle w:val="TableContents"/>
              <w:spacing w:before="0" w:after="0"/>
              <w:ind w:left="225" w:right="0" w:hanging="225"/>
              <w:rPr/>
            </w:pPr>
            <w:r>
              <w:rPr/>
              <w:t>Short-term borrowings</w:t>
            </w:r>
          </w:p>
        </w:tc>
        <w:tc>
          <w:tcPr>
            <w:tcW w:w="11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pPr>
            <w:r>
              <w:rPr/>
              <w:t>1,753</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1,753</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r>
      <w:tr>
        <w:trPr/>
        <w:tc>
          <w:tcPr>
            <w:tcW w:w="2856" w:type="dxa"/>
            <w:tcBorders/>
            <w:shd w:fill="auto" w:val="clear"/>
            <w:vAlign w:val="bottom"/>
          </w:tcPr>
          <w:p>
            <w:pPr>
              <w:pStyle w:val="TableContents"/>
              <w:spacing w:before="0" w:after="0"/>
              <w:ind w:left="225" w:right="0" w:hanging="225"/>
              <w:rPr/>
            </w:pPr>
            <w:r>
              <w:rPr/>
              <w:t>Defined benefit plan</w:t>
            </w:r>
          </w:p>
        </w:tc>
        <w:tc>
          <w:tcPr>
            <w:tcW w:w="11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pPr>
            <w:r>
              <w:rPr/>
              <w:t>469</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14</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pPr>
            <w:r>
              <w:rPr/>
              <w:t>165</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pPr>
            <w:r>
              <w:rPr/>
              <w:t>110</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jc w:val="right"/>
              <w:rPr/>
            </w:pPr>
            <w:r>
              <w:rPr/>
              <w:t>180</w:t>
            </w:r>
          </w:p>
        </w:tc>
        <w:tc>
          <w:tcPr>
            <w:tcW w:w="81" w:type="dxa"/>
            <w:tcBorders/>
            <w:shd w:fill="auto" w:val="clear"/>
            <w:vAlign w:val="bottom"/>
          </w:tcPr>
          <w:p>
            <w:pPr>
              <w:pStyle w:val="TableContents"/>
              <w:spacing w:before="0" w:after="283"/>
              <w:rPr/>
            </w:pPr>
            <w:r>
              <w:rPr/>
              <w:t> </w:t>
            </w:r>
          </w:p>
        </w:tc>
      </w:tr>
      <w:tr>
        <w:trPr/>
        <w:tc>
          <w:tcPr>
            <w:tcW w:w="2856" w:type="dxa"/>
            <w:tcBorders/>
            <w:shd w:fill="CCEEFF" w:val="clear"/>
            <w:vAlign w:val="bottom"/>
          </w:tcPr>
          <w:p>
            <w:pPr>
              <w:pStyle w:val="TableContents"/>
              <w:spacing w:before="0" w:after="0"/>
              <w:ind w:left="225" w:right="0" w:hanging="225"/>
              <w:rPr/>
            </w:pPr>
            <w:r>
              <w:rPr/>
              <w:t>Operating lease commitments</w:t>
            </w:r>
          </w:p>
        </w:tc>
        <w:tc>
          <w:tcPr>
            <w:tcW w:w="11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pPr>
            <w:r>
              <w:rPr/>
              <w:t>2,910</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272</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pPr>
            <w:r>
              <w:rPr/>
              <w:t>1,550</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pPr>
            <w:r>
              <w:rPr/>
              <w:t>414</w:t>
            </w:r>
          </w:p>
        </w:tc>
        <w:tc>
          <w:tcPr>
            <w:tcW w:w="6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674</w:t>
            </w:r>
          </w:p>
        </w:tc>
        <w:tc>
          <w:tcPr>
            <w:tcW w:w="81" w:type="dxa"/>
            <w:tcBorders/>
            <w:shd w:fill="CCEEFF" w:val="clear"/>
            <w:vAlign w:val="bottom"/>
          </w:tcPr>
          <w:p>
            <w:pPr>
              <w:pStyle w:val="TableContents"/>
              <w:spacing w:before="0" w:after="283"/>
              <w:rPr/>
            </w:pPr>
            <w:r>
              <w:rPr/>
              <w:t> </w:t>
            </w:r>
          </w:p>
        </w:tc>
      </w:tr>
      <w:tr>
        <w:trPr/>
        <w:tc>
          <w:tcPr>
            <w:tcW w:w="2856" w:type="dxa"/>
            <w:tcBorders/>
            <w:shd w:fill="auto" w:val="clear"/>
            <w:vAlign w:val="center"/>
          </w:tcPr>
          <w:p>
            <w:pPr>
              <w:pStyle w:val="TableContents"/>
              <w:spacing w:before="0" w:after="0"/>
              <w:ind w:left="225" w:right="0" w:hanging="225"/>
              <w:rPr/>
            </w:pPr>
            <w:r>
              <w:rPr/>
              <w:t> </w:t>
            </w:r>
          </w:p>
        </w:tc>
        <w:tc>
          <w:tcPr>
            <w:tcW w:w="116" w:type="dxa"/>
            <w:tcBorders/>
            <w:shd w:fill="auto" w:val="clear"/>
            <w:vAlign w:val="center"/>
          </w:tcPr>
          <w:p>
            <w:pPr>
              <w:pStyle w:val="TableContents"/>
              <w:spacing w:before="0" w:after="283"/>
              <w:rPr/>
            </w:pPr>
            <w:r>
              <w:rPr/>
              <w:t> </w:t>
            </w:r>
          </w:p>
        </w:tc>
        <w:tc>
          <w:tcPr>
            <w:tcW w:w="8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7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r>
      <w:tr>
        <w:trPr/>
        <w:tc>
          <w:tcPr>
            <w:tcW w:w="2856" w:type="dxa"/>
            <w:tcBorders/>
            <w:shd w:fill="auto" w:val="clear"/>
            <w:vAlign w:val="bottom"/>
          </w:tcPr>
          <w:p>
            <w:pPr>
              <w:pStyle w:val="TableContents"/>
              <w:spacing w:before="0" w:after="0"/>
              <w:ind w:left="225" w:right="0" w:hanging="225"/>
              <w:rPr/>
            </w:pPr>
            <w:r>
              <w:rPr/>
              <w:t>Total</w:t>
            </w:r>
          </w:p>
        </w:tc>
        <w:tc>
          <w:tcPr>
            <w:tcW w:w="11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30,075</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left"/>
              <w:rPr/>
            </w:pPr>
            <w:r>
              <w:rPr/>
              <w:t>$</w:t>
            </w:r>
          </w:p>
        </w:tc>
        <w:tc>
          <w:tcPr>
            <w:tcW w:w="1414" w:type="dxa"/>
            <w:tcBorders/>
            <w:shd w:fill="auto" w:val="clear"/>
            <w:vAlign w:val="bottom"/>
          </w:tcPr>
          <w:p>
            <w:pPr>
              <w:pStyle w:val="TableContents"/>
              <w:spacing w:before="0" w:after="283"/>
              <w:jc w:val="right"/>
              <w:rPr/>
            </w:pPr>
            <w:r>
              <w:rPr/>
              <w:t>14,588</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83" w:type="dxa"/>
            <w:tcBorders/>
            <w:shd w:fill="auto" w:val="clear"/>
            <w:vAlign w:val="bottom"/>
          </w:tcPr>
          <w:p>
            <w:pPr>
              <w:pStyle w:val="TableContents"/>
              <w:spacing w:before="0" w:after="283"/>
              <w:jc w:val="right"/>
              <w:rPr/>
            </w:pPr>
            <w:r>
              <w:rPr/>
              <w:t>5,864</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783" w:type="dxa"/>
            <w:tcBorders/>
            <w:shd w:fill="auto" w:val="clear"/>
            <w:vAlign w:val="bottom"/>
          </w:tcPr>
          <w:p>
            <w:pPr>
              <w:pStyle w:val="TableContents"/>
              <w:spacing w:before="0" w:after="283"/>
              <w:jc w:val="right"/>
              <w:rPr/>
            </w:pPr>
            <w:r>
              <w:rPr/>
              <w:t>3,272</w:t>
            </w:r>
          </w:p>
        </w:tc>
        <w:tc>
          <w:tcPr>
            <w:tcW w:w="6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jc w:val="left"/>
              <w:rPr/>
            </w:pPr>
            <w:r>
              <w:rPr/>
              <w:t>$</w:t>
            </w:r>
          </w:p>
        </w:tc>
        <w:tc>
          <w:tcPr>
            <w:tcW w:w="1517" w:type="dxa"/>
            <w:tcBorders/>
            <w:shd w:fill="auto" w:val="clear"/>
            <w:vAlign w:val="bottom"/>
          </w:tcPr>
          <w:p>
            <w:pPr>
              <w:pStyle w:val="TableContents"/>
              <w:spacing w:before="0" w:after="283"/>
              <w:jc w:val="right"/>
              <w:rPr/>
            </w:pPr>
            <w:r>
              <w:rPr/>
              <w:t>6,351</w:t>
            </w:r>
          </w:p>
        </w:tc>
        <w:tc>
          <w:tcPr>
            <w:tcW w:w="81" w:type="dxa"/>
            <w:tcBorders/>
            <w:shd w:fill="auto" w:val="clear"/>
            <w:vAlign w:val="bottom"/>
          </w:tcPr>
          <w:p>
            <w:pPr>
              <w:pStyle w:val="TableContents"/>
              <w:spacing w:before="0" w:after="283"/>
              <w:rPr/>
            </w:pPr>
            <w:r>
              <w:rPr/>
              <w:t> </w:t>
            </w:r>
          </w:p>
        </w:tc>
      </w:tr>
      <w:tr>
        <w:trPr/>
        <w:tc>
          <w:tcPr>
            <w:tcW w:w="2856" w:type="dxa"/>
            <w:tcBorders/>
            <w:shd w:fill="auto" w:val="clear"/>
            <w:vAlign w:val="center"/>
          </w:tcPr>
          <w:p>
            <w:pPr>
              <w:pStyle w:val="TableContents"/>
              <w:spacing w:before="0" w:after="0"/>
              <w:ind w:left="225" w:right="0" w:hanging="225"/>
              <w:rPr/>
            </w:pPr>
            <w:r>
              <w:rPr/>
              <w:t> </w:t>
            </w:r>
          </w:p>
        </w:tc>
        <w:tc>
          <w:tcPr>
            <w:tcW w:w="116" w:type="dxa"/>
            <w:tcBorders/>
            <w:shd w:fill="auto" w:val="clear"/>
            <w:vAlign w:val="center"/>
          </w:tcPr>
          <w:p>
            <w:pPr>
              <w:pStyle w:val="TableContents"/>
              <w:spacing w:before="0" w:after="283"/>
              <w:rPr/>
            </w:pPr>
            <w:r>
              <w:rPr/>
              <w:t> </w:t>
            </w:r>
          </w:p>
        </w:tc>
        <w:tc>
          <w:tcPr>
            <w:tcW w:w="8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7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109"/>
      <w:bookmarkEnd w:id="11"/>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2006. </w:t>
      </w:r>
    </w:p>
    <w:tbl>
      <w:tblPr>
        <w:tblW w:w="5000" w:type="pct"/>
        <w:jc w:val="center"/>
        <w:tblInd w:w="0" w:type="dxa"/>
        <w:tblCellMar>
          <w:top w:w="0" w:type="dxa"/>
          <w:left w:w="0" w:type="dxa"/>
          <w:bottom w:w="0" w:type="dxa"/>
          <w:right w:w="0" w:type="dxa"/>
        </w:tblCellMar>
      </w:tblPr>
      <w:tblGrid>
        <w:gridCol w:w="2851"/>
        <w:gridCol w:w="62"/>
        <w:gridCol w:w="142"/>
        <w:gridCol w:w="680"/>
        <w:gridCol w:w="62"/>
        <w:gridCol w:w="62"/>
        <w:gridCol w:w="142"/>
        <w:gridCol w:w="560"/>
        <w:gridCol w:w="62"/>
        <w:gridCol w:w="62"/>
        <w:gridCol w:w="142"/>
        <w:gridCol w:w="560"/>
        <w:gridCol w:w="62"/>
        <w:gridCol w:w="62"/>
        <w:gridCol w:w="142"/>
        <w:gridCol w:w="560"/>
        <w:gridCol w:w="61"/>
        <w:gridCol w:w="62"/>
        <w:gridCol w:w="142"/>
        <w:gridCol w:w="560"/>
        <w:gridCol w:w="62"/>
        <w:gridCol w:w="62"/>
        <w:gridCol w:w="185"/>
        <w:gridCol w:w="733"/>
        <w:gridCol w:w="81"/>
        <w:gridCol w:w="62"/>
        <w:gridCol w:w="142"/>
        <w:gridCol w:w="680"/>
        <w:gridCol w:w="62"/>
        <w:gridCol w:w="62"/>
        <w:gridCol w:w="165"/>
        <w:gridCol w:w="792"/>
        <w:gridCol w:w="79"/>
      </w:tblGrid>
      <w:tr>
        <w:trPr/>
        <w:tc>
          <w:tcPr>
            <w:tcW w:w="285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r>
      <w:tr>
        <w:trPr/>
        <w:tc>
          <w:tcPr>
            <w:tcW w:w="2851" w:type="dxa"/>
            <w:tcBorders>
              <w:bottom w:val="single" w:sz="2" w:space="0" w:color="000000"/>
            </w:tcBorders>
            <w:shd w:fill="auto" w:val="clear"/>
            <w:tcMar>
              <w:bottom w:w="28" w:type="dxa"/>
            </w:tcMar>
            <w:vAlign w:val="bottom"/>
          </w:tcPr>
          <w:p>
            <w:pPr>
              <w:pStyle w:val="TableContents"/>
              <w:spacing w:before="0" w:after="283"/>
              <w:jc w:val="left"/>
              <w:rPr/>
            </w:pPr>
            <w:r>
              <w:rPr/>
              <w:t>(All amounts in thousands)</w:t>
            </w:r>
          </w:p>
        </w:tc>
        <w:tc>
          <w:tcPr>
            <w:tcW w:w="62" w:type="dxa"/>
            <w:tcBorders/>
            <w:shd w:fill="auto" w:val="clear"/>
            <w:vAlign w:val="bottom"/>
          </w:tcPr>
          <w:p>
            <w:pPr>
              <w:pStyle w:val="TableContents"/>
              <w:spacing w:before="0" w:after="283"/>
              <w:rPr/>
            </w:pPr>
            <w:r>
              <w:rPr/>
              <w:t> </w:t>
            </w:r>
          </w:p>
        </w:tc>
        <w:tc>
          <w:tcPr>
            <w:tcW w:w="6194" w:type="dxa"/>
            <w:gridSpan w:val="27"/>
            <w:tcBorders>
              <w:bottom w:val="single" w:sz="2" w:space="0" w:color="000000"/>
            </w:tcBorders>
            <w:shd w:fill="auto" w:val="clear"/>
            <w:tcMar>
              <w:bottom w:w="28" w:type="dxa"/>
            </w:tcMar>
            <w:vAlign w:val="bottom"/>
          </w:tcPr>
          <w:p>
            <w:pPr>
              <w:pStyle w:val="TableContents"/>
              <w:spacing w:before="0" w:after="283"/>
              <w:jc w:val="center"/>
              <w:rPr/>
            </w:pPr>
            <w:r>
              <w:rPr/>
              <w:t>Expected maturity date July 31,</w:t>
            </w:r>
          </w:p>
        </w:tc>
        <w:tc>
          <w:tcPr>
            <w:tcW w:w="62" w:type="dxa"/>
            <w:tcBorders/>
            <w:shd w:fill="auto" w:val="clear"/>
            <w:vAlign w:val="bottom"/>
          </w:tcPr>
          <w:p>
            <w:pPr>
              <w:pStyle w:val="TableContents"/>
              <w:spacing w:before="0" w:after="283"/>
              <w:rPr/>
            </w:pPr>
            <w:r>
              <w:rPr/>
              <w:t> </w:t>
            </w:r>
          </w:p>
        </w:tc>
        <w:tc>
          <w:tcPr>
            <w:tcW w:w="1036" w:type="dxa"/>
            <w:gridSpan w:val="3"/>
            <w:tcBorders/>
            <w:shd w:fill="auto" w:val="clear"/>
            <w:vAlign w:val="bottom"/>
          </w:tcPr>
          <w:p>
            <w:pPr>
              <w:pStyle w:val="TableContents"/>
              <w:spacing w:before="0" w:after="283"/>
              <w:jc w:val="center"/>
              <w:rPr/>
            </w:pPr>
            <w:r>
              <w:rPr/>
              <w:t> </w:t>
            </w:r>
          </w:p>
        </w:tc>
      </w:tr>
      <w:tr>
        <w:trPr/>
        <w:tc>
          <w:tcPr>
            <w:tcW w:w="285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8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62" w:type="dxa"/>
            <w:tcBorders/>
            <w:shd w:fill="auto" w:val="clear"/>
            <w:vAlign w:val="bottom"/>
          </w:tcPr>
          <w:p>
            <w:pPr>
              <w:pStyle w:val="TableContents"/>
              <w:spacing w:before="0" w:after="283"/>
              <w:rPr/>
            </w:pPr>
            <w:r>
              <w:rPr/>
              <w:t> </w:t>
            </w:r>
          </w:p>
        </w:tc>
        <w:tc>
          <w:tcPr>
            <w:tcW w:w="76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2" w:type="dxa"/>
            <w:tcBorders/>
            <w:shd w:fill="auto" w:val="clear"/>
            <w:vAlign w:val="bottom"/>
          </w:tcPr>
          <w:p>
            <w:pPr>
              <w:pStyle w:val="TableContents"/>
              <w:spacing w:before="0" w:after="283"/>
              <w:rPr/>
            </w:pPr>
            <w:r>
              <w:rPr/>
              <w:t> </w:t>
            </w:r>
          </w:p>
        </w:tc>
        <w:tc>
          <w:tcPr>
            <w:tcW w:w="76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2" w:type="dxa"/>
            <w:tcBorders/>
            <w:shd w:fill="auto" w:val="clear"/>
            <w:vAlign w:val="bottom"/>
          </w:tcPr>
          <w:p>
            <w:pPr>
              <w:pStyle w:val="TableContents"/>
              <w:spacing w:before="0" w:after="283"/>
              <w:rPr/>
            </w:pPr>
            <w:r>
              <w:rPr/>
              <w:t> </w:t>
            </w:r>
          </w:p>
        </w:tc>
        <w:tc>
          <w:tcPr>
            <w:tcW w:w="76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62" w:type="dxa"/>
            <w:tcBorders/>
            <w:shd w:fill="auto" w:val="clear"/>
            <w:vAlign w:val="bottom"/>
          </w:tcPr>
          <w:p>
            <w:pPr>
              <w:pStyle w:val="TableContents"/>
              <w:spacing w:before="0" w:after="283"/>
              <w:rPr/>
            </w:pPr>
            <w:r>
              <w:rPr/>
              <w:t> </w:t>
            </w:r>
          </w:p>
        </w:tc>
        <w:tc>
          <w:tcPr>
            <w:tcW w:w="764"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62" w:type="dxa"/>
            <w:tcBorders/>
            <w:shd w:fill="auto" w:val="clear"/>
            <w:vAlign w:val="bottom"/>
          </w:tcPr>
          <w:p>
            <w:pPr>
              <w:pStyle w:val="TableContents"/>
              <w:spacing w:before="0" w:after="283"/>
              <w:rPr/>
            </w:pPr>
            <w:r>
              <w:rPr/>
              <w:t> </w:t>
            </w:r>
          </w:p>
        </w:tc>
        <w:tc>
          <w:tcPr>
            <w:tcW w:w="999" w:type="dxa"/>
            <w:gridSpan w:val="3"/>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2" w:type="dxa"/>
            <w:tcBorders/>
            <w:shd w:fill="auto" w:val="clear"/>
            <w:vAlign w:val="bottom"/>
          </w:tcPr>
          <w:p>
            <w:pPr>
              <w:pStyle w:val="TableContents"/>
              <w:spacing w:before="0" w:after="283"/>
              <w:rPr/>
            </w:pPr>
            <w:r>
              <w:rPr/>
              <w:t> </w:t>
            </w:r>
          </w:p>
        </w:tc>
        <w:tc>
          <w:tcPr>
            <w:tcW w:w="884"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2" w:type="dxa"/>
            <w:tcBorders/>
            <w:shd w:fill="auto" w:val="clear"/>
            <w:vAlign w:val="bottom"/>
          </w:tcPr>
          <w:p>
            <w:pPr>
              <w:pStyle w:val="TableContents"/>
              <w:spacing w:before="0" w:after="283"/>
              <w:rPr/>
            </w:pPr>
            <w:r>
              <w:rPr/>
              <w:t> </w:t>
            </w:r>
          </w:p>
        </w:tc>
        <w:tc>
          <w:tcPr>
            <w:tcW w:w="1036" w:type="dxa"/>
            <w:gridSpan w:val="3"/>
            <w:tcBorders>
              <w:bottom w:val="single" w:sz="2" w:space="0" w:color="000000"/>
            </w:tcBorders>
            <w:shd w:fill="auto" w:val="clear"/>
            <w:tcMar>
              <w:bottom w:w="28" w:type="dxa"/>
            </w:tcMar>
            <w:vAlign w:val="bottom"/>
          </w:tcPr>
          <w:p>
            <w:pPr>
              <w:pStyle w:val="TableContents"/>
              <w:spacing w:before="0" w:after="283"/>
              <w:jc w:val="center"/>
              <w:rPr/>
            </w:pPr>
            <w:r>
              <w:rPr/>
              <w:t>Fair Value</w:t>
            </w:r>
          </w:p>
        </w:tc>
      </w:tr>
      <w:tr>
        <w:trPr/>
        <w:tc>
          <w:tcPr>
            <w:tcW w:w="2851" w:type="dxa"/>
            <w:tcBorders/>
            <w:shd w:fill="CCEEFF" w:val="clear"/>
            <w:vAlign w:val="bottom"/>
          </w:tcPr>
          <w:p>
            <w:pPr>
              <w:pStyle w:val="TableContents"/>
              <w:spacing w:before="0" w:after="0"/>
              <w:ind w:left="225" w:right="0" w:hanging="225"/>
              <w:rPr/>
            </w:pPr>
            <w:r>
              <w:rPr/>
              <w:t>Assets</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0"/>
              <w:ind w:left="225" w:right="0" w:hanging="225"/>
              <w:rPr/>
            </w:pPr>
            <w:r>
              <w:rPr/>
              <w:t>Cash and cash equivalents (1)</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107</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107</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107</w:t>
            </w:r>
          </w:p>
        </w:tc>
        <w:tc>
          <w:tcPr>
            <w:tcW w:w="79" w:type="dxa"/>
            <w:tcBorders/>
            <w:shd w:fill="auto" w:val="clear"/>
            <w:vAlign w:val="bottom"/>
          </w:tcPr>
          <w:p>
            <w:pPr>
              <w:pStyle w:val="TableContents"/>
              <w:spacing w:before="0" w:after="283"/>
              <w:rPr/>
            </w:pPr>
            <w:r>
              <w:rPr/>
              <w:t> </w:t>
            </w:r>
          </w:p>
        </w:tc>
      </w:tr>
      <w:tr>
        <w:trPr/>
        <w:tc>
          <w:tcPr>
            <w:tcW w:w="2851" w:type="dxa"/>
            <w:tcBorders/>
            <w:shd w:fill="CCEEFF" w:val="clear"/>
            <w:vAlign w:val="bottom"/>
          </w:tcPr>
          <w:p>
            <w:pPr>
              <w:pStyle w:val="TableContents"/>
              <w:spacing w:before="0" w:after="0"/>
              <w:ind w:left="225" w:right="0" w:hanging="225"/>
              <w:rPr/>
            </w:pPr>
            <w:r>
              <w:rPr/>
              <w:t>Accounts receivable (1)</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30,749</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30,749</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30,749</w:t>
            </w:r>
          </w:p>
        </w:tc>
        <w:tc>
          <w:tcPr>
            <w:tcW w:w="79"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0"/>
              <w:ind w:left="225" w:right="0" w:hanging="225"/>
              <w:rPr/>
            </w:pPr>
            <w:r>
              <w:rPr/>
              <w:t>Notes receivable from shareholders (2)</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2,430</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2,430</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2,430</w:t>
            </w:r>
          </w:p>
        </w:tc>
        <w:tc>
          <w:tcPr>
            <w:tcW w:w="79" w:type="dxa"/>
            <w:tcBorders/>
            <w:shd w:fill="auto" w:val="clear"/>
            <w:vAlign w:val="bottom"/>
          </w:tcPr>
          <w:p>
            <w:pPr>
              <w:pStyle w:val="TableContents"/>
              <w:spacing w:before="0" w:after="283"/>
              <w:rPr/>
            </w:pPr>
            <w:r>
              <w:rPr/>
              <w:t> </w:t>
            </w:r>
          </w:p>
        </w:tc>
      </w:tr>
      <w:tr>
        <w:trPr/>
        <w:tc>
          <w:tcPr>
            <w:tcW w:w="2851" w:type="dxa"/>
            <w:tcBorders/>
            <w:shd w:fill="CCEEFF" w:val="clear"/>
            <w:vAlign w:val="bottom"/>
          </w:tcPr>
          <w:p>
            <w:pPr>
              <w:pStyle w:val="TableContents"/>
              <w:spacing w:before="0" w:after="0"/>
              <w:ind w:left="225" w:right="0" w:hanging="225"/>
              <w:rPr/>
            </w:pPr>
            <w:r>
              <w:rPr/>
              <w:t>Liabilities</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0"/>
              <w:ind w:left="225" w:right="0" w:hanging="225"/>
              <w:rPr/>
            </w:pPr>
            <w:r>
              <w:rPr/>
              <w:t>Payable to growers (1)</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12,540</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12,540</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12,540</w:t>
            </w:r>
          </w:p>
        </w:tc>
        <w:tc>
          <w:tcPr>
            <w:tcW w:w="79" w:type="dxa"/>
            <w:tcBorders/>
            <w:shd w:fill="auto" w:val="clear"/>
            <w:vAlign w:val="bottom"/>
          </w:tcPr>
          <w:p>
            <w:pPr>
              <w:pStyle w:val="TableContents"/>
              <w:spacing w:before="0" w:after="283"/>
              <w:rPr/>
            </w:pPr>
            <w:r>
              <w:rPr/>
              <w:t> </w:t>
            </w:r>
          </w:p>
        </w:tc>
      </w:tr>
      <w:tr>
        <w:trPr/>
        <w:tc>
          <w:tcPr>
            <w:tcW w:w="2851" w:type="dxa"/>
            <w:tcBorders/>
            <w:shd w:fill="CCEEFF" w:val="clear"/>
            <w:vAlign w:val="bottom"/>
          </w:tcPr>
          <w:p>
            <w:pPr>
              <w:pStyle w:val="TableContents"/>
              <w:spacing w:before="0" w:after="0"/>
              <w:ind w:left="225" w:right="0" w:hanging="225"/>
              <w:rPr/>
            </w:pPr>
            <w:r>
              <w:rPr/>
              <w:t>Accounts payable (1)</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3,203</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3,203</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3,203</w:t>
            </w:r>
          </w:p>
        </w:tc>
        <w:tc>
          <w:tcPr>
            <w:tcW w:w="79"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0"/>
              <w:ind w:left="225" w:right="0" w:hanging="225"/>
              <w:rPr/>
            </w:pPr>
            <w:r>
              <w:rPr/>
              <w:t>Current borrowings pursuant to credit facilities (1)</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1,753</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1,753</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1,753</w:t>
            </w:r>
          </w:p>
        </w:tc>
        <w:tc>
          <w:tcPr>
            <w:tcW w:w="79" w:type="dxa"/>
            <w:tcBorders/>
            <w:shd w:fill="auto" w:val="clear"/>
            <w:vAlign w:val="bottom"/>
          </w:tcPr>
          <w:p>
            <w:pPr>
              <w:pStyle w:val="TableContents"/>
              <w:spacing w:before="0" w:after="283"/>
              <w:rPr/>
            </w:pPr>
            <w:r>
              <w:rPr/>
              <w:t> </w:t>
            </w:r>
          </w:p>
        </w:tc>
      </w:tr>
      <w:tr>
        <w:trPr/>
        <w:tc>
          <w:tcPr>
            <w:tcW w:w="2851" w:type="dxa"/>
            <w:tcBorders/>
            <w:shd w:fill="CCEEFF" w:val="clear"/>
            <w:vAlign w:val="bottom"/>
          </w:tcPr>
          <w:p>
            <w:pPr>
              <w:pStyle w:val="TableContents"/>
              <w:spacing w:before="0" w:after="0"/>
              <w:ind w:left="225" w:right="0" w:hanging="225"/>
              <w:rPr/>
            </w:pPr>
            <w:r>
              <w:rPr/>
              <w:t>Fixed-rate long-term obligations (3)</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9</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1,309</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1,302</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1,300</w:t>
            </w:r>
          </w:p>
        </w:tc>
        <w:tc>
          <w:tcPr>
            <w:tcW w:w="6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1,300</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6,500</w:t>
            </w:r>
          </w:p>
        </w:tc>
        <w:tc>
          <w:tcPr>
            <w:tcW w:w="8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11,720</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10,665</w:t>
            </w:r>
          </w:p>
        </w:tc>
        <w:tc>
          <w:tcPr>
            <w:tcW w:w="79"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383"/>
        <w:gridCol w:w="2121"/>
        <w:gridCol w:w="1701"/>
      </w:tblGrid>
      <w:tr>
        <w:trPr/>
        <w:tc>
          <w:tcPr>
            <w:tcW w:w="638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(1)</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We believe the carrying amounts of cash and cash equivalents, accounts receivable, payable to growers, accounts payable, and current borrowings pursuant to credit facilities approximate their fair value due to the short maturity of these financial instruments.</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(2)</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10.50%. We project the impact of an increase or decrease in interest rates of 100 basis points would result in a change of fair value of approximately $40,000.</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(3)</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Fixed-rate long-term obligations bear interest rates ranging from 3.3% to 8.2% with a weighted-average interest rate of 5.7%. We believe that loans with a similar risk profile would currently yield a return of 7.7%. We project the impact of an increase or decrease in interest rates of 100 basis points would result in a change of fair value of approximately $481,000.</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2005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w:t>
      </w:r>
    </w:p>
    <w:p>
      <w:pPr>
        <w:pStyle w:val="TextBody"/>
        <w:spacing w:before="120" w:after="283"/>
        <w:jc w:val="left"/>
        <w:rPr/>
      </w:pPr>
      <w:r>
        <w:rPr/>
        <w:t>     </w:t>
      </w:r>
      <w:r>
        <w:rPr>
          <w:rFonts w:ascii="Times New Roman;Times;serif" w:hAnsi="Times New Roman;Times;serif"/>
          <w:sz w:val="17"/>
        </w:rPr>
        <w:t xml:space="preserve">There were no changes in the Companys internal control over financial reporting during the quarter ended July 31, 2006 that have materially affected, or are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113"/>
      <w:bookmarkEnd w:id="15"/>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14"/>
        <w:gridCol w:w="579"/>
        <w:gridCol w:w="129"/>
        <w:gridCol w:w="9283"/>
      </w:tblGrid>
      <w:tr>
        <w:trPr/>
        <w:tc>
          <w:tcPr>
            <w:tcW w:w="214" w:type="dxa"/>
            <w:tcBorders/>
            <w:shd w:fill="auto" w:val="clear"/>
          </w:tcPr>
          <w:p>
            <w:pPr>
              <w:pStyle w:val="TableContents"/>
              <w:spacing w:before="0" w:after="283"/>
              <w:rPr/>
            </w:pPr>
            <w:r>
              <w:rPr/>
              <w:t> </w:t>
            </w:r>
          </w:p>
        </w:tc>
        <w:tc>
          <w:tcPr>
            <w:tcW w:w="579" w:type="dxa"/>
            <w:tcBorders/>
            <w:shd w:fill="auto" w:val="clear"/>
          </w:tcPr>
          <w:p>
            <w:pPr>
              <w:pStyle w:val="TableContents"/>
              <w:spacing w:before="0" w:after="283"/>
              <w:jc w:val="left"/>
              <w:rPr/>
            </w:pPr>
            <w:r>
              <w:rPr/>
              <w:t>10.17</w:t>
            </w:r>
          </w:p>
        </w:tc>
        <w:tc>
          <w:tcPr>
            <w:tcW w:w="129" w:type="dxa"/>
            <w:tcBorders/>
            <w:shd w:fill="auto" w:val="clear"/>
          </w:tcPr>
          <w:p>
            <w:pPr>
              <w:pStyle w:val="TableContents"/>
              <w:spacing w:before="0" w:after="283"/>
              <w:rPr/>
            </w:pPr>
            <w:r>
              <w:rPr/>
              <w:t> </w:t>
            </w:r>
          </w:p>
        </w:tc>
        <w:tc>
          <w:tcPr>
            <w:tcW w:w="9283" w:type="dxa"/>
            <w:tcBorders/>
            <w:shd w:fill="auto" w:val="clear"/>
          </w:tcPr>
          <w:p>
            <w:pPr>
              <w:pStyle w:val="TableContents"/>
              <w:spacing w:before="0" w:after="283"/>
              <w:rPr/>
            </w:pPr>
            <w:r>
              <w:rPr/>
              <w:t>Form of Stock Option Agreement.</w:t>
            </w:r>
          </w:p>
        </w:tc>
      </w:tr>
      <w:tr>
        <w:trPr/>
        <w:tc>
          <w:tcPr>
            <w:tcW w:w="214" w:type="dxa"/>
            <w:tcBorders/>
            <w:shd w:fill="auto" w:val="clear"/>
            <w:vAlign w:val="center"/>
          </w:tcPr>
          <w:p>
            <w:pPr>
              <w:pStyle w:val="TableContents"/>
              <w:spacing w:before="0" w:after="283"/>
              <w:rPr/>
            </w:pPr>
            <w:r>
              <w:rPr/>
              <w:t> </w:t>
            </w:r>
          </w:p>
        </w:tc>
        <w:tc>
          <w:tcPr>
            <w:tcW w:w="9991" w:type="dxa"/>
            <w:gridSpan w:val="3"/>
            <w:tcBorders/>
            <w:shd w:fill="auto" w:val="clear"/>
          </w:tcPr>
          <w:p>
            <w:pPr>
              <w:pStyle w:val="TableContents"/>
              <w:spacing w:before="0" w:after="283"/>
              <w:rPr>
                <w:sz w:val="4"/>
                <w:szCs w:val="4"/>
              </w:rPr>
            </w:pPr>
            <w:r>
              <w:rPr>
                <w:sz w:val="4"/>
                <w:szCs w:val="4"/>
              </w:rPr>
            </w:r>
          </w:p>
        </w:tc>
      </w:tr>
      <w:tr>
        <w:trPr/>
        <w:tc>
          <w:tcPr>
            <w:tcW w:w="214" w:type="dxa"/>
            <w:tcBorders/>
            <w:shd w:fill="auto" w:val="clear"/>
          </w:tcPr>
          <w:p>
            <w:pPr>
              <w:pStyle w:val="TableContents"/>
              <w:spacing w:before="0" w:after="283"/>
              <w:rPr/>
            </w:pPr>
            <w:r>
              <w:rPr/>
              <w:t> </w:t>
            </w:r>
          </w:p>
        </w:tc>
        <w:tc>
          <w:tcPr>
            <w:tcW w:w="579" w:type="dxa"/>
            <w:tcBorders/>
            <w:shd w:fill="auto" w:val="clear"/>
          </w:tcPr>
          <w:p>
            <w:pPr>
              <w:pStyle w:val="TableContents"/>
              <w:spacing w:before="0" w:after="283"/>
              <w:jc w:val="left"/>
              <w:rPr/>
            </w:pPr>
            <w:r>
              <w:rPr/>
              <w:t>31.1</w:t>
            </w:r>
          </w:p>
        </w:tc>
        <w:tc>
          <w:tcPr>
            <w:tcW w:w="129" w:type="dxa"/>
            <w:tcBorders/>
            <w:shd w:fill="auto" w:val="clear"/>
          </w:tcPr>
          <w:p>
            <w:pPr>
              <w:pStyle w:val="TableContents"/>
              <w:spacing w:before="0" w:after="283"/>
              <w:rPr/>
            </w:pPr>
            <w:r>
              <w:rPr/>
              <w:t> </w:t>
            </w:r>
          </w:p>
        </w:tc>
        <w:tc>
          <w:tcPr>
            <w:tcW w:w="9283" w:type="dxa"/>
            <w:tcBorders/>
            <w:shd w:fill="auto" w:val="clear"/>
          </w:tcPr>
          <w:p>
            <w:pPr>
              <w:pStyle w:val="TableContents"/>
              <w:spacing w:before="0" w:after="283"/>
              <w:rPr/>
            </w:pPr>
            <w:r>
              <w:rPr/>
              <w:t>Certification of Chief Executive Officer Pursuant to 15 U.S.C. § 7241, as Adopted Pursuant to Section 302 of the Sarbanes-Oxley Act of 2002.</w:t>
            </w:r>
          </w:p>
        </w:tc>
      </w:tr>
      <w:tr>
        <w:trPr/>
        <w:tc>
          <w:tcPr>
            <w:tcW w:w="214" w:type="dxa"/>
            <w:tcBorders/>
            <w:shd w:fill="auto" w:val="clear"/>
            <w:vAlign w:val="center"/>
          </w:tcPr>
          <w:p>
            <w:pPr>
              <w:pStyle w:val="TableContents"/>
              <w:spacing w:before="0" w:after="283"/>
              <w:rPr/>
            </w:pPr>
            <w:r>
              <w:rPr/>
              <w:t> </w:t>
            </w:r>
          </w:p>
        </w:tc>
        <w:tc>
          <w:tcPr>
            <w:tcW w:w="9991" w:type="dxa"/>
            <w:gridSpan w:val="3"/>
            <w:tcBorders/>
            <w:shd w:fill="auto" w:val="clear"/>
          </w:tcPr>
          <w:p>
            <w:pPr>
              <w:pStyle w:val="TableContents"/>
              <w:spacing w:before="0" w:after="283"/>
              <w:rPr>
                <w:sz w:val="4"/>
                <w:szCs w:val="4"/>
              </w:rPr>
            </w:pPr>
            <w:r>
              <w:rPr>
                <w:sz w:val="4"/>
                <w:szCs w:val="4"/>
              </w:rPr>
            </w:r>
          </w:p>
        </w:tc>
      </w:tr>
      <w:tr>
        <w:trPr/>
        <w:tc>
          <w:tcPr>
            <w:tcW w:w="214" w:type="dxa"/>
            <w:tcBorders/>
            <w:shd w:fill="auto" w:val="clear"/>
          </w:tcPr>
          <w:p>
            <w:pPr>
              <w:pStyle w:val="TableContents"/>
              <w:spacing w:before="0" w:after="283"/>
              <w:rPr/>
            </w:pPr>
            <w:r>
              <w:rPr/>
              <w:t> </w:t>
            </w:r>
          </w:p>
        </w:tc>
        <w:tc>
          <w:tcPr>
            <w:tcW w:w="579" w:type="dxa"/>
            <w:tcBorders/>
            <w:shd w:fill="auto" w:val="clear"/>
          </w:tcPr>
          <w:p>
            <w:pPr>
              <w:pStyle w:val="TableContents"/>
              <w:spacing w:before="0" w:after="283"/>
              <w:jc w:val="left"/>
              <w:rPr/>
            </w:pPr>
            <w:r>
              <w:rPr/>
              <w:t>31.2</w:t>
            </w:r>
          </w:p>
        </w:tc>
        <w:tc>
          <w:tcPr>
            <w:tcW w:w="129" w:type="dxa"/>
            <w:tcBorders/>
            <w:shd w:fill="auto" w:val="clear"/>
          </w:tcPr>
          <w:p>
            <w:pPr>
              <w:pStyle w:val="TableContents"/>
              <w:spacing w:before="0" w:after="283"/>
              <w:rPr/>
            </w:pPr>
            <w:r>
              <w:rPr/>
              <w:t> </w:t>
            </w:r>
          </w:p>
        </w:tc>
        <w:tc>
          <w:tcPr>
            <w:tcW w:w="9283" w:type="dxa"/>
            <w:tcBorders/>
            <w:shd w:fill="auto" w:val="clear"/>
          </w:tcPr>
          <w:p>
            <w:pPr>
              <w:pStyle w:val="TableContents"/>
              <w:spacing w:before="0" w:after="283"/>
              <w:rPr/>
            </w:pPr>
            <w:r>
              <w:rPr/>
              <w:t>Certification of Principal Financial Officer Pursuant to 15 U.S.C. § 7241, as Adopted Pursuant to Section 302 of the Sarbanes-Oxley Act of 2002.</w:t>
            </w:r>
          </w:p>
        </w:tc>
      </w:tr>
      <w:tr>
        <w:trPr/>
        <w:tc>
          <w:tcPr>
            <w:tcW w:w="214" w:type="dxa"/>
            <w:tcBorders/>
            <w:shd w:fill="auto" w:val="clear"/>
            <w:vAlign w:val="center"/>
          </w:tcPr>
          <w:p>
            <w:pPr>
              <w:pStyle w:val="TableContents"/>
              <w:spacing w:before="0" w:after="283"/>
              <w:rPr/>
            </w:pPr>
            <w:r>
              <w:rPr/>
              <w:t> </w:t>
            </w:r>
          </w:p>
        </w:tc>
        <w:tc>
          <w:tcPr>
            <w:tcW w:w="9991" w:type="dxa"/>
            <w:gridSpan w:val="3"/>
            <w:tcBorders/>
            <w:shd w:fill="auto" w:val="clear"/>
          </w:tcPr>
          <w:p>
            <w:pPr>
              <w:pStyle w:val="TableContents"/>
              <w:spacing w:before="0" w:after="283"/>
              <w:rPr>
                <w:sz w:val="4"/>
                <w:szCs w:val="4"/>
              </w:rPr>
            </w:pPr>
            <w:r>
              <w:rPr>
                <w:sz w:val="4"/>
                <w:szCs w:val="4"/>
              </w:rPr>
            </w:r>
          </w:p>
        </w:tc>
      </w:tr>
      <w:tr>
        <w:trPr/>
        <w:tc>
          <w:tcPr>
            <w:tcW w:w="214" w:type="dxa"/>
            <w:tcBorders/>
            <w:shd w:fill="auto" w:val="clear"/>
          </w:tcPr>
          <w:p>
            <w:pPr>
              <w:pStyle w:val="TableContents"/>
              <w:spacing w:before="0" w:after="283"/>
              <w:rPr/>
            </w:pPr>
            <w:r>
              <w:rPr/>
              <w:t> </w:t>
            </w:r>
          </w:p>
        </w:tc>
        <w:tc>
          <w:tcPr>
            <w:tcW w:w="579" w:type="dxa"/>
            <w:tcBorders/>
            <w:shd w:fill="auto" w:val="clear"/>
          </w:tcPr>
          <w:p>
            <w:pPr>
              <w:pStyle w:val="TableContents"/>
              <w:spacing w:before="0" w:after="283"/>
              <w:jc w:val="left"/>
              <w:rPr/>
            </w:pPr>
            <w:r>
              <w:rPr/>
              <w:t>32</w:t>
            </w:r>
          </w:p>
        </w:tc>
        <w:tc>
          <w:tcPr>
            <w:tcW w:w="129" w:type="dxa"/>
            <w:tcBorders/>
            <w:shd w:fill="auto" w:val="clear"/>
          </w:tcPr>
          <w:p>
            <w:pPr>
              <w:pStyle w:val="TableContents"/>
              <w:spacing w:before="0" w:after="283"/>
              <w:rPr/>
            </w:pPr>
            <w:r>
              <w:rPr/>
              <w:t> </w:t>
            </w:r>
          </w:p>
        </w:tc>
        <w:tc>
          <w:tcPr>
            <w:tcW w:w="9283" w:type="dxa"/>
            <w:tcBorders/>
            <w:shd w:fill="auto" w:val="clear"/>
          </w:tcPr>
          <w:p>
            <w:pPr>
              <w:pStyle w:val="TableContents"/>
              <w:spacing w:before="0" w:after="283"/>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114"/>
      <w:bookmarkEnd w:id="1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5677"/>
        <w:gridCol w:w="212"/>
        <w:gridCol w:w="313"/>
        <w:gridCol w:w="212"/>
        <w:gridCol w:w="3791"/>
      </w:tblGrid>
      <w:tr>
        <w:trPr/>
        <w:tc>
          <w:tcPr>
            <w:tcW w:w="567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vAlign w:val="bottom"/>
          </w:tcPr>
          <w:p>
            <w:pPr>
              <w:pStyle w:val="TableContents"/>
              <w:spacing w:before="0" w:after="283"/>
              <w:rPr/>
            </w:pPr>
            <w:r>
              <w:rPr/>
              <w:t> </w:t>
            </w:r>
          </w:p>
        </w:tc>
      </w:tr>
      <w:tr>
        <w:trPr/>
        <w:tc>
          <w:tcPr>
            <w:tcW w:w="567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316" w:type="dxa"/>
            <w:gridSpan w:val="3"/>
            <w:tcBorders/>
            <w:shd w:fill="auto" w:val="clear"/>
          </w:tcPr>
          <w:p>
            <w:pPr>
              <w:pStyle w:val="TableContents"/>
              <w:spacing w:before="0" w:after="283"/>
              <w:jc w:val="left"/>
              <w:rPr/>
            </w:pPr>
            <w:r>
              <w:rPr/>
              <w:t>Calavo Growers, Inc.</w:t>
              <w:br/>
              <w:t>(Registrant)</w:t>
            </w:r>
          </w:p>
        </w:tc>
      </w:tr>
      <w:tr>
        <w:trPr/>
        <w:tc>
          <w:tcPr>
            <w:tcW w:w="5677"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 </w:t>
            </w:r>
          </w:p>
        </w:tc>
      </w:tr>
      <w:tr>
        <w:trPr/>
        <w:tc>
          <w:tcPr>
            <w:tcW w:w="5677" w:type="dxa"/>
            <w:tcBorders/>
            <w:shd w:fill="auto" w:val="clear"/>
          </w:tcPr>
          <w:p>
            <w:pPr>
              <w:pStyle w:val="TableContents"/>
              <w:spacing w:before="0" w:after="0"/>
              <w:ind w:left="0" w:right="0" w:hanging="0"/>
              <w:rPr/>
            </w:pPr>
            <w:r>
              <w:rPr/>
              <w:t xml:space="preserve">Date: September 8, 2006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xml:space="preserve">By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/s/ Lecil E. Cole</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center"/>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center"/>
          </w:tcPr>
          <w:p>
            <w:pPr>
              <w:pStyle w:val="TableContents"/>
              <w:spacing w:before="0" w:after="283"/>
              <w:rPr/>
            </w:pPr>
            <w:r>
              <w:rPr/>
              <w:t> </w:t>
            </w:r>
          </w:p>
        </w:tc>
        <w:tc>
          <w:tcPr>
            <w:tcW w:w="37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Lecil E. Cole</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Chairman of the Board of Directors, Chief Executive Officer and President</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(Principal Executive Officer)</w:t>
            </w:r>
          </w:p>
        </w:tc>
      </w:tr>
      <w:tr>
        <w:trPr/>
        <w:tc>
          <w:tcPr>
            <w:tcW w:w="5677"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 </w:t>
            </w:r>
          </w:p>
        </w:tc>
      </w:tr>
      <w:tr>
        <w:trPr/>
        <w:tc>
          <w:tcPr>
            <w:tcW w:w="5677" w:type="dxa"/>
            <w:tcBorders/>
            <w:shd w:fill="auto" w:val="clear"/>
          </w:tcPr>
          <w:p>
            <w:pPr>
              <w:pStyle w:val="TableContents"/>
              <w:spacing w:before="0" w:after="0"/>
              <w:ind w:left="0" w:right="0" w:hanging="0"/>
              <w:rPr/>
            </w:pPr>
            <w:r>
              <w:rPr/>
              <w:t xml:space="preserve">Date: September 8, 2006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xml:space="preserve">By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/s/ Arthur J. Bruno</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center"/>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center"/>
          </w:tcPr>
          <w:p>
            <w:pPr>
              <w:pStyle w:val="TableContents"/>
              <w:spacing w:before="0" w:after="283"/>
              <w:rPr/>
            </w:pPr>
            <w:r>
              <w:rPr/>
              <w:t> </w:t>
            </w:r>
          </w:p>
        </w:tc>
        <w:tc>
          <w:tcPr>
            <w:tcW w:w="37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Arthur J. Bruno</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Chief Operating Officer, Chief Financial Officer and Corporate Secretary</w:t>
            </w:r>
          </w:p>
        </w:tc>
      </w:tr>
      <w:tr>
        <w:trPr/>
        <w:tc>
          <w:tcPr>
            <w:tcW w:w="5677"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3791" w:type="dxa"/>
            <w:tcBorders/>
            <w:shd w:fill="auto" w:val="clear"/>
          </w:tcPr>
          <w:p>
            <w:pPr>
              <w:pStyle w:val="TableContents"/>
              <w:spacing w:before="0" w:after="283"/>
              <w:jc w:val="left"/>
              <w:rPr/>
            </w:pPr>
            <w:r>
              <w:rPr/>
              <w:t>(Principal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7" w:name="115"/>
      <w:bookmarkEnd w:id="17"/>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302"/>
        <w:gridCol w:w="672"/>
        <w:gridCol w:w="307"/>
        <w:gridCol w:w="456"/>
        <w:gridCol w:w="8468"/>
      </w:tblGrid>
      <w:tr>
        <w:trPr/>
        <w:tc>
          <w:tcPr>
            <w:tcW w:w="302"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vAlign w:val="bottom"/>
          </w:tcPr>
          <w:p>
            <w:pPr>
              <w:pStyle w:val="TableContents"/>
              <w:spacing w:before="0" w:after="283"/>
              <w:rPr/>
            </w:pPr>
            <w:r>
              <w:rPr/>
              <w:t> </w:t>
            </w:r>
          </w:p>
        </w:tc>
      </w:tr>
      <w:tr>
        <w:trPr/>
        <w:tc>
          <w:tcPr>
            <w:tcW w:w="1281" w:type="dxa"/>
            <w:gridSpan w:val="3"/>
            <w:tcBorders/>
            <w:shd w:fill="auto" w:val="clear"/>
            <w:vAlign w:val="bottom"/>
          </w:tcPr>
          <w:p>
            <w:pPr>
              <w:pStyle w:val="TableContents"/>
              <w:spacing w:before="0" w:after="283"/>
              <w:jc w:val="center"/>
              <w:rPr/>
            </w:pPr>
            <w:r>
              <w:rPr/>
              <w:t>Exhibit</w:t>
            </w:r>
          </w:p>
        </w:tc>
        <w:tc>
          <w:tcPr>
            <w:tcW w:w="456" w:type="dxa"/>
            <w:tcBorders/>
            <w:shd w:fill="auto" w:val="clear"/>
            <w:vAlign w:val="bottom"/>
          </w:tcPr>
          <w:p>
            <w:pPr>
              <w:pStyle w:val="TableContents"/>
              <w:spacing w:before="0" w:after="283"/>
              <w:rPr/>
            </w:pPr>
            <w:r>
              <w:rPr/>
              <w:t> </w:t>
            </w:r>
          </w:p>
        </w:tc>
        <w:tc>
          <w:tcPr>
            <w:tcW w:w="8468" w:type="dxa"/>
            <w:tcBorders/>
            <w:shd w:fill="auto" w:val="clear"/>
            <w:vAlign w:val="bottom"/>
          </w:tcPr>
          <w:p>
            <w:pPr>
              <w:pStyle w:val="TableContents"/>
              <w:spacing w:before="0" w:after="283"/>
              <w:jc w:val="left"/>
              <w:rPr/>
            </w:pPr>
            <w:r>
              <w:rPr/>
              <w:t> </w:t>
            </w:r>
          </w:p>
        </w:tc>
      </w:tr>
      <w:tr>
        <w:trPr/>
        <w:tc>
          <w:tcPr>
            <w:tcW w:w="1281"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w:t>
            </w:r>
          </w:p>
        </w:tc>
        <w:tc>
          <w:tcPr>
            <w:tcW w:w="456" w:type="dxa"/>
            <w:tcBorders/>
            <w:shd w:fill="auto" w:val="clear"/>
            <w:vAlign w:val="bottom"/>
          </w:tcPr>
          <w:p>
            <w:pPr>
              <w:pStyle w:val="TableContents"/>
              <w:spacing w:before="0" w:after="283"/>
              <w:rPr/>
            </w:pPr>
            <w:r>
              <w:rPr/>
              <w:t> </w:t>
            </w:r>
          </w:p>
        </w:tc>
        <w:tc>
          <w:tcPr>
            <w:tcW w:w="8468"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10.17</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Form of Stock Option Agreement.</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 </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31.1</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Certification of Chief Executive Officer Pursuant to 15 U.S.C. § 7241, as Adopted Pursuant to Section 302 of the Sarbanes-Oxley Act of 2002.</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 </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31.2</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Certification of Principal Financial Officer Pursuant to 15 U.S.C. § 7241, as Adopted Pursuant to Section 302 of the Sarbanes-Oxley Act of 2002.</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 </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 </w:t>
            </w:r>
          </w:p>
        </w:tc>
      </w:tr>
      <w:tr>
        <w:trPr/>
        <w:tc>
          <w:tcPr>
            <w:tcW w:w="302" w:type="dxa"/>
            <w:tcBorders/>
            <w:shd w:fill="auto" w:val="clear"/>
          </w:tcPr>
          <w:p>
            <w:pPr>
              <w:pStyle w:val="TableContents"/>
              <w:spacing w:before="0" w:after="283"/>
              <w:jc w:val="right"/>
              <w:rPr/>
            </w:pPr>
            <w:r>
              <w:rPr/>
              <w:t> </w:t>
            </w:r>
          </w:p>
        </w:tc>
        <w:tc>
          <w:tcPr>
            <w:tcW w:w="672" w:type="dxa"/>
            <w:tcBorders/>
            <w:shd w:fill="auto" w:val="clear"/>
          </w:tcPr>
          <w:p>
            <w:pPr>
              <w:pStyle w:val="TableContents"/>
              <w:spacing w:before="0" w:after="283"/>
              <w:jc w:val="right"/>
              <w:rPr/>
            </w:pPr>
            <w:r>
              <w:rPr/>
              <w:t>32</w:t>
            </w:r>
          </w:p>
        </w:tc>
        <w:tc>
          <w:tcPr>
            <w:tcW w:w="307" w:type="dxa"/>
            <w:tcBorders/>
            <w:shd w:fill="auto" w:val="clear"/>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8468" w:type="dxa"/>
            <w:tcBorders/>
            <w:shd w:fill="auto" w:val="clear"/>
          </w:tcPr>
          <w:p>
            <w:pPr>
              <w:pStyle w:val="TableContents"/>
              <w:spacing w:before="0" w:after="0"/>
              <w:ind w:left="0" w:right="0" w:hanging="0"/>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r>
        <w:br w:type="page"/>
      </w:r>
    </w:p>
    <w:p>
      <w:pPr>
        <w:pStyle w:val="Heading5"/>
        <w:jc w:val="left"/>
        <w:rPr/>
      </w:pPr>
      <w:bookmarkStart w:id="18" w:name="v23527exv10w17.htm"/>
      <w:bookmarkStart w:id="19" w:name="ksv23527exv10w17"/>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10.17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STOCK OPTION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Stock Option Agreement (the </w:t>
      </w:r>
      <w:r>
        <w:rPr>
          <w:rFonts w:ascii="Times New Roman;Times;serif" w:hAnsi="Times New Roman;Times;serif"/>
          <w:b/>
          <w:sz w:val="17"/>
          <w:u w:val="single"/>
        </w:rPr>
        <w:t>Agreement</w:t>
      </w:r>
      <w:r>
        <w:rPr>
          <w:rFonts w:ascii="Times New Roman;Times;serif" w:hAnsi="Times New Roman;Times;serif"/>
          <w:sz w:val="17"/>
        </w:rPr>
        <w:t>) is entered into as of August 25, 2005 by and between Calavo Growers, Inc., a California corporation (the </w:t>
      </w:r>
      <w:r>
        <w:rPr>
          <w:rFonts w:ascii="Times New Roman;Times;serif" w:hAnsi="Times New Roman;Times;serif"/>
          <w:b/>
          <w:sz w:val="17"/>
          <w:u w:val="single"/>
        </w:rPr>
        <w:t>Company</w:t>
      </w:r>
      <w:r>
        <w:rPr>
          <w:rFonts w:ascii="Times New Roman;Times;serif" w:hAnsi="Times New Roman;Times;serif"/>
          <w:sz w:val="17"/>
        </w:rPr>
        <w:t>), and ___(the </w:t>
      </w:r>
      <w:r>
        <w:rPr>
          <w:rFonts w:ascii="Times New Roman;Times;serif" w:hAnsi="Times New Roman;Times;serif"/>
          <w:b/>
          <w:sz w:val="17"/>
          <w:u w:val="single"/>
        </w:rPr>
        <w:t>Option Holder</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RECITALS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The Company has adopted the 2005 Stock Incentive Plan (the </w:t>
      </w:r>
      <w:r>
        <w:rPr>
          <w:rFonts w:ascii="Times New Roman;Times;serif" w:hAnsi="Times New Roman;Times;serif"/>
          <w:b/>
          <w:sz w:val="17"/>
          <w:u w:val="single"/>
        </w:rPr>
        <w:t>Plan</w:t>
      </w:r>
      <w:r>
        <w:rPr>
          <w:rFonts w:ascii="Times New Roman;Times;serif" w:hAnsi="Times New Roman;Times;serif"/>
          <w:sz w:val="17"/>
        </w:rPr>
        <w:t xml:space="preserve">). The Option Holder has had an opportunity to review the Plan. </w:t>
      </w:r>
    </w:p>
    <w:p>
      <w:pPr>
        <w:pStyle w:val="TextBody"/>
        <w:spacing w:before="120" w:after="283"/>
        <w:jc w:val="left"/>
        <w:rPr/>
      </w:pPr>
      <w:r>
        <w:rPr/>
        <w:t>     </w:t>
      </w:r>
      <w:r>
        <w:rPr>
          <w:rFonts w:ascii="Times New Roman;Times;serif" w:hAnsi="Times New Roman;Times;serif"/>
          <w:sz w:val="17"/>
        </w:rPr>
        <w:t xml:space="preserve">B. The Option Holder is a director, officer and/or employee of the Company and, therefore, is eligible to receive option grants under the Plan. This Agreement is intended by the parties to evidence the Companys grant to the Option Holder of an option to purchase shares of its common stock. </w:t>
      </w:r>
    </w:p>
    <w:p>
      <w:pPr>
        <w:pStyle w:val="TextBody"/>
        <w:spacing w:before="120" w:after="283"/>
        <w:jc w:val="left"/>
        <w:rPr/>
      </w:pPr>
      <w:r>
        <w:rPr/>
        <w:t>     </w:t>
      </w:r>
      <w:r>
        <w:rPr>
          <w:rFonts w:ascii="Times New Roman;Times;serif" w:hAnsi="Times New Roman;Times;serif"/>
          <w:sz w:val="17"/>
        </w:rPr>
        <w:t xml:space="preserve">NOW, THEREFORE, in consideration of the foregoing and other good and valuable consideration, the receipt and sufficiency of which hereby are acknowledged, the Company and the Option Holder hereby agree as follows: </w:t>
      </w:r>
    </w:p>
    <w:p>
      <w:pPr>
        <w:pStyle w:val="TextBody"/>
        <w:spacing w:before="120" w:after="283"/>
        <w:jc w:val="left"/>
        <w:rPr/>
      </w:pPr>
      <w:r>
        <w:rPr/>
        <w:t>     </w:t>
      </w:r>
      <w:r>
        <w:rPr>
          <w:rFonts w:ascii="Times New Roman;Times;serif" w:hAnsi="Times New Roman;Times;serif"/>
          <w:b/>
          <w:sz w:val="17"/>
        </w:rPr>
        <w:t>1. </w:t>
      </w:r>
      <w:r>
        <w:rPr>
          <w:rFonts w:ascii="Times New Roman;Times;serif" w:hAnsi="Times New Roman;Times;serif"/>
          <w:b/>
          <w:sz w:val="17"/>
          <w:u w:val="single"/>
        </w:rPr>
        <w:t>Option Grant and Exercise Price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w:t>
      </w:r>
      <w:r>
        <w:rPr>
          <w:rFonts w:ascii="Times New Roman;Times;serif" w:hAnsi="Times New Roman;Times;serif"/>
          <w:sz w:val="17"/>
        </w:rPr>
        <w:t>Effective as of the date set forth in the first paragraph of this Agreement, the Company hereby grants to the Option Holder the right and option (the </w:t>
      </w:r>
      <w:r>
        <w:rPr>
          <w:rFonts w:ascii="Times New Roman;Times;serif" w:hAnsi="Times New Roman;Times;serif"/>
          <w:b/>
          <w:sz w:val="17"/>
          <w:u w:val="single"/>
        </w:rPr>
        <w:t>Option</w:t>
      </w:r>
      <w:r>
        <w:rPr>
          <w:rFonts w:ascii="Times New Roman;Times;serif" w:hAnsi="Times New Roman;Times;serif"/>
          <w:sz w:val="17"/>
        </w:rPr>
        <w:t>) to purchase, on the terms and conditions set forth in this Agreement and in the Plan, ___(___) shares of its common stock, par value $0.001 per share (</w:t>
      </w:r>
      <w:r>
        <w:rPr>
          <w:rFonts w:ascii="Times New Roman;Times;serif" w:hAnsi="Times New Roman;Times;serif"/>
          <w:b/>
          <w:sz w:val="17"/>
          <w:u w:val="single"/>
        </w:rPr>
        <w:t>Common Stock</w:t>
      </w:r>
      <w:r>
        <w:rPr>
          <w:rFonts w:ascii="Times New Roman;Times;serif" w:hAnsi="Times New Roman;Times;serif"/>
          <w:sz w:val="17"/>
        </w:rPr>
        <w:t xml:space="preserve">), at an exercise price of Nine Dollars and Ten Cents ($9.10) per share. The Option exercise price is equal to or in excess of the fair market value of the Common Stock on the Option grant date as determined in accordance with Section 6.1.9 of the Plan. </w:t>
      </w:r>
    </w:p>
    <w:p>
      <w:pPr>
        <w:pStyle w:val="TextBody"/>
        <w:spacing w:before="120" w:after="283"/>
        <w:jc w:val="left"/>
        <w:rPr/>
      </w:pPr>
      <w:r>
        <w:rPr/>
        <w:t>          </w:t>
      </w:r>
      <w:r>
        <w:rPr>
          <w:rFonts w:ascii="Times New Roman;Times;serif" w:hAnsi="Times New Roman;Times;serif"/>
          <w:b/>
          <w:sz w:val="17"/>
        </w:rPr>
        <w:t xml:space="preserve">(b) </w:t>
      </w:r>
      <w:r>
        <w:rPr>
          <w:rFonts w:ascii="Times New Roman;Times;serif" w:hAnsi="Times New Roman;Times;serif"/>
          <w:sz w:val="17"/>
        </w:rPr>
        <w:t xml:space="preserve">The Option is not intended by the Company and the Option Holder to be an incentive stock option within the meaning of Section 422 of the Internal Revenue Code of 1986, as amended. </w:t>
      </w:r>
    </w:p>
    <w:p>
      <w:pPr>
        <w:pStyle w:val="TextBody"/>
        <w:spacing w:before="120" w:after="283"/>
        <w:jc w:val="left"/>
        <w:rPr/>
      </w:pPr>
      <w:r>
        <w:rPr/>
        <w:t>     </w:t>
      </w:r>
      <w:r>
        <w:rPr>
          <w:rFonts w:ascii="Times New Roman;Times;serif" w:hAnsi="Times New Roman;Times;serif"/>
          <w:b/>
          <w:sz w:val="17"/>
        </w:rPr>
        <w:t>2. </w:t>
      </w:r>
      <w:r>
        <w:rPr>
          <w:rFonts w:ascii="Times New Roman;Times;serif" w:hAnsi="Times New Roman;Times;serif"/>
          <w:b/>
          <w:sz w:val="17"/>
          <w:u w:val="single"/>
        </w:rPr>
        <w:t>Vesting and Term of the Option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w:t>
      </w:r>
      <w:r>
        <w:rPr>
          <w:rFonts w:ascii="Times New Roman;Times;serif" w:hAnsi="Times New Roman;Times;serif"/>
          <w:b/>
          <w:sz w:val="17"/>
          <w:u w:val="single"/>
        </w:rPr>
        <w:t>Option Vesting</w:t>
      </w:r>
      <w:r>
        <w:rPr>
          <w:rFonts w:ascii="Times New Roman;Times;serif" w:hAnsi="Times New Roman;Times;serif"/>
          <w:sz w:val="17"/>
        </w:rPr>
        <w:t xml:space="preserve">. Subject to the terms and conditions of this Agreement, the Option shall fully vest and become exercisable as to all ___(___) shares of Common Stock that are covered by the Option, but only if the closing price of the Common Stock on the Nasdaq National Market (or other principal market on which the Common Stock is traded) is at least Eleven Dollars ($11.00) per share at any time throughout the life of the option. At no time, however, may any options vest within one year from the date of grant. As such, if the closing price of the Common Stock is at least $11.00 per share within one year from the date of grant, all options vest and become exercisable on August 26, 2006. The Option Holder shall, at no time, be allowed to exercise any portion of the Option prior to its vesting date.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 xml:space="preserve">(b) </w:t>
      </w:r>
      <w:r>
        <w:rPr>
          <w:rFonts w:ascii="Times New Roman;Times;serif" w:hAnsi="Times New Roman;Times;serif"/>
          <w:b/>
          <w:sz w:val="17"/>
          <w:u w:val="single"/>
        </w:rPr>
        <w:t>Option Term</w:t>
      </w:r>
      <w:r>
        <w:rPr>
          <w:rFonts w:ascii="Times New Roman;Times;serif" w:hAnsi="Times New Roman;Times;serif"/>
          <w:b/>
          <w:sz w:val="17"/>
        </w:rPr>
        <w:t xml:space="preserve">. </w:t>
      </w:r>
      <w:r>
        <w:rPr>
          <w:rFonts w:ascii="Times New Roman;Times;serif" w:hAnsi="Times New Roman;Times;serif"/>
          <w:sz w:val="17"/>
        </w:rPr>
        <w:t xml:space="preserve">Subject to the possibility of earlier termnation as described in Section 2(c), the Option shall terminate on August 25, 2010, and no portion of the Option may be exercised on or after August 25, 2010. </w:t>
      </w:r>
    </w:p>
    <w:p>
      <w:pPr>
        <w:pStyle w:val="TextBody"/>
        <w:spacing w:before="120" w:after="283"/>
        <w:jc w:val="left"/>
        <w:rPr/>
      </w:pPr>
      <w:r>
        <w:rPr/>
        <w:t>          </w:t>
      </w:r>
      <w:r>
        <w:rPr>
          <w:rFonts w:ascii="Times New Roman;Times;serif" w:hAnsi="Times New Roman;Times;serif"/>
          <w:b/>
          <w:sz w:val="17"/>
        </w:rPr>
        <w:t xml:space="preserve">(c) </w:t>
      </w:r>
      <w:r>
        <w:rPr>
          <w:rFonts w:ascii="Times New Roman;Times;serif" w:hAnsi="Times New Roman;Times;serif"/>
          <w:b/>
          <w:sz w:val="17"/>
          <w:u w:val="single"/>
        </w:rPr>
        <w:t>Early Option Termination</w:t>
      </w:r>
      <w:r>
        <w:rPr>
          <w:rFonts w:ascii="Times New Roman;Times;serif" w:hAnsi="Times New Roman;Times;serif"/>
          <w:sz w:val="17"/>
        </w:rPr>
        <w:t xml:space="preserve">. If for any reason the Option Holder ceases to be a director, officer or employee of the Company or of a subsidiary of the Company, any portion of the Option that has vested and is unexercised at the date of the termination of the Option Holders service may be exercised in whole or in part at any time within ninety days after the date of the Option Holders service termination but not thereafter, provided that the Option may in no event be exercised on or after the Option termination date described in Section 2(b). If the Option has not vested as of the date that the Option Holders service terminates, the Option shall not be exercisable by the Option Holder at any time after the termination of his service. The Option is also subject to early termination upon the occurrence of a Corporate Transaction that is described in Section 6.1.2 of the Plan. </w:t>
      </w:r>
    </w:p>
    <w:p>
      <w:pPr>
        <w:pStyle w:val="TextBody"/>
        <w:spacing w:before="120" w:after="283"/>
        <w:jc w:val="left"/>
        <w:rPr/>
      </w:pPr>
      <w:r>
        <w:rPr/>
        <w:t>     </w:t>
      </w:r>
      <w:r>
        <w:rPr>
          <w:rFonts w:ascii="Times New Roman;Times;serif" w:hAnsi="Times New Roman;Times;serif"/>
          <w:b/>
          <w:sz w:val="17"/>
        </w:rPr>
        <w:t>3. </w:t>
      </w:r>
      <w:r>
        <w:rPr>
          <w:rFonts w:ascii="Times New Roman;Times;serif" w:hAnsi="Times New Roman;Times;serif"/>
          <w:b/>
          <w:sz w:val="17"/>
          <w:u w:val="single"/>
        </w:rPr>
        <w:t>Manner of Exercising the Option</w:t>
      </w:r>
      <w:r>
        <w:rPr>
          <w:rFonts w:ascii="Times New Roman;Times;serif" w:hAnsi="Times New Roman;Times;serif"/>
          <w:sz w:val="17"/>
        </w:rPr>
        <w:t xml:space="preserve">. The Option Holder may exercise the vested Option in whole or in part prior to the Options termination, provided that a partial exercise of the Option may not be for fewer than one hundred (100) shares of Common Stock unless fewer than one hundred (100) shares subject to the vested Option remain unexercised, in which event the entire remaining portion of the Option must be exercised at one time. The Option shall not be exercisable with respect to a fraction of a share of Common Stock. The Option Holder may exercise the vested Option, in whole or in part, by delivering to the Companys Controller written notice of exercise in the form of the notice attached to this Agreement. Such notice shall specify the number of shares of Common Stock to be purchased and shall be accompanied by payment of the purchase price of the shares. No shares shall be issued by the Company until full payment of the purchase price has been made. </w:t>
      </w:r>
    </w:p>
    <w:p>
      <w:pPr>
        <w:pStyle w:val="TextBody"/>
        <w:spacing w:before="120" w:after="283"/>
        <w:jc w:val="left"/>
        <w:rPr/>
      </w:pPr>
      <w:r>
        <w:rPr/>
        <w:t>     </w:t>
      </w:r>
      <w:r>
        <w:rPr>
          <w:rFonts w:ascii="Times New Roman;Times;serif" w:hAnsi="Times New Roman;Times;serif"/>
          <w:b/>
          <w:sz w:val="17"/>
        </w:rPr>
        <w:t>4. </w:t>
      </w:r>
      <w:r>
        <w:rPr>
          <w:rFonts w:ascii="Times New Roman;Times;serif" w:hAnsi="Times New Roman;Times;serif"/>
          <w:b/>
          <w:sz w:val="17"/>
          <w:u w:val="single"/>
        </w:rPr>
        <w:t>Payment of the Option Exercise Price</w:t>
      </w:r>
      <w:r>
        <w:rPr>
          <w:rFonts w:ascii="Times New Roman;Times;serif" w:hAnsi="Times New Roman;Times;serif"/>
          <w:sz w:val="17"/>
        </w:rPr>
        <w:t>. Unless the Companys Board of Directors (the </w:t>
      </w:r>
      <w:r>
        <w:rPr>
          <w:rFonts w:ascii="Times New Roman;Times;serif" w:hAnsi="Times New Roman;Times;serif"/>
          <w:b/>
          <w:sz w:val="17"/>
          <w:u w:val="single"/>
        </w:rPr>
        <w:t>Board</w:t>
      </w:r>
      <w:r>
        <w:rPr>
          <w:rFonts w:ascii="Times New Roman;Times;serif" w:hAnsi="Times New Roman;Times;serif"/>
          <w:sz w:val="17"/>
        </w:rPr>
        <w:t xml:space="preserve">) elects in its discretion to allow one of the alternative methods of payment described in Section 6.1.6 of the Plan (including, without limitation, a so-called cashless Option exercise conducted through a broker), payment of the exercise price of the shares of Common Stock subject to the exercised portion of the Option shall be made by the Option Holders delivery to the Company of a check payable to the order of the Company. As provided in Section 6.1.7 of the Plan, the Company has the right to require the Option Holder to satisfy any applicable withholding obligations at the time of the exercise of the Option. </w:t>
      </w:r>
    </w:p>
    <w:p>
      <w:pPr>
        <w:pStyle w:val="TextBody"/>
        <w:spacing w:before="120" w:after="283"/>
        <w:jc w:val="left"/>
        <w:rPr/>
      </w:pPr>
      <w:r>
        <w:rPr/>
        <w:t>     </w:t>
      </w:r>
      <w:r>
        <w:rPr>
          <w:rFonts w:ascii="Times New Roman;Times;serif" w:hAnsi="Times New Roman;Times;serif"/>
          <w:b/>
          <w:sz w:val="17"/>
        </w:rPr>
        <w:t>5. </w:t>
      </w:r>
      <w:r>
        <w:rPr>
          <w:rFonts w:ascii="Times New Roman;Times;serif" w:hAnsi="Times New Roman;Times;serif"/>
          <w:b/>
          <w:sz w:val="17"/>
          <w:u w:val="single"/>
        </w:rPr>
        <w:t>Transferability of the Option</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w:t>
      </w:r>
      <w:r>
        <w:rPr>
          <w:rFonts w:ascii="Times New Roman;Times;serif" w:hAnsi="Times New Roman;Times;serif"/>
          <w:sz w:val="17"/>
        </w:rPr>
        <w:t xml:space="preserve">Except as provided in this Section 5, the Option Holder may not assign or otherwise transfer the Option, either voluntarily or by operation of law, other than by will or the laws of descent and distribution, and the Option shall be exercisable during the Option Holders lifetime only by the Option Holder or by the Option Holders legal representative. Following the death of the Option Holder, the Option shall be exercisable by the Option Holders legal representative, executor and beneficiaries. </w:t>
      </w:r>
    </w:p>
    <w:p>
      <w:pPr>
        <w:pStyle w:val="TextBody"/>
        <w:spacing w:before="120" w:after="283"/>
        <w:jc w:val="left"/>
        <w:rPr/>
      </w:pPr>
      <w:r>
        <w:rPr/>
        <w:t>          </w:t>
      </w:r>
      <w:r>
        <w:rPr>
          <w:rFonts w:ascii="Times New Roman;Times;serif" w:hAnsi="Times New Roman;Times;serif"/>
          <w:b/>
          <w:sz w:val="17"/>
        </w:rPr>
        <w:t xml:space="preserve">(b) </w:t>
      </w:r>
      <w:r>
        <w:rPr>
          <w:rFonts w:ascii="Times New Roman;Times;serif" w:hAnsi="Times New Roman;Times;serif"/>
          <w:sz w:val="17"/>
        </w:rPr>
        <w:t xml:space="preserve">The Option Holder may assign and transfer part or all of the Option to a family member or family trust during the Option Holders lifetime but only if: (i) the transfer is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made by a gift and not for consideration; (ii) the transferee is a family member (including, without limitation, a family trust) as defined in General Instruction A.1(a)(5) of Form S-8 under the Securities Act of 1933, as amended (the </w:t>
      </w:r>
      <w:r>
        <w:rPr>
          <w:rFonts w:ascii="Times New Roman;Times;serif" w:hAnsi="Times New Roman;Times;serif"/>
          <w:b/>
          <w:sz w:val="17"/>
          <w:u w:val="single"/>
        </w:rPr>
        <w:t>Securities Act</w:t>
      </w:r>
      <w:r>
        <w:rPr>
          <w:rFonts w:ascii="Times New Roman;Times;serif" w:hAnsi="Times New Roman;Times;serif"/>
          <w:sz w:val="17"/>
        </w:rPr>
        <w:t xml:space="preserve">); (iii) the Option Holder gives the Company at least ten days prior written notice of the proposed transfer; and (iv) the transferee executes and delivers to the Company any documents requested by the Company (including, without limitation, a counterpart of this Agreement) in order to document the transfer. Any such transferee of all or part of the Option shall be bound by all of the terms and conditions of the Plan and this Agreement, and the Option Holder shall be personally liable to the Company for any breach by the transferee of any of the terms of the Plan or this Agreement. </w:t>
      </w:r>
    </w:p>
    <w:p>
      <w:pPr>
        <w:pStyle w:val="TextBody"/>
        <w:spacing w:before="120" w:after="283"/>
        <w:jc w:val="left"/>
        <w:rPr/>
      </w:pPr>
      <w:r>
        <w:rPr/>
        <w:t>     </w:t>
      </w:r>
      <w:r>
        <w:rPr>
          <w:rFonts w:ascii="Times New Roman;Times;serif" w:hAnsi="Times New Roman;Times;serif"/>
          <w:b/>
          <w:sz w:val="17"/>
        </w:rPr>
        <w:t>6. </w:t>
      </w:r>
      <w:r>
        <w:rPr>
          <w:rFonts w:ascii="Times New Roman;Times;serif" w:hAnsi="Times New Roman;Times;serif"/>
          <w:b/>
          <w:sz w:val="17"/>
          <w:u w:val="single"/>
        </w:rPr>
        <w:t>Securities Law Compliance</w:t>
      </w:r>
      <w:r>
        <w:rPr>
          <w:rFonts w:ascii="Times New Roman;Times;serif" w:hAnsi="Times New Roman;Times;serif"/>
          <w:sz w:val="17"/>
        </w:rPr>
        <w:t xml:space="preserve">. As provided in Section 10.1 of the Plan, no shares of Common Stock shall be issued or delivered upon exercise of the Option unless and until the Board determines that the exercise of the Option and the issuance and delivery of such shares pursuant thereto will comply with all relevant provisions of law, including, without limitation, the Securities Act, applicable state and foreign securities laws and the requirements of any stock exchange or Nasdaq market system upon which the Common Stock may be listed. </w:t>
      </w:r>
    </w:p>
    <w:p>
      <w:pPr>
        <w:pStyle w:val="TextBody"/>
        <w:spacing w:before="120" w:after="283"/>
        <w:jc w:val="left"/>
        <w:rPr/>
      </w:pPr>
      <w:r>
        <w:rPr/>
        <w:t>     </w:t>
      </w:r>
      <w:r>
        <w:rPr>
          <w:rFonts w:ascii="Times New Roman;Times;serif" w:hAnsi="Times New Roman;Times;serif"/>
          <w:b/>
          <w:sz w:val="17"/>
        </w:rPr>
        <w:t>7. </w:t>
      </w:r>
      <w:r>
        <w:rPr>
          <w:rFonts w:ascii="Times New Roman;Times;serif" w:hAnsi="Times New Roman;Times;serif"/>
          <w:b/>
          <w:sz w:val="17"/>
          <w:u w:val="single"/>
        </w:rPr>
        <w:t>Incorporation by Reference of the Plan</w:t>
      </w:r>
      <w:r>
        <w:rPr>
          <w:rFonts w:ascii="Times New Roman;Times;serif" w:hAnsi="Times New Roman;Times;serif"/>
          <w:b/>
          <w:sz w:val="17"/>
        </w:rPr>
        <w:t xml:space="preserve">. </w:t>
      </w:r>
      <w:r>
        <w:rPr>
          <w:rFonts w:ascii="Times New Roman;Times;serif" w:hAnsi="Times New Roman;Times;serif"/>
          <w:sz w:val="17"/>
        </w:rPr>
        <w:t xml:space="preserve">The Plan and all of its terms and conditions, as amended from time to time, are incorporated by reference into this Agreement. The Option Holder acknowledges that he has received and reviewed a copy of the Plan. This Agreement is not a complete restatement of all of the terms and conditions of the Plan. The Company and the Option Holder agree to be bound by the Plan, as amended from time to time, and agree that the terms and conditions of the Plan shall govern if and to the extent that there are any inconsistencies between the Plan and this Agreement. If the Plan is administered by a committee as permitted by Section 4.1 of the Plan, references in this Agreement to the Board shall, as appropriate, apply instead to such committee. </w:t>
      </w:r>
    </w:p>
    <w:p>
      <w:pPr>
        <w:pStyle w:val="TextBody"/>
        <w:spacing w:before="120" w:after="283"/>
        <w:jc w:val="left"/>
        <w:rPr/>
      </w:pPr>
      <w:r>
        <w:rPr/>
        <w:t>     </w:t>
      </w:r>
      <w:r>
        <w:rPr>
          <w:rFonts w:ascii="Times New Roman;Times;serif" w:hAnsi="Times New Roman;Times;serif"/>
          <w:b/>
          <w:sz w:val="17"/>
        </w:rPr>
        <w:t>8. </w:t>
      </w:r>
      <w:r>
        <w:rPr>
          <w:rFonts w:ascii="Times New Roman;Times;serif" w:hAnsi="Times New Roman;Times;serif"/>
          <w:b/>
          <w:sz w:val="17"/>
          <w:u w:val="single"/>
        </w:rPr>
        <w:t>Option Holders Representations and Warranties</w:t>
      </w:r>
      <w:r>
        <w:rPr>
          <w:rFonts w:ascii="Times New Roman;Times;serif" w:hAnsi="Times New Roman;Times;serif"/>
          <w:b/>
          <w:sz w:val="17"/>
        </w:rPr>
        <w:t xml:space="preserve">. </w:t>
      </w:r>
      <w:r>
        <w:rPr>
          <w:rFonts w:ascii="Times New Roman;Times;serif" w:hAnsi="Times New Roman;Times;serif"/>
          <w:sz w:val="17"/>
        </w:rPr>
        <w:t xml:space="preserve">In connection with the receipt of the Option pursuant to this Agreement and in contemplation of the Option Holders purchase of shares of Common Stock upon exercise of the Option, the Option Holder hereby agrees, represents and warrants as follows; provided that all of the following agreements, representations and warranties shall be deemed to have been given again by the Option Holder as of the date that he exercises the Option: </w:t>
      </w:r>
    </w:p>
    <w:p>
      <w:pPr>
        <w:pStyle w:val="TextBody"/>
        <w:spacing w:before="120" w:after="283"/>
        <w:jc w:val="left"/>
        <w:rPr/>
      </w:pPr>
      <w:r>
        <w:rPr/>
        <w:t>          </w:t>
      </w:r>
      <w:r>
        <w:rPr>
          <w:rFonts w:ascii="Times New Roman;Times;serif" w:hAnsi="Times New Roman;Times;serif"/>
          <w:b/>
          <w:sz w:val="17"/>
        </w:rPr>
        <w:t xml:space="preserve">(a) </w:t>
      </w:r>
      <w:r>
        <w:rPr>
          <w:rFonts w:ascii="Times New Roman;Times;serif" w:hAnsi="Times New Roman;Times;serif"/>
          <w:b/>
          <w:sz w:val="17"/>
          <w:u w:val="single"/>
        </w:rPr>
        <w:t>Access to Information</w:t>
      </w:r>
      <w:r>
        <w:rPr>
          <w:rFonts w:ascii="Times New Roman;Times;serif" w:hAnsi="Times New Roman;Times;serif"/>
          <w:sz w:val="17"/>
        </w:rPr>
        <w:t>. The Option Holder has had a sufficient opportunity to review (i) the Plan, (ii) the Prospectus that the Company has distributed regarding the Plan, and (iii) all registration statements, annual and periodic reports and proxy and information statements that the Company has filed with the Securities and Exchange Commission (the </w:t>
      </w:r>
      <w:r>
        <w:rPr>
          <w:rFonts w:ascii="Times New Roman;Times;serif" w:hAnsi="Times New Roman;Times;serif"/>
          <w:b/>
          <w:sz w:val="17"/>
          <w:u w:val="single"/>
        </w:rPr>
        <w:t>SEC</w:t>
      </w:r>
      <w:r>
        <w:rPr>
          <w:rFonts w:ascii="Times New Roman;Times;serif" w:hAnsi="Times New Roman;Times;serif"/>
          <w:sz w:val="17"/>
        </w:rPr>
        <w:t xml:space="preserve">) during the preceding twelve months. Neither the Company nor any of its officers, directors, employees or other agents has made any representation or recommendation to the Option Holder about the advisability of the Option Holders purchase of the shares of Common Stock that are subject to the Option. </w:t>
      </w:r>
    </w:p>
    <w:p>
      <w:pPr>
        <w:pStyle w:val="TextBody"/>
        <w:spacing w:before="120" w:after="283"/>
        <w:jc w:val="left"/>
        <w:rPr/>
      </w:pPr>
      <w:r>
        <w:rPr/>
        <w:t>          </w:t>
      </w:r>
      <w:r>
        <w:rPr>
          <w:rFonts w:ascii="Times New Roman;Times;serif" w:hAnsi="Times New Roman;Times;serif"/>
          <w:b/>
          <w:sz w:val="17"/>
        </w:rPr>
        <w:t xml:space="preserve">(b) </w:t>
      </w:r>
      <w:r>
        <w:rPr>
          <w:rFonts w:ascii="Times New Roman;Times;serif" w:hAnsi="Times New Roman;Times;serif"/>
          <w:b/>
          <w:sz w:val="17"/>
          <w:u w:val="single"/>
        </w:rPr>
        <w:t>Ability to Bear Investment Risk</w:t>
      </w:r>
      <w:r>
        <w:rPr>
          <w:rFonts w:ascii="Times New Roman;Times;serif" w:hAnsi="Times New Roman;Times;serif"/>
          <w:sz w:val="17"/>
        </w:rPr>
        <w:t xml:space="preserve">. The Option Holder is aware that any purchase of stock involves an element of risk. The Option Holder can afford to bear the risks of an investment in the Company. The Option Holder has sufficient knowledge and experience in financial and investment matters to enable him to evaluate the merits and risks of the proposed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purchase of the shares of Common Stock subject to the Option and to make an informed investment decision. The Option Holder has had a sufficient opportunity to consult with his advisers about the merits and legal implications of the proposed transaction. </w:t>
      </w:r>
    </w:p>
    <w:p>
      <w:pPr>
        <w:pStyle w:val="TextBody"/>
        <w:spacing w:before="120" w:after="283"/>
        <w:jc w:val="left"/>
        <w:rPr/>
      </w:pPr>
      <w:r>
        <w:rPr/>
        <w:t>          </w:t>
      </w:r>
      <w:r>
        <w:rPr>
          <w:rFonts w:ascii="Times New Roman;Times;serif" w:hAnsi="Times New Roman;Times;serif"/>
          <w:b/>
          <w:sz w:val="17"/>
        </w:rPr>
        <w:t xml:space="preserve">(c) </w:t>
      </w:r>
      <w:r>
        <w:rPr>
          <w:rFonts w:ascii="Times New Roman;Times;serif" w:hAnsi="Times New Roman;Times;serif"/>
          <w:b/>
          <w:sz w:val="17"/>
          <w:u w:val="single"/>
        </w:rPr>
        <w:t>Resale Restrictions</w:t>
      </w:r>
      <w:r>
        <w:rPr>
          <w:rFonts w:ascii="Times New Roman;Times;serif" w:hAnsi="Times New Roman;Times;serif"/>
          <w:sz w:val="17"/>
        </w:rPr>
        <w:t xml:space="preserve">. The Option Holder understands that: (i) neither the SEC nor any state or other regulatory authority has made any recommendation or finding concerning the value of the shares of Common Stock subject to the Option; and (ii) the shares may be offered, sold or otherwise transferred by the Option Holder only if the transaction is registered and qualified under the applicable provisions of federal and state securities laws or if the shares can be sold under Rule 144 of the Securities Act or if another exemption from such registration and qualification is available. The Option Holder agrees not to sell, pledge or otherwise transfer any of the shares of Common Stock acquired upon exercise of the Option except in full compliance with all applicable federal and state securities laws, rules and regulations. </w:t>
      </w:r>
    </w:p>
    <w:p>
      <w:pPr>
        <w:pStyle w:val="TextBody"/>
        <w:spacing w:before="120" w:after="283"/>
        <w:jc w:val="left"/>
        <w:rPr/>
      </w:pPr>
      <w:r>
        <w:rPr/>
        <w:t>          </w:t>
      </w:r>
      <w:r>
        <w:rPr>
          <w:rFonts w:ascii="Times New Roman;Times;serif" w:hAnsi="Times New Roman;Times;serif"/>
          <w:b/>
          <w:sz w:val="17"/>
        </w:rPr>
        <w:t xml:space="preserve">(d) </w:t>
      </w:r>
      <w:r>
        <w:rPr>
          <w:rFonts w:ascii="Times New Roman;Times;serif" w:hAnsi="Times New Roman;Times;serif"/>
          <w:b/>
          <w:sz w:val="17"/>
          <w:u w:val="single"/>
        </w:rPr>
        <w:t>Applicability to Transferees</w:t>
      </w:r>
      <w:r>
        <w:rPr>
          <w:rFonts w:ascii="Times New Roman;Times;serif" w:hAnsi="Times New Roman;Times;serif"/>
          <w:sz w:val="17"/>
        </w:rPr>
        <w:t xml:space="preserve">. If the Option Holder transfers part or all of the Option to a family member or family trust pursuant to Section 5(b), the transferee shall be deemed to have made all of the representations, warranties and agreements that are set forth in this Section 8, and the Option Holder shall be personally liable to the Company for any and all losses, damages, expenses and liabilities (including, but not limited to, court costs and reasonable attorneys fees) that the Company may incur as a result of any breach of such representations, warranties and agreements by the transferee. </w:t>
      </w:r>
    </w:p>
    <w:p>
      <w:pPr>
        <w:pStyle w:val="TextBody"/>
        <w:spacing w:before="120" w:after="283"/>
        <w:jc w:val="left"/>
        <w:rPr/>
      </w:pPr>
      <w:r>
        <w:rPr/>
        <w:t>          </w:t>
      </w:r>
      <w:r>
        <w:rPr>
          <w:rFonts w:ascii="Times New Roman;Times;serif" w:hAnsi="Times New Roman;Times;serif"/>
          <w:b/>
          <w:sz w:val="17"/>
        </w:rPr>
        <w:t xml:space="preserve">(e) </w:t>
      </w:r>
      <w:r>
        <w:rPr>
          <w:rFonts w:ascii="Times New Roman;Times;serif" w:hAnsi="Times New Roman;Times;serif"/>
          <w:b/>
          <w:sz w:val="17"/>
          <w:u w:val="single"/>
        </w:rPr>
        <w:t>No Continuing Employment Right</w:t>
      </w:r>
      <w:r>
        <w:rPr>
          <w:rFonts w:ascii="Times New Roman;Times;serif" w:hAnsi="Times New Roman;Times;serif"/>
          <w:sz w:val="17"/>
        </w:rPr>
        <w:t xml:space="preserve">. The Option Holder understands that nothing in the Plan or this Agreement gives the Option Holder a right to continue in the employment of the Company or a subsidiary and that, if the Option Holder is a director, nothing in the Plan or this Agreement gives the Option Holder a right to continue to serve as a director of the Company. </w:t>
      </w:r>
    </w:p>
    <w:p>
      <w:pPr>
        <w:pStyle w:val="TextBody"/>
        <w:spacing w:before="120" w:after="283"/>
        <w:jc w:val="left"/>
        <w:rPr/>
      </w:pPr>
      <w:r>
        <w:rPr/>
        <w:t>     </w:t>
      </w:r>
      <w:r>
        <w:rPr>
          <w:rFonts w:ascii="Times New Roman;Times;serif" w:hAnsi="Times New Roman;Times;serif"/>
          <w:b/>
          <w:sz w:val="17"/>
        </w:rPr>
        <w:t>9. </w:t>
      </w:r>
      <w:r>
        <w:rPr>
          <w:rFonts w:ascii="Times New Roman;Times;serif" w:hAnsi="Times New Roman;Times;serif"/>
          <w:b/>
          <w:sz w:val="17"/>
          <w:u w:val="single"/>
        </w:rPr>
        <w:t>Miscellaneous Provisions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w:t>
      </w:r>
      <w:r>
        <w:rPr>
          <w:rFonts w:ascii="Times New Roman;Times;serif" w:hAnsi="Times New Roman;Times;serif"/>
          <w:b/>
          <w:sz w:val="17"/>
          <w:u w:val="single"/>
        </w:rPr>
        <w:t>Further Instruments</w:t>
      </w:r>
      <w:r>
        <w:rPr>
          <w:rFonts w:ascii="Times New Roman;Times;serif" w:hAnsi="Times New Roman;Times;serif"/>
          <w:sz w:val="17"/>
        </w:rPr>
        <w:t xml:space="preserve">. The Company and the Option Holder agree to execute such further instruments and to take such further actions as may be reasonably necessary to carry out the intent of this Agreement. </w:t>
      </w:r>
    </w:p>
    <w:p>
      <w:pPr>
        <w:pStyle w:val="TextBody"/>
        <w:spacing w:before="120" w:after="283"/>
        <w:jc w:val="left"/>
        <w:rPr/>
      </w:pPr>
      <w:r>
        <w:rPr/>
        <w:t>          </w:t>
      </w:r>
      <w:r>
        <w:rPr>
          <w:rFonts w:ascii="Times New Roman;Times;serif" w:hAnsi="Times New Roman;Times;serif"/>
          <w:b/>
          <w:sz w:val="17"/>
        </w:rPr>
        <w:t xml:space="preserve">(b) </w:t>
      </w:r>
      <w:r>
        <w:rPr>
          <w:rFonts w:ascii="Times New Roman;Times;serif" w:hAnsi="Times New Roman;Times;serif"/>
          <w:b/>
          <w:sz w:val="17"/>
          <w:u w:val="single"/>
        </w:rPr>
        <w:t>Provisions Subject to Applicable Law</w:t>
      </w:r>
      <w:r>
        <w:rPr>
          <w:rFonts w:ascii="Times New Roman;Times;serif" w:hAnsi="Times New Roman;Times;serif"/>
          <w:sz w:val="17"/>
        </w:rPr>
        <w:t xml:space="preserve">. If any provision of this Agreement is held by an arbitrator or a court of competent jurisdiction to be invalid, void or unenforceable, the remaining provisions shall nevertheless continue in full force and effect without being impaired or invalidated in any way and shall be construed in accordance with the purposes and intent of this Agreement. </w:t>
      </w:r>
    </w:p>
    <w:p>
      <w:pPr>
        <w:pStyle w:val="TextBody"/>
        <w:spacing w:before="120" w:after="283"/>
        <w:jc w:val="left"/>
        <w:rPr/>
      </w:pPr>
      <w:r>
        <w:rPr/>
        <w:t>          </w:t>
      </w:r>
      <w:r>
        <w:rPr>
          <w:rFonts w:ascii="Times New Roman;Times;serif" w:hAnsi="Times New Roman;Times;serif"/>
          <w:b/>
          <w:sz w:val="17"/>
        </w:rPr>
        <w:t xml:space="preserve">(c) </w:t>
      </w:r>
      <w:r>
        <w:rPr>
          <w:rFonts w:ascii="Times New Roman;Times;serif" w:hAnsi="Times New Roman;Times;serif"/>
          <w:b/>
          <w:sz w:val="17"/>
          <w:u w:val="single"/>
        </w:rPr>
        <w:t>Complete Agreement</w:t>
      </w:r>
      <w:r>
        <w:rPr>
          <w:rFonts w:ascii="Times New Roman;Times;serif" w:hAnsi="Times New Roman;Times;serif"/>
          <w:sz w:val="17"/>
        </w:rPr>
        <w:t xml:space="preserve">. This Agreement and the Plan constitute the complete and exclusive agreement between the Company and the Option Holder with respect to the subject matter herein and replace and supersede any and all other prior written and oral agreements or statements by the parties relating to such subject matter. </w:t>
      </w:r>
    </w:p>
    <w:p>
      <w:pPr>
        <w:pStyle w:val="TextBody"/>
        <w:spacing w:before="120" w:after="283"/>
        <w:jc w:val="left"/>
        <w:rPr/>
      </w:pPr>
      <w:r>
        <w:rPr/>
        <w:t>          </w:t>
      </w:r>
      <w:r>
        <w:rPr>
          <w:rFonts w:ascii="Times New Roman;Times;serif" w:hAnsi="Times New Roman;Times;serif"/>
          <w:b/>
          <w:sz w:val="17"/>
        </w:rPr>
        <w:t xml:space="preserve">(d) </w:t>
      </w:r>
      <w:r>
        <w:rPr>
          <w:rFonts w:ascii="Times New Roman;Times;serif" w:hAnsi="Times New Roman;Times;serif"/>
          <w:b/>
          <w:sz w:val="17"/>
          <w:u w:val="single"/>
        </w:rPr>
        <w:t>Successors and Assigns</w:t>
      </w:r>
      <w:r>
        <w:rPr>
          <w:rFonts w:ascii="Times New Roman;Times;serif" w:hAnsi="Times New Roman;Times;serif"/>
          <w:sz w:val="17"/>
        </w:rPr>
        <w:t xml:space="preserve">. Subject to the provisions of this Agreement and the Plan relating to the transferability of the Option and the shares of Common Stock acquired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upon exercise of the Option, this Agreement shall be binding upon and inure to the benefit of the Company and the Option Holder and their respective successors and assigns. Whenever appropriate in this Agreement, references to the Company or the Option Holder shall be deemed to refer to such persons legal representative, estate or other transferees, successors or assigns, as applicable. </w:t>
      </w:r>
    </w:p>
    <w:p>
      <w:pPr>
        <w:pStyle w:val="TextBody"/>
        <w:spacing w:before="120" w:after="283"/>
        <w:jc w:val="left"/>
        <w:rPr/>
      </w:pPr>
      <w:r>
        <w:rPr/>
        <w:t>          </w:t>
      </w:r>
      <w:r>
        <w:rPr>
          <w:rFonts w:ascii="Times New Roman;Times;serif" w:hAnsi="Times New Roman;Times;serif"/>
          <w:b/>
          <w:sz w:val="17"/>
        </w:rPr>
        <w:t xml:space="preserve">(e) </w:t>
      </w:r>
      <w:r>
        <w:rPr>
          <w:rFonts w:ascii="Times New Roman;Times;serif" w:hAnsi="Times New Roman;Times;serif"/>
          <w:b/>
          <w:sz w:val="17"/>
          <w:u w:val="single"/>
        </w:rPr>
        <w:t>Notices</w:t>
      </w:r>
      <w:r>
        <w:rPr>
          <w:rFonts w:ascii="Times New Roman;Times;serif" w:hAnsi="Times New Roman;Times;serif"/>
          <w:sz w:val="17"/>
        </w:rPr>
        <w:t xml:space="preserve">. Any notice required or permitted to be given to the Company or the Option Holder must be in writing and personally delivered or sent by registered or certified United States mail (postage prepaid and return receipt requested), by overnight delivery service or by facsimile transmission, addressed to the address hereinafter shown below such partys signature or to such other address as the party may designate in the foregoing manner to the other party. Any such notice that is sent by the Company or the Option Holder in the foregoing manner shall be deemed to have been delivered upon (i) personal delivery, (ii) actual receipt by facsimile transmission, (iii) three days after deposit in the United States mail, or (iv) one day after delivery to an overnight delivery service. </w:t>
      </w:r>
    </w:p>
    <w:p>
      <w:pPr>
        <w:pStyle w:val="TextBody"/>
        <w:spacing w:before="120" w:after="283"/>
        <w:jc w:val="left"/>
        <w:rPr/>
      </w:pPr>
      <w:r>
        <w:rPr/>
        <w:t>          </w:t>
      </w:r>
      <w:r>
        <w:rPr>
          <w:rFonts w:ascii="Times New Roman;Times;serif" w:hAnsi="Times New Roman;Times;serif"/>
          <w:b/>
          <w:sz w:val="17"/>
        </w:rPr>
        <w:t xml:space="preserve">(f) </w:t>
      </w:r>
      <w:r>
        <w:rPr>
          <w:rFonts w:ascii="Times New Roman;Times;serif" w:hAnsi="Times New Roman;Times;serif"/>
          <w:b/>
          <w:sz w:val="17"/>
          <w:u w:val="single"/>
        </w:rPr>
        <w:t>Amendment and Termination</w:t>
      </w:r>
      <w:r>
        <w:rPr>
          <w:rFonts w:ascii="Times New Roman;Times;serif" w:hAnsi="Times New Roman;Times;serif"/>
          <w:sz w:val="17"/>
        </w:rPr>
        <w:t xml:space="preserve">. This Agreement may be amended or terminated only by a writing executed by both the Company and the Option Holder. </w:t>
      </w:r>
    </w:p>
    <w:p>
      <w:pPr>
        <w:pStyle w:val="TextBody"/>
        <w:spacing w:before="120" w:after="283"/>
        <w:jc w:val="left"/>
        <w:rPr/>
      </w:pPr>
      <w:r>
        <w:rPr/>
        <w:t>          </w:t>
      </w:r>
      <w:r>
        <w:rPr>
          <w:rFonts w:ascii="Times New Roman;Times;serif" w:hAnsi="Times New Roman;Times;serif"/>
          <w:b/>
          <w:sz w:val="17"/>
        </w:rPr>
        <w:t xml:space="preserve">(g) </w:t>
      </w:r>
      <w:r>
        <w:rPr>
          <w:rFonts w:ascii="Times New Roman;Times;serif" w:hAnsi="Times New Roman;Times;serif"/>
          <w:b/>
          <w:sz w:val="17"/>
          <w:u w:val="single"/>
        </w:rPr>
        <w:t>Counterparts</w:t>
      </w:r>
      <w:r>
        <w:rPr>
          <w:rFonts w:ascii="Times New Roman;Times;serif" w:hAnsi="Times New Roman;Times;serif"/>
          <w:sz w:val="17"/>
        </w:rPr>
        <w:t xml:space="preserve">. This Agreement may be executed by facsimile and in two counterparts, each of which shall be deemed an original, but both of which shall constitute one and the same instrument. </w:t>
      </w:r>
    </w:p>
    <w:p>
      <w:pPr>
        <w:pStyle w:val="TextBody"/>
        <w:spacing w:before="120" w:after="283"/>
        <w:jc w:val="left"/>
        <w:rPr/>
      </w:pPr>
      <w:r>
        <w:rPr/>
        <w:t>          </w:t>
      </w:r>
      <w:r>
        <w:rPr>
          <w:rFonts w:ascii="Times New Roman;Times;serif" w:hAnsi="Times New Roman;Times;serif"/>
          <w:b/>
          <w:sz w:val="17"/>
        </w:rPr>
        <w:t xml:space="preserve">(h) </w:t>
      </w:r>
      <w:r>
        <w:rPr>
          <w:rFonts w:ascii="Times New Roman;Times;serif" w:hAnsi="Times New Roman;Times;serif"/>
          <w:b/>
          <w:sz w:val="17"/>
          <w:u w:val="single"/>
        </w:rPr>
        <w:t>Governing Law; Enforcement of this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 This Agreement shall be governed by, and construed and enforced in accordance with, the internal laws of the State of California without giving effect to such states conflict-of-law principles. </w:t>
      </w:r>
    </w:p>
    <w:p>
      <w:pPr>
        <w:pStyle w:val="TextBody"/>
        <w:spacing w:before="120" w:after="283"/>
        <w:jc w:val="left"/>
        <w:rPr/>
      </w:pPr>
      <w:r>
        <w:rPr/>
        <w:t>               </w:t>
      </w:r>
      <w:r>
        <w:rPr>
          <w:rFonts w:ascii="Times New Roman;Times;serif" w:hAnsi="Times New Roman;Times;serif"/>
          <w:sz w:val="17"/>
        </w:rPr>
        <w:t xml:space="preserve">(ii) To the fullest extent permitted by applicable law, all disputes concerning the interpretation or enforcement of this Agreement shall be submitted to final and binding confidential arbitration, before one arbitrator, in accordance with the applicable Comprehensive Arbitration Rules and Procedures of JAMS in effect on the date of such arbitration including, without limitation, the discovery rights that are expressly provided by the Comprehensive Arbitration Rules and Procedures of JAMS. All arbitration proceedings shall be conducted in Los Angeles, California or Ventura, California and shall be administered by JAMS. Each party consents to such venue and jurisdiction and agrees that personal jurisdiction over such party for purposes of the arbitration proceeding or for any court action that is permitted by this Agreement may be effected by service of process addressed and delivered as provided above in Section 9(e). </w:t>
      </w:r>
    </w:p>
    <w:p>
      <w:pPr>
        <w:pStyle w:val="TextBody"/>
        <w:spacing w:before="120" w:after="283"/>
        <w:jc w:val="left"/>
        <w:rPr/>
      </w:pPr>
      <w:r>
        <w:rPr/>
        <w:t>               </w:t>
      </w:r>
      <w:r>
        <w:rPr>
          <w:rFonts w:ascii="Times New Roman;Times;serif" w:hAnsi="Times New Roman;Times;serif"/>
          <w:sz w:val="17"/>
        </w:rPr>
        <w:t xml:space="preserve">(iii) A party shall be entitled to initiate an arbitration proceeding if a dispute cannot be resolved amicably within thirty days after the other party has been notified in writing of the existence of the dispute. The parties shall attempt to agree upon the arbitrator, who shall be a retired California state or federal court judge who is on the JAMS panel of arbitrators. If the parties cannot agree upon an arbitrator within fifteen days after the matter is submitted for arbitration, a retired California state or federal court judge from the JAMS panel of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arbitrators promptly shall be appointed in accordance with the applicable rules of JAMS to serve as the sole arbitrator. Each party shall have the right to be represented by counsel in the arbitration proceeding and, if required by JAMS, the arbitration proceeding shall comply with the JAMS Minimum Standards of Procedural Fairness for Employment Arbitration. </w:t>
      </w:r>
    </w:p>
    <w:p>
      <w:pPr>
        <w:pStyle w:val="TextBody"/>
        <w:spacing w:before="120" w:after="283"/>
        <w:jc w:val="left"/>
        <w:rPr/>
      </w:pPr>
      <w:r>
        <w:rPr/>
        <w:t>               </w:t>
      </w:r>
      <w:r>
        <w:rPr>
          <w:rFonts w:ascii="Times New Roman;Times;serif" w:hAnsi="Times New Roman;Times;serif"/>
          <w:sz w:val="17"/>
        </w:rPr>
        <w:t xml:space="preserve">(iv) The arbitrator is instructed to interpret and enforce this Agreement in strict accordance with its terms, and the arbitrator shall not have the right or power to alter or amend any term of this Agreement except to the limited extent expressly provided above in Section 9(b), entitled Provisions Subject to Applicable Law. The arbitrator is required to apply applicable substantive law in making an award, and the arbitrator is required to issue a written decision that summarizes the findings and conclusions upon which the award is based. An award of the arbitrator that is in violation of the requirements of either of the two immediately preceding sentences shall constitute an action that exceeds the arbitrators power under this Agreement and, as such, may be vacated by a court of competent jurisdiction. The arbitrators award may be enforced in any court having jurisdiction over the matter. Notwithstanding the preceding provisions of this Section 9(h), each party is entitled to bring an action for temporary or preliminary injunctive relief at any time in any court of competent jurisdiction in order to prevent immeasurable and irreparable injury that might result from a breach of this Agreement. </w:t>
      </w:r>
      <w:r>
        <w:rPr>
          <w:rFonts w:ascii="Times New Roman;Times;serif" w:hAnsi="Times New Roman;Times;serif"/>
          <w:sz w:val="17"/>
          <w:u w:val="single"/>
        </w:rPr>
        <w:t>Each party agrees that all rights to a trial by a jury of any claim arising out of or relating to this Agreement are forever and absolutely waived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(v) To the fullest extent permitted by applicable law, the unsuccessful party to any arbitration proceeding or to any court action that is permitted by this Agreement shall pay to the prevailing party all costs and expenses, including, without limitation, reasonable attorneys fees, incurred in the arbitration proceeding or the court action by the successful party, all of which shall be included in and as a part of the award rendered in the proceeding or action. For purposes of this paragraph, attorneys fees shall include, without limitation, fees incurred in connection with post-judgment and post-award actions. Notwithstanding the preceding provisions of this paragraph, if required by applicable California law, the Company shall pay the fees of the arbitrator and all other fees that are charged by JAMS in connection with the arbitration proceeding.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[signature page follows]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Company and the Option Holder have executed and delivered this Agreement as of the day and year first written above. </w:t>
      </w:r>
    </w:p>
    <w:tbl>
      <w:tblPr>
        <w:tblW w:w="5000" w:type="pct"/>
        <w:jc w:val="center"/>
        <w:tblInd w:w="0" w:type="dxa"/>
        <w:tblCellMar>
          <w:top w:w="0" w:type="dxa"/>
          <w:left w:w="0" w:type="dxa"/>
          <w:bottom w:w="0" w:type="dxa"/>
          <w:right w:w="0" w:type="dxa"/>
        </w:tblCellMar>
      </w:tblPr>
      <w:tblGrid>
        <w:gridCol w:w="5414"/>
        <w:gridCol w:w="225"/>
        <w:gridCol w:w="1081"/>
        <w:gridCol w:w="257"/>
        <w:gridCol w:w="3228"/>
      </w:tblGrid>
      <w:tr>
        <w:trPr/>
        <w:tc>
          <w:tcPr>
            <w:tcW w:w="541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vAlign w:val="bottom"/>
          </w:tcPr>
          <w:p>
            <w:pPr>
              <w:pStyle w:val="TableContents"/>
              <w:spacing w:before="0" w:after="283"/>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CALAVO GROWERS, INC.</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By:</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center"/>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center"/>
          </w:tcPr>
          <w:p>
            <w:pPr>
              <w:pStyle w:val="TableContents"/>
              <w:spacing w:before="0" w:after="283"/>
              <w:rPr/>
            </w:pPr>
            <w:r>
              <w:rPr/>
              <w:t> </w:t>
            </w:r>
          </w:p>
        </w:tc>
        <w:tc>
          <w:tcPr>
            <w:tcW w:w="32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Name:</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center"/>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center"/>
          </w:tcPr>
          <w:p>
            <w:pPr>
              <w:pStyle w:val="TableContents"/>
              <w:spacing w:before="0" w:after="283"/>
              <w:rPr/>
            </w:pPr>
            <w:r>
              <w:rPr/>
              <w:t> </w:t>
            </w:r>
          </w:p>
        </w:tc>
        <w:tc>
          <w:tcPr>
            <w:tcW w:w="32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Title:</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center"/>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center"/>
          </w:tcPr>
          <w:p>
            <w:pPr>
              <w:pStyle w:val="TableContents"/>
              <w:spacing w:before="0" w:after="283"/>
              <w:rPr/>
            </w:pPr>
            <w:r>
              <w:rPr/>
              <w:t> </w:t>
            </w:r>
          </w:p>
        </w:tc>
        <w:tc>
          <w:tcPr>
            <w:tcW w:w="32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Address:</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1141A Cummings Road</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Santa Paula, CA 93060</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Attention: Controller</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Fax: (805) 921-3223</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4566"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OPTION HOLDER</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566" w:type="dxa"/>
            <w:gridSpan w:val="3"/>
            <w:tcBorders/>
            <w:shd w:fill="auto" w:val="clear"/>
          </w:tcPr>
          <w:p>
            <w:pPr>
              <w:pStyle w:val="TableContents"/>
              <w:spacing w:before="0" w:after="283"/>
              <w:jc w:val="left"/>
              <w:rPr/>
            </w:pPr>
            <w:r>
              <w:rPr/>
              <w:t>Address:</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4566"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4566"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bottom"/>
          </w:tcPr>
          <w:p>
            <w:pPr>
              <w:pStyle w:val="TableContents"/>
              <w:spacing w:before="0" w:after="283"/>
              <w:rPr/>
            </w:pPr>
            <w:r>
              <w:rPr/>
              <w:t> </w:t>
            </w:r>
          </w:p>
        </w:tc>
        <w:tc>
          <w:tcPr>
            <w:tcW w:w="1081" w:type="dxa"/>
            <w:tcBorders/>
            <w:shd w:fill="auto" w:val="clear"/>
          </w:tcPr>
          <w:p>
            <w:pPr>
              <w:pStyle w:val="TableContents"/>
              <w:spacing w:before="0" w:after="283"/>
              <w:jc w:val="left"/>
              <w:rPr/>
            </w:pPr>
            <w:r>
              <w:rPr/>
              <w:t>Fax:</w:t>
            </w:r>
          </w:p>
        </w:tc>
        <w:tc>
          <w:tcPr>
            <w:tcW w:w="257" w:type="dxa"/>
            <w:tcBorders/>
            <w:shd w:fill="auto" w:val="clear"/>
            <w:vAlign w:val="bottom"/>
          </w:tcPr>
          <w:p>
            <w:pPr>
              <w:pStyle w:val="TableContents"/>
              <w:spacing w:before="0" w:after="283"/>
              <w:rPr/>
            </w:pPr>
            <w:r>
              <w:rPr/>
              <w:t> </w:t>
            </w:r>
          </w:p>
        </w:tc>
        <w:tc>
          <w:tcPr>
            <w:tcW w:w="3228" w:type="dxa"/>
            <w:tcBorders/>
            <w:shd w:fill="auto" w:val="clear"/>
          </w:tcPr>
          <w:p>
            <w:pPr>
              <w:pStyle w:val="TableContents"/>
              <w:spacing w:before="0" w:after="283"/>
              <w:jc w:val="left"/>
              <w:rPr/>
            </w:pPr>
            <w:r>
              <w:rPr/>
              <w:t> </w:t>
            </w:r>
          </w:p>
        </w:tc>
      </w:tr>
      <w:tr>
        <w:trPr/>
        <w:tc>
          <w:tcPr>
            <w:tcW w:w="5414" w:type="dxa"/>
            <w:tcBorders/>
            <w:shd w:fill="auto" w:val="clear"/>
          </w:tcPr>
          <w:p>
            <w:pPr>
              <w:pStyle w:val="TableContents"/>
              <w:spacing w:before="0" w:after="0"/>
              <w:ind w:left="0" w:right="0" w:hanging="0"/>
              <w:rPr/>
            </w:pPr>
            <w:r>
              <w:rPr/>
              <w:t xml:space="preserve">  </w:t>
            </w:r>
          </w:p>
        </w:tc>
        <w:tc>
          <w:tcPr>
            <w:tcW w:w="225" w:type="dxa"/>
            <w:tcBorders/>
            <w:shd w:fill="auto" w:val="clear"/>
            <w:vAlign w:val="center"/>
          </w:tcPr>
          <w:p>
            <w:pPr>
              <w:pStyle w:val="TableContents"/>
              <w:spacing w:before="0" w:after="283"/>
              <w:rPr/>
            </w:pPr>
            <w:r>
              <w:rPr/>
              <w:t> </w:t>
            </w:r>
          </w:p>
        </w:tc>
        <w:tc>
          <w:tcPr>
            <w:tcW w:w="1081" w:type="dxa"/>
            <w:tcBorders/>
            <w:shd w:fill="auto" w:val="clear"/>
          </w:tcPr>
          <w:p>
            <w:pPr>
              <w:pStyle w:val="TableContents"/>
              <w:spacing w:before="0" w:after="283"/>
              <w:jc w:val="left"/>
              <w:rPr/>
            </w:pPr>
            <w:r>
              <w:rPr/>
              <w:t> </w:t>
            </w:r>
          </w:p>
        </w:tc>
        <w:tc>
          <w:tcPr>
            <w:tcW w:w="257" w:type="dxa"/>
            <w:tcBorders/>
            <w:shd w:fill="auto" w:val="clear"/>
            <w:vAlign w:val="center"/>
          </w:tcPr>
          <w:p>
            <w:pPr>
              <w:pStyle w:val="TableContents"/>
              <w:spacing w:before="0" w:after="283"/>
              <w:rPr/>
            </w:pPr>
            <w:r>
              <w:rPr/>
              <w:t> </w:t>
            </w:r>
          </w:p>
        </w:tc>
        <w:tc>
          <w:tcPr>
            <w:tcW w:w="3228" w:type="dxa"/>
            <w:tcBorders>
              <w:top w:val="single" w:sz="2" w:space="0" w:color="000000"/>
            </w:tcBorders>
            <w:shd w:fill="auto" w:val="clear"/>
            <w:tcMar>
              <w:top w:w="28" w:type="dxa"/>
            </w:tcM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OPTION EXERCISE NOTICE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Calavo Growers, Inc.</w:t>
        <w:br/>
        <w:t>1141A Cummings Road</w:t>
        <w:br/>
        <w:t>Santa Paula, CA 93060</w:t>
        <w:br/>
        <w:t xml:space="preserve">Attention: Controller </w:t>
      </w:r>
    </w:p>
    <w:p>
      <w:pPr>
        <w:pStyle w:val="TextBody"/>
        <w:spacing w:before="120" w:after="283"/>
        <w:jc w:val="left"/>
        <w:rPr/>
      </w:pPr>
      <w:r>
        <w:rPr/>
        <w:t>     </w:t>
      </w:r>
      <w:r>
        <w:rPr>
          <w:rFonts w:ascii="Times New Roman;Times;serif" w:hAnsi="Times New Roman;Times;serif"/>
          <w:sz w:val="17"/>
        </w:rPr>
        <w:t>I hereby notify Calavo Growers, Inc. (the </w:t>
      </w:r>
      <w:r>
        <w:rPr>
          <w:rFonts w:ascii="Times New Roman;Times;serif" w:hAnsi="Times New Roman;Times;serif"/>
          <w:b/>
          <w:sz w:val="17"/>
          <w:u w:val="single"/>
        </w:rPr>
        <w:t>Company</w:t>
      </w:r>
      <w:r>
        <w:rPr>
          <w:rFonts w:ascii="Times New Roman;Times;serif" w:hAnsi="Times New Roman;Times;serif"/>
          <w:sz w:val="17"/>
        </w:rPr>
        <w:t>) of my election to purchase ___shares of the Companys common stock at a purchase price of $9.10 per share pursuant to an option that was granted under the Stock Option Agreement dated as of August 25, 2005 (the </w:t>
      </w:r>
      <w:r>
        <w:rPr>
          <w:rFonts w:ascii="Times New Roman;Times;serif" w:hAnsi="Times New Roman;Times;serif"/>
          <w:b/>
          <w:sz w:val="17"/>
          <w:u w:val="single"/>
        </w:rPr>
        <w:t>Agreement</w:t>
      </w:r>
      <w:r>
        <w:rPr>
          <w:rFonts w:ascii="Times New Roman;Times;serif" w:hAnsi="Times New Roman;Times;serif"/>
          <w:sz w:val="17"/>
        </w:rPr>
        <w:t xml:space="preserve">) between the Company and ___. </w:t>
      </w:r>
    </w:p>
    <w:p>
      <w:pPr>
        <w:pStyle w:val="TextBody"/>
        <w:spacing w:before="120" w:after="283"/>
        <w:jc w:val="left"/>
        <w:rPr/>
      </w:pPr>
      <w:r>
        <w:rPr/>
        <w:t>     </w:t>
      </w:r>
      <w:r>
        <w:rPr>
          <w:rFonts w:ascii="Times New Roman;Times;serif" w:hAnsi="Times New Roman;Times;serif"/>
          <w:sz w:val="17"/>
        </w:rPr>
        <w:t xml:space="preserve">If the Option Holder named above assigned part or all of the option to a family member or family trust pursuant to Section 5(b) of the Agreement, this Option Exercise Notice is being executed by the transferee instead of the Option Holder. </w:t>
      </w:r>
    </w:p>
    <w:p>
      <w:pPr>
        <w:pStyle w:val="TextBody"/>
        <w:spacing w:before="120" w:after="283"/>
        <w:jc w:val="left"/>
        <w:rPr/>
      </w:pPr>
      <w:r>
        <w:rPr/>
        <w:t>     </w:t>
      </w:r>
      <w:r>
        <w:rPr>
          <w:rFonts w:ascii="Times New Roman;Times;serif" w:hAnsi="Times New Roman;Times;serif"/>
          <w:sz w:val="17"/>
        </w:rPr>
        <w:t xml:space="preserve">Concurrently with the delivery to the Company of this notice, I have delivered to the Company the purchase price of the shares in the manner provided in the Agreement. </w:t>
      </w:r>
    </w:p>
    <w:p>
      <w:pPr>
        <w:pStyle w:val="TextBody"/>
        <w:spacing w:before="120" w:after="283"/>
        <w:jc w:val="left"/>
        <w:rPr/>
      </w:pPr>
      <w:r>
        <w:rPr/>
        <w:t>     </w:t>
      </w:r>
      <w:r>
        <w:rPr>
          <w:rFonts w:ascii="Times New Roman;Times;serif" w:hAnsi="Times New Roman;Times;serif"/>
          <w:sz w:val="17"/>
        </w:rPr>
        <w:t xml:space="preserve">I agree to execute whatever additional documents are requested by the Company in order to complete the exercise of my option. All of the representations and warranties that I made in Section 8 of the Agreement remain accurate as of the date of this notice. </w:t>
      </w:r>
    </w:p>
    <w:tbl>
      <w:tblPr>
        <w:tblW w:w="5000" w:type="pct"/>
        <w:jc w:val="center"/>
        <w:tblInd w:w="0" w:type="dxa"/>
        <w:tblCellMar>
          <w:top w:w="0" w:type="dxa"/>
          <w:left w:w="0" w:type="dxa"/>
          <w:bottom w:w="0" w:type="dxa"/>
          <w:right w:w="0" w:type="dxa"/>
        </w:tblCellMar>
      </w:tblPr>
      <w:tblGrid>
        <w:gridCol w:w="5919"/>
        <w:gridCol w:w="203"/>
        <w:gridCol w:w="4083"/>
      </w:tblGrid>
      <w:tr>
        <w:trPr/>
        <w:tc>
          <w:tcPr>
            <w:tcW w:w="591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5919" w:type="dxa"/>
            <w:tcBorders/>
            <w:shd w:fill="auto" w:val="clear"/>
          </w:tcPr>
          <w:p>
            <w:pPr>
              <w:pStyle w:val="TableContents"/>
              <w:spacing w:before="0" w:after="0"/>
              <w:ind w:left="0" w:right="0" w:hanging="0"/>
              <w:rPr/>
            </w:pPr>
            <w:r>
              <w:rPr/>
              <w:t xml:space="preserve">Dated: </w:t>
            </w:r>
            <w:r>
              <w:rPr>
                <w:u w:val="single"/>
              </w:rPr>
              <w:t>                    </w:t>
            </w:r>
          </w:p>
        </w:tc>
        <w:tc>
          <w:tcPr>
            <w:tcW w:w="203"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w:t>
            </w:r>
          </w:p>
        </w:tc>
      </w:tr>
      <w:tr>
        <w:trPr/>
        <w:tc>
          <w:tcPr>
            <w:tcW w:w="5919" w:type="dxa"/>
            <w:tcBorders/>
            <w:shd w:fill="auto" w:val="clea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283"/>
              <w:rPr/>
            </w:pPr>
            <w:r>
              <w:rPr/>
              <w:t> </w:t>
            </w:r>
          </w:p>
        </w:tc>
        <w:tc>
          <w:tcPr>
            <w:tcW w:w="4083" w:type="dxa"/>
            <w:tcBorders>
              <w:top w:val="single" w:sz="2" w:space="0" w:color="000000"/>
            </w:tcBorders>
            <w:shd w:fill="auto" w:val="clear"/>
            <w:tcMar>
              <w:top w:w="28" w:type="dxa"/>
            </w:tcMar>
          </w:tcPr>
          <w:p>
            <w:pPr>
              <w:pStyle w:val="TableContents"/>
              <w:spacing w:before="0" w:after="283"/>
              <w:jc w:val="left"/>
              <w:rPr/>
            </w:pPr>
            <w:r>
              <w:rPr/>
              <w:t> </w:t>
            </w:r>
          </w:p>
        </w:tc>
      </w:tr>
      <w:tr>
        <w:trPr/>
        <w:tc>
          <w:tcPr>
            <w:tcW w:w="5919"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Signature</w:t>
            </w:r>
          </w:p>
        </w:tc>
      </w:tr>
      <w:tr>
        <w:trPr/>
        <w:tc>
          <w:tcPr>
            <w:tcW w:w="591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w:t>
            </w:r>
          </w:p>
        </w:tc>
      </w:tr>
      <w:tr>
        <w:trPr/>
        <w:tc>
          <w:tcPr>
            <w:tcW w:w="5919" w:type="dxa"/>
            <w:tcBorders/>
            <w:shd w:fill="auto" w:val="clea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283"/>
              <w:rPr/>
            </w:pPr>
            <w:r>
              <w:rPr/>
              <w:t> </w:t>
            </w:r>
          </w:p>
        </w:tc>
        <w:tc>
          <w:tcPr>
            <w:tcW w:w="4083" w:type="dxa"/>
            <w:tcBorders>
              <w:top w:val="single" w:sz="2" w:space="0" w:color="000000"/>
            </w:tcBorders>
            <w:shd w:fill="auto" w:val="clear"/>
            <w:tcMar>
              <w:top w:w="28" w:type="dxa"/>
            </w:tcMar>
          </w:tcPr>
          <w:p>
            <w:pPr>
              <w:pStyle w:val="TableContents"/>
              <w:spacing w:before="0" w:after="283"/>
              <w:jc w:val="left"/>
              <w:rPr/>
            </w:pPr>
            <w:r>
              <w:rPr/>
              <w:t> </w:t>
            </w:r>
          </w:p>
        </w:tc>
      </w:tr>
      <w:tr>
        <w:trPr/>
        <w:tc>
          <w:tcPr>
            <w:tcW w:w="5919"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Print Name</w:t>
            </w:r>
          </w:p>
        </w:tc>
      </w:tr>
    </w:tbl>
    <w:p>
      <w:pPr>
        <w:pStyle w:val="TextBody"/>
        <w:jc w:val="center"/>
        <w:rPr/>
      </w:pPr>
      <w:r>
        <w:rPr/>
        <w:t xml:space="preserve">  </w:t>
      </w:r>
      <w:r>
        <w:br w:type="page"/>
      </w:r>
    </w:p>
    <w:p>
      <w:pPr>
        <w:pStyle w:val="Heading5"/>
        <w:jc w:val="left"/>
        <w:rPr/>
      </w:pPr>
      <w:bookmarkStart w:id="20" w:name="v23527exv31w1.htm"/>
      <w:bookmarkStart w:id="21" w:name="ksv23527exv31w1"/>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12"/>
        <w:gridCol w:w="295"/>
        <w:gridCol w:w="117"/>
        <w:gridCol w:w="9581"/>
      </w:tblGrid>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12"/>
        <w:gridCol w:w="293"/>
        <w:gridCol w:w="117"/>
        <w:gridCol w:w="9583"/>
      </w:tblGrid>
      <w:tr>
        <w:trPr/>
        <w:tc>
          <w:tcPr>
            <w:tcW w:w="212"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921"/>
        <w:gridCol w:w="201"/>
        <w:gridCol w:w="4083"/>
      </w:tblGrid>
      <w:tr>
        <w:trPr/>
        <w:tc>
          <w:tcPr>
            <w:tcW w:w="592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5921" w:type="dxa"/>
            <w:tcBorders/>
            <w:shd w:fill="auto" w:val="clear"/>
          </w:tcPr>
          <w:p>
            <w:pPr>
              <w:pStyle w:val="TableContents"/>
              <w:spacing w:before="0" w:after="0"/>
              <w:ind w:left="0" w:right="0" w:hanging="0"/>
              <w:rPr/>
            </w:pPr>
            <w:r>
              <w:rPr/>
              <w:t xml:space="preserve">Date: September 8, 2006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/s/ Lecil E. Cole</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4083" w:type="dxa"/>
            <w:tcBorders>
              <w:top w:val="single" w:sz="2" w:space="0" w:color="000000"/>
            </w:tcBorders>
            <w:shd w:fill="auto" w:val="clear"/>
            <w:tcMar>
              <w:top w:w="28" w:type="dxa"/>
            </w:tcMar>
          </w:tcPr>
          <w:p>
            <w:pPr>
              <w:pStyle w:val="TableContents"/>
              <w:spacing w:before="0" w:after="283"/>
              <w:jc w:val="left"/>
              <w:rPr/>
            </w:pPr>
            <w:r>
              <w:rPr/>
              <w:t> </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Lecil E. Cole</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Chairman of the Board of Directors, President and Chief Executive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r>
        <w:br w:type="page"/>
      </w:r>
    </w:p>
    <w:p>
      <w:pPr>
        <w:pStyle w:val="Heading5"/>
        <w:jc w:val="left"/>
        <w:rPr/>
      </w:pPr>
      <w:bookmarkStart w:id="22" w:name="v23527exv31w2.htm"/>
      <w:bookmarkStart w:id="23" w:name="ksv23527exv31w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12"/>
        <w:gridCol w:w="295"/>
        <w:gridCol w:w="117"/>
        <w:gridCol w:w="9581"/>
      </w:tblGrid>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581"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12"/>
        <w:gridCol w:w="293"/>
        <w:gridCol w:w="117"/>
        <w:gridCol w:w="9583"/>
      </w:tblGrid>
      <w:tr>
        <w:trPr/>
        <w:tc>
          <w:tcPr>
            <w:tcW w:w="212"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921"/>
        <w:gridCol w:w="201"/>
        <w:gridCol w:w="4083"/>
      </w:tblGrid>
      <w:tr>
        <w:trPr/>
        <w:tc>
          <w:tcPr>
            <w:tcW w:w="592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5921" w:type="dxa"/>
            <w:tcBorders/>
            <w:shd w:fill="auto" w:val="clear"/>
          </w:tcPr>
          <w:p>
            <w:pPr>
              <w:pStyle w:val="TableContents"/>
              <w:spacing w:before="0" w:after="0"/>
              <w:ind w:left="0" w:right="0" w:hanging="0"/>
              <w:rPr/>
            </w:pPr>
            <w:r>
              <w:rPr/>
              <w:t xml:space="preserve">Date: September 8, 2006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/s/ Arthur J. Bruno</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4083" w:type="dxa"/>
            <w:tcBorders>
              <w:top w:val="single" w:sz="2" w:space="0" w:color="000000"/>
            </w:tcBorders>
            <w:shd w:fill="auto" w:val="clear"/>
            <w:tcMar>
              <w:top w:w="28" w:type="dxa"/>
            </w:tcMar>
          </w:tcPr>
          <w:p>
            <w:pPr>
              <w:pStyle w:val="TableContents"/>
              <w:spacing w:before="0" w:after="283"/>
              <w:jc w:val="left"/>
              <w:rPr/>
            </w:pPr>
            <w:r>
              <w:rPr/>
              <w:t> </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Arthur J. Bruno</w:t>
            </w:r>
          </w:p>
        </w:tc>
      </w:tr>
      <w:tr>
        <w:trPr/>
        <w:tc>
          <w:tcPr>
            <w:tcW w:w="592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Chief Operating Officer, Chief Financial Officer and Corporate Secretary (Principal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33 </w:t>
      </w:r>
      <w:r>
        <w:br w:type="page"/>
      </w:r>
    </w:p>
    <w:p>
      <w:pPr>
        <w:pStyle w:val="Heading5"/>
        <w:jc w:val="left"/>
        <w:rPr/>
      </w:pPr>
      <w:bookmarkStart w:id="24" w:name="v23527exv32.htm"/>
      <w:bookmarkStart w:id="25" w:name="ksv23527exv32"/>
      <w:bookmarkEnd w:id="24"/>
      <w:bookmarkEnd w:id="25"/>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WRITTEN STATEMENT OF CHIEF EXECUTIVE OFFICER</w:t>
        <w:br/>
        <w:t xml:space="preserve">AND CHIEF FINANCIAL OFFICER </w:t>
      </w:r>
    </w:p>
    <w:p>
      <w:pPr>
        <w:pStyle w:val="TextBody"/>
        <w:spacing w:before="120" w:after="283"/>
        <w:jc w:val="left"/>
        <w:rPr/>
      </w:pPr>
      <w:r>
        <w:rPr/>
        <w:t>     </w:t>
      </w:r>
      <w:r>
        <w:rPr>
          <w:rFonts w:ascii="Times New Roman;Times;serif" w:hAnsi="Times New Roman;Times;serif"/>
          <w:sz w:val="17"/>
        </w:rPr>
        <w:t xml:space="preserve">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July 31, 2006,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 </w:t>
      </w:r>
    </w:p>
    <w:tbl>
      <w:tblPr>
        <w:tblW w:w="5000" w:type="pct"/>
        <w:jc w:val="center"/>
        <w:tblInd w:w="0" w:type="dxa"/>
        <w:tblCellMar>
          <w:top w:w="0" w:type="dxa"/>
          <w:left w:w="0" w:type="dxa"/>
          <w:bottom w:w="0" w:type="dxa"/>
          <w:right w:w="0" w:type="dxa"/>
        </w:tblCellMar>
      </w:tblPr>
      <w:tblGrid>
        <w:gridCol w:w="3878"/>
        <w:gridCol w:w="203"/>
        <w:gridCol w:w="6124"/>
      </w:tblGrid>
      <w:tr>
        <w:trPr/>
        <w:tc>
          <w:tcPr>
            <w:tcW w:w="387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124" w:type="dxa"/>
            <w:tcBorders/>
            <w:shd w:fill="auto" w:val="clear"/>
            <w:vAlign w:val="bottom"/>
          </w:tcPr>
          <w:p>
            <w:pPr>
              <w:pStyle w:val="TableContents"/>
              <w:spacing w:before="0" w:after="283"/>
              <w:rPr/>
            </w:pPr>
            <w:r>
              <w:rPr/>
              <w:t> </w:t>
            </w:r>
          </w:p>
        </w:tc>
      </w:tr>
      <w:tr>
        <w:trPr/>
        <w:tc>
          <w:tcPr>
            <w:tcW w:w="3878"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Dated: September 8, 2006</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/s/ Lecil E. Cole</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top w:val="single" w:sz="2" w:space="0" w:color="000000"/>
            </w:tcBorders>
            <w:shd w:fill="auto" w:val="clear"/>
            <w:tcMar>
              <w:top w:w="28" w:type="dxa"/>
            </w:tcMa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Lecil E. Cole</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Chairman of the Board and Chief Executive Officer</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/s/ Arthur J. Bruno</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top w:val="single" w:sz="2" w:space="0" w:color="000000"/>
            </w:tcBorders>
            <w:shd w:fill="auto" w:val="clear"/>
            <w:tcMar>
              <w:top w:w="28" w:type="dxa"/>
            </w:tcMa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Arthur J. Bruno</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r>
        <w:trPr/>
        <w:tc>
          <w:tcPr>
            <w:tcW w:w="3878" w:type="dxa"/>
            <w:tcBorders/>
            <w:shd w:fill="auto" w:val="clear"/>
          </w:tcPr>
          <w:p>
            <w:pPr>
              <w:pStyle w:val="TableContents"/>
              <w:spacing w:before="0" w:after="0"/>
              <w:ind w:left="0" w:right="0" w:hanging="0"/>
              <w:rPr/>
            </w:pPr>
            <w:r>
              <w:rPr/>
              <w:t>Chief Operating Officer, Chief Financial Officer and Corporate Secretary</w:t>
            </w:r>
          </w:p>
        </w:tc>
        <w:tc>
          <w:tcPr>
            <w:tcW w:w="203" w:type="dxa"/>
            <w:tcBorders/>
            <w:shd w:fill="auto" w:val="clear"/>
            <w:vAlign w:val="bottom"/>
          </w:tcPr>
          <w:p>
            <w:pPr>
              <w:pStyle w:val="TableContents"/>
              <w:spacing w:before="0" w:after="283"/>
              <w:rPr/>
            </w:pPr>
            <w:r>
              <w:rPr/>
              <w:t> </w:t>
            </w:r>
          </w:p>
        </w:tc>
        <w:tc>
          <w:tcPr>
            <w:tcW w:w="6124"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42</Pages>
  <Words>16420</Words>
  <CharactersWithSpaces>105594</CharactersWithSpaces>
  <Paragraphs>6071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dc:title>
</cp:coreProperties>
</file>