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286385</wp:posOffset>
            </wp:positionH>
            <wp:positionV relativeFrom="page">
              <wp:posOffset>311785</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t>UNITED STATES</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SECURITIES AND EXCHANGE COMMISSION</w:t>
      </w:r>
    </w:p>
    <w:p>
      <w:pPr>
        <w:jc w:val="center"/>
        <w:ind w:right="-159"/>
        <w:spacing w:after="0"/>
        <w:rPr>
          <w:sz w:val="20"/>
          <w:szCs w:val="20"/>
          <w:color w:val="auto"/>
        </w:rPr>
      </w:pPr>
      <w:r>
        <w:rPr>
          <w:rFonts w:ascii="Arial" w:cs="Arial" w:eastAsia="Arial" w:hAnsi="Arial"/>
          <w:sz w:val="20"/>
          <w:szCs w:val="20"/>
          <w:color w:val="auto"/>
        </w:rPr>
        <w:t>WASHINGTON, D.C. 20549</w:t>
      </w:r>
    </w:p>
    <w:p>
      <w:pPr>
        <w:spacing w:after="0" w:line="17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3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CURRENT REPORT PURSUANT</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TO SECTION 13 OR 15(d) OF THE</w:t>
      </w:r>
    </w:p>
    <w:p>
      <w:pPr>
        <w:jc w:val="center"/>
        <w:ind w:right="-159"/>
        <w:spacing w:after="0"/>
        <w:rPr>
          <w:sz w:val="20"/>
          <w:szCs w:val="20"/>
          <w:color w:val="auto"/>
        </w:rPr>
      </w:pPr>
      <w:r>
        <w:rPr>
          <w:rFonts w:ascii="Arial" w:cs="Arial" w:eastAsia="Arial" w:hAnsi="Arial"/>
          <w:sz w:val="20"/>
          <w:szCs w:val="20"/>
          <w:color w:val="auto"/>
        </w:rPr>
        <w:t>SECURITIES EXCHANGE ACT OF 1934</w:t>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color w:val="auto"/>
        </w:rPr>
        <w:t>June 6, 2018</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CALAVO GROWERS, INC.</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(Exact Name of Registrant as Specified in Charter)</w:t>
      </w:r>
    </w:p>
    <w:p>
      <w:pPr>
        <w:spacing w:after="0" w:line="221" w:lineRule="exact"/>
        <w:rPr>
          <w:sz w:val="24"/>
          <w:szCs w:val="24"/>
          <w:color w:val="auto"/>
        </w:rPr>
      </w:pPr>
    </w:p>
    <w:tbl>
      <w:tblPr>
        <w:tblLayout w:type="fixed"/>
        <w:tblInd w:w="1660" w:type="dxa"/>
        <w:tblCellMar>
          <w:top w:w="0" w:type="dxa"/>
          <w:left w:w="0" w:type="dxa"/>
          <w:bottom w:w="0" w:type="dxa"/>
          <w:right w:w="0" w:type="dxa"/>
        </w:tblCellMar>
      </w:tblPr>
      <w:tr>
        <w:trPr>
          <w:trHeight w:val="256"/>
        </w:trPr>
        <w:tc>
          <w:tcPr>
            <w:tcW w:w="26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5"/>
              </w:rPr>
              <w:t>California</w:t>
            </w:r>
          </w:p>
        </w:tc>
        <w:tc>
          <w:tcPr>
            <w:tcW w:w="2400" w:type="dxa"/>
            <w:vAlign w:val="bottom"/>
          </w:tcPr>
          <w:p>
            <w:pPr>
              <w:jc w:val="center"/>
              <w:spacing w:after="0"/>
              <w:rPr>
                <w:sz w:val="20"/>
                <w:szCs w:val="20"/>
                <w:color w:val="auto"/>
              </w:rPr>
            </w:pPr>
            <w:r>
              <w:rPr>
                <w:rFonts w:ascii="Arial" w:cs="Arial" w:eastAsia="Arial" w:hAnsi="Arial"/>
                <w:sz w:val="20"/>
                <w:szCs w:val="20"/>
                <w:b w:val="1"/>
                <w:bCs w:val="1"/>
                <w:color w:val="auto"/>
                <w:w w:val="87"/>
              </w:rPr>
              <w:t>000-33385</w:t>
            </w:r>
          </w:p>
        </w:tc>
        <w:tc>
          <w:tcPr>
            <w:tcW w:w="280" w:type="dxa"/>
            <w:vAlign w:val="bottom"/>
          </w:tcPr>
          <w:p>
            <w:pPr>
              <w:spacing w:after="0"/>
              <w:rPr>
                <w:sz w:val="22"/>
                <w:szCs w:val="22"/>
                <w:color w:val="auto"/>
              </w:rPr>
            </w:pPr>
          </w:p>
        </w:tc>
        <w:tc>
          <w:tcPr>
            <w:tcW w:w="2380" w:type="dxa"/>
            <w:vAlign w:val="bottom"/>
          </w:tcPr>
          <w:p>
            <w:pPr>
              <w:jc w:val="center"/>
              <w:spacing w:after="0"/>
              <w:rPr>
                <w:sz w:val="20"/>
                <w:szCs w:val="20"/>
                <w:color w:val="auto"/>
              </w:rPr>
            </w:pPr>
            <w:r>
              <w:rPr>
                <w:rFonts w:ascii="Arial" w:cs="Arial" w:eastAsia="Arial" w:hAnsi="Arial"/>
                <w:sz w:val="20"/>
                <w:szCs w:val="20"/>
                <w:b w:val="1"/>
                <w:bCs w:val="1"/>
                <w:color w:val="auto"/>
                <w:w w:val="89"/>
              </w:rPr>
              <w:t>33-0945304</w:t>
            </w:r>
          </w:p>
        </w:tc>
        <w:tc>
          <w:tcPr>
            <w:tcW w:w="0" w:type="dxa"/>
            <w:vAlign w:val="bottom"/>
          </w:tcPr>
          <w:p>
            <w:pPr>
              <w:spacing w:after="0"/>
              <w:rPr>
                <w:sz w:val="1"/>
                <w:szCs w:val="1"/>
                <w:color w:val="auto"/>
              </w:rPr>
            </w:pPr>
          </w:p>
        </w:tc>
      </w:tr>
      <w:tr>
        <w:trPr>
          <w:trHeight w:val="131"/>
        </w:trPr>
        <w:tc>
          <w:tcPr>
            <w:tcW w:w="2320" w:type="dxa"/>
            <w:vAlign w:val="bottom"/>
            <w:tcBorders>
              <w:bottom w:val="single" w:sz="8" w:color="999999"/>
            </w:tcBorders>
          </w:tcPr>
          <w:p>
            <w:pPr>
              <w:spacing w:after="0"/>
              <w:rPr>
                <w:sz w:val="11"/>
                <w:szCs w:val="11"/>
                <w:color w:val="auto"/>
              </w:rPr>
            </w:pPr>
          </w:p>
        </w:tc>
        <w:tc>
          <w:tcPr>
            <w:tcW w:w="320" w:type="dxa"/>
            <w:vAlign w:val="bottom"/>
            <w:vMerge w:val="restart"/>
          </w:tcPr>
          <w:p>
            <w:pPr>
              <w:spacing w:after="0"/>
              <w:rPr>
                <w:sz w:val="11"/>
                <w:szCs w:val="11"/>
                <w:color w:val="auto"/>
              </w:rPr>
            </w:pPr>
          </w:p>
        </w:tc>
        <w:tc>
          <w:tcPr>
            <w:tcW w:w="2400" w:type="dxa"/>
            <w:vAlign w:val="bottom"/>
            <w:tcBorders>
              <w:bottom w:val="single" w:sz="8" w:color="999999"/>
            </w:tcBorders>
          </w:tcPr>
          <w:p>
            <w:pPr>
              <w:spacing w:after="0"/>
              <w:rPr>
                <w:sz w:val="11"/>
                <w:szCs w:val="11"/>
                <w:color w:val="auto"/>
              </w:rPr>
            </w:pPr>
          </w:p>
        </w:tc>
        <w:tc>
          <w:tcPr>
            <w:tcW w:w="280" w:type="dxa"/>
            <w:vAlign w:val="bottom"/>
            <w:vMerge w:val="restart"/>
          </w:tcPr>
          <w:p>
            <w:pPr>
              <w:spacing w:after="0"/>
              <w:rPr>
                <w:sz w:val="11"/>
                <w:szCs w:val="11"/>
                <w:color w:val="auto"/>
              </w:rPr>
            </w:pPr>
          </w:p>
        </w:tc>
        <w:tc>
          <w:tcPr>
            <w:tcW w:w="238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320" w:type="dxa"/>
            <w:vAlign w:val="bottom"/>
          </w:tcPr>
          <w:p>
            <w:pPr>
              <w:jc w:val="center"/>
              <w:spacing w:after="0" w:line="207" w:lineRule="exact"/>
              <w:rPr>
                <w:sz w:val="20"/>
                <w:szCs w:val="20"/>
                <w:color w:val="auto"/>
              </w:rPr>
            </w:pPr>
            <w:r>
              <w:rPr>
                <w:rFonts w:ascii="Arial" w:cs="Arial" w:eastAsia="Arial" w:hAnsi="Arial"/>
                <w:sz w:val="20"/>
                <w:szCs w:val="20"/>
                <w:color w:val="auto"/>
                <w:w w:val="87"/>
              </w:rPr>
              <w:t>(State or Other</w:t>
            </w:r>
          </w:p>
        </w:tc>
        <w:tc>
          <w:tcPr>
            <w:tcW w:w="320" w:type="dxa"/>
            <w:vAlign w:val="bottom"/>
            <w:vMerge w:val="continue"/>
          </w:tcPr>
          <w:p>
            <w:pPr>
              <w:spacing w:after="0"/>
              <w:rPr>
                <w:sz w:val="17"/>
                <w:szCs w:val="17"/>
                <w:color w:val="auto"/>
              </w:rPr>
            </w:pPr>
          </w:p>
        </w:tc>
        <w:tc>
          <w:tcPr>
            <w:tcW w:w="2400" w:type="dxa"/>
            <w:vAlign w:val="bottom"/>
          </w:tcPr>
          <w:p>
            <w:pPr>
              <w:jc w:val="center"/>
              <w:spacing w:after="0" w:line="207" w:lineRule="exact"/>
              <w:rPr>
                <w:sz w:val="20"/>
                <w:szCs w:val="20"/>
                <w:color w:val="auto"/>
              </w:rPr>
            </w:pPr>
            <w:r>
              <w:rPr>
                <w:rFonts w:ascii="Arial" w:cs="Arial" w:eastAsia="Arial" w:hAnsi="Arial"/>
                <w:sz w:val="20"/>
                <w:szCs w:val="20"/>
                <w:color w:val="auto"/>
                <w:w w:val="93"/>
              </w:rPr>
              <w:t>(Commission File</w:t>
            </w:r>
          </w:p>
        </w:tc>
        <w:tc>
          <w:tcPr>
            <w:tcW w:w="280" w:type="dxa"/>
            <w:vAlign w:val="bottom"/>
            <w:vMerge w:val="continue"/>
          </w:tcPr>
          <w:p>
            <w:pPr>
              <w:spacing w:after="0"/>
              <w:rPr>
                <w:sz w:val="17"/>
                <w:szCs w:val="17"/>
                <w:color w:val="auto"/>
              </w:rPr>
            </w:pPr>
          </w:p>
        </w:tc>
        <w:tc>
          <w:tcPr>
            <w:tcW w:w="2380" w:type="dxa"/>
            <w:vAlign w:val="bottom"/>
          </w:tcPr>
          <w:p>
            <w:pPr>
              <w:jc w:val="center"/>
              <w:spacing w:after="0" w:line="207" w:lineRule="exact"/>
              <w:rPr>
                <w:sz w:val="20"/>
                <w:szCs w:val="20"/>
                <w:color w:val="auto"/>
              </w:rPr>
            </w:pPr>
            <w:r>
              <w:rPr>
                <w:rFonts w:ascii="Arial" w:cs="Arial" w:eastAsia="Arial" w:hAnsi="Arial"/>
                <w:sz w:val="20"/>
                <w:szCs w:val="20"/>
                <w:color w:val="auto"/>
                <w:w w:val="92"/>
              </w:rPr>
              <w:t>(IRS Employer</w:t>
            </w:r>
          </w:p>
        </w:tc>
        <w:tc>
          <w:tcPr>
            <w:tcW w:w="0" w:type="dxa"/>
            <w:vAlign w:val="bottom"/>
          </w:tcPr>
          <w:p>
            <w:pPr>
              <w:spacing w:after="0"/>
              <w:rPr>
                <w:sz w:val="1"/>
                <w:szCs w:val="1"/>
                <w:color w:val="auto"/>
              </w:rPr>
            </w:pPr>
          </w:p>
        </w:tc>
      </w:tr>
      <w:tr>
        <w:trPr>
          <w:trHeight w:val="230"/>
        </w:trPr>
        <w:tc>
          <w:tcPr>
            <w:tcW w:w="2640" w:type="dxa"/>
            <w:vAlign w:val="bottom"/>
            <w:gridSpan w:val="2"/>
          </w:tcPr>
          <w:p>
            <w:pPr>
              <w:jc w:val="center"/>
              <w:ind w:right="320"/>
              <w:spacing w:after="0"/>
              <w:rPr>
                <w:sz w:val="20"/>
                <w:szCs w:val="20"/>
                <w:color w:val="auto"/>
              </w:rPr>
            </w:pPr>
            <w:r>
              <w:rPr>
                <w:rFonts w:ascii="Arial" w:cs="Arial" w:eastAsia="Arial" w:hAnsi="Arial"/>
                <w:sz w:val="20"/>
                <w:szCs w:val="20"/>
                <w:color w:val="auto"/>
                <w:w w:val="91"/>
              </w:rPr>
              <w:t>Jurisdiction of</w:t>
            </w:r>
          </w:p>
        </w:tc>
        <w:tc>
          <w:tcPr>
            <w:tcW w:w="268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Number)</w:t>
            </w:r>
          </w:p>
        </w:tc>
        <w:tc>
          <w:tcPr>
            <w:tcW w:w="23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c>
          <w:tcPr>
            <w:tcW w:w="0" w:type="dxa"/>
            <w:vAlign w:val="bottom"/>
          </w:tcPr>
          <w:p>
            <w:pPr>
              <w:spacing w:after="0"/>
              <w:rPr>
                <w:sz w:val="1"/>
                <w:szCs w:val="1"/>
                <w:color w:val="auto"/>
              </w:rPr>
            </w:pPr>
          </w:p>
        </w:tc>
      </w:tr>
      <w:tr>
        <w:trPr>
          <w:trHeight w:val="250"/>
        </w:trPr>
        <w:tc>
          <w:tcPr>
            <w:tcW w:w="2640" w:type="dxa"/>
            <w:vAlign w:val="bottom"/>
            <w:gridSpan w:val="2"/>
          </w:tcPr>
          <w:p>
            <w:pPr>
              <w:jc w:val="center"/>
              <w:ind w:right="320"/>
              <w:spacing w:after="0"/>
              <w:rPr>
                <w:sz w:val="20"/>
                <w:szCs w:val="20"/>
                <w:color w:val="auto"/>
              </w:rPr>
            </w:pPr>
            <w:r>
              <w:rPr>
                <w:rFonts w:ascii="Arial" w:cs="Arial" w:eastAsia="Arial" w:hAnsi="Arial"/>
                <w:sz w:val="20"/>
                <w:szCs w:val="20"/>
                <w:color w:val="auto"/>
                <w:w w:val="93"/>
              </w:rPr>
              <w:t>Incorporation)</w:t>
            </w:r>
          </w:p>
        </w:tc>
        <w:tc>
          <w:tcPr>
            <w:tcW w:w="2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1052830</wp:posOffset>
            </wp:positionH>
            <wp:positionV relativeFrom="paragraph">
              <wp:posOffset>163195</wp:posOffset>
            </wp:positionV>
            <wp:extent cx="4896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29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1052830</wp:posOffset>
            </wp:positionH>
            <wp:positionV relativeFrom="paragraph">
              <wp:posOffset>177800</wp:posOffset>
            </wp:positionV>
            <wp:extent cx="4896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3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0" w:lineRule="exact"/>
        <w:rPr>
          <w:sz w:val="24"/>
          <w:szCs w:val="24"/>
          <w:color w:val="auto"/>
        </w:rPr>
      </w:pPr>
    </w:p>
    <w:p>
      <w:pPr>
        <w:spacing w:after="0" w:line="351" w:lineRule="exact"/>
        <w:rPr>
          <w:sz w:val="24"/>
          <w:szCs w:val="24"/>
          <w:color w:val="auto"/>
        </w:rPr>
      </w:pPr>
    </w:p>
    <w:p>
      <w:pPr>
        <w:ind w:firstLine="99"/>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56" w:lineRule="exact"/>
        <w:rPr>
          <w:rFonts w:ascii="MS PGothic" w:cs="MS PGothic" w:eastAsia="MS PGothic" w:hAnsi="MS PGothic"/>
          <w:sz w:val="20"/>
          <w:szCs w:val="20"/>
          <w:color w:val="auto"/>
        </w:rPr>
      </w:pPr>
    </w:p>
    <w:p>
      <w:pPr>
        <w:ind w:left="980" w:hanging="544"/>
        <w:spacing w:after="0"/>
        <w:tabs>
          <w:tab w:leader="none" w:pos="9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56" w:lineRule="exact"/>
        <w:rPr>
          <w:rFonts w:ascii="MS PGothic" w:cs="MS PGothic" w:eastAsia="MS PGothic" w:hAnsi="MS PGothic"/>
          <w:sz w:val="20"/>
          <w:szCs w:val="20"/>
          <w:color w:val="auto"/>
        </w:rPr>
      </w:pPr>
    </w:p>
    <w:p>
      <w:pPr>
        <w:ind w:left="980" w:hanging="544"/>
        <w:spacing w:after="0"/>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67" w:lineRule="exact"/>
        <w:rPr>
          <w:rFonts w:ascii="MS PGothic" w:cs="MS PGothic" w:eastAsia="MS PGothic" w:hAnsi="MS PGothic"/>
          <w:sz w:val="19"/>
          <w:szCs w:val="19"/>
          <w:color w:val="auto"/>
        </w:rPr>
      </w:pPr>
    </w:p>
    <w:p>
      <w:pPr>
        <w:ind w:left="980" w:hanging="544"/>
        <w:spacing w:after="0"/>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41" w:lineRule="exact"/>
        <w:rPr>
          <w:sz w:val="24"/>
          <w:szCs w:val="24"/>
          <w:color w:val="auto"/>
        </w:rPr>
      </w:pPr>
    </w:p>
    <w:p>
      <w:pPr>
        <w:ind w:right="40" w:firstLine="441"/>
        <w:spacing w:after="0" w:line="287"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440"/>
        <w:spacing w:after="0" w:line="230" w:lineRule="exact"/>
        <w:tabs>
          <w:tab w:leader="none" w:pos="2780" w:val="left"/>
        </w:tabs>
        <w:rPr>
          <w:sz w:val="20"/>
          <w:szCs w:val="20"/>
          <w:color w:val="auto"/>
        </w:rPr>
      </w:pPr>
      <w:r>
        <w:rPr>
          <w:rFonts w:ascii="Arial" w:cs="Arial" w:eastAsia="Arial" w:hAnsi="Arial"/>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5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p>
      <w:pPr>
        <w:spacing w:after="0" w:line="43" w:lineRule="exact"/>
        <w:rPr>
          <w:sz w:val="24"/>
          <w:szCs w:val="24"/>
          <w:color w:val="auto"/>
        </w:rPr>
      </w:pPr>
    </w:p>
    <w:p>
      <w:pPr>
        <w:spacing w:after="0" w:line="219" w:lineRule="exact"/>
        <w:tabs>
          <w:tab w:leader="none" w:pos="10400" w:val="left"/>
        </w:tabs>
        <w:rPr>
          <w:sz w:val="20"/>
          <w:szCs w:val="20"/>
          <w:color w:val="auto"/>
        </w:rPr>
      </w:pPr>
      <w:r>
        <w:rPr>
          <w:rFonts w:ascii="Arial" w:cs="Arial" w:eastAsia="Arial" w:hAnsi="Arial"/>
          <w:sz w:val="19"/>
          <w:szCs w:val="19"/>
          <w:color w:val="auto"/>
        </w:rPr>
        <w:t>complying with any new or revised financial accounting standards provided pursuant to Section 13(a) of the Exchange Act.</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69977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ectPr>
          <w:pgSz w:w="11900" w:h="16838" w:orient="portrait"/>
          <w:cols w:equalWidth="0" w:num="1">
            <w:col w:w="10860"/>
          </w:cols>
          <w:pgMar w:left="440" w:top="676" w:right="5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244" w:lineRule="exact"/>
        <w:rPr>
          <w:sz w:val="20"/>
          <w:szCs w:val="20"/>
          <w:color w:val="auto"/>
        </w:rPr>
      </w:pPr>
    </w:p>
    <w:p>
      <w:pPr>
        <w:jc w:val="both"/>
        <w:ind w:left="540" w:hanging="536"/>
        <w:spacing w:after="0"/>
        <w:tabs>
          <w:tab w:leader="none" w:pos="972" w:val="left"/>
        </w:tabs>
        <w:numPr>
          <w:ilvl w:val="0"/>
          <w:numId w:val="2"/>
        </w:numPr>
        <w:rPr>
          <w:rFonts w:ascii="Arial" w:cs="Arial" w:eastAsia="Arial" w:hAnsi="Arial"/>
          <w:sz w:val="22"/>
          <w:szCs w:val="22"/>
          <w:color w:val="auto"/>
        </w:rPr>
      </w:pPr>
      <w:r>
        <w:rPr>
          <w:rFonts w:ascii="Arial" w:cs="Arial" w:eastAsia="Arial" w:hAnsi="Arial"/>
          <w:sz w:val="22"/>
          <w:szCs w:val="22"/>
          <w:color w:val="auto"/>
        </w:rPr>
        <w:t>On June 6, 2018 Calavo Growers, Inc. issued a press release containing our financial results for the three and six month periods ended April 30, 2018. A copy of our press release is attached hereto as Exhibit 99.1 and is incorporated by reference.</w:t>
      </w:r>
    </w:p>
    <w:p>
      <w:pPr>
        <w:spacing w:after="0" w:line="186" w:lineRule="exact"/>
        <w:rPr>
          <w:sz w:val="20"/>
          <w:szCs w:val="20"/>
          <w:color w:val="auto"/>
        </w:rPr>
      </w:pPr>
    </w:p>
    <w:p>
      <w:pPr>
        <w:ind w:left="560" w:right="80" w:firstLine="523"/>
        <w:spacing w:after="0" w:line="282" w:lineRule="auto"/>
        <w:rPr>
          <w:sz w:val="20"/>
          <w:szCs w:val="20"/>
          <w:color w:val="auto"/>
        </w:rPr>
      </w:pPr>
      <w:r>
        <w:rPr>
          <w:rFonts w:ascii="Arial" w:cs="Arial" w:eastAsia="Arial" w:hAnsi="Arial"/>
          <w:sz w:val="19"/>
          <w:szCs w:val="19"/>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spacing w:after="0"/>
        <w:tabs>
          <w:tab w:leader="none" w:pos="164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Exhibits</w:t>
      </w:r>
    </w:p>
    <w:p>
      <w:pPr>
        <w:spacing w:after="0" w:line="216" w:lineRule="exact"/>
        <w:rPr>
          <w:sz w:val="20"/>
          <w:szCs w:val="20"/>
          <w:color w:val="auto"/>
        </w:rPr>
      </w:pPr>
    </w:p>
    <w:p>
      <w:pPr>
        <w:ind w:left="1680"/>
        <w:spacing w:after="0"/>
        <w:tabs>
          <w:tab w:leader="none" w:pos="2220" w:val="left"/>
        </w:tabs>
        <w:rPr>
          <w:rFonts w:ascii="Arial" w:cs="Arial" w:eastAsia="Arial" w:hAnsi="Arial"/>
          <w:sz w:val="16"/>
          <w:szCs w:val="16"/>
          <w:u w:val="single" w:color="auto"/>
          <w:color w:val="0000EE"/>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EE"/>
          </w:rPr>
          <w:t>Press release dated June 6, 2018 of the Registrant.</w:t>
        </w:r>
      </w:hyperlink>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440" w:top="265" w:right="6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2" w:lineRule="exact"/>
        <w:rPr>
          <w:sz w:val="20"/>
          <w:szCs w:val="20"/>
          <w:color w:val="auto"/>
        </w:rPr>
      </w:pPr>
    </w:p>
    <w:p>
      <w:pPr>
        <w:ind w:right="80" w:firstLine="441"/>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Calavo Growers,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June 8, 2018</w:t>
      </w:r>
    </w:p>
    <w:p>
      <w:pPr>
        <w:ind w:left="4860"/>
        <w:spacing w:after="0"/>
        <w:rPr>
          <w:sz w:val="20"/>
          <w:szCs w:val="20"/>
          <w:color w:val="auto"/>
        </w:rPr>
      </w:pPr>
      <w:r>
        <w:rPr>
          <w:rFonts w:ascii="Arial" w:cs="Arial" w:eastAsia="Arial" w:hAnsi="Arial"/>
          <w:sz w:val="20"/>
          <w:szCs w:val="20"/>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-24765</wp:posOffset>
            </wp:positionV>
            <wp:extent cx="1036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Lecil E. Cole</w:t>
      </w:r>
    </w:p>
    <w:p>
      <w:pPr>
        <w:ind w:left="4860"/>
        <w:spacing w:after="0"/>
        <w:rPr>
          <w:sz w:val="20"/>
          <w:szCs w:val="20"/>
          <w:color w:val="auto"/>
        </w:rPr>
      </w:pPr>
      <w:r>
        <w:rPr>
          <w:rFonts w:ascii="Arial" w:cs="Arial" w:eastAsia="Arial" w:hAnsi="Arial"/>
          <w:sz w:val="18"/>
          <w:szCs w:val="18"/>
          <w:color w:val="auto"/>
        </w:rPr>
        <w:t>Chairman of the Board of Directors, Chief Executive Officer and President</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(Principal Executive Officer)</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440" w:top="265"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ectPr>
          <w:pgSz w:w="11900" w:h="16838" w:orient="portrait"/>
          <w:cols w:equalWidth="0" w:num="1">
            <w:col w:w="11020"/>
          </w:cols>
          <w:pgMar w:left="440" w:top="116" w:right="4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For: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Calavo Growers, Inc.</w:t>
      </w:r>
    </w:p>
    <w:p>
      <w:pPr>
        <w:spacing w:after="0" w:line="200" w:lineRule="exact"/>
        <w:rPr>
          <w:sz w:val="20"/>
          <w:szCs w:val="20"/>
          <w:color w:val="auto"/>
        </w:rPr>
      </w:pPr>
    </w:p>
    <w:p>
      <w:pPr>
        <w:sectPr>
          <w:pgSz w:w="11900" w:h="16838" w:orient="portrait"/>
          <w:cols w:equalWidth="0" w:num="2">
            <w:col w:w="500" w:space="720"/>
            <w:col w:w="9800"/>
          </w:cols>
          <w:pgMar w:left="440" w:top="116" w:right="439" w:bottom="1440" w:gutter="0" w:footer="0" w:header="0"/>
          <w:type w:val="continuous"/>
        </w:sectPr>
      </w:pPr>
    </w:p>
    <w:p>
      <w:pPr>
        <w:spacing w:after="0"/>
        <w:rPr>
          <w:sz w:val="20"/>
          <w:szCs w:val="20"/>
          <w:color w:val="auto"/>
        </w:rPr>
      </w:pPr>
      <w:r>
        <w:rPr>
          <w:rFonts w:ascii="Arial" w:cs="Arial" w:eastAsia="Arial" w:hAnsi="Arial"/>
          <w:sz w:val="19"/>
          <w:szCs w:val="19"/>
          <w:color w:val="auto"/>
        </w:rPr>
        <w:t>Contact:</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2"/>
          <w:szCs w:val="22"/>
          <w:color w:val="auto"/>
        </w:rPr>
        <w:t>Lee E. Cole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Chairman, President and CEO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(805) 525-1245</w:t>
      </w:r>
    </w:p>
    <w:p>
      <w:pPr>
        <w:spacing w:after="0" w:line="155" w:lineRule="exact"/>
        <w:rPr>
          <w:sz w:val="20"/>
          <w:szCs w:val="20"/>
          <w:color w:val="auto"/>
        </w:rPr>
      </w:pPr>
    </w:p>
    <w:p>
      <w:pPr>
        <w:sectPr>
          <w:pgSz w:w="11900" w:h="16838" w:orient="portrait"/>
          <w:cols w:equalWidth="0" w:num="2">
            <w:col w:w="740" w:space="460"/>
            <w:col w:w="9820"/>
          </w:cols>
          <w:pgMar w:left="440" w:top="116" w:right="4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CALAVO GROWERS, INC. ANNOUNCES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FISCAL 2018 SECOND QUARTER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020"/>
          </w:cols>
          <w:pgMar w:left="440" w:top="116" w:right="439" w:bottom="1440" w:gutter="0" w:footer="0" w:header="0"/>
          <w:type w:val="continuous"/>
        </w:sectPr>
      </w:pPr>
    </w:p>
    <w:p>
      <w:pPr>
        <w:spacing w:after="0" w:line="221" w:lineRule="auto"/>
        <w:rPr>
          <w:sz w:val="20"/>
          <w:szCs w:val="20"/>
          <w:color w:val="auto"/>
        </w:rPr>
      </w:pPr>
      <w:r>
        <w:rPr>
          <w:rFonts w:ascii="Arial" w:cs="Arial" w:eastAsia="Arial" w:hAnsi="Arial"/>
          <w:sz w:val="22"/>
          <w:szCs w:val="22"/>
          <w:b w:val="1"/>
          <w:bCs w:val="1"/>
          <w:color w:val="auto"/>
        </w:rPr>
        <w:t>Second Quarter Highlights Include:</w:t>
      </w:r>
    </w:p>
    <w:p>
      <w:pPr>
        <w:ind w:left="760" w:hanging="432"/>
        <w:spacing w:after="0" w:line="230"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Income Grows to $14.1 Million from $12.9 Million Last Year</w:t>
      </w:r>
    </w:p>
    <w:p>
      <w:pPr>
        <w:ind w:left="760" w:hanging="432"/>
        <w:spacing w:after="0" w:line="230"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color w:val="auto"/>
        </w:rPr>
        <w:t>Diluted EPS Rises to 80 Cents from 74 Cents in Fiscal 2017 Second Period</w:t>
      </w:r>
    </w:p>
    <w:p>
      <w:pPr>
        <w:ind w:left="760" w:hanging="432"/>
        <w:spacing w:after="0" w:line="230"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color w:val="auto"/>
        </w:rPr>
        <w:t>Double-Digit Volume Increase in Fresh Avocado Units Sold</w:t>
      </w:r>
    </w:p>
    <w:p>
      <w:pPr>
        <w:ind w:left="760" w:hanging="432"/>
        <w:spacing w:after="0" w:line="230"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Renaissance Food Group Gross Profit Advances 36 Percent Year Over Year</w:t>
      </w:r>
    </w:p>
    <w:p>
      <w:pPr>
        <w:ind w:left="760" w:hanging="432"/>
        <w:spacing w:after="0" w:line="230"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Calavo Foods Segment Revenues and Gross Profit Climb 30-Plus Percent</w:t>
      </w:r>
    </w:p>
    <w:p>
      <w:pPr>
        <w:spacing w:after="0" w:line="230" w:lineRule="auto"/>
        <w:rPr>
          <w:rFonts w:ascii="Arial" w:cs="Arial" w:eastAsia="Arial" w:hAnsi="Arial"/>
          <w:sz w:val="22"/>
          <w:szCs w:val="22"/>
          <w:color w:val="auto"/>
        </w:rPr>
      </w:pPr>
      <w:r>
        <w:rPr>
          <w:rFonts w:ascii="Arial" w:cs="Arial" w:eastAsia="Arial" w:hAnsi="Arial"/>
          <w:sz w:val="22"/>
          <w:szCs w:val="22"/>
          <w:b w:val="1"/>
          <w:bCs w:val="1"/>
          <w:color w:val="auto"/>
        </w:rPr>
        <w:t>Looking Forward in Fiscal 2018:</w:t>
      </w:r>
    </w:p>
    <w:p>
      <w:pPr>
        <w:ind w:left="760" w:hanging="432"/>
        <w:spacing w:after="0" w:line="230"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Approximately 20 Percent Growth in Avocado-Industry Volumes</w:t>
      </w:r>
    </w:p>
    <w:p>
      <w:pPr>
        <w:ind w:left="760" w:hanging="432"/>
        <w:spacing w:after="0" w:line="230"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color w:val="auto"/>
        </w:rPr>
        <w:t>Double-Digit Revenue and Gross Profit Growth for RFG</w:t>
      </w:r>
    </w:p>
    <w:p>
      <w:pPr>
        <w:ind w:left="760" w:hanging="432"/>
        <w:spacing w:after="0" w:line="230"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color w:val="auto"/>
        </w:rPr>
        <w:t>Double-Digit Revenue and Gross Profit Growth in Calavo Foods</w:t>
      </w:r>
    </w:p>
    <w:p>
      <w:pPr>
        <w:ind w:left="760" w:hanging="432"/>
        <w:spacing w:after="0"/>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CEO Cole Forecasts Record Revenue and Double-Digit Increase in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SANTA PAULA, Calif. (June 6, 2018)—Calavo Growers, Inc. (Nasdaq-GS: CVGW), a global avocado-industry leader and expanding provider of value-added fresh food, today reported increased net income and earnings per share for the fiscal 2018 second quarter and initial six months.</w:t>
      </w:r>
    </w:p>
    <w:p>
      <w:pPr>
        <w:spacing w:after="0" w:line="1" w:lineRule="exact"/>
        <w:rPr>
          <w:sz w:val="20"/>
          <w:szCs w:val="20"/>
          <w:color w:val="auto"/>
        </w:rPr>
      </w:pPr>
    </w:p>
    <w:p>
      <w:pPr>
        <w:ind w:right="180" w:firstLine="551"/>
        <w:spacing w:after="0" w:line="241" w:lineRule="auto"/>
        <w:rPr>
          <w:sz w:val="20"/>
          <w:szCs w:val="20"/>
          <w:color w:val="auto"/>
        </w:rPr>
      </w:pPr>
      <w:r>
        <w:rPr>
          <w:rFonts w:ascii="Arial" w:cs="Arial" w:eastAsia="Arial" w:hAnsi="Arial"/>
          <w:sz w:val="21"/>
          <w:szCs w:val="21"/>
          <w:color w:val="auto"/>
        </w:rPr>
        <w:t>For the three months ended April 30, 2018, net income totaled $14.1 million, equal to $0.80 per diluted share. This is a nine percent increase from the $12.9 million, or $0.74 per diluted share, in last year’s second quarter. Revenues in the most-recent period were $264.4 million, decreasing two percent from $270.2 million in the fiscal 2017 second quarter. Gross profit registered $32.0 million, or 12.1 percent of revenues, versus $36.3 million, equal to 13.4 percent of revenues, in the corresponding period last year. Operating income reached $19.1 million in the fiscal 2018 second quarter, which compares with $20.8 million in the same period one year ago.</w:t>
      </w:r>
    </w:p>
    <w:p>
      <w:pPr>
        <w:spacing w:after="0" w:line="4" w:lineRule="exact"/>
        <w:rPr>
          <w:sz w:val="20"/>
          <w:szCs w:val="20"/>
          <w:color w:val="auto"/>
        </w:rPr>
      </w:pPr>
    </w:p>
    <w:p>
      <w:pPr>
        <w:ind w:right="460" w:firstLine="551"/>
        <w:spacing w:after="0" w:line="237" w:lineRule="auto"/>
        <w:rPr>
          <w:sz w:val="20"/>
          <w:szCs w:val="20"/>
          <w:color w:val="auto"/>
        </w:rPr>
      </w:pPr>
      <w:r>
        <w:rPr>
          <w:rFonts w:ascii="Arial" w:cs="Arial" w:eastAsia="Arial" w:hAnsi="Arial"/>
          <w:sz w:val="22"/>
          <w:szCs w:val="22"/>
          <w:color w:val="auto"/>
        </w:rPr>
        <w:t>Chairman, President and Chief Executive Officer Lee E. Cole stated: “Calavo completed a solidly profitable second quarter, making notable advancements across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020"/>
          </w:cols>
          <w:pgMar w:left="440" w:top="116"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2018 Second Quarter Results/2-2-2</w:t>
      </w:r>
    </w:p>
    <w:p>
      <w:pPr>
        <w:spacing w:after="0" w:line="314" w:lineRule="exact"/>
        <w:rPr>
          <w:sz w:val="20"/>
          <w:szCs w:val="20"/>
          <w:color w:val="auto"/>
        </w:rPr>
      </w:pPr>
    </w:p>
    <w:p>
      <w:pPr>
        <w:ind w:right="440"/>
        <w:spacing w:after="0" w:line="276" w:lineRule="auto"/>
        <w:rPr>
          <w:sz w:val="20"/>
          <w:szCs w:val="20"/>
          <w:color w:val="auto"/>
        </w:rPr>
      </w:pPr>
      <w:r>
        <w:rPr>
          <w:rFonts w:ascii="Arial" w:cs="Arial" w:eastAsia="Arial" w:hAnsi="Arial"/>
          <w:sz w:val="19"/>
          <w:szCs w:val="19"/>
          <w:color w:val="auto"/>
        </w:rPr>
        <w:t>three principal business segments. This progress included strong avocado volume growth in our Fresh segment and higher revenues, gross profit and gross profit margins in both our Renaissance Food Group (RFG) and Calavo Foods segments.</w:t>
      </w:r>
    </w:p>
    <w:p>
      <w:pPr>
        <w:spacing w:after="0" w:line="2" w:lineRule="exact"/>
        <w:rPr>
          <w:sz w:val="20"/>
          <w:szCs w:val="20"/>
          <w:color w:val="auto"/>
        </w:rPr>
      </w:pPr>
    </w:p>
    <w:p>
      <w:pPr>
        <w:ind w:firstLine="551"/>
        <w:spacing w:after="0" w:line="230" w:lineRule="auto"/>
        <w:rPr>
          <w:sz w:val="20"/>
          <w:szCs w:val="20"/>
          <w:color w:val="auto"/>
        </w:rPr>
      </w:pPr>
      <w:r>
        <w:rPr>
          <w:rFonts w:ascii="Arial" w:cs="Arial" w:eastAsia="Arial" w:hAnsi="Arial"/>
          <w:sz w:val="22"/>
          <w:szCs w:val="22"/>
          <w:color w:val="auto"/>
        </w:rPr>
        <w:t>“The Fresh business experienced double-digit growth in avocado unit volume. Avocado market pricing remained near historic norms in the most-recent quarter versus last year, when the industry experienced a rapid increase toward historically high market pricing in the second quarter of 2017. Despite this year’s higher volume, the combined result was lower year-over-year avocado sales. Calavo’s Fresh segment gross profit remained strong in the second quarter, above historic norms, albeit lower than last year when the industry experienced extraordinary market dynamics in which consumer demand dramatically exceeded available supply.”</w:t>
      </w:r>
    </w:p>
    <w:p>
      <w:pPr>
        <w:spacing w:after="0" w:line="4" w:lineRule="exact"/>
        <w:rPr>
          <w:sz w:val="20"/>
          <w:szCs w:val="20"/>
          <w:color w:val="auto"/>
        </w:rPr>
      </w:pPr>
    </w:p>
    <w:p>
      <w:pPr>
        <w:ind w:right="100" w:firstLine="551"/>
        <w:spacing w:after="0" w:line="230" w:lineRule="auto"/>
        <w:rPr>
          <w:sz w:val="20"/>
          <w:szCs w:val="20"/>
          <w:color w:val="auto"/>
        </w:rPr>
      </w:pPr>
      <w:r>
        <w:rPr>
          <w:rFonts w:ascii="Arial" w:cs="Arial" w:eastAsia="Arial" w:hAnsi="Arial"/>
          <w:sz w:val="22"/>
          <w:szCs w:val="22"/>
          <w:color w:val="auto"/>
        </w:rPr>
        <w:t>Cole continued: “RFG once again notched revenue gains in the second quarter owing to expansion in multiple geographies, most notably its newer facilities in Riverside, Calif. and Jacksonville, Fla. Also notable in the quarter was RFG’s increase in segment gross profit and gross profit margin, which rose 36 percent and 190 basis points, respectively, over last year.</w:t>
      </w:r>
    </w:p>
    <w:p>
      <w:pPr>
        <w:spacing w:after="0" w:line="3" w:lineRule="exact"/>
        <w:rPr>
          <w:sz w:val="20"/>
          <w:szCs w:val="20"/>
          <w:color w:val="auto"/>
        </w:rPr>
      </w:pPr>
    </w:p>
    <w:p>
      <w:pPr>
        <w:ind w:right="80" w:firstLine="551"/>
        <w:spacing w:after="0" w:line="230" w:lineRule="auto"/>
        <w:rPr>
          <w:sz w:val="20"/>
          <w:szCs w:val="20"/>
          <w:color w:val="auto"/>
        </w:rPr>
      </w:pPr>
      <w:r>
        <w:rPr>
          <w:rFonts w:ascii="Arial" w:cs="Arial" w:eastAsia="Arial" w:hAnsi="Arial"/>
          <w:sz w:val="22"/>
          <w:szCs w:val="22"/>
          <w:color w:val="auto"/>
        </w:rPr>
        <w:t>“The Calavo Foods business segment continues to be a formidable contributor to the company’s overall results. As detailed below, the most-recent quarter was no exception, as Calavo Foods’ revenues and gross profit both increased in excess of 30 percent,” Cole added.</w:t>
      </w:r>
    </w:p>
    <w:p>
      <w:pPr>
        <w:spacing w:after="0" w:line="2" w:lineRule="exact"/>
        <w:rPr>
          <w:sz w:val="20"/>
          <w:szCs w:val="20"/>
          <w:color w:val="auto"/>
        </w:rPr>
      </w:pPr>
    </w:p>
    <w:p>
      <w:pPr>
        <w:ind w:right="20" w:firstLine="551"/>
        <w:spacing w:after="0" w:line="267" w:lineRule="auto"/>
        <w:rPr>
          <w:sz w:val="20"/>
          <w:szCs w:val="20"/>
          <w:color w:val="auto"/>
        </w:rPr>
      </w:pPr>
      <w:r>
        <w:rPr>
          <w:rFonts w:ascii="Arial" w:cs="Arial" w:eastAsia="Arial" w:hAnsi="Arial"/>
          <w:sz w:val="19"/>
          <w:szCs w:val="19"/>
          <w:color w:val="auto"/>
        </w:rPr>
        <w:t>Net income for the six months ended April 30, 2018 climbed 17 percent to $21.3 million, or $1.21 per diluted share, from $18.2 million, or $1.04 per diluted share in last year’s first half. Revenue reached $512.3 million in the initial six months, rising about three percent from $496.7 million in the same period of fiscal 2017. Gross profit equaled $58.3 million, or</w:t>
      </w:r>
    </w:p>
    <w:p>
      <w:pPr>
        <w:ind w:right="260"/>
        <w:spacing w:after="0" w:line="308" w:lineRule="auto"/>
        <w:rPr>
          <w:sz w:val="20"/>
          <w:szCs w:val="20"/>
          <w:color w:val="auto"/>
        </w:rPr>
      </w:pPr>
      <w:r>
        <w:rPr>
          <w:rFonts w:ascii="Arial" w:cs="Arial" w:eastAsia="Arial" w:hAnsi="Arial"/>
          <w:sz w:val="19"/>
          <w:szCs w:val="19"/>
          <w:color w:val="auto"/>
        </w:rPr>
        <w:t>11.4 percent of revenues, in this year’s initial six months, a slight increase from $58.2 million, or 11.7 percent of revenues, a year earlier. Operating income edged upward to $29.9 million from $28.9 million for the corresponding fiscal 2017 period.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000"/>
          </w:cols>
          <w:pgMar w:left="440" w:top="267" w:right="45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2018 Second Quarter Results/3-3-3</w:t>
      </w:r>
    </w:p>
    <w:p>
      <w:pPr>
        <w:spacing w:after="0" w:line="314" w:lineRule="exact"/>
        <w:rPr>
          <w:sz w:val="20"/>
          <w:szCs w:val="20"/>
          <w:color w:val="auto"/>
        </w:rPr>
      </w:pPr>
    </w:p>
    <w:p>
      <w:pPr>
        <w:ind w:firstLine="551"/>
        <w:spacing w:after="0" w:line="233" w:lineRule="auto"/>
        <w:rPr>
          <w:sz w:val="20"/>
          <w:szCs w:val="20"/>
          <w:color w:val="auto"/>
        </w:rPr>
      </w:pPr>
      <w:r>
        <w:rPr>
          <w:rFonts w:ascii="Arial" w:cs="Arial" w:eastAsia="Arial" w:hAnsi="Arial"/>
          <w:sz w:val="22"/>
          <w:szCs w:val="22"/>
          <w:color w:val="auto"/>
        </w:rPr>
        <w:t>Sales in the Fresh business segment totaled $137.9 million, an 11 percent decrease from $155.6 million in the fiscal 2017 second quarter. Gross profit in the most recent quarter equaled $15.1 million, or 11.0 percent of Fresh segment sales. This compares with gross profit of $23.8 million, or 15.3 percent of segment sales, in the fiscal 2017 second quarter. The company’s avocado performance in the quarter, as detailed in CEO Cole’s comments above, was tempered somewhat by lower sales and gross profit in other fresh produce (tomatoes). Total Fresh units sold in the most-recent quarter stood at 4.7 million, virtually unchanged from 4.8 million in the year-earlier second quarter as double-digit avocado unit growth was offset by lower tomato volumes.</w:t>
      </w:r>
    </w:p>
    <w:p>
      <w:pPr>
        <w:spacing w:after="0" w:line="1" w:lineRule="exact"/>
        <w:rPr>
          <w:sz w:val="20"/>
          <w:szCs w:val="20"/>
          <w:color w:val="auto"/>
        </w:rPr>
      </w:pPr>
    </w:p>
    <w:p>
      <w:pPr>
        <w:ind w:right="20" w:firstLine="551"/>
        <w:spacing w:after="0" w:line="230" w:lineRule="auto"/>
        <w:rPr>
          <w:sz w:val="20"/>
          <w:szCs w:val="20"/>
          <w:color w:val="auto"/>
        </w:rPr>
      </w:pPr>
      <w:r>
        <w:rPr>
          <w:rFonts w:ascii="Arial" w:cs="Arial" w:eastAsia="Arial" w:hAnsi="Arial"/>
          <w:sz w:val="22"/>
          <w:szCs w:val="22"/>
          <w:color w:val="auto"/>
        </w:rPr>
        <w:t>In the RFG business segment, sales rose 7 percent to $104.6 million from $97.7 million in the same quarter last year. Gross profit climbed more than 35 percent to $9.3 million, or 8.9 percent of segment sales, from $6.9 million, or 7.0 percent of segment sales in last year’s corresponding quarter. Delays in certain new programs and an industry-wide food safety concern over romaine lettuce constrained RFG’s revenue growth this past quarter. However, manufacturing efficiencies across the segment’s production footprint, as well as favorable raw material costs, drove the considerable increase in year-over-year gross profit.</w:t>
      </w:r>
    </w:p>
    <w:p>
      <w:pPr>
        <w:spacing w:after="0" w:line="4" w:lineRule="exact"/>
        <w:rPr>
          <w:sz w:val="20"/>
          <w:szCs w:val="20"/>
          <w:color w:val="auto"/>
        </w:rPr>
      </w:pPr>
    </w:p>
    <w:p>
      <w:pPr>
        <w:ind w:firstLine="551"/>
        <w:spacing w:after="0" w:line="267" w:lineRule="auto"/>
        <w:rPr>
          <w:sz w:val="20"/>
          <w:szCs w:val="20"/>
          <w:color w:val="auto"/>
        </w:rPr>
      </w:pPr>
      <w:r>
        <w:rPr>
          <w:rFonts w:ascii="Arial" w:cs="Arial" w:eastAsia="Arial" w:hAnsi="Arial"/>
          <w:sz w:val="19"/>
          <w:szCs w:val="19"/>
          <w:color w:val="auto"/>
        </w:rPr>
        <w:t>The fiscal second quarter saw sales in the Calavo Foods business segment advance by 30 percent, reaching $21.9 million from $16.8 million in the year-earlier period. Calavo Foods gross profit also rose by nearly 35 percent to $7.6 million, or 34.5 percent of segment sales, from $5.6 million, or 33.3 percent of segment sales, in the second quarter last year. Gains resulted from a double-digit increase in prepared avocado pounds sold and price increases initiated in late 2017, which have helped to offset fruit input costs which through the second quarter remain elevated compared to the prior year.</w:t>
      </w:r>
    </w:p>
    <w:p>
      <w:pPr>
        <w:jc w:val="both"/>
        <w:ind w:right="360" w:firstLine="551"/>
        <w:spacing w:after="0" w:line="234" w:lineRule="auto"/>
        <w:rPr>
          <w:sz w:val="20"/>
          <w:szCs w:val="20"/>
          <w:color w:val="auto"/>
        </w:rPr>
      </w:pPr>
      <w:r>
        <w:rPr>
          <w:rFonts w:ascii="Arial" w:cs="Arial" w:eastAsia="Arial" w:hAnsi="Arial"/>
          <w:sz w:val="22"/>
          <w:szCs w:val="22"/>
          <w:color w:val="auto"/>
        </w:rPr>
        <w:t>The company’s total selling, general and administrative (SG&amp;A) expense decreased by 17 percent in the most-recent quarter to $12.9 million, equal to 4.9 percent of revenues, from $15.4 million, or 5.7 percent of revenues in the fiscal 2017 second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000"/>
          </w:cols>
          <w:pgMar w:left="440" w:top="267" w:right="45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2018 Second Quarter Results/4-4-4</w:t>
      </w:r>
    </w:p>
    <w:p>
      <w:pPr>
        <w:spacing w:after="0" w:line="31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period. The prior-year SG&amp;A included an approximately $1.4 million increase in the provision for bad debt, as well as a higher management incentive plan expense.</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104" w:lineRule="exact"/>
        <w:rPr>
          <w:sz w:val="20"/>
          <w:szCs w:val="20"/>
          <w:color w:val="auto"/>
        </w:rPr>
      </w:pPr>
    </w:p>
    <w:p>
      <w:pPr>
        <w:ind w:right="20" w:firstLine="551"/>
        <w:spacing w:after="0" w:line="236" w:lineRule="auto"/>
        <w:rPr>
          <w:sz w:val="20"/>
          <w:szCs w:val="20"/>
          <w:color w:val="auto"/>
        </w:rPr>
      </w:pPr>
      <w:r>
        <w:rPr>
          <w:rFonts w:ascii="Arial" w:cs="Arial" w:eastAsia="Arial" w:hAnsi="Arial"/>
          <w:sz w:val="22"/>
          <w:szCs w:val="22"/>
          <w:color w:val="auto"/>
        </w:rPr>
        <w:t>Looking toward the second half, CEO Cole said: “I remain enthusiastic and optimistic regarding Calavo’s prospects both in the current year and beyond, and am confident that we are on target to post record revenues and a double-digit increase in earnings per share in fiscal 2018.</w:t>
      </w:r>
    </w:p>
    <w:p>
      <w:pPr>
        <w:spacing w:after="0" w:line="1" w:lineRule="exact"/>
        <w:rPr>
          <w:sz w:val="20"/>
          <w:szCs w:val="20"/>
          <w:color w:val="auto"/>
        </w:rPr>
      </w:pPr>
    </w:p>
    <w:p>
      <w:pPr>
        <w:ind w:right="140" w:firstLine="551"/>
        <w:spacing w:after="0" w:line="241" w:lineRule="auto"/>
        <w:rPr>
          <w:sz w:val="20"/>
          <w:szCs w:val="20"/>
          <w:color w:val="auto"/>
        </w:rPr>
      </w:pPr>
      <w:r>
        <w:rPr>
          <w:rFonts w:ascii="Arial" w:cs="Arial" w:eastAsia="Arial" w:hAnsi="Arial"/>
          <w:sz w:val="21"/>
          <w:szCs w:val="21"/>
          <w:color w:val="auto"/>
        </w:rPr>
        <w:t>“Overall fresh avocado demand and consumption continues to trend upward, and the larger all-source supply for this year – as much as 20 percent above last year – bodes well for our company as a category leader. During the second half of the year, we expect to source from multiple geographic regions, including California, Mexico, Peru and Colombia, and anticipate continued year-over-year, double-digit volume increases in avocado units sold. While unit volumes are expected to remain strong, last year’s second half was marked by unprecedented avocado market dynamics which may skew year-over-year avocado comparisons throughout the remainder of the year,” Cole stated.</w:t>
      </w:r>
    </w:p>
    <w:p>
      <w:pPr>
        <w:spacing w:after="0" w:line="4" w:lineRule="exact"/>
        <w:rPr>
          <w:sz w:val="20"/>
          <w:szCs w:val="20"/>
          <w:color w:val="auto"/>
        </w:rPr>
      </w:pPr>
    </w:p>
    <w:p>
      <w:pPr>
        <w:jc w:val="both"/>
        <w:ind w:right="180" w:firstLine="551"/>
        <w:spacing w:after="0" w:line="267" w:lineRule="auto"/>
        <w:rPr>
          <w:sz w:val="20"/>
          <w:szCs w:val="20"/>
          <w:color w:val="auto"/>
        </w:rPr>
      </w:pPr>
      <w:r>
        <w:rPr>
          <w:rFonts w:ascii="Arial" w:cs="Arial" w:eastAsia="Arial" w:hAnsi="Arial"/>
          <w:sz w:val="19"/>
          <w:szCs w:val="19"/>
          <w:color w:val="auto"/>
        </w:rPr>
        <w:t>The Calavo CEO continued: “We remain bullish about RFG’s prospects in the second half of this year. We continue to expect RFG revenue growth to re-accelerate in the fiscal 2018 third and fourth quarters, leading to ten percent topline growth for the year. We also expect to see RFG’s year-over-year gross profit expand as segment gross profit margin, which improved dramatically in the second period, rises incrementally in the second half of fiscal 2018.</w:t>
      </w:r>
    </w:p>
    <w:p>
      <w:pPr>
        <w:ind w:right="200" w:firstLine="551"/>
        <w:spacing w:after="0" w:line="230" w:lineRule="auto"/>
        <w:rPr>
          <w:sz w:val="20"/>
          <w:szCs w:val="20"/>
          <w:color w:val="auto"/>
        </w:rPr>
      </w:pPr>
      <w:r>
        <w:rPr>
          <w:rFonts w:ascii="Arial" w:cs="Arial" w:eastAsia="Arial" w:hAnsi="Arial"/>
          <w:sz w:val="22"/>
          <w:szCs w:val="22"/>
          <w:color w:val="auto"/>
        </w:rPr>
        <w:t>“Calavo Foods is executing very well and is on a path to register high-teen revenue growth and gross profit margin in line with historic levels during this year’s third and fourth quarters. With strong sales growth and higher year-over-year gross profit margins, we expect higher gross profit dollars this year.</w:t>
      </w:r>
    </w:p>
    <w:p>
      <w:pPr>
        <w:spacing w:after="0" w:line="2" w:lineRule="exact"/>
        <w:rPr>
          <w:sz w:val="20"/>
          <w:szCs w:val="20"/>
          <w:color w:val="auto"/>
        </w:rPr>
      </w:pPr>
    </w:p>
    <w:p>
      <w:pPr>
        <w:ind w:right="20" w:firstLine="551"/>
        <w:spacing w:after="0" w:line="234" w:lineRule="auto"/>
        <w:rPr>
          <w:sz w:val="20"/>
          <w:szCs w:val="20"/>
          <w:color w:val="auto"/>
        </w:rPr>
      </w:pPr>
      <w:r>
        <w:rPr>
          <w:rFonts w:ascii="Arial" w:cs="Arial" w:eastAsia="Arial" w:hAnsi="Arial"/>
          <w:sz w:val="22"/>
          <w:szCs w:val="22"/>
          <w:color w:val="auto"/>
        </w:rPr>
        <w:t>“FreshRealm, LLC – the unconsolidated subsidiary that Calavo both seeded and holds a meaningful ownership interest – has secured multiple new enterprise customer relationships over the past quarter. Those affiliations are expected to begin rolling out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020"/>
          </w:cols>
          <w:pgMar w:left="440" w:top="267" w:right="4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2018 Second Quarter Results/5-5-5</w:t>
      </w:r>
    </w:p>
    <w:p>
      <w:pPr>
        <w:spacing w:after="0" w:line="314"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in the second half of fiscal 2018, which will extend FreshRealm’s presence in the fresh prepped meal kits at retail segment. We look forward to watching the FreshRealm business continue to strengthen in 2018.</w:t>
      </w:r>
    </w:p>
    <w:p>
      <w:pPr>
        <w:ind w:right="180" w:firstLine="551"/>
        <w:spacing w:after="0" w:line="308" w:lineRule="auto"/>
        <w:rPr>
          <w:sz w:val="20"/>
          <w:szCs w:val="20"/>
          <w:color w:val="auto"/>
        </w:rPr>
      </w:pPr>
      <w:r>
        <w:rPr>
          <w:rFonts w:ascii="Arial" w:cs="Arial" w:eastAsia="Arial" w:hAnsi="Arial"/>
          <w:sz w:val="19"/>
          <w:szCs w:val="19"/>
          <w:color w:val="auto"/>
        </w:rPr>
        <w:t>“We believe that the company is on a trajectory to post record revenues and double-digit increase in earnings per share for the full year. I look forward to reporting our continued achievements as the year progresses,” Cole concluded.</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Calavo Growers, Inc.</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04"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This news release contains statements relating to future events and results of Calavo (including certain projections and business trends) that are “forward-looking statements” as defined in the Private Securities Litigation and Reform Act of 1995. Actual results and events may differ from those projected, as a result of certain risks and uncertainties. These risks and uncertainties include but are not limited to: increased competition, conducting substantial amounts of business internationally, pricing pressures on international products, adverse weather and growing conditions confronting avocado growers, new governmental regulations, as well as other risks and uncertainties detailed from time to time in the company’s Securities and Exchange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0980"/>
          </w:cols>
          <w:pgMar w:left="440" w:top="267" w:right="47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2018 Second Quarter Results/6-6-6</w:t>
      </w:r>
    </w:p>
    <w:p>
      <w:pPr>
        <w:spacing w:after="0" w:line="314"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Commission filings, including, without limitation, the company’s latest filed Annual Report on Form 10-K. These forward-looking statements are made only as of the date hereof, and the company undertakes no obligation to update or revise the forward-looking statements, whether as a result of new information, future events or otherwise.</w:t>
      </w:r>
    </w:p>
    <w:p>
      <w:pPr>
        <w:spacing w:after="0" w:line="26"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Source: Calavo Growers, Inc.</w:t>
      </w:r>
    </w:p>
    <w:p>
      <w:pPr>
        <w:sectPr>
          <w:pgSz w:w="11900" w:h="16838" w:orient="portrait"/>
          <w:cols w:equalWidth="0" w:num="1">
            <w:col w:w="10660"/>
          </w:cols>
          <w:pgMar w:left="440" w:top="267" w:right="7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4"/>
                <w:szCs w:val="14"/>
                <w:color w:val="auto"/>
              </w:rPr>
            </w:pPr>
          </w:p>
        </w:tc>
        <w:tc>
          <w:tcPr>
            <w:tcW w:w="78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October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2,377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97"/>
              </w:rPr>
              <w:t>Accounts receivable, net of allowances of $3,234 (2018) and $2,490 (2017)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76,925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69,750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39,158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7,026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Advances to suppliers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6"/>
              </w:rPr>
              <w:t>128,205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119,828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121,803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120,072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40,241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33,297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33,019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8,641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18,262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24,330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374,779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364,117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 to growers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27,373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Trade 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16,420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22,911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36,752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1,884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Dividend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16,657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103,546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116,167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Long-term obligations, less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6"/>
              </w:rPr>
              <w:t>268,144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244,122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374,779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364,117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0"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264,405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270,162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512,333</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496,716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232,436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233,909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454,054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438,539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loss - noncontrolling interest</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 attributable to Calavo Growers, Inc.</w:t>
            </w:r>
          </w:p>
        </w:tc>
        <w:tc>
          <w:tcPr>
            <w:tcW w:w="18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per share: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rPr>
              <w:t>Basic</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Number of shares used in per share computation:</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NET SALES AND GROSS PROFIT BY BUSINESS SEGMENT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Fresh</w:t>
            </w:r>
          </w:p>
        </w:tc>
        <w:tc>
          <w:tcPr>
            <w:tcW w:w="26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1"/>
              </w:rPr>
              <w:t>Calavo</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3"/>
          </w:tcPr>
          <w:p>
            <w:pPr>
              <w:jc w:val="right"/>
              <w:ind w:right="20"/>
              <w:spacing w:after="0" w:line="174" w:lineRule="exact"/>
              <w:rPr>
                <w:sz w:val="20"/>
                <w:szCs w:val="20"/>
                <w:color w:val="auto"/>
              </w:rPr>
            </w:pPr>
            <w:r>
              <w:rPr>
                <w:rFonts w:ascii="Arial" w:cs="Arial" w:eastAsia="Arial" w:hAnsi="Arial"/>
                <w:sz w:val="18"/>
                <w:szCs w:val="18"/>
                <w:b w:val="1"/>
                <w:bCs w:val="1"/>
                <w:color w:val="auto"/>
                <w:w w:val="83"/>
              </w:rPr>
              <w:t>products</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3"/>
          </w:tcPr>
          <w:p>
            <w:pPr>
              <w:jc w:val="right"/>
              <w:ind w:right="80"/>
              <w:spacing w:after="0" w:line="174" w:lineRule="exact"/>
              <w:rPr>
                <w:sz w:val="20"/>
                <w:szCs w:val="20"/>
                <w:color w:val="auto"/>
              </w:rPr>
            </w:pPr>
            <w:r>
              <w:rPr>
                <w:rFonts w:ascii="Arial" w:cs="Arial" w:eastAsia="Arial" w:hAnsi="Arial"/>
                <w:sz w:val="18"/>
                <w:szCs w:val="18"/>
                <w:b w:val="1"/>
                <w:bCs w:val="1"/>
                <w:color w:val="auto"/>
                <w:w w:val="81"/>
              </w:rPr>
              <w:t>Foods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160"/>
              <w:spacing w:after="0" w:line="174" w:lineRule="exact"/>
              <w:rPr>
                <w:sz w:val="20"/>
                <w:szCs w:val="20"/>
                <w:color w:val="auto"/>
              </w:rPr>
            </w:pPr>
            <w:r>
              <w:rPr>
                <w:rFonts w:ascii="Arial" w:cs="Arial" w:eastAsia="Arial" w:hAnsi="Arial"/>
                <w:sz w:val="18"/>
                <w:szCs w:val="18"/>
                <w:b w:val="1"/>
                <w:bCs w:val="1"/>
                <w:color w:val="auto"/>
                <w:w w:val="94"/>
              </w:rPr>
              <w:t>RFG</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3"/>
          </w:tcPr>
          <w:p>
            <w:pPr>
              <w:spacing w:after="0" w:line="17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137,935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21,913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104,557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264,405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122,815</w:t>
            </w:r>
          </w:p>
        </w:tc>
        <w:tc>
          <w:tcPr>
            <w:tcW w:w="2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14,361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95,260</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232,436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15,120</w:t>
            </w:r>
          </w:p>
        </w:tc>
        <w:tc>
          <w:tcPr>
            <w:tcW w:w="260" w:type="dxa"/>
            <w:vAlign w:val="bottom"/>
          </w:tcPr>
          <w:p>
            <w:pPr>
              <w:spacing w:after="0"/>
              <w:rPr>
                <w:sz w:val="19"/>
                <w:szCs w:val="19"/>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7,552</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9,297</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155,623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16,837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97,702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270,162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131,826</w:t>
            </w:r>
          </w:p>
        </w:tc>
        <w:tc>
          <w:tcPr>
            <w:tcW w:w="2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11,237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90,846</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233,909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23,797</w:t>
            </w:r>
          </w:p>
        </w:tc>
        <w:tc>
          <w:tcPr>
            <w:tcW w:w="260" w:type="dxa"/>
            <w:vAlign w:val="bottom"/>
          </w:tcPr>
          <w:p>
            <w:pPr>
              <w:spacing w:after="0"/>
              <w:rPr>
                <w:sz w:val="19"/>
                <w:szCs w:val="19"/>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5,600</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6,856</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firstLine="220"/>
        <w:spacing w:after="0" w:line="264" w:lineRule="auto"/>
        <w:rPr>
          <w:sz w:val="20"/>
          <w:szCs w:val="20"/>
          <w:color w:val="auto"/>
        </w:rPr>
      </w:pPr>
      <w:r>
        <w:rPr>
          <w:rFonts w:ascii="Arial" w:cs="Arial" w:eastAsia="Arial" w:hAnsi="Arial"/>
          <w:sz w:val="18"/>
          <w:szCs w:val="18"/>
          <w:color w:val="auto"/>
        </w:rPr>
        <w:t>For the three months ended April 30, 2018 and 2017, inter-segment sales and cost of sales of $0.2 million between Fresh products and RFG were eliminated. For the three months ended April 30, 2018 and 2017, inter-segment sales and cost of sales of $0.8 million and $0.6 million between Calavo Foods and RFG were eliminated.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Fresh</w:t>
            </w:r>
          </w:p>
        </w:tc>
        <w:tc>
          <w:tcPr>
            <w:tcW w:w="26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1"/>
              </w:rPr>
              <w:t>Calavo</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20"/>
              <w:spacing w:after="0" w:line="174" w:lineRule="exact"/>
              <w:rPr>
                <w:sz w:val="20"/>
                <w:szCs w:val="20"/>
                <w:color w:val="auto"/>
              </w:rPr>
            </w:pPr>
            <w:r>
              <w:rPr>
                <w:rFonts w:ascii="Arial" w:cs="Arial" w:eastAsia="Arial" w:hAnsi="Arial"/>
                <w:sz w:val="18"/>
                <w:szCs w:val="18"/>
                <w:b w:val="1"/>
                <w:bCs w:val="1"/>
                <w:color w:val="auto"/>
                <w:w w:val="83"/>
              </w:rPr>
              <w:t>products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80"/>
              <w:spacing w:after="0" w:line="174" w:lineRule="exact"/>
              <w:rPr>
                <w:sz w:val="20"/>
                <w:szCs w:val="20"/>
                <w:color w:val="auto"/>
              </w:rPr>
            </w:pPr>
            <w:r>
              <w:rPr>
                <w:rFonts w:ascii="Arial" w:cs="Arial" w:eastAsia="Arial" w:hAnsi="Arial"/>
                <w:sz w:val="18"/>
                <w:szCs w:val="18"/>
                <w:b w:val="1"/>
                <w:bCs w:val="1"/>
                <w:color w:val="auto"/>
                <w:w w:val="81"/>
              </w:rPr>
              <w:t>Foods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60"/>
              <w:spacing w:after="0" w:line="174" w:lineRule="exact"/>
              <w:rPr>
                <w:sz w:val="20"/>
                <w:szCs w:val="20"/>
                <w:color w:val="auto"/>
              </w:rPr>
            </w:pPr>
            <w:r>
              <w:rPr>
                <w:rFonts w:ascii="Arial" w:cs="Arial" w:eastAsia="Arial" w:hAnsi="Arial"/>
                <w:sz w:val="18"/>
                <w:szCs w:val="18"/>
                <w:b w:val="1"/>
                <w:bCs w:val="1"/>
                <w:color w:val="auto"/>
                <w:w w:val="94"/>
              </w:rPr>
              <w:t>RFG</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spacing w:after="0" w:line="17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2018</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260,720</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$40,950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210,663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512,333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231,343</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27,423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195,288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454,054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29,377</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13,527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15,375</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58,279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267,682</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$33,625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195,409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496,716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236,034</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22,933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179,572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438,539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31,648</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10,692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15,837</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58,177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For the six months ended April 30, 2018 and 2017, inter-segment sales and cost of sales of $0.6 million and $0.3 million between Fresh products and RFG were eliminated. For the six months ended April 30, 2018 and 2017, inter-segment sales and cost of sales of $1.6 million and $1.4 million between Calavo Foods and RFG were eliminated. For the six months ended April 30, 2018, inter-segment sales and cost of sales of $0.1 million between Fresh products and Calavo Foods were eliminated.</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2020-01-15T15:30:53Z</dcterms:created>
  <dcterms:modified xsi:type="dcterms:W3CDTF">2020-01-15T15:30:53Z</dcterms:modified>
</cp:coreProperties>
</file>