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Aslam Farha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CALAVO GROWERS,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1141-A CUMMINGS 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PAULA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CALAVO GROWERS INC</w:t>
              </w:r>
            </w:hyperlink>
            <w:r>
              <w:rPr/>
              <w:t xml:space="preserve"> [ </w:t>
            </w:r>
            <w:r>
              <w:rPr>
                <w:rFonts w:ascii="Times;serif" w:hAnsi="Times;serif"/>
                <w:color w:val="0000FF"/>
                <w:sz w:val="24"/>
                <w:shd w:fill="FFFFFF" w:val="clear"/>
              </w:rPr>
              <w:t>CVGW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4,259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2,220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4,929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CVGW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fully vest on the date that is the earlier of (i) the one-year anniversary of the date of grant, or (ii) Calavo Growers, Inc.'s 2026 annual meeting of shareholders provided such annual meeting occurs on or after April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fully vested on April 23, 2025, and the reporting person's receipt of 2,220 shares of common stock was deferred pursuant to the restricted stock unit award agreement between the reporting person and Calavo Growers,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fully vested on November 1, 2024, and the reporting person's receipt of 4,929 shares of common stock was deferred pursuant to the restricted stock unit award agreement between the reporting person and Calavo Growers, Inc.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Farha Aslam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4355" TargetMode="External"/><Relationship Id="rId5" Type="http://schemas.openxmlformats.org/officeDocument/2006/relationships/hyperlink" Target="http://www.sec.gov/cgi-bin/browse-edgar?action=getcompany&amp;CIK=00011334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3876</Characters>
  <CharactersWithSpaces>4528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