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As filed with the Securities and Exchange Commission on June 10,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California</w:t>
            </w:r>
          </w:p>
        </w:tc>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202"/>
        </w:trPr>
        <w:tc>
          <w:tcPr>
            <w:tcW w:w="5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00" w:type="dxa"/>
            <w:vAlign w:val="bottom"/>
          </w:tcPr>
          <w:p>
            <w:pPr>
              <w:spacing w:after="0"/>
              <w:rPr>
                <w:sz w:val="17"/>
                <w:szCs w:val="17"/>
                <w:color w:val="auto"/>
              </w:rPr>
            </w:pPr>
          </w:p>
        </w:tc>
        <w:tc>
          <w:tcPr>
            <w:tcW w:w="50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2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incorporation or organization)</w:t>
            </w:r>
          </w:p>
        </w:tc>
        <w:tc>
          <w:tcPr>
            <w:tcW w:w="50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Santa Paula, California 93060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2020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Kevin Manion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Santa Paula, California 93060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(805) 525-1245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With 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Tishler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Sheppard, Mullin, Richter &amp; Hampton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12275 El Camino Real,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92130-4092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(858) 720-8943</w:t>
      </w:r>
    </w:p>
    <w:p>
      <w:pPr>
        <w:spacing w:after="0" w:line="49" w:lineRule="exact"/>
        <w:rPr>
          <w:sz w:val="24"/>
          <w:szCs w:val="24"/>
          <w:color w:val="auto"/>
        </w:rPr>
      </w:pPr>
    </w:p>
    <w:p>
      <w:pPr>
        <w:jc w:val="both"/>
        <w:ind w:left="20"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ind w:left="120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1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ind w:left="120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0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60" w:type="dxa"/>
            <w:vAlign w:val="bottom"/>
          </w:tcPr>
          <w:p>
            <w:pPr>
              <w:ind w:left="120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33" w:lineRule="exact"/>
        <w:rPr>
          <w:sz w:val="24"/>
          <w:szCs w:val="24"/>
          <w:color w:val="auto"/>
        </w:rPr>
      </w:pPr>
    </w:p>
    <w:p>
      <w:pPr>
        <w:ind w:left="20" w:right="2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45"/>
              <w:spacing w:after="0"/>
              <w:rPr>
                <w:sz w:val="20"/>
                <w:szCs w:val="20"/>
                <w:color w:val="auto"/>
              </w:rPr>
            </w:pPr>
            <w:r>
              <w:rPr>
                <w:rFonts w:ascii="Arial" w:cs="Arial" w:eastAsia="Arial" w:hAnsi="Arial"/>
                <w:sz w:val="14"/>
                <w:szCs w:val="14"/>
                <w:b w:val="1"/>
                <w:bCs w:val="1"/>
                <w:color w:val="auto"/>
                <w:w w:val="86"/>
              </w:rPr>
              <w:t>Proposed</w:t>
            </w:r>
          </w:p>
        </w:tc>
        <w:tc>
          <w:tcPr>
            <w:tcW w:w="1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5"/>
              </w:rPr>
              <w:t>Offering</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Title of Securities to be Registered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2"/>
              </w:rPr>
              <w:t>Price Per</w:t>
            </w:r>
          </w:p>
        </w:tc>
        <w:tc>
          <w:tcPr>
            <w:tcW w:w="1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Offering</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85"/>
        </w:trPr>
        <w:tc>
          <w:tcPr>
            <w:tcW w:w="5780" w:type="dxa"/>
            <w:vAlign w:val="bottom"/>
            <w:gridSpan w:val="4"/>
            <w:vMerge w:val="continue"/>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 xml:space="preserve">Registered </w:t>
            </w:r>
            <w:r>
              <w:rPr>
                <w:rFonts w:ascii="Arial" w:cs="Arial" w:eastAsia="Arial" w:hAnsi="Arial"/>
                <w:sz w:val="10"/>
                <w:szCs w:val="10"/>
                <w:b w:val="1"/>
                <w:bCs w:val="1"/>
                <w:color w:val="auto"/>
                <w:w w:val="92"/>
              </w:rPr>
              <w:t>(1)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45"/>
              <w:spacing w:after="0"/>
              <w:rPr>
                <w:sz w:val="20"/>
                <w:szCs w:val="20"/>
                <w:color w:val="auto"/>
              </w:rPr>
            </w:pPr>
            <w:r>
              <w:rPr>
                <w:rFonts w:ascii="Arial" w:cs="Arial" w:eastAsia="Arial" w:hAnsi="Arial"/>
                <w:sz w:val="14"/>
                <w:szCs w:val="14"/>
                <w:b w:val="1"/>
                <w:bCs w:val="1"/>
                <w:color w:val="auto"/>
                <w:w w:val="94"/>
              </w:rPr>
              <w:t xml:space="preserve">Share </w:t>
            </w:r>
            <w:r>
              <w:rPr>
                <w:rFonts w:ascii="Arial" w:cs="Arial" w:eastAsia="Arial" w:hAnsi="Arial"/>
                <w:sz w:val="10"/>
                <w:szCs w:val="10"/>
                <w:b w:val="1"/>
                <w:bCs w:val="1"/>
                <w:color w:val="auto"/>
                <w:w w:val="94"/>
              </w:rPr>
              <w:t>(2)</w:t>
            </w:r>
          </w:p>
        </w:tc>
        <w:tc>
          <w:tcPr>
            <w:tcW w:w="1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 xml:space="preserve">Price </w:t>
            </w:r>
            <w:r>
              <w:rPr>
                <w:rFonts w:ascii="Arial" w:cs="Arial" w:eastAsia="Arial" w:hAnsi="Arial"/>
                <w:sz w:val="10"/>
                <w:szCs w:val="10"/>
                <w:b w:val="1"/>
                <w:bCs w:val="1"/>
                <w:color w:val="auto"/>
                <w:w w:val="95"/>
              </w:rPr>
              <w:t>(2)</w:t>
            </w:r>
          </w:p>
        </w:tc>
        <w:tc>
          <w:tcPr>
            <w:tcW w:w="1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Fee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58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Common stock, $0.001 par value</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1,500,000</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69.29</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$ 103,935,000</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0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   11,339.31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right="120" w:hanging="330"/>
        <w:spacing w:after="0" w:line="287"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416(a) under the Securities Act of 1933, as amended, this Registration Statement shall also cover any additional shares of the Registrant’s common stock that become issuable under the 2020 Equity Incentive Plan, by reason of any stock dividend, stock split, recapitalization or other similar transaction that increases the number of the outstanding shares of the Registrant’s common stock.</w:t>
      </w:r>
    </w:p>
    <w:p>
      <w:pPr>
        <w:spacing w:after="0" w:line="1" w:lineRule="exact"/>
        <w:rPr>
          <w:rFonts w:ascii="Arial" w:cs="Arial" w:eastAsia="Arial" w:hAnsi="Arial"/>
          <w:sz w:val="16"/>
          <w:szCs w:val="16"/>
          <w:color w:val="auto"/>
        </w:rPr>
      </w:pPr>
    </w:p>
    <w:p>
      <w:pPr>
        <w:ind w:left="340" w:right="120" w:hanging="330"/>
        <w:spacing w:after="0" w:line="25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in accordance with Rule 457(h) of the Securities Act of 1933, as amended, by averaging the high and low sales prices of the Registrant’s common stock reported on the Nasdaq Global Select Market on June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464185</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35560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78105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850" w:right="839" w:bottom="1440" w:gutter="0" w:footer="0" w:header="0"/>
        </w:sectPr>
      </w:pPr>
    </w:p>
    <w:bookmarkStart w:id="1" w:name="page2"/>
    <w:bookmarkEnd w:id="1"/>
    <w:p>
      <w:pPr>
        <w:ind w:left="4220"/>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Plan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202" w:lineRule="exact"/>
        <w:rPr>
          <w:sz w:val="20"/>
          <w:szCs w:val="20"/>
          <w:color w:val="auto"/>
        </w:rPr>
      </w:pPr>
    </w:p>
    <w:p>
      <w:pPr>
        <w:jc w:val="both"/>
        <w:ind w:left="60" w:right="619" w:hanging="10"/>
        <w:spacing w:after="0" w:line="263" w:lineRule="auto"/>
        <w:tabs>
          <w:tab w:leader="none" w:pos="384"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required by Part I to be contained in the Section 10(a) prospectus is omitted from this Registration Statement in accordance with Rule 428 under the Securities Act of 1933, as amended (the “Securities Act”), and the Note to Part I of Form S-8.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29" w:right="1440" w:bottom="1440" w:gutter="0" w:footer="0" w:header="0"/>
        </w:sectPr>
      </w:pPr>
    </w:p>
    <w:bookmarkStart w:id="2" w:name="page3"/>
    <w:bookmarkEnd w:id="2"/>
    <w:p>
      <w:pPr>
        <w:ind w:left="418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02"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Securities and Exchange Commission (the “SEC”) allows the Registrant to “incorporate by reference” the information that the Registrant files with the SEC, which means that the Registrant can disclose important information by reference to those documents. The information incorporated by reference is considered to be part of this Registration Statement, and later information filed with the SEC will update and supersede this information. The following documents filed by the Registrant with the SEC are hereby incorporated by reference into this Registration Statement:</w:t>
      </w:r>
    </w:p>
    <w:p>
      <w:pPr>
        <w:spacing w:after="0" w:line="121" w:lineRule="exact"/>
        <w:rPr>
          <w:sz w:val="20"/>
          <w:szCs w:val="20"/>
          <w:color w:val="auto"/>
        </w:rPr>
      </w:pPr>
    </w:p>
    <w:p>
      <w:pPr>
        <w:ind w:left="380" w:right="339" w:hanging="330"/>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Registrant’s latest Annual Report on </w:t>
      </w:r>
      <w:hyperlink r:id="rId1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October 31, 2020, filed on December 21, 2020;</w:t>
      </w:r>
    </w:p>
    <w:p>
      <w:pPr>
        <w:spacing w:after="0" w:line="129" w:lineRule="exact"/>
        <w:rPr>
          <w:rFonts w:ascii="Arial" w:cs="Arial" w:eastAsia="Arial" w:hAnsi="Arial"/>
          <w:sz w:val="18"/>
          <w:szCs w:val="18"/>
          <w:color w:val="auto"/>
        </w:rPr>
      </w:pPr>
    </w:p>
    <w:p>
      <w:pPr>
        <w:ind w:left="380" w:hanging="33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Registrant’s Quarterly Reports on Form 10-Q filed with the SEC on </w:t>
      </w:r>
      <w:hyperlink r:id="rId15">
        <w:r>
          <w:rPr>
            <w:rFonts w:ascii="Arial" w:cs="Arial" w:eastAsia="Arial" w:hAnsi="Arial"/>
            <w:sz w:val="18"/>
            <w:szCs w:val="18"/>
            <w:u w:val="single" w:color="auto"/>
            <w:color w:val="0000EE"/>
          </w:rPr>
          <w:t>March 10,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6">
        <w:r>
          <w:rPr>
            <w:rFonts w:ascii="Arial" w:cs="Arial" w:eastAsia="Arial" w:hAnsi="Arial"/>
            <w:sz w:val="18"/>
            <w:szCs w:val="18"/>
            <w:u w:val="single" w:color="auto"/>
            <w:color w:val="0000EE"/>
          </w:rPr>
          <w:t>June 8, 2021</w:t>
        </w:r>
      </w:hyperlink>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380" w:right="159" w:hanging="330"/>
        <w:spacing w:after="0" w:line="277" w:lineRule="auto"/>
        <w:tabs>
          <w:tab w:leader="none" w:pos="380" w:val="left"/>
        </w:tabs>
        <w:numPr>
          <w:ilvl w:val="0"/>
          <w:numId w:val="3"/>
        </w:numPr>
        <w:rPr>
          <w:rFonts w:ascii="Arial" w:cs="Arial" w:eastAsia="Arial" w:hAnsi="Arial"/>
          <w:sz w:val="18"/>
          <w:szCs w:val="18"/>
          <w:color w:val="0000EE"/>
        </w:rPr>
      </w:pPr>
      <w:hyperlink r:id="rId17">
        <w:r>
          <w:rPr>
            <w:rFonts w:ascii="Arial" w:cs="Arial" w:eastAsia="Arial" w:hAnsi="Arial"/>
            <w:sz w:val="18"/>
            <w:szCs w:val="18"/>
            <w:color w:val="auto"/>
          </w:rPr>
          <w:t xml:space="preserve">The Registrant’s Current Reports on Form 8-K filed with the SEC on </w:t>
        </w:r>
        <w:r>
          <w:rPr>
            <w:rFonts w:ascii="Arial" w:cs="Arial" w:eastAsia="Arial" w:hAnsi="Arial"/>
            <w:sz w:val="18"/>
            <w:szCs w:val="18"/>
            <w:u w:val="single" w:color="auto"/>
            <w:color w:val="0000EE"/>
          </w:rPr>
          <w:t>January 28,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9,</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2021</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18">
        <w:r>
          <w:rPr>
            <w:rFonts w:ascii="Arial" w:cs="Arial" w:eastAsia="Arial" w:hAnsi="Arial"/>
            <w:sz w:val="18"/>
            <w:szCs w:val="18"/>
            <w:u w:val="single" w:color="auto"/>
            <w:color w:val="0000EE"/>
          </w:rPr>
          <w:t>April 26, 2021</w:t>
        </w:r>
      </w:hyperlink>
      <w:hyperlink r:id="rId17">
        <w:r>
          <w:rPr>
            <w:rFonts w:ascii="Arial" w:cs="Arial" w:eastAsia="Arial" w:hAnsi="Arial"/>
            <w:sz w:val="18"/>
            <w:szCs w:val="18"/>
            <w:color w:val="000000"/>
          </w:rPr>
          <w:t>; and</w:t>
        </w:r>
      </w:hyperlink>
    </w:p>
    <w:p>
      <w:pPr>
        <w:spacing w:after="0" w:line="129" w:lineRule="exact"/>
        <w:rPr>
          <w:rFonts w:ascii="Arial" w:cs="Arial" w:eastAsia="Arial" w:hAnsi="Arial"/>
          <w:sz w:val="18"/>
          <w:szCs w:val="18"/>
          <w:color w:val="0000EE"/>
        </w:rPr>
      </w:pPr>
    </w:p>
    <w:p>
      <w:pPr>
        <w:ind w:left="380" w:right="279" w:hanging="330"/>
        <w:spacing w:after="0" w:line="342"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description of the Registrant’s common stock contained in the registration statement on </w:t>
      </w:r>
      <w:hyperlink r:id="rId19">
        <w:r>
          <w:rPr>
            <w:rFonts w:ascii="Arial" w:cs="Arial" w:eastAsia="Arial" w:hAnsi="Arial"/>
            <w:sz w:val="16"/>
            <w:szCs w:val="16"/>
            <w:u w:val="single" w:color="auto"/>
            <w:color w:val="0000EE"/>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with the SEC on December 6, 2001, including any amendment or report filed for the purpose of updating that description.</w:t>
      </w:r>
    </w:p>
    <w:p>
      <w:pPr>
        <w:spacing w:after="0" w:line="83" w:lineRule="exact"/>
        <w:rPr>
          <w:rFonts w:ascii="Arial" w:cs="Arial" w:eastAsia="Arial" w:hAnsi="Arial"/>
          <w:sz w:val="18"/>
          <w:szCs w:val="18"/>
          <w:color w:val="0000EE"/>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addition, all documents subsequently filed by the Registrant pursuant to Sections 13(a), 13(c), 14 and 15(d) of the Exchange Act, after the date of this Registration Statement and prior to the filing of a post-effective amendment which indicates that all securities offered by this Registration Statement have been sold or which deregisters all such securities then remaining unsold, will be incorporated by reference into this Registration Statement from the date of filing of such documents.</w:t>
      </w:r>
    </w:p>
    <w:p>
      <w:pPr>
        <w:spacing w:after="0" w:line="161" w:lineRule="exact"/>
        <w:rPr>
          <w:rFonts w:ascii="Arial" w:cs="Arial" w:eastAsia="Arial" w:hAnsi="Arial"/>
          <w:sz w:val="18"/>
          <w:szCs w:val="18"/>
          <w:color w:val="0000EE"/>
        </w:rPr>
      </w:pPr>
    </w:p>
    <w:p>
      <w:pPr>
        <w:jc w:val="both"/>
        <w:ind w:left="60" w:right="59" w:firstLine="648"/>
        <w:spacing w:after="0" w:line="275"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72" w:lineRule="exact"/>
        <w:rPr>
          <w:rFonts w:ascii="Arial" w:cs="Arial" w:eastAsia="Arial" w:hAnsi="Arial"/>
          <w:sz w:val="18"/>
          <w:szCs w:val="18"/>
          <w:color w:val="0000EE"/>
        </w:rPr>
      </w:pPr>
    </w:p>
    <w:p>
      <w:pPr>
        <w:ind w:left="60"/>
        <w:spacing w:after="0"/>
        <w:rPr>
          <w:sz w:val="20"/>
          <w:szCs w:val="20"/>
          <w:color w:val="auto"/>
        </w:rPr>
      </w:pPr>
      <w:r>
        <w:rPr>
          <w:rFonts w:ascii="Arial" w:cs="Arial" w:eastAsia="Arial" w:hAnsi="Arial"/>
          <w:sz w:val="18"/>
          <w:szCs w:val="18"/>
          <w:b w:val="1"/>
          <w:bCs w:val="1"/>
          <w:color w:val="auto"/>
        </w:rPr>
        <w:t>Item 4. Description of Securities.</w:t>
      </w:r>
    </w:p>
    <w:p>
      <w:pPr>
        <w:spacing w:after="0" w:line="189" w:lineRule="exact"/>
        <w:rPr>
          <w:rFonts w:ascii="Arial" w:cs="Arial" w:eastAsia="Arial" w:hAnsi="Arial"/>
          <w:sz w:val="18"/>
          <w:szCs w:val="18"/>
          <w:color w:val="0000EE"/>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0000EE"/>
        </w:rPr>
      </w:pPr>
    </w:p>
    <w:p>
      <w:pPr>
        <w:ind w:left="60"/>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89" w:lineRule="exact"/>
        <w:rPr>
          <w:rFonts w:ascii="Arial" w:cs="Arial" w:eastAsia="Arial" w:hAnsi="Arial"/>
          <w:sz w:val="18"/>
          <w:szCs w:val="18"/>
          <w:color w:val="0000EE"/>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0000EE"/>
        </w:rPr>
      </w:pPr>
    </w:p>
    <w:p>
      <w:pPr>
        <w:ind w:left="6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02" w:lineRule="exact"/>
        <w:rPr>
          <w:rFonts w:ascii="Arial" w:cs="Arial" w:eastAsia="Arial" w:hAnsi="Arial"/>
          <w:sz w:val="18"/>
          <w:szCs w:val="18"/>
          <w:color w:val="0000EE"/>
        </w:rPr>
      </w:pPr>
    </w:p>
    <w:p>
      <w:pPr>
        <w:jc w:val="both"/>
        <w:ind w:left="60" w:right="59" w:firstLine="648"/>
        <w:spacing w:after="0" w:line="272" w:lineRule="auto"/>
        <w:rPr>
          <w:sz w:val="20"/>
          <w:szCs w:val="20"/>
          <w:color w:val="auto"/>
        </w:rPr>
      </w:pPr>
      <w:r>
        <w:rPr>
          <w:rFonts w:ascii="Arial" w:cs="Arial" w:eastAsia="Arial" w:hAnsi="Arial"/>
          <w:sz w:val="17"/>
          <w:szCs w:val="17"/>
          <w:color w:val="auto"/>
        </w:rPr>
        <w:t>Sections 204(a)(11) and 317 of the California General Corporation Law authorize the Registrant to indemnify, subject to the terms and conditions set forth therein, its directors, officers, employees and other agents against expenses, judgments, fines, settlements and other amounts that they may incur in connection with pending, threatened or completed legal actions or proceedings that are based upon their service as the Registrant’s directors, officers, employees or other agents or that are based upon their service as directors, officers, employees or other agents of certain other specified entities. The California General Corporation Law also provides that the Registrant is entitled to purchase indemnification insurance on behalf of any such director, officer, employee or agent.</w:t>
      </w:r>
    </w:p>
    <w:p>
      <w:pPr>
        <w:spacing w:after="0" w:line="137" w:lineRule="exact"/>
        <w:rPr>
          <w:rFonts w:ascii="Arial" w:cs="Arial" w:eastAsia="Arial" w:hAnsi="Arial"/>
          <w:sz w:val="18"/>
          <w:szCs w:val="18"/>
          <w:color w:val="0000EE"/>
        </w:rPr>
      </w:pPr>
    </w:p>
    <w:p>
      <w:pPr>
        <w:jc w:val="both"/>
        <w:ind w:left="60" w:right="59" w:firstLine="648"/>
        <w:spacing w:after="0" w:line="308" w:lineRule="auto"/>
        <w:rPr>
          <w:sz w:val="20"/>
          <w:szCs w:val="20"/>
          <w:color w:val="auto"/>
        </w:rPr>
      </w:pPr>
      <w:r>
        <w:rPr>
          <w:rFonts w:ascii="Arial" w:cs="Arial" w:eastAsia="Arial" w:hAnsi="Arial"/>
          <w:sz w:val="17"/>
          <w:szCs w:val="17"/>
          <w:color w:val="auto"/>
        </w:rPr>
        <w:t>Article VII of the Registrant’s amended and restated bylaws requires the indemnification by the Registrant of each of its directors to the maximum extent permitted by applicable law. Article VII of the Registrant’s amended and</w:t>
      </w:r>
    </w:p>
    <w:p>
      <w:pPr>
        <w:spacing w:after="0" w:line="362"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729" w:right="1440" w:bottom="1440" w:gutter="0" w:footer="0" w:header="0"/>
        </w:sectPr>
      </w:pPr>
    </w:p>
    <w:bookmarkStart w:id="3" w:name="page4"/>
    <w:bookmarkEnd w:id="3"/>
    <w:p>
      <w:pPr>
        <w:jc w:val="both"/>
        <w:ind w:left="60" w:right="59"/>
        <w:spacing w:after="0" w:line="342" w:lineRule="auto"/>
        <w:rPr>
          <w:sz w:val="20"/>
          <w:szCs w:val="20"/>
          <w:color w:val="auto"/>
        </w:rPr>
      </w:pPr>
      <w:r>
        <w:rPr>
          <w:rFonts w:ascii="Arial" w:cs="Arial" w:eastAsia="Arial" w:hAnsi="Arial"/>
          <w:sz w:val="16"/>
          <w:szCs w:val="16"/>
          <w:color w:val="auto"/>
        </w:rPr>
        <w:t>restated bylaws authorizes, but does not require, the Registrant to indemnify its officers, employees and other agents against the expenses, judgments, fines, settlements and other amounts that are described in the preceding paragraph.</w:t>
      </w:r>
    </w:p>
    <w:p>
      <w:pPr>
        <w:spacing w:after="0" w:line="83"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Article V of the Registrant’s articles of incorporation eliminates the personal liability of the Registrant’s directors for monetary damages for breach of their duties as directors to the fullest extent permitted under California law. Section 204(a)(10) of the California General Corporation Law provides that this provision does not eliminate the liability of a director for specified acts such as (i) acts or omissions that involve intentional misconduct or a knowing and culpable violation of law, (ii) acts or omissions that a director believes to be contrary to the best interests of the corporation or its shareholders or that involve the absence of good faith on the part of the director, (iii) any transaction from which the director derived an improper personal benefit, (iv) acts or omissions that show a reckless disregard for the director’s duty to the corporation or its shareholders in circumstances in which the director was aware, or should have been aware, in the ordinary course of performing his or her duties, of a risk of serious injury to the corporation or its shareholders, (v) acts or omissions that constitute an unexcused pattern of inattention that amounts to an abdication of the director’s duty to the corporation or its shareholders, (vi) under Section 310 of the California Corporations Code or (vii) under Section 316 of the California Corporations Code.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Exhibits.</w:t>
      </w:r>
    </w:p>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See the attached Exhibit Index on the page immediately following the signature pages hereto, which is incorporated herein by reference.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Undertakings.</w:t>
      </w:r>
    </w:p>
    <w:p>
      <w:pPr>
        <w:spacing w:after="0" w:line="189" w:lineRule="exact"/>
        <w:rPr>
          <w:sz w:val="20"/>
          <w:szCs w:val="20"/>
          <w:color w:val="auto"/>
        </w:rPr>
      </w:pPr>
    </w:p>
    <w:p>
      <w:pPr>
        <w:ind w:left="700" w:hanging="650"/>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84" w:lineRule="exact"/>
        <w:rPr>
          <w:rFonts w:ascii="Arial" w:cs="Arial" w:eastAsia="Arial" w:hAnsi="Arial"/>
          <w:sz w:val="18"/>
          <w:szCs w:val="18"/>
          <w:color w:val="auto"/>
        </w:rPr>
      </w:pPr>
    </w:p>
    <w:p>
      <w:pPr>
        <w:ind w:left="700" w:right="59" w:hanging="2"/>
        <w:spacing w:after="0" w:line="277" w:lineRule="auto"/>
        <w:tabs>
          <w:tab w:leader="none" w:pos="1348"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43" w:lineRule="exact"/>
        <w:rPr>
          <w:rFonts w:ascii="Arial" w:cs="Arial" w:eastAsia="Arial" w:hAnsi="Arial"/>
          <w:sz w:val="18"/>
          <w:szCs w:val="18"/>
          <w:color w:val="auto"/>
        </w:rPr>
      </w:pPr>
    </w:p>
    <w:p>
      <w:pPr>
        <w:ind w:left="2000" w:hanging="654"/>
        <w:spacing w:after="0"/>
        <w:tabs>
          <w:tab w:leader="none" w:pos="200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84" w:lineRule="exact"/>
        <w:rPr>
          <w:rFonts w:ascii="Arial" w:cs="Arial" w:eastAsia="Arial" w:hAnsi="Arial"/>
          <w:sz w:val="18"/>
          <w:szCs w:val="18"/>
          <w:color w:val="auto"/>
        </w:rPr>
      </w:pPr>
    </w:p>
    <w:p>
      <w:pPr>
        <w:jc w:val="both"/>
        <w:ind w:left="1340" w:right="59" w:firstLine="6"/>
        <w:spacing w:after="0" w:line="289" w:lineRule="auto"/>
        <w:tabs>
          <w:tab w:leader="none" w:pos="1988" w:val="left"/>
        </w:tabs>
        <w:numPr>
          <w:ilvl w:val="2"/>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25" w:lineRule="exact"/>
        <w:rPr>
          <w:rFonts w:ascii="Arial" w:cs="Arial" w:eastAsia="Arial" w:hAnsi="Arial"/>
          <w:sz w:val="16"/>
          <w:szCs w:val="16"/>
          <w:color w:val="auto"/>
        </w:rPr>
      </w:pPr>
    </w:p>
    <w:p>
      <w:pPr>
        <w:jc w:val="both"/>
        <w:ind w:left="1340" w:right="59" w:firstLine="6"/>
        <w:spacing w:after="0" w:line="263" w:lineRule="auto"/>
        <w:tabs>
          <w:tab w:leader="none" w:pos="1988"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185" w:lineRule="exact"/>
        <w:rPr>
          <w:sz w:val="20"/>
          <w:szCs w:val="20"/>
          <w:color w:val="auto"/>
        </w:rPr>
      </w:pPr>
    </w:p>
    <w:p>
      <w:pPr>
        <w:ind w:left="700" w:right="59"/>
        <w:spacing w:after="0" w:line="308" w:lineRule="auto"/>
        <w:rPr>
          <w:sz w:val="20"/>
          <w:szCs w:val="20"/>
          <w:color w:val="auto"/>
        </w:rPr>
      </w:pPr>
      <w:r>
        <w:rPr>
          <w:rFonts w:ascii="Arial" w:cs="Arial" w:eastAsia="Arial" w:hAnsi="Arial"/>
          <w:sz w:val="17"/>
          <w:szCs w:val="17"/>
          <w:color w:val="auto"/>
        </w:rPr>
        <w:t>paragraphs (a)(1)(i) and (a)(1)(ii) do not apply if the information required to be included in a post-effective amendment by those paragraphs is contained in reports filed with or furnished to the Commission by the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4" w:name="page5"/>
    <w:bookmarkEnd w:id="4"/>
    <w:p>
      <w:pPr>
        <w:ind w:left="700" w:right="59"/>
        <w:spacing w:after="0" w:line="277" w:lineRule="auto"/>
        <w:rPr>
          <w:sz w:val="20"/>
          <w:szCs w:val="20"/>
          <w:color w:val="auto"/>
        </w:rPr>
      </w:pPr>
      <w:r>
        <w:rPr>
          <w:rFonts w:ascii="Arial" w:cs="Arial" w:eastAsia="Arial" w:hAnsi="Arial"/>
          <w:sz w:val="18"/>
          <w:szCs w:val="18"/>
          <w:color w:val="auto"/>
        </w:rPr>
        <w:t>Registrant pursuant to Section 13 or Section 15(d) of the Exchange Act that are incorporated by reference in this Registration Statement.</w:t>
      </w:r>
    </w:p>
    <w:p>
      <w:pPr>
        <w:spacing w:after="0" w:line="130" w:lineRule="exact"/>
        <w:rPr>
          <w:sz w:val="20"/>
          <w:szCs w:val="20"/>
          <w:color w:val="auto"/>
        </w:rPr>
      </w:pPr>
    </w:p>
    <w:p>
      <w:pPr>
        <w:jc w:val="both"/>
        <w:ind w:left="1680" w:right="79" w:hanging="658"/>
        <w:spacing w:after="0" w:line="259" w:lineRule="auto"/>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46" w:lineRule="exact"/>
        <w:rPr>
          <w:rFonts w:ascii="Arial" w:cs="Arial" w:eastAsia="Arial" w:hAnsi="Arial"/>
          <w:sz w:val="18"/>
          <w:szCs w:val="18"/>
          <w:color w:val="auto"/>
        </w:rPr>
      </w:pPr>
    </w:p>
    <w:p>
      <w:pPr>
        <w:ind w:left="1680" w:right="79" w:hanging="658"/>
        <w:spacing w:after="0" w:line="277" w:lineRule="auto"/>
        <w:tabs>
          <w:tab w:leader="none" w:pos="1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43" w:lineRule="exact"/>
        <w:rPr>
          <w:rFonts w:ascii="Arial" w:cs="Arial" w:eastAsia="Arial" w:hAnsi="Arial"/>
          <w:sz w:val="18"/>
          <w:szCs w:val="18"/>
          <w:color w:val="auto"/>
        </w:rPr>
      </w:pPr>
    </w:p>
    <w:p>
      <w:pPr>
        <w:jc w:val="both"/>
        <w:ind w:left="60" w:right="59" w:hanging="10"/>
        <w:spacing w:after="0" w:line="255" w:lineRule="auto"/>
        <w:tabs>
          <w:tab w:leader="none" w:pos="70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51" w:lineRule="exact"/>
        <w:rPr>
          <w:rFonts w:ascii="Arial" w:cs="Arial" w:eastAsia="Arial" w:hAnsi="Arial"/>
          <w:sz w:val="18"/>
          <w:szCs w:val="18"/>
          <w:color w:val="auto"/>
        </w:rPr>
      </w:pPr>
    </w:p>
    <w:p>
      <w:pPr>
        <w:jc w:val="both"/>
        <w:ind w:left="60" w:right="59" w:hanging="10"/>
        <w:spacing w:after="0" w:line="269" w:lineRule="auto"/>
        <w:tabs>
          <w:tab w:leader="none" w:pos="708"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9019"/>
          </w:cols>
          <w:pgMar w:left="1440" w:top="729" w:right="1440" w:bottom="1440" w:gutter="0" w:footer="0" w:header="0"/>
        </w:sectPr>
      </w:pP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7"/>
          </w:tcPr>
          <w:p>
            <w:pPr>
              <w:ind w:left="1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920" w:type="dxa"/>
            <w:vAlign w:val="bottom"/>
          </w:tcPr>
          <w:p>
            <w:pPr>
              <w:jc w:val="right"/>
              <w:spacing w:after="0" w:line="169" w:lineRule="exact"/>
              <w:rPr>
                <w:sz w:val="20"/>
                <w:szCs w:val="20"/>
                <w:color w:val="auto"/>
              </w:rPr>
            </w:pPr>
            <w:r>
              <w:rPr>
                <w:rFonts w:ascii="Arial" w:cs="Arial" w:eastAsia="Arial" w:hAnsi="Arial"/>
                <w:sz w:val="18"/>
                <w:szCs w:val="18"/>
                <w:color w:val="auto"/>
              </w:rPr>
              <w:t>4.1(a)</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gridSpan w:val="8"/>
          </w:tcPr>
          <w:p>
            <w:pPr>
              <w:spacing w:after="0" w:line="169"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Articles of Incorporation of Calavo Growers, Inc.</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4.1(b)</w:t>
            </w:r>
          </w:p>
        </w:tc>
        <w:tc>
          <w:tcPr>
            <w:tcW w:w="160" w:type="dxa"/>
            <w:vAlign w:val="bottom"/>
          </w:tcPr>
          <w:p>
            <w:pPr>
              <w:spacing w:after="0"/>
              <w:rPr>
                <w:sz w:val="24"/>
                <w:szCs w:val="24"/>
                <w:color w:val="auto"/>
              </w:rPr>
            </w:pPr>
          </w:p>
        </w:tc>
        <w:tc>
          <w:tcPr>
            <w:tcW w:w="3840" w:type="dxa"/>
            <w:vAlign w:val="bottom"/>
            <w:gridSpan w:val="9"/>
          </w:tcPr>
          <w:p>
            <w:pPr>
              <w:spacing w:after="0"/>
              <w:rPr>
                <w:rFonts w:ascii="Arial" w:cs="Arial" w:eastAsia="Arial" w:hAnsi="Arial"/>
                <w:sz w:val="18"/>
                <w:szCs w:val="18"/>
                <w:color w:val="0000EE"/>
                <w:w w:val="94"/>
              </w:rPr>
            </w:pPr>
            <w:hyperlink r:id="rId23">
              <w:r>
                <w:rPr>
                  <w:rFonts w:ascii="Arial" w:cs="Arial" w:eastAsia="Arial" w:hAnsi="Arial"/>
                  <w:sz w:val="18"/>
                  <w:szCs w:val="18"/>
                  <w:color w:val="0000EE"/>
                  <w:w w:val="94"/>
                </w:rPr>
                <w:t>Amendments to Articles of Incorporation or Bylaws</w:t>
              </w:r>
            </w:hyperlink>
          </w:p>
        </w:tc>
        <w:tc>
          <w:tcPr>
            <w:tcW w:w="0" w:type="dxa"/>
            <w:vAlign w:val="bottom"/>
          </w:tcPr>
          <w:p>
            <w:pPr>
              <w:spacing w:after="0"/>
              <w:rPr>
                <w:sz w:val="1"/>
                <w:szCs w:val="1"/>
                <w:color w:val="auto"/>
              </w:rPr>
            </w:pPr>
          </w:p>
        </w:tc>
      </w:tr>
      <w:tr>
        <w:trPr>
          <w:trHeight w:val="196"/>
        </w:trPr>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of Calavo Growers, Inc.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3820" w:type="dxa"/>
            <w:vAlign w:val="bottom"/>
            <w:tcBorders>
              <w:bottom w:val="single" w:sz="8" w:color="0000EE"/>
            </w:tcBorders>
            <w:gridSpan w:val="8"/>
          </w:tcPr>
          <w:p>
            <w:pPr>
              <w:spacing w:after="0"/>
              <w:rPr>
                <w:rFonts w:ascii="Arial" w:cs="Arial" w:eastAsia="Arial" w:hAnsi="Arial"/>
                <w:sz w:val="18"/>
                <w:szCs w:val="18"/>
                <w:color w:val="0000EE"/>
                <w:w w:val="99"/>
              </w:rPr>
            </w:pPr>
            <w:hyperlink r:id="rId24">
              <w:r>
                <w:rPr>
                  <w:rFonts w:ascii="Arial" w:cs="Arial" w:eastAsia="Arial" w:hAnsi="Arial"/>
                  <w:sz w:val="18"/>
                  <w:szCs w:val="18"/>
                  <w:color w:val="0000EE"/>
                  <w:w w:val="99"/>
                </w:rPr>
                <w:t>Amended   and   Restated   Bylaws   of   Calavo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3840" w:type="dxa"/>
            <w:vAlign w:val="bottom"/>
            <w:gridSpan w:val="9"/>
            <w:vMerge w:val="restart"/>
          </w:tcPr>
          <w:p>
            <w:pPr>
              <w:spacing w:after="0" w:line="196" w:lineRule="exact"/>
              <w:rPr>
                <w:rFonts w:ascii="Arial" w:cs="Arial" w:eastAsia="Arial" w:hAnsi="Arial"/>
                <w:sz w:val="18"/>
                <w:szCs w:val="18"/>
                <w:color w:val="0000EE"/>
                <w:w w:val="95"/>
              </w:rPr>
            </w:pPr>
            <w:hyperlink r:id="rId24">
              <w:r>
                <w:rPr>
                  <w:rFonts w:ascii="Arial" w:cs="Arial" w:eastAsia="Arial" w:hAnsi="Arial"/>
                  <w:sz w:val="18"/>
                  <w:szCs w:val="18"/>
                  <w:color w:val="0000EE"/>
                  <w:w w:val="95"/>
                </w:rPr>
                <w:t>Growers, Inc., effective as of September 25, 2014</w:t>
              </w:r>
              <w:r>
                <w:rPr>
                  <w:rFonts w:ascii="Arial" w:cs="Arial" w:eastAsia="Arial" w:hAnsi="Arial"/>
                  <w:sz w:val="18"/>
                  <w:szCs w:val="18"/>
                  <w:color w:val="000000"/>
                  <w:w w:val="95"/>
                </w:rPr>
                <w:t>.</w:t>
              </w:r>
            </w:hyperlink>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4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74"/>
        </w:trPr>
        <w:tc>
          <w:tcPr>
            <w:tcW w:w="920" w:type="dxa"/>
            <w:vAlign w:val="bottom"/>
          </w:tcPr>
          <w:p>
            <w:pPr>
              <w:jc w:val="right"/>
              <w:spacing w:after="0"/>
              <w:rPr>
                <w:sz w:val="20"/>
                <w:szCs w:val="20"/>
                <w:color w:val="auto"/>
              </w:rPr>
            </w:pPr>
            <w:r>
              <w:rPr>
                <w:rFonts w:ascii="Arial" w:cs="Arial" w:eastAsia="Arial" w:hAnsi="Arial"/>
                <w:sz w:val="18"/>
                <w:szCs w:val="18"/>
                <w:color w:val="auto"/>
              </w:rPr>
              <w:t>4.3(a)</w:t>
            </w:r>
          </w:p>
        </w:tc>
        <w:tc>
          <w:tcPr>
            <w:tcW w:w="160" w:type="dxa"/>
            <w:vAlign w:val="bottom"/>
          </w:tcPr>
          <w:p>
            <w:pPr>
              <w:spacing w:after="0"/>
              <w:rPr>
                <w:sz w:val="24"/>
                <w:szCs w:val="24"/>
                <w:color w:val="auto"/>
              </w:rPr>
            </w:pPr>
          </w:p>
        </w:tc>
        <w:tc>
          <w:tcPr>
            <w:tcW w:w="19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r:id="rId25">
              <w:r>
                <w:rPr>
                  <w:rFonts w:ascii="Arial" w:cs="Arial" w:eastAsia="Arial" w:hAnsi="Arial"/>
                  <w:sz w:val="18"/>
                  <w:szCs w:val="18"/>
                  <w:color w:val="0000EE"/>
                  <w:w w:val="91"/>
                </w:rPr>
                <w:t>2020 Equity Incentive Plan</w:t>
              </w:r>
            </w:hyperlink>
          </w:p>
        </w:tc>
        <w:tc>
          <w:tcPr>
            <w:tcW w:w="1620" w:type="dxa"/>
            <w:vAlign w:val="bottom"/>
            <w:tcBorders>
              <w:top w:val="single" w:sz="8" w:color="0000EE"/>
            </w:tcBorders>
            <w:gridSpan w:val="3"/>
          </w:tcPr>
          <w:p>
            <w:pPr>
              <w:spacing w:after="0"/>
              <w:rPr>
                <w:sz w:val="24"/>
                <w:szCs w:val="24"/>
                <w:color w:val="auto"/>
              </w:rPr>
            </w:pPr>
          </w:p>
        </w:tc>
        <w:tc>
          <w:tcPr>
            <w:tcW w:w="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4"/>
                <w:szCs w:val="24"/>
                <w:color w:val="auto"/>
              </w:rPr>
            </w:pPr>
          </w:p>
        </w:tc>
        <w:tc>
          <w:tcPr>
            <w:tcW w:w="382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11">
              <w:r>
                <w:rPr>
                  <w:rFonts w:ascii="Arial" w:cs="Arial" w:eastAsia="Arial" w:hAnsi="Arial"/>
                  <w:sz w:val="18"/>
                  <w:szCs w:val="18"/>
                  <w:color w:val="0000EE"/>
                  <w:w w:val="98"/>
                </w:rPr>
                <w:t>Opinion of Sheppard, Mullin, Richter &amp; Hampton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LLP</w:t>
              </w:r>
            </w:hyperlink>
          </w:p>
        </w:tc>
        <w:tc>
          <w:tcPr>
            <w:tcW w:w="35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1"/>
                <w:szCs w:val="21"/>
                <w:color w:val="auto"/>
              </w:rPr>
            </w:pPr>
          </w:p>
        </w:tc>
        <w:tc>
          <w:tcPr>
            <w:tcW w:w="3840" w:type="dxa"/>
            <w:vAlign w:val="bottom"/>
            <w:gridSpan w:val="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Consent of Deloitte &amp; Touche LLP</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21"/>
                <w:szCs w:val="21"/>
                <w:color w:val="auto"/>
              </w:rPr>
            </w:pPr>
          </w:p>
        </w:tc>
        <w:tc>
          <w:tcPr>
            <w:tcW w:w="382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11">
              <w:r>
                <w:rPr>
                  <w:rFonts w:ascii="Arial" w:cs="Arial" w:eastAsia="Arial" w:hAnsi="Arial"/>
                  <w:sz w:val="18"/>
                  <w:szCs w:val="18"/>
                  <w:color w:val="0000EE"/>
                  <w:w w:val="97"/>
                </w:rPr>
                <w:t>Consent of Sheppard, Mullin, Richter &amp; Hampton</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LLP</w:t>
              </w:r>
            </w:hyperlink>
          </w:p>
        </w:tc>
        <w:tc>
          <w:tcPr>
            <w:tcW w:w="35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92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4"/>
                <w:szCs w:val="24"/>
                <w:color w:val="auto"/>
              </w:rPr>
            </w:pPr>
          </w:p>
        </w:tc>
        <w:tc>
          <w:tcPr>
            <w:tcW w:w="3840" w:type="dxa"/>
            <w:vAlign w:val="bottom"/>
            <w:gridSpan w:val="9"/>
          </w:tcPr>
          <w:p>
            <w:pPr>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425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47" w:lineRule="exact"/>
        <w:rPr>
          <w:sz w:val="20"/>
          <w:szCs w:val="20"/>
          <w:color w:val="auto"/>
        </w:rPr>
      </w:pPr>
    </w:p>
    <w:p>
      <w:pPr>
        <w:jc w:val="both"/>
        <w:ind w:right="79"/>
        <w:spacing w:after="0" w:line="263" w:lineRule="auto"/>
        <w:rPr>
          <w:sz w:val="20"/>
          <w:szCs w:val="20"/>
          <w:color w:val="auto"/>
        </w:rPr>
      </w:pPr>
      <w:r>
        <w:rPr>
          <w:rFonts w:ascii="Arial" w:cs="Arial" w:eastAsia="Arial" w:hAnsi="Arial"/>
          <w:sz w:val="18"/>
          <w:szCs w:val="18"/>
          <w:color w:val="auto"/>
        </w:rPr>
        <w:t>Previously filed on March 30, 2011 as an exhibit to the Registrant’s Report on Form 8-K and incorporated herein by reference.</w:t>
      </w:r>
    </w:p>
    <w:p>
      <w:pPr>
        <w:spacing w:after="0" w:line="22" w:lineRule="exact"/>
        <w:rPr>
          <w:sz w:val="20"/>
          <w:szCs w:val="20"/>
          <w:color w:val="auto"/>
        </w:rPr>
      </w:pPr>
    </w:p>
    <w:p>
      <w:pPr>
        <w:jc w:val="both"/>
        <w:ind w:right="79"/>
        <w:spacing w:after="0" w:line="263" w:lineRule="auto"/>
        <w:rPr>
          <w:sz w:val="20"/>
          <w:szCs w:val="20"/>
          <w:color w:val="auto"/>
        </w:rPr>
      </w:pPr>
      <w:r>
        <w:rPr>
          <w:rFonts w:ascii="Arial" w:cs="Arial" w:eastAsia="Arial" w:hAnsi="Arial"/>
          <w:sz w:val="18"/>
          <w:szCs w:val="18"/>
          <w:color w:val="auto"/>
        </w:rPr>
        <w:t>Previously filed on September 30, 2014 as an exhibit to the Registrant’s Report on Form 8-K and incorporated herein by reference.</w:t>
      </w:r>
    </w:p>
    <w:p>
      <w:pPr>
        <w:spacing w:after="0" w:line="22" w:lineRule="exact"/>
        <w:rPr>
          <w:sz w:val="20"/>
          <w:szCs w:val="20"/>
          <w:color w:val="auto"/>
        </w:rPr>
      </w:pPr>
    </w:p>
    <w:p>
      <w:pPr>
        <w:jc w:val="both"/>
        <w:ind w:right="59"/>
        <w:spacing w:after="0" w:line="263" w:lineRule="auto"/>
        <w:rPr>
          <w:sz w:val="20"/>
          <w:szCs w:val="20"/>
          <w:color w:val="auto"/>
        </w:rPr>
      </w:pPr>
      <w:r>
        <w:rPr>
          <w:rFonts w:ascii="Arial" w:cs="Arial" w:eastAsia="Arial" w:hAnsi="Arial"/>
          <w:sz w:val="18"/>
          <w:szCs w:val="18"/>
          <w:color w:val="auto"/>
        </w:rPr>
        <w:t>Previously filed on June 8, 2021 as an exhibit the Registrant’s Report on Form 10-Q and incorporated herein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Included in Exhibit 5.1 filed herewith</w:t>
      </w:r>
    </w:p>
    <w:p>
      <w:pPr>
        <w:spacing w:after="0" w:line="171" w:lineRule="exact"/>
        <w:rPr>
          <w:sz w:val="20"/>
          <w:szCs w:val="20"/>
          <w:color w:val="auto"/>
        </w:rPr>
      </w:pPr>
    </w:p>
    <w:p>
      <w:pPr>
        <w:jc w:val="both"/>
        <w:ind w:right="79"/>
        <w:spacing w:after="0" w:line="277" w:lineRule="auto"/>
        <w:rPr>
          <w:sz w:val="20"/>
          <w:szCs w:val="20"/>
          <w:color w:val="auto"/>
        </w:rPr>
      </w:pPr>
      <w:r>
        <w:rPr>
          <w:rFonts w:ascii="Arial" w:cs="Arial" w:eastAsia="Arial" w:hAnsi="Arial"/>
          <w:sz w:val="18"/>
          <w:szCs w:val="18"/>
          <w:color w:val="auto"/>
        </w:rPr>
        <w:t>Included as part of the signature page to this Registration Statement filed herewith</w:t>
      </w:r>
    </w:p>
    <w:p>
      <w:pPr>
        <w:spacing w:after="0" w:line="200" w:lineRule="exact"/>
        <w:rPr>
          <w:sz w:val="20"/>
          <w:szCs w:val="20"/>
          <w:color w:val="auto"/>
        </w:rPr>
      </w:pPr>
    </w:p>
    <w:p>
      <w:pPr>
        <w:sectPr>
          <w:pgSz w:w="11900" w:h="16838" w:orient="portrait"/>
          <w:cols w:equalWidth="0" w:num="2">
            <w:col w:w="4980" w:space="160"/>
            <w:col w:w="3879"/>
          </w:cols>
          <w:pgMar w:left="1440" w:top="72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729" w:right="1440"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Santa Paula, State of California, on the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of June, 2021.</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CALAVO GROWERS, INC.</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26149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James Gibson</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Each person whose signature appears below hereby constitutes and appoints Kevin Manion or Joel Silva, or either of them, as his or her true and lawful attorney-in-fact and agent, with full power of substitution, for him or her in any and all capacities, to sign: (1) this Registration Statement on Form S-8 under the Securities Act of 1933, as amended (the “Securities Act”), in connection with the registration under the Securities Act of shares of common stock of the Registrant to be issued in connection with the 2020 Equity Incentive Plan; and (2) any one or more amendments to any part of the foregoing Registration Statement, including any post-effective amendments, or appendices or supplements that may be required to be filed under the Securities Act to keep such Registration Statement effective or to terminate its effectiveness; and/or to file the same, with all exhibits thereto and other documents in connection therewith, with the Securities and Exchange Commission, granting unto said attorney-in-fact and agent, with full power to act alone, full power and authority to do and perform each and every act and thing requisite and necessary to be done in connection therewith, as fully for all intents and purposes as he or she might or could do in person, hereby ratifying and confirming all that said attorney-in-fact and agent, or his or her substitute or substitutes, may lawfully do or cause to be done by virtue hereof.</w:t>
      </w:r>
    </w:p>
    <w:p>
      <w:pPr>
        <w:spacing w:after="0" w:line="127"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0" w:type="dxa"/>
            <w:vAlign w:val="bottom"/>
          </w:tcPr>
          <w:p>
            <w:pPr>
              <w:spacing w:after="0"/>
              <w:rPr>
                <w:sz w:val="16"/>
                <w:szCs w:val="16"/>
                <w:color w:val="auto"/>
              </w:rPr>
            </w:pPr>
          </w:p>
        </w:tc>
        <w:tc>
          <w:tcPr>
            <w:tcW w:w="3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Title</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23"/>
        </w:trPr>
        <w:tc>
          <w:tcPr>
            <w:tcW w:w="2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6"/>
              </w:rPr>
              <w:t>/s/ James Gibson</w:t>
            </w:r>
          </w:p>
        </w:tc>
        <w:tc>
          <w:tcPr>
            <w:tcW w:w="160" w:type="dxa"/>
            <w:vAlign w:val="bottom"/>
          </w:tcPr>
          <w:p>
            <w:pPr>
              <w:spacing w:after="0"/>
              <w:rPr>
                <w:sz w:val="19"/>
                <w:szCs w:val="19"/>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Chief Executive Officer,</w:t>
            </w:r>
          </w:p>
        </w:tc>
        <w:tc>
          <w:tcPr>
            <w:tcW w:w="18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June 10, 2021</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86"/>
              </w:rPr>
              <w:t>James Gibson</w:t>
            </w:r>
          </w:p>
        </w:tc>
        <w:tc>
          <w:tcPr>
            <w:tcW w:w="160" w:type="dxa"/>
            <w:vAlign w:val="bottom"/>
          </w:tcPr>
          <w:p>
            <w:pPr>
              <w:spacing w:after="0"/>
              <w:rPr>
                <w:sz w:val="19"/>
                <w:szCs w:val="19"/>
                <w:color w:val="auto"/>
              </w:rPr>
            </w:pPr>
          </w:p>
        </w:tc>
        <w:tc>
          <w:tcPr>
            <w:tcW w:w="30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p>
        </w:tc>
        <w:tc>
          <w:tcPr>
            <w:tcW w:w="2840" w:type="dxa"/>
            <w:vAlign w:val="bottom"/>
          </w:tcPr>
          <w:p>
            <w:pPr>
              <w:spacing w:after="0"/>
              <w:rPr>
                <w:sz w:val="19"/>
                <w:szCs w:val="19"/>
                <w:color w:val="auto"/>
              </w:rPr>
            </w:pPr>
          </w:p>
        </w:tc>
      </w:tr>
      <w:tr>
        <w:trPr>
          <w:trHeight w:val="425"/>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Kevin Manion</w:t>
            </w:r>
          </w:p>
        </w:tc>
        <w:tc>
          <w:tcPr>
            <w:tcW w:w="160" w:type="dxa"/>
            <w:vAlign w:val="bottom"/>
          </w:tcPr>
          <w:p>
            <w:pPr>
              <w:spacing w:after="0"/>
              <w:rPr>
                <w:sz w:val="24"/>
                <w:szCs w:val="24"/>
                <w:color w:val="auto"/>
              </w:rPr>
            </w:pPr>
          </w:p>
        </w:tc>
        <w:tc>
          <w:tcPr>
            <w:tcW w:w="30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Chief Financial Officer,</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June 10, 2021</w:t>
            </w:r>
          </w:p>
        </w:tc>
      </w:tr>
      <w:tr>
        <w:trPr>
          <w:trHeight w:val="230"/>
        </w:trPr>
        <w:tc>
          <w:tcPr>
            <w:tcW w:w="2860" w:type="dxa"/>
            <w:vAlign w:val="bottom"/>
          </w:tcPr>
          <w:p>
            <w:pPr>
              <w:jc w:val="center"/>
              <w:spacing w:after="0"/>
              <w:rPr>
                <w:sz w:val="20"/>
                <w:szCs w:val="20"/>
                <w:color w:val="auto"/>
              </w:rPr>
            </w:pPr>
            <w:r>
              <w:rPr>
                <w:rFonts w:ascii="Arial" w:cs="Arial" w:eastAsia="Arial" w:hAnsi="Arial"/>
                <w:sz w:val="18"/>
                <w:szCs w:val="18"/>
                <w:color w:val="auto"/>
                <w:w w:val="95"/>
              </w:rPr>
              <w:t>Kevin Manion</w:t>
            </w:r>
          </w:p>
        </w:tc>
        <w:tc>
          <w:tcPr>
            <w:tcW w:w="160" w:type="dxa"/>
            <w:vAlign w:val="bottom"/>
          </w:tcPr>
          <w:p>
            <w:pPr>
              <w:spacing w:after="0"/>
              <w:rPr>
                <w:sz w:val="20"/>
                <w:szCs w:val="20"/>
                <w:color w:val="auto"/>
              </w:rPr>
            </w:pPr>
          </w:p>
        </w:tc>
        <w:tc>
          <w:tcPr>
            <w:tcW w:w="3040" w:type="dxa"/>
            <w:vAlign w:val="bottom"/>
            <w:gridSpan w:val="2"/>
          </w:tcPr>
          <w:p>
            <w:pPr>
              <w:jc w:val="center"/>
              <w:ind w:right="180"/>
              <w:spacing w:after="0"/>
              <w:rPr>
                <w:sz w:val="20"/>
                <w:szCs w:val="20"/>
                <w:color w:val="auto"/>
              </w:rPr>
            </w:pPr>
            <w:r>
              <w:rPr>
                <w:rFonts w:ascii="Arial" w:cs="Arial" w:eastAsia="Arial" w:hAnsi="Arial"/>
                <w:sz w:val="18"/>
                <w:szCs w:val="18"/>
                <w:i w:val="1"/>
                <w:iCs w:val="1"/>
                <w:color w:val="auto"/>
                <w:w w:val="97"/>
              </w:rPr>
              <w:t>(Principal Financial Officer)</w:t>
            </w:r>
          </w:p>
        </w:tc>
        <w:tc>
          <w:tcPr>
            <w:tcW w:w="2840" w:type="dxa"/>
            <w:vAlign w:val="bottom"/>
          </w:tcPr>
          <w:p>
            <w:pPr>
              <w:spacing w:after="0"/>
              <w:rPr>
                <w:sz w:val="20"/>
                <w:szCs w:val="20"/>
                <w:color w:val="auto"/>
              </w:rPr>
            </w:pPr>
          </w:p>
        </w:tc>
      </w:tr>
      <w:tr>
        <w:trPr>
          <w:trHeight w:val="403"/>
        </w:trPr>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Corporate Controller and Corporate</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June 10, 2021</w:t>
            </w:r>
          </w:p>
        </w:tc>
      </w:tr>
      <w:tr>
        <w:trPr>
          <w:trHeight w:val="230"/>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Joel Silva</w:t>
            </w:r>
          </w:p>
        </w:tc>
        <w:tc>
          <w:tcPr>
            <w:tcW w:w="160" w:type="dxa"/>
            <w:vAlign w:val="bottom"/>
          </w:tcPr>
          <w:p>
            <w:pPr>
              <w:spacing w:after="0"/>
              <w:rPr>
                <w:sz w:val="20"/>
                <w:szCs w:val="20"/>
                <w:color w:val="auto"/>
              </w:rPr>
            </w:pPr>
          </w:p>
        </w:tc>
        <w:tc>
          <w:tcPr>
            <w:tcW w:w="30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Secretary</w:t>
            </w:r>
          </w:p>
        </w:tc>
        <w:tc>
          <w:tcPr>
            <w:tcW w:w="2840" w:type="dxa"/>
            <w:vAlign w:val="bottom"/>
          </w:tcPr>
          <w:p>
            <w:pPr>
              <w:spacing w:after="0"/>
              <w:rPr>
                <w:sz w:val="20"/>
                <w:szCs w:val="20"/>
                <w:color w:val="auto"/>
              </w:rPr>
            </w:pP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3"/>
              </w:rPr>
              <w:t>Joel Silva</w:t>
            </w:r>
          </w:p>
        </w:tc>
        <w:tc>
          <w:tcPr>
            <w:tcW w:w="160" w:type="dxa"/>
            <w:vAlign w:val="bottom"/>
          </w:tcPr>
          <w:p>
            <w:pPr>
              <w:spacing w:after="0"/>
              <w:rPr>
                <w:sz w:val="19"/>
                <w:szCs w:val="19"/>
                <w:color w:val="auto"/>
              </w:rPr>
            </w:pPr>
          </w:p>
        </w:tc>
        <w:tc>
          <w:tcPr>
            <w:tcW w:w="30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(Principal Accounting Officer)</w:t>
            </w:r>
          </w:p>
        </w:tc>
        <w:tc>
          <w:tcPr>
            <w:tcW w:w="284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 Link Leavens</w:t>
            </w:r>
          </w:p>
        </w:tc>
        <w:tc>
          <w:tcPr>
            <w:tcW w:w="160" w:type="dxa"/>
            <w:vAlign w:val="bottom"/>
          </w:tcPr>
          <w:p>
            <w:pPr>
              <w:spacing w:after="0"/>
              <w:rPr>
                <w:sz w:val="24"/>
                <w:szCs w:val="24"/>
                <w:color w:val="auto"/>
              </w:rPr>
            </w:pPr>
          </w:p>
        </w:tc>
        <w:tc>
          <w:tcPr>
            <w:tcW w:w="30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Chairman of the Board of Directors</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June 10, 2021</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2"/>
              </w:rPr>
              <w:t>J. Link Leavens</w:t>
            </w:r>
          </w:p>
        </w:tc>
        <w:tc>
          <w:tcPr>
            <w:tcW w:w="1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M. Hunt</w:t>
            </w:r>
          </w:p>
        </w:tc>
        <w:tc>
          <w:tcPr>
            <w:tcW w:w="160" w:type="dxa"/>
            <w:vAlign w:val="bottom"/>
          </w:tcPr>
          <w:p>
            <w:pPr>
              <w:spacing w:after="0"/>
              <w:rPr>
                <w:sz w:val="24"/>
                <w:szCs w:val="24"/>
                <w:color w:val="auto"/>
              </w:rPr>
            </w:pPr>
          </w:p>
        </w:tc>
        <w:tc>
          <w:tcPr>
            <w:tcW w:w="3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June 10, 2021</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3"/>
              </w:rPr>
              <w:t>John M. Hunt</w:t>
            </w:r>
          </w:p>
        </w:tc>
        <w:tc>
          <w:tcPr>
            <w:tcW w:w="1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Michael A. DiGregorio</w:t>
            </w:r>
          </w:p>
        </w:tc>
        <w:tc>
          <w:tcPr>
            <w:tcW w:w="160" w:type="dxa"/>
            <w:vAlign w:val="bottom"/>
          </w:tcPr>
          <w:p>
            <w:pPr>
              <w:spacing w:after="0"/>
              <w:rPr>
                <w:sz w:val="24"/>
                <w:szCs w:val="24"/>
                <w:color w:val="auto"/>
              </w:rPr>
            </w:pPr>
          </w:p>
        </w:tc>
        <w:tc>
          <w:tcPr>
            <w:tcW w:w="3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June 10, 2021</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5"/>
              </w:rPr>
              <w:t>Michael A. DiGregorio</w:t>
            </w:r>
          </w:p>
        </w:tc>
        <w:tc>
          <w:tcPr>
            <w:tcW w:w="1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Donald M. Sanders</w:t>
            </w:r>
          </w:p>
        </w:tc>
        <w:tc>
          <w:tcPr>
            <w:tcW w:w="160" w:type="dxa"/>
            <w:vAlign w:val="bottom"/>
          </w:tcPr>
          <w:p>
            <w:pPr>
              <w:spacing w:after="0"/>
              <w:rPr>
                <w:sz w:val="24"/>
                <w:szCs w:val="24"/>
                <w:color w:val="auto"/>
              </w:rPr>
            </w:pPr>
          </w:p>
        </w:tc>
        <w:tc>
          <w:tcPr>
            <w:tcW w:w="30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June 10, 2021</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0"/>
              </w:rPr>
              <w:t>Donald M. Sanders</w:t>
            </w:r>
          </w:p>
        </w:tc>
        <w:tc>
          <w:tcPr>
            <w:tcW w:w="1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29" w:right="1440" w:bottom="1440" w:gutter="0" w:footer="0" w:header="0"/>
        </w:sectPr>
      </w:pPr>
    </w:p>
    <w:bookmarkStart w:id="7" w:name="page8"/>
    <w:bookmarkEnd w:id="7"/>
    <w:tbl>
      <w:tblPr>
        <w:tblLayout w:type="fixed"/>
        <w:tblInd w:w="60" w:type="dxa"/>
        <w:tblCellMar>
          <w:top w:w="0" w:type="dxa"/>
          <w:left w:w="0" w:type="dxa"/>
          <w:bottom w:w="0" w:type="dxa"/>
          <w:right w:w="0" w:type="dxa"/>
        </w:tblCellMar>
      </w:tblPr>
      <w:tr>
        <w:trPr>
          <w:trHeight w:val="230"/>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James Helin</w:t>
            </w:r>
          </w:p>
        </w:tc>
        <w:tc>
          <w:tcPr>
            <w:tcW w:w="3000" w:type="dxa"/>
            <w:vAlign w:val="bottom"/>
          </w:tcPr>
          <w:p>
            <w:pPr>
              <w:ind w:left="128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1100"/>
              <w:spacing w:after="0"/>
              <w:rPr>
                <w:sz w:val="20"/>
                <w:szCs w:val="20"/>
                <w:color w:val="auto"/>
              </w:rPr>
            </w:pPr>
            <w:r>
              <w:rPr>
                <w:rFonts w:ascii="Arial" w:cs="Arial" w:eastAsia="Arial" w:hAnsi="Arial"/>
                <w:sz w:val="18"/>
                <w:szCs w:val="18"/>
                <w:color w:val="auto"/>
                <w:w w:val="87"/>
              </w:rPr>
              <w:t>June 10, 2021</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88"/>
              </w:rPr>
              <w:t>James Helin</w:t>
            </w:r>
          </w:p>
        </w:tc>
        <w:tc>
          <w:tcPr>
            <w:tcW w:w="30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634"/>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Harold Edwards</w:t>
            </w:r>
          </w:p>
        </w:tc>
        <w:tc>
          <w:tcPr>
            <w:tcW w:w="3000" w:type="dxa"/>
            <w:vAlign w:val="bottom"/>
          </w:tcPr>
          <w:p>
            <w:pPr>
              <w:ind w:left="128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1100"/>
              <w:spacing w:after="0"/>
              <w:rPr>
                <w:sz w:val="20"/>
                <w:szCs w:val="20"/>
                <w:color w:val="auto"/>
              </w:rPr>
            </w:pPr>
            <w:r>
              <w:rPr>
                <w:rFonts w:ascii="Arial" w:cs="Arial" w:eastAsia="Arial" w:hAnsi="Arial"/>
                <w:sz w:val="18"/>
                <w:szCs w:val="18"/>
                <w:color w:val="auto"/>
                <w:w w:val="87"/>
              </w:rPr>
              <w:t>June 10, 2021</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0"/>
              </w:rPr>
              <w:t>Harold Edwards</w:t>
            </w:r>
          </w:p>
        </w:tc>
        <w:tc>
          <w:tcPr>
            <w:tcW w:w="30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Scott Van Der Kar</w:t>
            </w:r>
          </w:p>
        </w:tc>
        <w:tc>
          <w:tcPr>
            <w:tcW w:w="3000" w:type="dxa"/>
            <w:vAlign w:val="bottom"/>
          </w:tcPr>
          <w:p>
            <w:pPr>
              <w:ind w:left="128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1100"/>
              <w:spacing w:after="0"/>
              <w:rPr>
                <w:sz w:val="20"/>
                <w:szCs w:val="20"/>
                <w:color w:val="auto"/>
              </w:rPr>
            </w:pPr>
            <w:r>
              <w:rPr>
                <w:rFonts w:ascii="Arial" w:cs="Arial" w:eastAsia="Arial" w:hAnsi="Arial"/>
                <w:sz w:val="18"/>
                <w:szCs w:val="18"/>
                <w:color w:val="auto"/>
                <w:w w:val="87"/>
              </w:rPr>
              <w:t>June 10, 2021</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0"/>
              </w:rPr>
              <w:t>Scott Van Der Kar</w:t>
            </w:r>
          </w:p>
        </w:tc>
        <w:tc>
          <w:tcPr>
            <w:tcW w:w="30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Steven Hollister</w:t>
            </w:r>
          </w:p>
        </w:tc>
        <w:tc>
          <w:tcPr>
            <w:tcW w:w="3000" w:type="dxa"/>
            <w:vAlign w:val="bottom"/>
          </w:tcPr>
          <w:p>
            <w:pPr>
              <w:ind w:left="128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1100"/>
              <w:spacing w:after="0"/>
              <w:rPr>
                <w:sz w:val="20"/>
                <w:szCs w:val="20"/>
                <w:color w:val="auto"/>
              </w:rPr>
            </w:pPr>
            <w:r>
              <w:rPr>
                <w:rFonts w:ascii="Arial" w:cs="Arial" w:eastAsia="Arial" w:hAnsi="Arial"/>
                <w:sz w:val="18"/>
                <w:szCs w:val="18"/>
                <w:color w:val="auto"/>
                <w:w w:val="87"/>
              </w:rPr>
              <w:t>June 10, 2021</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1"/>
              </w:rPr>
              <w:t>Steven Hollister</w:t>
            </w:r>
          </w:p>
        </w:tc>
        <w:tc>
          <w:tcPr>
            <w:tcW w:w="30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1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Kathleen M. Holmgren</w:t>
            </w:r>
          </w:p>
        </w:tc>
        <w:tc>
          <w:tcPr>
            <w:tcW w:w="3000" w:type="dxa"/>
            <w:vAlign w:val="bottom"/>
          </w:tcPr>
          <w:p>
            <w:pPr>
              <w:ind w:left="128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1100"/>
              <w:spacing w:after="0"/>
              <w:rPr>
                <w:sz w:val="20"/>
                <w:szCs w:val="20"/>
                <w:color w:val="auto"/>
              </w:rPr>
            </w:pPr>
            <w:r>
              <w:rPr>
                <w:rFonts w:ascii="Arial" w:cs="Arial" w:eastAsia="Arial" w:hAnsi="Arial"/>
                <w:sz w:val="18"/>
                <w:szCs w:val="18"/>
                <w:color w:val="auto"/>
                <w:w w:val="87"/>
              </w:rPr>
              <w:t>June 10, 2021</w:t>
            </w:r>
          </w:p>
        </w:tc>
      </w:tr>
      <w:tr>
        <w:trPr>
          <w:trHeight w:val="224"/>
        </w:trPr>
        <w:tc>
          <w:tcPr>
            <w:tcW w:w="2860" w:type="dxa"/>
            <w:vAlign w:val="bottom"/>
          </w:tcPr>
          <w:p>
            <w:pPr>
              <w:jc w:val="center"/>
              <w:spacing w:after="0"/>
              <w:rPr>
                <w:sz w:val="20"/>
                <w:szCs w:val="20"/>
                <w:color w:val="auto"/>
              </w:rPr>
            </w:pPr>
            <w:r>
              <w:rPr>
                <w:rFonts w:ascii="Arial" w:cs="Arial" w:eastAsia="Arial" w:hAnsi="Arial"/>
                <w:sz w:val="18"/>
                <w:szCs w:val="18"/>
                <w:color w:val="auto"/>
                <w:w w:val="93"/>
              </w:rPr>
              <w:t>Kathleen M. Holmgren</w:t>
            </w:r>
          </w:p>
        </w:tc>
        <w:tc>
          <w:tcPr>
            <w:tcW w:w="3000" w:type="dxa"/>
            <w:vAlign w:val="bottom"/>
          </w:tcPr>
          <w:p>
            <w:pPr>
              <w:spacing w:after="0"/>
              <w:rPr>
                <w:sz w:val="19"/>
                <w:szCs w:val="19"/>
                <w:color w:val="auto"/>
              </w:rPr>
            </w:pPr>
          </w:p>
        </w:tc>
        <w:tc>
          <w:tcPr>
            <w:tcW w:w="2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8" w:name="page9"/>
    <w:bookmarkEnd w:id="8"/>
    <w:p>
      <w:pPr>
        <w:jc w:val="right"/>
        <w:ind w:right="59"/>
        <w:spacing w:after="0"/>
        <w:rPr>
          <w:sz w:val="20"/>
          <w:szCs w:val="20"/>
          <w:color w:val="auto"/>
        </w:rPr>
      </w:pPr>
      <w:r>
        <w:rPr>
          <w:rFonts w:ascii="Arial" w:cs="Arial" w:eastAsia="Arial" w:hAnsi="Arial"/>
          <w:sz w:val="18"/>
          <w:szCs w:val="18"/>
          <w:b w:val="1"/>
          <w:bCs w:val="1"/>
          <w:color w:val="auto"/>
        </w:rPr>
        <w:t>Exhibit 4.1(a)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name of this corporation is Calavo Growers, Inc. (the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7"/>
          <w:szCs w:val="17"/>
          <w:color w:val="auto"/>
        </w:rPr>
        <w:t>The purpose of the Corporation is to engage in any lawful act or activity for which a corporation may be organized under the General Corporation Law of California other than the banking business, the trust company business or the practice of a profession permitted to be incorporated by the California Corporations Code.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The name and address in the State of California of the Corporation’s initial agent for service of process is: Egidio Carbone; 2530 Red Hill Avenue; Santa Ana, California 92705-5542.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The Corporation is authorized to issue only one class of stock, which shall be designated common stock with a par value of $0.001 per share. The total number of shares that the Corporation is authorized to issue is One Hundred Million (100,000,000).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left="1020" w:right="119" w:hanging="322"/>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liability of the directors of the Corporation for monetary damages shall be eliminated to the fullest extent permissible under California law.</w:t>
      </w:r>
    </w:p>
    <w:p>
      <w:pPr>
        <w:spacing w:after="0" w:line="170" w:lineRule="exact"/>
        <w:rPr>
          <w:rFonts w:ascii="Arial" w:cs="Arial" w:eastAsia="Arial" w:hAnsi="Arial"/>
          <w:sz w:val="18"/>
          <w:szCs w:val="18"/>
          <w:color w:val="auto"/>
        </w:rPr>
      </w:pPr>
    </w:p>
    <w:p>
      <w:pPr>
        <w:ind w:left="1020" w:right="119" w:hanging="322"/>
        <w:spacing w:after="0" w:line="286"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Corporation is authorized to provide indemnification of its agents (as such term is defined in Section 317 of the California Corporations Code), whether by bylaw, agreement, vote of shareholders or disinterested directors, or otherwise, to the fullest extent permissible under California law.</w:t>
      </w:r>
    </w:p>
    <w:p>
      <w:pPr>
        <w:spacing w:after="0" w:line="165" w:lineRule="exact"/>
        <w:rPr>
          <w:rFonts w:ascii="Arial" w:cs="Arial" w:eastAsia="Arial" w:hAnsi="Arial"/>
          <w:sz w:val="17"/>
          <w:szCs w:val="17"/>
          <w:color w:val="auto"/>
        </w:rPr>
      </w:pPr>
    </w:p>
    <w:p>
      <w:pPr>
        <w:ind w:left="1020" w:right="779" w:hanging="322"/>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amendment of this Article V shall not adversely affect any right or protection of an agent of the Corporation existing at the time of such amendment.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Each of the following actions shall require the approval of at least seventy-five percent (75%) of the authorized number of directors that is set forth or established in accordance with the Corporation’s Bylaws:</w:t>
      </w:r>
    </w:p>
    <w:p>
      <w:pPr>
        <w:spacing w:after="0" w:line="170" w:lineRule="exact"/>
        <w:rPr>
          <w:sz w:val="20"/>
          <w:szCs w:val="20"/>
          <w:color w:val="auto"/>
        </w:rPr>
      </w:pPr>
    </w:p>
    <w:p>
      <w:pPr>
        <w:ind w:left="1020" w:right="239" w:hanging="322"/>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issuance by the Corporation of any shares of stock or of any options, warrants or other rights to acquire shares of stock;</w:t>
      </w:r>
    </w:p>
    <w:p>
      <w:pPr>
        <w:spacing w:after="0" w:line="170" w:lineRule="exact"/>
        <w:rPr>
          <w:rFonts w:ascii="Arial" w:cs="Arial" w:eastAsia="Arial" w:hAnsi="Arial"/>
          <w:sz w:val="18"/>
          <w:szCs w:val="18"/>
          <w:color w:val="auto"/>
        </w:rPr>
      </w:pPr>
    </w:p>
    <w:p>
      <w:pPr>
        <w:ind w:left="1020" w:right="119" w:hanging="322"/>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amendment of these Articles of Incorporation, provided, however, that any approval of the Corporation’s shareholders that is required by applicable law shall also be obtained in order for such amendment to be effective;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ind w:left="1020" w:right="299" w:hanging="322"/>
        <w:spacing w:after="0" w:line="286"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adoption, amendment or repeal by the Corporation’s Board of Directors of any Bylaws, provided, however, that the Corporation’s shareholders shall also be entitled to adopt, amend or repeal Bylaws by the affirmative vote or written consent of a majority of the outstanding shares entitled to vote.</w:t>
      </w:r>
    </w:p>
    <w:p>
      <w:pPr>
        <w:spacing w:after="0" w:line="16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MARC 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14605</wp:posOffset>
            </wp:positionV>
            <wp:extent cx="18859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 w:lineRule="exact"/>
        <w:rPr>
          <w:sz w:val="20"/>
          <w:szCs w:val="20"/>
          <w:color w:val="auto"/>
        </w:rPr>
      </w:pPr>
    </w:p>
    <w:p>
      <w:pPr>
        <w:ind w:left="6880" w:right="979" w:hanging="6961"/>
        <w:spacing w:after="0" w:line="306" w:lineRule="auto"/>
        <w:tabs>
          <w:tab w:leader="none" w:pos="6860" w:val="left"/>
        </w:tabs>
        <w:rPr>
          <w:sz w:val="20"/>
          <w:szCs w:val="20"/>
          <w:color w:val="auto"/>
        </w:rPr>
      </w:pPr>
      <w:r>
        <w:rPr>
          <w:rFonts w:ascii="Arial" w:cs="Arial" w:eastAsia="Arial" w:hAnsi="Arial"/>
          <w:sz w:val="18"/>
          <w:szCs w:val="18"/>
          <w:color w:val="auto"/>
        </w:rPr>
        <w:t>Dated: January 4, 2001</w:t>
      </w:r>
      <w:r>
        <w:rPr>
          <w:sz w:val="20"/>
          <w:szCs w:val="20"/>
          <w:color w:val="auto"/>
        </w:rPr>
        <w:tab/>
      </w:r>
      <w:r>
        <w:rPr>
          <w:rFonts w:ascii="Arial" w:cs="Arial" w:eastAsia="Arial" w:hAnsi="Arial"/>
          <w:sz w:val="17"/>
          <w:szCs w:val="17"/>
          <w:color w:val="auto"/>
        </w:rPr>
        <w:t>Marc L. Brown, Incorporator</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72" w:lineRule="exact"/>
        <w:rPr>
          <w:sz w:val="20"/>
          <w:szCs w:val="20"/>
          <w:color w:val="auto"/>
        </w:rPr>
      </w:pPr>
    </w:p>
    <w:p>
      <w:pPr>
        <w:ind w:left="6020" w:right="760"/>
        <w:spacing w:after="0" w:line="255" w:lineRule="auto"/>
        <w:rPr>
          <w:sz w:val="20"/>
          <w:szCs w:val="20"/>
          <w:color w:val="auto"/>
        </w:rPr>
      </w:pPr>
      <w:r>
        <w:rPr>
          <w:rFonts w:ascii="Arial" w:cs="Arial" w:eastAsia="Arial" w:hAnsi="Arial"/>
          <w:sz w:val="18"/>
          <w:szCs w:val="18"/>
          <w:color w:val="auto"/>
        </w:rPr>
        <w:t>Sheppard, Mullin, Richter &amp; Hampton LLP 12275 El Camino Real, Suite 200 San Diego, CA 92130-4092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-408940</wp:posOffset>
            </wp:positionV>
            <wp:extent cx="243459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2434590" cy="265430"/>
                    </a:xfrm>
                    <a:prstGeom prst="rect">
                      <a:avLst/>
                    </a:prstGeom>
                    <a:noFill/>
                  </pic:spPr>
                </pic:pic>
              </a:graphicData>
            </a:graphic>
          </wp:anchor>
        </w:drawing>
      </w:r>
    </w:p>
    <w:p>
      <w:pPr>
        <w:ind w:left="6020"/>
        <w:spacing w:after="0"/>
        <w:rPr>
          <w:sz w:val="20"/>
          <w:szCs w:val="20"/>
          <w:color w:val="auto"/>
        </w:rPr>
      </w:pPr>
      <w:r>
        <w:rPr>
          <w:rFonts w:ascii="Arial" w:cs="Arial" w:eastAsia="Arial" w:hAnsi="Arial"/>
          <w:sz w:val="18"/>
          <w:szCs w:val="18"/>
          <w:color w:val="auto"/>
        </w:rPr>
        <w:t>858-720-8900 main</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www.sheppardmullin.com</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June 10,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ELECTRONIC MAIL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1141-A Cummings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Paula, California 93060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You have requested our opinion with respect to certain matters in connection with the filing by Calavo Growers, Inc., a California corporation (the “Company”), of a Registration Statement on Form S-8 (the “Registration Statement”) under the Securities Act of 1933, as amended (the “Securities Act”), with the U.S. Securities and Exchange Commission (the “Commission”), covering 1,500,000 shares (the “Shares”) of the Company’s common stock (“Common Stock”), which may be issued pursuant to the Company’s 2020 Equity Incentive Plan (the “Plan”).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opinion is being furnished in accordance with the requirements of Item 8 of Form S-8 and Item 601(b)(5)(i) of Regulation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S-K.</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connection with this opinion, we have reviewed and relied upon the Registration Statement, the Company’s articles of incorporation as in effect on the date hereof, the Company’s bylaws, as in effect on the date hereof (the “Bylaws”), the proceedings taken by the Company with respect to the authorization and adoption of the Plan, resolutions adopted by the board of directors of the Company, and such other documents, records, certificates, memoranda and other instruments as we deem necessary as a basis for this opinion.</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With respect to the foregoing documents, we have assumed the genuineness of all signatures, the authenticity of all documents submitted to us as originals, and the conformity to original of all documents submitted to us as certified or reproduced copies. We have also assumed that either (i) the stock certificates to be issued to represent the Shares (collectively, the “Stock Certificates”) will conform to the specimen common stock certificate submitted to us, and such Stock Certificates will be duly executed by the Company and countersigned by the transfer agent therefor in accordance with Section 416 of the California General Corporation Law (“Section 416”), or (ii) the Shares will be uncertificated in accordance with Section 416 and the Bylaws, and the transfer agent therefor will register the purchaser thereof as the registered owner of any uncertificated Shares on its stock transfer books and records. We have further assumed that (a) the shares of Common Stock currently reserved for issuance under the Plan will remain available for the issuance of the Shares, and (b) neither the Company’s charter documents nor any of the proceedings relating to the Plan or any of the award agreements relating to the Shares will be rescinded, amended or otherwise modified prior to the issuance of the Shares. We have also obtained from public officials and officers of the Company certificates or comparable documents as to certain factual matters and, insofar as this opinion is based on matters of fact, we have relied on such certificates and comparable documents without independent investigation. We have made such other investigations as we have deemed relevant and necessary in connection with the opinions hereinafter set forth.</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the basis of the foregoing, and in reliance thereon, we are of the opinion that the Shares, when issued and sold in the manner referred to in the Plan, will be legally and validly issued,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 w:name="page12"/>
    <w:bookmarkEnd w:id="11"/>
    <w:p>
      <w:pPr>
        <w:jc w:val="both"/>
        <w:ind w:firstLine="648"/>
        <w:spacing w:after="0" w:line="263" w:lineRule="auto"/>
        <w:rPr>
          <w:sz w:val="20"/>
          <w:szCs w:val="20"/>
          <w:color w:val="auto"/>
        </w:rPr>
      </w:pPr>
      <w:r>
        <w:rPr>
          <w:rFonts w:ascii="Arial" w:cs="Arial" w:eastAsia="Arial" w:hAnsi="Arial"/>
          <w:sz w:val="18"/>
          <w:szCs w:val="18"/>
          <w:color w:val="auto"/>
        </w:rPr>
        <w:t>We consent to the filing of this opinion as Exhibit 5.1 to the Registration Statement. In giving such consent, we do not thereby admit that we are included in the category of persons whose consent is required under Section 7 of the Securities Act or the rules and regulations of the Commission promulgated thereunder.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express no opinion as to matters governed by any laws other than the California General Corporation Law and reported decisions of the California courts interpreting such law.</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opinion is rendered as of the date first written above, and we disclaim any obligation to advise you of facts, circumstances, events or developments which hereafter may be brought to our attention and which may alter, affect or modify the opinion expressed herein. This opinion is expressly limited to the matters set forth above, and we render no opinion, whether by implication or otherwise, as to any other matters relating to the Company, the Shares, the Plan or the Registration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Sheppard, Mullin, Richter &amp; Hampton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861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SHEPPARD, MULLIN, RICHTER &amp; HAMPTON LLP</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0" w:right="99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reports dated December 21, 2020, relating to the consolidated financial statements of Calavo Growers, Inc., and the effectiveness of Calavo Growers, Inc.’s internal control over financial reporting, appearing in the Annual Report on Form 10-K of Calavo Growers, Inc., for the year ended October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41B71EFB"/>
    <w:multiLevelType w:val="hybridMultilevel"/>
    <w:lvl w:ilvl="0">
      <w:lvlJc w:val="left"/>
      <w:lvlText w:val="%1"/>
      <w:numFmt w:val="lowerLetter"/>
      <w:start w:val="1"/>
    </w:lvl>
    <w:lvl w:ilvl="1">
      <w:lvlJc w:val="left"/>
      <w:lvlText w:val="(%2)"/>
      <w:numFmt w:val="decimal"/>
      <w:start w:val="2"/>
    </w:lvl>
  </w:abstractNum>
  <w:abstractNum w:abstractNumId="5">
    <w:nsid w:val="79E2A9E3"/>
    <w:multiLevelType w:val="hybridMultilevel"/>
    <w:lvl w:ilvl="0">
      <w:lvlJc w:val="left"/>
      <w:lvlText w:val="(%1)"/>
      <w:numFmt w:val="lowerLetter"/>
      <w:start w:val="2"/>
    </w:lvl>
    <w:lvl w:ilvl="1">
      <w:lvlJc w:val="left"/>
      <w:lvlText w:val="%2"/>
      <w:numFmt w:val="decimal"/>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jpe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14" Type="http://schemas.openxmlformats.org/officeDocument/2006/relationships/hyperlink" Target="https://www.sec.gov/ix?doc=/Archives/edgar/data/1133470/000155837020014499/cvgw-20201031x10k.htm" TargetMode="External"/><Relationship Id="rId15" Type="http://schemas.openxmlformats.org/officeDocument/2006/relationships/hyperlink" Target="https://www.sec.gov/ix?doc=/Archives/edgar/data/1133470/000155837021002709/cvgw-20210131x10q.htm" TargetMode="External"/><Relationship Id="rId16" Type="http://schemas.openxmlformats.org/officeDocument/2006/relationships/hyperlink" Target="https://www.sec.gov/ix?doc=/Archives/edgar/data/1133470/000155837021008126/cvgw-20210430x10q.htm" TargetMode="External"/><Relationship Id="rId17" Type="http://schemas.openxmlformats.org/officeDocument/2006/relationships/hyperlink" Target="https://www.sec.gov/ix?doc=/Archives/edgar/data/1133470/000155837021000828/cvgw-20210203x8k.htm" TargetMode="External"/><Relationship Id="rId18" Type="http://schemas.openxmlformats.org/officeDocument/2006/relationships/hyperlink" Target="https://www.sec.gov/ix?doc=/Archives/edgar/data/1133470/000155837021004806/cvgw-20210421x8k.htm" TargetMode="External"/><Relationship Id="rId19" Type="http://schemas.openxmlformats.org/officeDocument/2006/relationships/hyperlink" Target="https://www.sec.gov/Archives/edgar/data/1133470/000095014801502498/v72605e8-a12g.txt" TargetMode="External"/><Relationship Id="rId23" Type="http://schemas.openxmlformats.org/officeDocument/2006/relationships/hyperlink" Target="https://www.sec.gov/Archives/edgar/data/1133470/000095012311030833/v59133e8vk.htm" TargetMode="External"/><Relationship Id="rId24" Type="http://schemas.openxmlformats.org/officeDocument/2006/relationships/hyperlink" Target="https://www.sec.gov/Archives/edgar/data/1133470/000119312514358632/d795671dex34.htm" TargetMode="External"/><Relationship Id="rId25" Type="http://schemas.openxmlformats.org/officeDocument/2006/relationships/hyperlink" Target="https://www.sec.gov/Archives/edgar/data/1133470/000155837021008126/cvgw-202104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2021-06-10T15:15:21Z</dcterms:created>
  <dcterms:modified xsi:type="dcterms:W3CDTF">2021-06-10T15:15:21Z</dcterms:modified>
</cp:coreProperties>
</file>